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6B18" w14:textId="731C27AA" w:rsidR="00284238" w:rsidRPr="00CA2079" w:rsidRDefault="00284238" w:rsidP="00A662D4">
      <w:pPr>
        <w:pStyle w:val="Heading1"/>
        <w:spacing w:before="360"/>
      </w:pPr>
      <w:r w:rsidRPr="00CA2079">
        <w:t xml:space="preserve">Administrative Bulletin </w:t>
      </w:r>
      <w:r w:rsidR="006E47B5" w:rsidRPr="00CA2079">
        <w:t>23</w:t>
      </w:r>
      <w:r w:rsidRPr="00CA2079">
        <w:t>-</w:t>
      </w:r>
      <w:r w:rsidR="00CA2079" w:rsidRPr="00CA2079">
        <w:t>25</w:t>
      </w:r>
    </w:p>
    <w:p w14:paraId="54CB3682" w14:textId="77777777" w:rsidR="00284238" w:rsidRPr="00CA2079" w:rsidRDefault="00284238" w:rsidP="00A662D4">
      <w:pPr>
        <w:tabs>
          <w:tab w:val="center" w:pos="4950"/>
        </w:tabs>
        <w:jc w:val="center"/>
        <w:rPr>
          <w:rFonts w:ascii="Times New Roman" w:eastAsia="Calibri" w:hAnsi="Times New Roman" w:cs="Times New Roman"/>
          <w:b/>
          <w:color w:val="000000" w:themeColor="text1"/>
        </w:rPr>
      </w:pPr>
    </w:p>
    <w:p w14:paraId="12F6FB50" w14:textId="7E9F1D7A" w:rsidR="00284238" w:rsidRPr="00CA2079" w:rsidRDefault="00A71E7A" w:rsidP="00A662D4">
      <w:pPr>
        <w:jc w:val="center"/>
        <w:rPr>
          <w:rFonts w:ascii="Times New Roman" w:eastAsia="Calibri" w:hAnsi="Times New Roman" w:cs="Times New Roman"/>
          <w:b/>
          <w:color w:val="000000" w:themeColor="text1"/>
        </w:rPr>
      </w:pPr>
      <w:r w:rsidRPr="00CA2079">
        <w:rPr>
          <w:rFonts w:ascii="Times New Roman" w:eastAsia="Calibri" w:hAnsi="Times New Roman" w:cs="Times New Roman"/>
          <w:b/>
          <w:color w:val="000000" w:themeColor="text1"/>
        </w:rPr>
        <w:t>101 CMR 204.00: Rates of Payment to Resident Care Facilities</w:t>
      </w:r>
    </w:p>
    <w:p w14:paraId="2813D6A0" w14:textId="77777777" w:rsidR="00284238" w:rsidRPr="00CA2079" w:rsidRDefault="00284238" w:rsidP="00A662D4">
      <w:pPr>
        <w:jc w:val="center"/>
        <w:rPr>
          <w:b/>
          <w:color w:val="000000" w:themeColor="text1"/>
        </w:rPr>
      </w:pPr>
    </w:p>
    <w:p w14:paraId="1C1D7232" w14:textId="7486C12E" w:rsidR="00284238" w:rsidRPr="00CA2079" w:rsidRDefault="00284238" w:rsidP="00A662D4">
      <w:pPr>
        <w:spacing w:after="240"/>
        <w:jc w:val="center"/>
        <w:rPr>
          <w:rFonts w:ascii="Times New Roman" w:eastAsia="Calibri" w:hAnsi="Times New Roman" w:cs="Times New Roman"/>
          <w:color w:val="000000" w:themeColor="text1"/>
        </w:rPr>
      </w:pPr>
      <w:r w:rsidRPr="00CA2079">
        <w:rPr>
          <w:rFonts w:ascii="Times New Roman" w:eastAsia="Calibri" w:hAnsi="Times New Roman" w:cs="Times New Roman"/>
          <w:color w:val="000000" w:themeColor="text1"/>
        </w:rPr>
        <w:t>Effective</w:t>
      </w:r>
      <w:r w:rsidR="00AD2BBC" w:rsidRPr="00CA2079">
        <w:rPr>
          <w:rFonts w:ascii="Times New Roman" w:eastAsia="Calibri" w:hAnsi="Times New Roman" w:cs="Times New Roman"/>
          <w:color w:val="000000" w:themeColor="text1"/>
        </w:rPr>
        <w:t xml:space="preserve"> September 5, 2023</w:t>
      </w:r>
    </w:p>
    <w:p w14:paraId="30B2B93D" w14:textId="44395B57" w:rsidR="00284238" w:rsidRPr="00CA2079" w:rsidRDefault="008106C3" w:rsidP="00A662D4">
      <w:pPr>
        <w:shd w:val="clear" w:color="auto" w:fill="FFFFFF"/>
        <w:spacing w:after="240" w:line="276" w:lineRule="auto"/>
        <w:jc w:val="center"/>
        <w:rPr>
          <w:rFonts w:ascii="Times New Roman" w:hAnsi="Times New Roman" w:cs="Times New Roman"/>
          <w:b/>
          <w:color w:val="000000" w:themeColor="text1"/>
        </w:rPr>
      </w:pPr>
      <w:r w:rsidRPr="00CA2079">
        <w:rPr>
          <w:rFonts w:ascii="Times New Roman" w:hAnsi="Times New Roman" w:cs="Times New Roman"/>
          <w:b/>
          <w:color w:val="000000" w:themeColor="text1"/>
        </w:rPr>
        <w:t xml:space="preserve">Resident Care Cost Quotient </w:t>
      </w:r>
      <w:r w:rsidR="005159F5">
        <w:rPr>
          <w:rFonts w:ascii="Times New Roman" w:hAnsi="Times New Roman" w:cs="Times New Roman"/>
          <w:b/>
          <w:color w:val="000000" w:themeColor="text1"/>
        </w:rPr>
        <w:t>- Updated</w:t>
      </w:r>
    </w:p>
    <w:p w14:paraId="4FBFFE70" w14:textId="77777777" w:rsidR="002F7997" w:rsidRPr="00CA2079" w:rsidRDefault="002F7997" w:rsidP="00A662D4">
      <w:pPr>
        <w:shd w:val="clear" w:color="auto" w:fill="FFFFFF"/>
        <w:spacing w:before="150" w:after="120" w:line="312" w:lineRule="atLeast"/>
        <w:rPr>
          <w:rFonts w:ascii="Times New Roman" w:hAnsi="Times New Roman" w:cs="Times New Roman"/>
          <w:b/>
          <w:bCs/>
          <w:color w:val="000000" w:themeColor="text1"/>
        </w:rPr>
      </w:pPr>
      <w:r w:rsidRPr="00CA2079">
        <w:rPr>
          <w:rFonts w:ascii="Times New Roman" w:hAnsi="Times New Roman" w:cs="Times New Roman"/>
          <w:b/>
          <w:bCs/>
          <w:color w:val="000000" w:themeColor="text1"/>
        </w:rPr>
        <w:t>Background</w:t>
      </w:r>
    </w:p>
    <w:p w14:paraId="1390DE0A" w14:textId="6D8E4817" w:rsidR="002F7997" w:rsidRPr="00CA2079" w:rsidRDefault="002F7997" w:rsidP="00A662D4">
      <w:pPr>
        <w:shd w:val="clear" w:color="auto" w:fill="FFFFFF"/>
        <w:spacing w:before="150" w:after="120" w:line="312" w:lineRule="atLeast"/>
        <w:rPr>
          <w:rFonts w:ascii="Times New Roman" w:hAnsi="Times New Roman" w:cs="Times New Roman"/>
          <w:color w:val="000000" w:themeColor="text1"/>
        </w:rPr>
      </w:pPr>
      <w:r w:rsidRPr="00CA2079">
        <w:rPr>
          <w:rFonts w:ascii="Times New Roman" w:hAnsi="Times New Roman" w:cs="Times New Roman"/>
          <w:color w:val="000000" w:themeColor="text1"/>
        </w:rPr>
        <w:t xml:space="preserve">In accordance with 101 CMR 204.10: </w:t>
      </w:r>
      <w:r w:rsidRPr="00CA2079">
        <w:rPr>
          <w:rFonts w:ascii="Times New Roman" w:hAnsi="Times New Roman" w:cs="Times New Roman"/>
          <w:i/>
          <w:iCs/>
          <w:color w:val="000000" w:themeColor="text1"/>
        </w:rPr>
        <w:t>Resident Care Cost Quotient</w:t>
      </w:r>
      <w:r w:rsidRPr="00CA2079">
        <w:rPr>
          <w:rFonts w:ascii="Times New Roman" w:hAnsi="Times New Roman" w:cs="Times New Roman"/>
          <w:color w:val="000000" w:themeColor="text1"/>
        </w:rPr>
        <w:t xml:space="preserve">, the Executive Office of </w:t>
      </w:r>
      <w:proofErr w:type="gramStart"/>
      <w:r w:rsidRPr="00CA2079">
        <w:rPr>
          <w:rFonts w:ascii="Times New Roman" w:hAnsi="Times New Roman" w:cs="Times New Roman"/>
          <w:color w:val="000000" w:themeColor="text1"/>
        </w:rPr>
        <w:t>Health</w:t>
      </w:r>
      <w:proofErr w:type="gramEnd"/>
      <w:r w:rsidRPr="00CA2079">
        <w:rPr>
          <w:rFonts w:ascii="Times New Roman" w:hAnsi="Times New Roman" w:cs="Times New Roman"/>
          <w:color w:val="000000" w:themeColor="text1"/>
        </w:rPr>
        <w:t xml:space="preserve"> and Human Services (EOHHS) is issuing this administrative bulletin, which supersedes any relevant provisions in Administrative Bulletin 22-15, to set forth the calculation criteria and reporting requirements for the residential care facilities resident care cost quotient (RCC-Q), as well as to identify detail </w:t>
      </w:r>
      <w:r w:rsidR="009F005A">
        <w:rPr>
          <w:rFonts w:ascii="Times New Roman" w:hAnsi="Times New Roman" w:cs="Times New Roman"/>
          <w:color w:val="000000" w:themeColor="text1"/>
        </w:rPr>
        <w:t>about</w:t>
      </w:r>
      <w:r w:rsidR="009F005A" w:rsidRPr="00CA2079">
        <w:rPr>
          <w:rFonts w:ascii="Times New Roman" w:hAnsi="Times New Roman" w:cs="Times New Roman"/>
          <w:color w:val="000000" w:themeColor="text1"/>
        </w:rPr>
        <w:t xml:space="preserve"> </w:t>
      </w:r>
      <w:r w:rsidRPr="00CA2079">
        <w:rPr>
          <w:rFonts w:ascii="Times New Roman" w:hAnsi="Times New Roman" w:cs="Times New Roman"/>
          <w:color w:val="000000" w:themeColor="text1"/>
        </w:rPr>
        <w:t xml:space="preserve">the downward adjustment. </w:t>
      </w:r>
    </w:p>
    <w:p w14:paraId="37A2E6D2" w14:textId="002EF2DC" w:rsidR="002F7997" w:rsidRPr="00CA2079" w:rsidRDefault="002F7997" w:rsidP="00A662D4">
      <w:pPr>
        <w:shd w:val="clear" w:color="auto" w:fill="FFFFFF"/>
        <w:spacing w:before="150" w:after="120" w:line="312" w:lineRule="atLeast"/>
        <w:rPr>
          <w:rFonts w:ascii="Times New Roman" w:hAnsi="Times New Roman" w:cs="Times New Roman"/>
          <w:color w:val="000000" w:themeColor="text1"/>
        </w:rPr>
      </w:pPr>
      <w:r w:rsidRPr="00CA2079">
        <w:rPr>
          <w:rFonts w:ascii="Times New Roman" w:hAnsi="Times New Roman" w:cs="Times New Roman"/>
          <w:color w:val="000000" w:themeColor="text1"/>
        </w:rPr>
        <w:t>Investments in direct care staff, infection control, and other resident</w:t>
      </w:r>
      <w:r w:rsidR="005C1CAC" w:rsidRPr="00CA2079">
        <w:rPr>
          <w:rFonts w:ascii="Times New Roman" w:hAnsi="Times New Roman" w:cs="Times New Roman"/>
          <w:color w:val="000000" w:themeColor="text1"/>
        </w:rPr>
        <w:t>-</w:t>
      </w:r>
      <w:r w:rsidRPr="00CA2079">
        <w:rPr>
          <w:rFonts w:ascii="Times New Roman" w:hAnsi="Times New Roman" w:cs="Times New Roman"/>
          <w:color w:val="000000" w:themeColor="text1"/>
        </w:rPr>
        <w:t>care</w:t>
      </w:r>
      <w:r w:rsidR="005C1CAC" w:rsidRPr="00CA2079">
        <w:rPr>
          <w:rFonts w:ascii="Times New Roman" w:hAnsi="Times New Roman" w:cs="Times New Roman"/>
          <w:color w:val="000000" w:themeColor="text1"/>
        </w:rPr>
        <w:t>-</w:t>
      </w:r>
      <w:r w:rsidRPr="00CA2079">
        <w:rPr>
          <w:rFonts w:ascii="Times New Roman" w:hAnsi="Times New Roman" w:cs="Times New Roman"/>
          <w:color w:val="000000" w:themeColor="text1"/>
        </w:rPr>
        <w:t xml:space="preserve">related expenditures have a direct and meaningful impact on overall resident quality of life, health, and wellbeing. To increase and incentivize greater expenditure in these areas, EOHHS is requiring residential care facilities to begin reporting resident care expenditures and revenue in September 2023 for the purposes of calculating the RCC-Q. </w:t>
      </w:r>
    </w:p>
    <w:p w14:paraId="7F7DE12C" w14:textId="77777777" w:rsidR="002F7997" w:rsidRPr="00CA2079" w:rsidRDefault="002F7997" w:rsidP="00A662D4">
      <w:pPr>
        <w:shd w:val="clear" w:color="auto" w:fill="FFFFFF"/>
        <w:spacing w:before="150" w:after="120" w:line="312" w:lineRule="atLeast"/>
        <w:rPr>
          <w:rFonts w:ascii="Times New Roman" w:hAnsi="Times New Roman" w:cs="Times New Roman"/>
          <w:b/>
          <w:bCs/>
          <w:color w:val="000000" w:themeColor="text1"/>
        </w:rPr>
      </w:pPr>
      <w:r w:rsidRPr="00CA2079">
        <w:rPr>
          <w:rFonts w:ascii="Times New Roman" w:hAnsi="Times New Roman" w:cs="Times New Roman"/>
          <w:b/>
          <w:bCs/>
          <w:color w:val="000000" w:themeColor="text1"/>
        </w:rPr>
        <w:t>RCC-Q Calculation</w:t>
      </w:r>
    </w:p>
    <w:p w14:paraId="1B3461DA" w14:textId="4FE84DAB" w:rsidR="002F7997" w:rsidRPr="00CA2079" w:rsidRDefault="002F7997" w:rsidP="00A662D4">
      <w:pPr>
        <w:shd w:val="clear" w:color="auto" w:fill="FFFFFF"/>
        <w:spacing w:before="150" w:after="120" w:line="312" w:lineRule="atLeast"/>
        <w:rPr>
          <w:rFonts w:ascii="Times New Roman" w:hAnsi="Times New Roman" w:cs="Times New Roman"/>
          <w:color w:val="000000" w:themeColor="text1"/>
        </w:rPr>
      </w:pPr>
      <w:r w:rsidRPr="00CA2079">
        <w:rPr>
          <w:rFonts w:ascii="Times New Roman" w:hAnsi="Times New Roman" w:cs="Times New Roman"/>
          <w:color w:val="000000" w:themeColor="text1"/>
        </w:rPr>
        <w:t>The RCC-Q will serve as a mechanism to strengthen resident quality of care by holding rest homes financially accountable for managing their revenue and investing in resident</w:t>
      </w:r>
      <w:r w:rsidR="00D007A3" w:rsidRPr="00CA2079">
        <w:rPr>
          <w:rFonts w:ascii="Times New Roman" w:hAnsi="Times New Roman" w:cs="Times New Roman"/>
          <w:color w:val="000000" w:themeColor="text1"/>
        </w:rPr>
        <w:t>-</w:t>
      </w:r>
      <w:r w:rsidRPr="00CA2079">
        <w:rPr>
          <w:rFonts w:ascii="Times New Roman" w:hAnsi="Times New Roman" w:cs="Times New Roman"/>
          <w:color w:val="000000" w:themeColor="text1"/>
        </w:rPr>
        <w:t>care</w:t>
      </w:r>
      <w:r w:rsidR="00D007A3" w:rsidRPr="00CA2079">
        <w:rPr>
          <w:rFonts w:ascii="Times New Roman" w:hAnsi="Times New Roman" w:cs="Times New Roman"/>
          <w:color w:val="000000" w:themeColor="text1"/>
        </w:rPr>
        <w:t>-</w:t>
      </w:r>
      <w:r w:rsidRPr="00CA2079">
        <w:rPr>
          <w:rFonts w:ascii="Times New Roman" w:hAnsi="Times New Roman" w:cs="Times New Roman"/>
          <w:color w:val="000000" w:themeColor="text1"/>
        </w:rPr>
        <w:t>related costs, including direct care staffing. The Initial, First Interim, and First Final RCC-Q reports will be used to inform future enforcement to ensure investment in resident</w:t>
      </w:r>
      <w:r w:rsidR="00D007A3" w:rsidRPr="00CA2079">
        <w:rPr>
          <w:rFonts w:ascii="Times New Roman" w:hAnsi="Times New Roman" w:cs="Times New Roman"/>
          <w:color w:val="000000" w:themeColor="text1"/>
        </w:rPr>
        <w:t>-</w:t>
      </w:r>
      <w:r w:rsidRPr="00CA2079">
        <w:rPr>
          <w:rFonts w:ascii="Times New Roman" w:hAnsi="Times New Roman" w:cs="Times New Roman"/>
          <w:color w:val="000000" w:themeColor="text1"/>
        </w:rPr>
        <w:t>care</w:t>
      </w:r>
      <w:r w:rsidR="00D007A3" w:rsidRPr="00CA2079">
        <w:rPr>
          <w:rFonts w:ascii="Times New Roman" w:hAnsi="Times New Roman" w:cs="Times New Roman"/>
          <w:color w:val="000000" w:themeColor="text1"/>
        </w:rPr>
        <w:t>-</w:t>
      </w:r>
      <w:r w:rsidRPr="00CA2079">
        <w:rPr>
          <w:rFonts w:ascii="Times New Roman" w:hAnsi="Times New Roman" w:cs="Times New Roman"/>
          <w:color w:val="000000" w:themeColor="text1"/>
        </w:rPr>
        <w:t>related costs. The RCC-Q reports may also inform policy decisions related to increased quality measures and future investments in resident</w:t>
      </w:r>
      <w:r w:rsidR="00D007A3" w:rsidRPr="00CA2079">
        <w:rPr>
          <w:rFonts w:ascii="Times New Roman" w:hAnsi="Times New Roman" w:cs="Times New Roman"/>
          <w:color w:val="000000" w:themeColor="text1"/>
        </w:rPr>
        <w:t>-</w:t>
      </w:r>
      <w:r w:rsidRPr="00CA2079">
        <w:rPr>
          <w:rFonts w:ascii="Times New Roman" w:hAnsi="Times New Roman" w:cs="Times New Roman"/>
          <w:color w:val="000000" w:themeColor="text1"/>
        </w:rPr>
        <w:t>care</w:t>
      </w:r>
      <w:r w:rsidR="00D007A3" w:rsidRPr="00CA2079">
        <w:rPr>
          <w:rFonts w:ascii="Times New Roman" w:hAnsi="Times New Roman" w:cs="Times New Roman"/>
          <w:color w:val="000000" w:themeColor="text1"/>
        </w:rPr>
        <w:t>-</w:t>
      </w:r>
      <w:r w:rsidRPr="00CA2079">
        <w:rPr>
          <w:rFonts w:ascii="Times New Roman" w:hAnsi="Times New Roman" w:cs="Times New Roman"/>
          <w:color w:val="000000" w:themeColor="text1"/>
        </w:rPr>
        <w:t xml:space="preserve">related expenditures. </w:t>
      </w:r>
    </w:p>
    <w:p w14:paraId="439AAE41" w14:textId="1DF87EF3" w:rsidR="002F7997" w:rsidRPr="00CA2079" w:rsidRDefault="002F7997" w:rsidP="00A662D4">
      <w:pPr>
        <w:pStyle w:val="ListParagraph"/>
        <w:numPr>
          <w:ilvl w:val="0"/>
          <w:numId w:val="3"/>
        </w:numPr>
        <w:shd w:val="clear" w:color="auto" w:fill="FFFFFF"/>
        <w:spacing w:before="150" w:after="12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lastRenderedPageBreak/>
        <w:t>The RCC-Q will be calculated for each residential care facility by dividing resident care expenses identified in this administrative bulletin (numerator) by the facility’s total revenue, excluding the revenue for non</w:t>
      </w:r>
      <w:r w:rsidR="00E052A4" w:rsidRPr="00CA2079">
        <w:rPr>
          <w:rFonts w:ascii="Times New Roman" w:hAnsi="Times New Roman" w:cs="Times New Roman"/>
          <w:color w:val="000000" w:themeColor="text1"/>
        </w:rPr>
        <w:t>–</w:t>
      </w:r>
      <w:r w:rsidRPr="00CA2079">
        <w:rPr>
          <w:rFonts w:ascii="Times New Roman" w:hAnsi="Times New Roman" w:cs="Times New Roman"/>
          <w:color w:val="000000" w:themeColor="text1"/>
        </w:rPr>
        <w:t>residential care facility lines of business (denominator):</w:t>
      </w:r>
    </w:p>
    <w:p w14:paraId="64B157CE" w14:textId="34CA74D1" w:rsidR="002F7997" w:rsidRPr="00CA2079" w:rsidRDefault="002F7997" w:rsidP="00A662D4">
      <w:pPr>
        <w:pStyle w:val="ListParagraph"/>
        <w:numPr>
          <w:ilvl w:val="0"/>
          <w:numId w:val="4"/>
        </w:numPr>
        <w:shd w:val="clear" w:color="auto" w:fill="FFFFFF"/>
        <w:spacing w:before="150" w:after="12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 xml:space="preserve">Expenses: </w:t>
      </w:r>
    </w:p>
    <w:p w14:paraId="02825840" w14:textId="76F520DA"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Administrator/Responsible Person Salaries</w:t>
      </w:r>
    </w:p>
    <w:p w14:paraId="5D803DA1"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Clerical Salaries</w:t>
      </w:r>
    </w:p>
    <w:p w14:paraId="1BC9340B"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Dietary (including supplies)</w:t>
      </w:r>
    </w:p>
    <w:p w14:paraId="10DE395B"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 xml:space="preserve">Nursing </w:t>
      </w:r>
    </w:p>
    <w:p w14:paraId="384B03BE"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Recreational Therapy</w:t>
      </w:r>
    </w:p>
    <w:p w14:paraId="30DB65E4" w14:textId="4A529C8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Housekeeping/Laundry (including supplies)</w:t>
      </w:r>
    </w:p>
    <w:p w14:paraId="6BE0BBCF" w14:textId="1CB1BE93"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 xml:space="preserve">Plant Operation, Maintenance, Security (not including </w:t>
      </w:r>
      <w:r w:rsidR="00756A11" w:rsidRPr="00CA2079">
        <w:rPr>
          <w:rFonts w:ascii="Times New Roman" w:hAnsi="Times New Roman" w:cs="Times New Roman"/>
          <w:color w:val="000000" w:themeColor="text1"/>
        </w:rPr>
        <w:t xml:space="preserve">utilities </w:t>
      </w:r>
      <w:r w:rsidRPr="00CA2079">
        <w:rPr>
          <w:rFonts w:ascii="Times New Roman" w:hAnsi="Times New Roman" w:cs="Times New Roman"/>
          <w:color w:val="000000" w:themeColor="text1"/>
        </w:rPr>
        <w:t xml:space="preserve">and </w:t>
      </w:r>
      <w:r w:rsidR="00756A11" w:rsidRPr="00CA2079">
        <w:rPr>
          <w:rFonts w:ascii="Times New Roman" w:hAnsi="Times New Roman" w:cs="Times New Roman"/>
          <w:color w:val="000000" w:themeColor="text1"/>
        </w:rPr>
        <w:t>r</w:t>
      </w:r>
      <w:r w:rsidRPr="00CA2079">
        <w:rPr>
          <w:rFonts w:ascii="Times New Roman" w:hAnsi="Times New Roman" w:cs="Times New Roman"/>
          <w:color w:val="000000" w:themeColor="text1"/>
        </w:rPr>
        <w:t>epairs)</w:t>
      </w:r>
    </w:p>
    <w:p w14:paraId="2791E831" w14:textId="45979948"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Employee Benefits (</w:t>
      </w:r>
      <w:r w:rsidR="00756A11" w:rsidRPr="00CA2079">
        <w:rPr>
          <w:rFonts w:ascii="Times New Roman" w:hAnsi="Times New Roman" w:cs="Times New Roman"/>
          <w:color w:val="000000" w:themeColor="text1"/>
        </w:rPr>
        <w:t>p</w:t>
      </w:r>
      <w:r w:rsidRPr="00CA2079">
        <w:rPr>
          <w:rFonts w:ascii="Times New Roman" w:hAnsi="Times New Roman" w:cs="Times New Roman"/>
          <w:color w:val="000000" w:themeColor="text1"/>
        </w:rPr>
        <w:t xml:space="preserve">ensions, </w:t>
      </w:r>
      <w:r w:rsidR="00756A11" w:rsidRPr="00CA2079">
        <w:rPr>
          <w:rFonts w:ascii="Times New Roman" w:hAnsi="Times New Roman" w:cs="Times New Roman"/>
          <w:color w:val="000000" w:themeColor="text1"/>
        </w:rPr>
        <w:t>h</w:t>
      </w:r>
      <w:r w:rsidRPr="00CA2079">
        <w:rPr>
          <w:rFonts w:ascii="Times New Roman" w:hAnsi="Times New Roman" w:cs="Times New Roman"/>
          <w:color w:val="000000" w:themeColor="text1"/>
        </w:rPr>
        <w:t>ea</w:t>
      </w:r>
      <w:r w:rsidR="00756A11" w:rsidRPr="00CA2079">
        <w:rPr>
          <w:rFonts w:ascii="Times New Roman" w:hAnsi="Times New Roman" w:cs="Times New Roman"/>
          <w:color w:val="000000" w:themeColor="text1"/>
        </w:rPr>
        <w:t>l</w:t>
      </w:r>
      <w:r w:rsidRPr="00CA2079">
        <w:rPr>
          <w:rFonts w:ascii="Times New Roman" w:hAnsi="Times New Roman" w:cs="Times New Roman"/>
          <w:color w:val="000000" w:themeColor="text1"/>
        </w:rPr>
        <w:t xml:space="preserve">th </w:t>
      </w:r>
      <w:r w:rsidR="00756A11" w:rsidRPr="00CA2079">
        <w:rPr>
          <w:rFonts w:ascii="Times New Roman" w:hAnsi="Times New Roman" w:cs="Times New Roman"/>
          <w:color w:val="000000" w:themeColor="text1"/>
        </w:rPr>
        <w:t>i</w:t>
      </w:r>
      <w:r w:rsidRPr="00CA2079">
        <w:rPr>
          <w:rFonts w:ascii="Times New Roman" w:hAnsi="Times New Roman" w:cs="Times New Roman"/>
          <w:color w:val="000000" w:themeColor="text1"/>
        </w:rPr>
        <w:t>nsurance, etc.)</w:t>
      </w:r>
    </w:p>
    <w:p w14:paraId="23855A2C"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Social Service Workers</w:t>
      </w:r>
    </w:p>
    <w:p w14:paraId="4DE11091"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Community Support Coordinators</w:t>
      </w:r>
    </w:p>
    <w:p w14:paraId="4E45688F" w14:textId="08BB6F95"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Quality Assurance Professional</w:t>
      </w:r>
      <w:r w:rsidR="00D705A5" w:rsidRPr="00CA2079">
        <w:rPr>
          <w:rFonts w:ascii="Times New Roman" w:hAnsi="Times New Roman" w:cs="Times New Roman"/>
          <w:color w:val="000000" w:themeColor="text1"/>
        </w:rPr>
        <w:t>s</w:t>
      </w:r>
      <w:r w:rsidRPr="00CA2079">
        <w:rPr>
          <w:rFonts w:ascii="Times New Roman" w:hAnsi="Times New Roman" w:cs="Times New Roman"/>
          <w:color w:val="000000" w:themeColor="text1"/>
        </w:rPr>
        <w:t xml:space="preserve"> </w:t>
      </w:r>
    </w:p>
    <w:p w14:paraId="57C926A4"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Physician Services</w:t>
      </w:r>
    </w:p>
    <w:p w14:paraId="5ADC429C"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 xml:space="preserve">Interpreters </w:t>
      </w:r>
    </w:p>
    <w:p w14:paraId="4EF43D21"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Behavioral Health Staff</w:t>
      </w:r>
    </w:p>
    <w:p w14:paraId="0AD9E865"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Pharmacy Consultants</w:t>
      </w:r>
    </w:p>
    <w:p w14:paraId="64B51027"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 xml:space="preserve">Staff Development Coordinators </w:t>
      </w:r>
    </w:p>
    <w:p w14:paraId="1139A17B" w14:textId="30F3908D"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Worker’s Comp</w:t>
      </w:r>
      <w:r w:rsidR="00465FD8" w:rsidRPr="00CA2079">
        <w:rPr>
          <w:rFonts w:ascii="Times New Roman" w:hAnsi="Times New Roman" w:cs="Times New Roman"/>
          <w:color w:val="000000" w:themeColor="text1"/>
        </w:rPr>
        <w:t>ensation</w:t>
      </w:r>
    </w:p>
    <w:p w14:paraId="6AF4A214"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Payroll Taxes</w:t>
      </w:r>
    </w:p>
    <w:p w14:paraId="45FAD486" w14:textId="06707D7D"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 xml:space="preserve">Other supplies (for example, </w:t>
      </w:r>
      <w:r w:rsidR="008E22AC" w:rsidRPr="00CA2079">
        <w:rPr>
          <w:rFonts w:ascii="Times New Roman" w:hAnsi="Times New Roman" w:cs="Times New Roman"/>
          <w:color w:val="000000" w:themeColor="text1"/>
        </w:rPr>
        <w:t>personal protective equipment</w:t>
      </w:r>
      <w:r w:rsidR="009F005A">
        <w:rPr>
          <w:rFonts w:ascii="Times New Roman" w:hAnsi="Times New Roman" w:cs="Times New Roman"/>
          <w:color w:val="000000" w:themeColor="text1"/>
        </w:rPr>
        <w:t xml:space="preserve"> and</w:t>
      </w:r>
      <w:r w:rsidRPr="00CA2079">
        <w:rPr>
          <w:rFonts w:ascii="Times New Roman" w:hAnsi="Times New Roman" w:cs="Times New Roman"/>
          <w:color w:val="000000" w:themeColor="text1"/>
        </w:rPr>
        <w:t xml:space="preserve"> over</w:t>
      </w:r>
      <w:r w:rsidR="00E20533" w:rsidRPr="00CA2079">
        <w:rPr>
          <w:rFonts w:ascii="Times New Roman" w:hAnsi="Times New Roman" w:cs="Times New Roman"/>
          <w:color w:val="000000" w:themeColor="text1"/>
        </w:rPr>
        <w:t>-</w:t>
      </w:r>
      <w:r w:rsidRPr="00CA2079">
        <w:rPr>
          <w:rFonts w:ascii="Times New Roman" w:hAnsi="Times New Roman" w:cs="Times New Roman"/>
          <w:color w:val="000000" w:themeColor="text1"/>
        </w:rPr>
        <w:t>the</w:t>
      </w:r>
      <w:r w:rsidR="00E20533" w:rsidRPr="00CA2079">
        <w:rPr>
          <w:rFonts w:ascii="Times New Roman" w:hAnsi="Times New Roman" w:cs="Times New Roman"/>
          <w:color w:val="000000" w:themeColor="text1"/>
        </w:rPr>
        <w:t>-</w:t>
      </w:r>
      <w:r w:rsidRPr="00CA2079">
        <w:rPr>
          <w:rFonts w:ascii="Times New Roman" w:hAnsi="Times New Roman" w:cs="Times New Roman"/>
          <w:color w:val="000000" w:themeColor="text1"/>
        </w:rPr>
        <w:t>counter medications, including infection control measures, incontinence supplies, etc.)</w:t>
      </w:r>
    </w:p>
    <w:p w14:paraId="24BA772E" w14:textId="11C6C372" w:rsidR="002F7997" w:rsidRPr="00CA2079" w:rsidRDefault="002F7997" w:rsidP="00A662D4">
      <w:pPr>
        <w:pStyle w:val="ListParagraph"/>
        <w:numPr>
          <w:ilvl w:val="0"/>
          <w:numId w:val="4"/>
        </w:numPr>
        <w:shd w:val="clear" w:color="auto" w:fill="FFFFFF"/>
        <w:spacing w:before="150" w:after="12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 xml:space="preserve">Revenue:  </w:t>
      </w:r>
    </w:p>
    <w:p w14:paraId="207AF774"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Private Pay Resident Revenue</w:t>
      </w:r>
    </w:p>
    <w:p w14:paraId="2873EB84" w14:textId="11C9CB54"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 xml:space="preserve">Any </w:t>
      </w:r>
      <w:r w:rsidR="00B76AA6" w:rsidRPr="00CA2079">
        <w:rPr>
          <w:rFonts w:ascii="Times New Roman" w:hAnsi="Times New Roman" w:cs="Times New Roman"/>
          <w:color w:val="000000" w:themeColor="text1"/>
        </w:rPr>
        <w:t>D</w:t>
      </w:r>
      <w:r w:rsidRPr="00CA2079">
        <w:rPr>
          <w:rFonts w:ascii="Times New Roman" w:hAnsi="Times New Roman" w:cs="Times New Roman"/>
          <w:color w:val="000000" w:themeColor="text1"/>
        </w:rPr>
        <w:t xml:space="preserve">istributions from an </w:t>
      </w:r>
      <w:r w:rsidR="00B76AA6" w:rsidRPr="00CA2079">
        <w:rPr>
          <w:rFonts w:ascii="Times New Roman" w:hAnsi="Times New Roman" w:cs="Times New Roman"/>
          <w:color w:val="000000" w:themeColor="text1"/>
        </w:rPr>
        <w:t>E</w:t>
      </w:r>
      <w:r w:rsidRPr="00CA2079">
        <w:rPr>
          <w:rFonts w:ascii="Times New Roman" w:hAnsi="Times New Roman" w:cs="Times New Roman"/>
          <w:color w:val="000000" w:themeColor="text1"/>
        </w:rPr>
        <w:t xml:space="preserve">ndowment </w:t>
      </w:r>
      <w:r w:rsidR="00B76AA6" w:rsidRPr="00CA2079">
        <w:rPr>
          <w:rFonts w:ascii="Times New Roman" w:hAnsi="Times New Roman" w:cs="Times New Roman"/>
          <w:color w:val="000000" w:themeColor="text1"/>
        </w:rPr>
        <w:t>A</w:t>
      </w:r>
      <w:r w:rsidRPr="00CA2079">
        <w:rPr>
          <w:rFonts w:ascii="Times New Roman" w:hAnsi="Times New Roman" w:cs="Times New Roman"/>
          <w:color w:val="000000" w:themeColor="text1"/>
        </w:rPr>
        <w:t xml:space="preserve">ccount to the </w:t>
      </w:r>
      <w:r w:rsidR="00B76AA6" w:rsidRPr="00CA2079">
        <w:rPr>
          <w:rFonts w:ascii="Times New Roman" w:hAnsi="Times New Roman" w:cs="Times New Roman"/>
          <w:color w:val="000000" w:themeColor="text1"/>
        </w:rPr>
        <w:t>O</w:t>
      </w:r>
      <w:r w:rsidRPr="00CA2079">
        <w:rPr>
          <w:rFonts w:ascii="Times New Roman" w:hAnsi="Times New Roman" w:cs="Times New Roman"/>
          <w:color w:val="000000" w:themeColor="text1"/>
        </w:rPr>
        <w:t xml:space="preserve">perating </w:t>
      </w:r>
      <w:r w:rsidR="00B76AA6" w:rsidRPr="00CA2079">
        <w:rPr>
          <w:rFonts w:ascii="Times New Roman" w:hAnsi="Times New Roman" w:cs="Times New Roman"/>
          <w:color w:val="000000" w:themeColor="text1"/>
        </w:rPr>
        <w:t>A</w:t>
      </w:r>
      <w:r w:rsidRPr="00CA2079">
        <w:rPr>
          <w:rFonts w:ascii="Times New Roman" w:hAnsi="Times New Roman" w:cs="Times New Roman"/>
          <w:color w:val="000000" w:themeColor="text1"/>
        </w:rPr>
        <w:t xml:space="preserve">ccount </w:t>
      </w:r>
    </w:p>
    <w:p w14:paraId="021F00A5"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 xml:space="preserve">Public Pay Resident/Department of Transitional Assistance Revenue, including Patient Paid Amount (PPA) </w:t>
      </w:r>
    </w:p>
    <w:p w14:paraId="7A687DAC"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Non-MA Department of Transitional Assistance Revenue</w:t>
      </w:r>
    </w:p>
    <w:p w14:paraId="15AA377C"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Massachusetts Commission for the Blind Revenue</w:t>
      </w:r>
    </w:p>
    <w:p w14:paraId="3E1F4E2A" w14:textId="058A1FC6"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 xml:space="preserve">Other Revenue from Public Source(s) Not Provided Above, including from the Department of Veterans Affairs </w:t>
      </w:r>
    </w:p>
    <w:p w14:paraId="52066AFD"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Ancillary Services Revenue</w:t>
      </w:r>
    </w:p>
    <w:p w14:paraId="3D50BA03" w14:textId="07D6B5B6" w:rsidR="002F7997" w:rsidRPr="00CA2079" w:rsidRDefault="002F7997" w:rsidP="00A662D4">
      <w:pPr>
        <w:pStyle w:val="ListParagraph"/>
        <w:numPr>
          <w:ilvl w:val="0"/>
          <w:numId w:val="3"/>
        </w:numPr>
        <w:shd w:val="clear" w:color="auto" w:fill="FFFFFF"/>
        <w:spacing w:before="150" w:after="12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Salaries of staff with multiple responsibilities (for example, an employee who has both social worker and administrator responsibilities) must be allocated (approximately) on the RCC-Q report accordingly.</w:t>
      </w:r>
    </w:p>
    <w:p w14:paraId="5CFCCF7E" w14:textId="1EF1A2A2" w:rsidR="002F7997" w:rsidRPr="00CA2079" w:rsidRDefault="002F7997" w:rsidP="00A662D4">
      <w:pPr>
        <w:shd w:val="clear" w:color="auto" w:fill="FFFFFF"/>
        <w:spacing w:before="150" w:after="120" w:line="312" w:lineRule="atLeast"/>
        <w:ind w:left="720"/>
        <w:rPr>
          <w:rFonts w:ascii="Times New Roman" w:hAnsi="Times New Roman" w:cs="Times New Roman"/>
          <w:color w:val="000000" w:themeColor="text1"/>
        </w:rPr>
      </w:pPr>
      <w:r w:rsidRPr="00CA2079">
        <w:rPr>
          <w:rFonts w:ascii="Times New Roman" w:hAnsi="Times New Roman" w:cs="Times New Roman"/>
          <w:color w:val="000000" w:themeColor="text1"/>
        </w:rPr>
        <w:lastRenderedPageBreak/>
        <w:t>For example: If 60% of the employee’s time is spent on administrator duties and 40% on social worker duties, then 60% of the employee’s salary should added to the Administrator/Responsible Person Salaries line and 40% to Social Service Workers line.</w:t>
      </w:r>
    </w:p>
    <w:p w14:paraId="45DE1644" w14:textId="248AE3E0" w:rsidR="002F7997" w:rsidRPr="00CA2079" w:rsidRDefault="002F7997" w:rsidP="00A662D4">
      <w:pPr>
        <w:shd w:val="clear" w:color="auto" w:fill="FFFFFF"/>
        <w:spacing w:before="150" w:after="120" w:line="312" w:lineRule="atLeast"/>
        <w:rPr>
          <w:rFonts w:ascii="Times New Roman" w:hAnsi="Times New Roman" w:cs="Times New Roman"/>
          <w:color w:val="000000" w:themeColor="text1"/>
        </w:rPr>
      </w:pPr>
      <w:r w:rsidRPr="00CA2079">
        <w:rPr>
          <w:rFonts w:ascii="Times New Roman" w:hAnsi="Times New Roman" w:cs="Times New Roman"/>
          <w:color w:val="000000" w:themeColor="text1"/>
        </w:rPr>
        <w:t xml:space="preserve">Expenses and revenues must be reported </w:t>
      </w:r>
      <w:r w:rsidR="009F005A">
        <w:rPr>
          <w:rFonts w:ascii="Times New Roman" w:hAnsi="Times New Roman" w:cs="Times New Roman"/>
          <w:color w:val="000000" w:themeColor="text1"/>
        </w:rPr>
        <w:t>using</w:t>
      </w:r>
      <w:r w:rsidR="009F005A" w:rsidRPr="00CA2079">
        <w:rPr>
          <w:rFonts w:ascii="Times New Roman" w:hAnsi="Times New Roman" w:cs="Times New Roman"/>
          <w:color w:val="000000" w:themeColor="text1"/>
        </w:rPr>
        <w:t xml:space="preserve"> </w:t>
      </w:r>
      <w:r w:rsidRPr="00CA2079">
        <w:rPr>
          <w:rFonts w:ascii="Times New Roman" w:hAnsi="Times New Roman" w:cs="Times New Roman"/>
          <w:color w:val="000000" w:themeColor="text1"/>
        </w:rPr>
        <w:t xml:space="preserve">the accrual method. </w:t>
      </w:r>
    </w:p>
    <w:p w14:paraId="7408FC7A" w14:textId="77777777" w:rsidR="002F7997" w:rsidRPr="00CA2079" w:rsidRDefault="002F7997" w:rsidP="00A662D4">
      <w:pPr>
        <w:shd w:val="clear" w:color="auto" w:fill="FFFFFF"/>
        <w:spacing w:before="150" w:after="120" w:line="312" w:lineRule="atLeast"/>
        <w:rPr>
          <w:rFonts w:ascii="Times New Roman" w:hAnsi="Times New Roman" w:cs="Times New Roman"/>
          <w:b/>
          <w:bCs/>
          <w:color w:val="000000" w:themeColor="text1"/>
        </w:rPr>
      </w:pPr>
      <w:r w:rsidRPr="00CA2079">
        <w:rPr>
          <w:rFonts w:ascii="Times New Roman" w:hAnsi="Times New Roman" w:cs="Times New Roman"/>
          <w:b/>
          <w:bCs/>
          <w:color w:val="000000" w:themeColor="text1"/>
        </w:rPr>
        <w:t xml:space="preserve">RCC-Q Threshold </w:t>
      </w:r>
    </w:p>
    <w:p w14:paraId="17CAC2FE" w14:textId="70D443B5" w:rsidR="002F7997" w:rsidRPr="00CA2079" w:rsidRDefault="002F7997" w:rsidP="00A662D4">
      <w:pPr>
        <w:shd w:val="clear" w:color="auto" w:fill="FFFFFF"/>
        <w:spacing w:before="150" w:after="120" w:line="312" w:lineRule="atLeast"/>
        <w:rPr>
          <w:rFonts w:ascii="Times New Roman" w:hAnsi="Times New Roman" w:cs="Times New Roman"/>
          <w:color w:val="000000" w:themeColor="text1"/>
        </w:rPr>
      </w:pPr>
      <w:r w:rsidRPr="00CA2079">
        <w:rPr>
          <w:rFonts w:ascii="Times New Roman" w:hAnsi="Times New Roman" w:cs="Times New Roman"/>
          <w:color w:val="000000" w:themeColor="text1"/>
        </w:rPr>
        <w:t xml:space="preserve">Pursuant to 101 CMR 204.10(1), residential care facilities must have a </w:t>
      </w:r>
      <w:r w:rsidR="00D600FD" w:rsidRPr="00CA2079">
        <w:rPr>
          <w:rFonts w:ascii="Times New Roman" w:hAnsi="Times New Roman" w:cs="Times New Roman"/>
          <w:color w:val="000000" w:themeColor="text1"/>
        </w:rPr>
        <w:t>r</w:t>
      </w:r>
      <w:r w:rsidRPr="00CA2079">
        <w:rPr>
          <w:rFonts w:ascii="Times New Roman" w:hAnsi="Times New Roman" w:cs="Times New Roman"/>
          <w:color w:val="000000" w:themeColor="text1"/>
        </w:rPr>
        <w:t xml:space="preserve">esident </w:t>
      </w:r>
      <w:r w:rsidR="00D600FD" w:rsidRPr="00CA2079">
        <w:rPr>
          <w:rFonts w:ascii="Times New Roman" w:hAnsi="Times New Roman" w:cs="Times New Roman"/>
          <w:color w:val="000000" w:themeColor="text1"/>
        </w:rPr>
        <w:t>c</w:t>
      </w:r>
      <w:r w:rsidRPr="00CA2079">
        <w:rPr>
          <w:rFonts w:ascii="Times New Roman" w:hAnsi="Times New Roman" w:cs="Times New Roman"/>
          <w:color w:val="000000" w:themeColor="text1"/>
        </w:rPr>
        <w:t xml:space="preserve">are </w:t>
      </w:r>
      <w:r w:rsidR="00D600FD" w:rsidRPr="00CA2079">
        <w:rPr>
          <w:rFonts w:ascii="Times New Roman" w:hAnsi="Times New Roman" w:cs="Times New Roman"/>
          <w:color w:val="000000" w:themeColor="text1"/>
        </w:rPr>
        <w:t>c</w:t>
      </w:r>
      <w:r w:rsidRPr="00CA2079">
        <w:rPr>
          <w:rFonts w:ascii="Times New Roman" w:hAnsi="Times New Roman" w:cs="Times New Roman"/>
          <w:color w:val="000000" w:themeColor="text1"/>
        </w:rPr>
        <w:t xml:space="preserve">ost </w:t>
      </w:r>
      <w:r w:rsidR="00D600FD" w:rsidRPr="00CA2079">
        <w:rPr>
          <w:rFonts w:ascii="Times New Roman" w:hAnsi="Times New Roman" w:cs="Times New Roman"/>
          <w:color w:val="000000" w:themeColor="text1"/>
        </w:rPr>
        <w:t>q</w:t>
      </w:r>
      <w:r w:rsidRPr="00CA2079">
        <w:rPr>
          <w:rFonts w:ascii="Times New Roman" w:hAnsi="Times New Roman" w:cs="Times New Roman"/>
          <w:color w:val="000000" w:themeColor="text1"/>
        </w:rPr>
        <w:t xml:space="preserve">uotient (RCC-Q), as described in 101 CMR 204.10, that meets or exceeds a threshold of 80%. </w:t>
      </w:r>
    </w:p>
    <w:p w14:paraId="58A748B0" w14:textId="77777777" w:rsidR="002F7997" w:rsidRPr="00CA2079" w:rsidRDefault="002F7997" w:rsidP="00A662D4">
      <w:pPr>
        <w:shd w:val="clear" w:color="auto" w:fill="FFFFFF"/>
        <w:spacing w:before="150" w:after="120" w:line="312" w:lineRule="atLeast"/>
        <w:rPr>
          <w:rFonts w:ascii="Times New Roman" w:hAnsi="Times New Roman" w:cs="Times New Roman"/>
          <w:b/>
          <w:bCs/>
          <w:color w:val="000000" w:themeColor="text1"/>
        </w:rPr>
      </w:pPr>
      <w:r w:rsidRPr="00CA2079">
        <w:rPr>
          <w:rFonts w:ascii="Times New Roman" w:hAnsi="Times New Roman" w:cs="Times New Roman"/>
          <w:b/>
          <w:bCs/>
          <w:color w:val="000000" w:themeColor="text1"/>
        </w:rPr>
        <w:t xml:space="preserve">Reporting Requirements </w:t>
      </w:r>
    </w:p>
    <w:p w14:paraId="249C6D8B" w14:textId="1622B46D" w:rsidR="002F7997" w:rsidRPr="00CA2079" w:rsidRDefault="002F7997" w:rsidP="00A662D4">
      <w:pPr>
        <w:pStyle w:val="ListParagraph"/>
        <w:numPr>
          <w:ilvl w:val="0"/>
          <w:numId w:val="6"/>
        </w:numPr>
        <w:shd w:val="clear" w:color="auto" w:fill="FFFFFF"/>
        <w:spacing w:before="150" w:after="12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 xml:space="preserve">Deadlines: </w:t>
      </w:r>
    </w:p>
    <w:p w14:paraId="00752DF5" w14:textId="44E9B61E" w:rsidR="002F7997" w:rsidRPr="00CA2079" w:rsidRDefault="002F7997" w:rsidP="00A662D4">
      <w:pPr>
        <w:pStyle w:val="ListParagraph"/>
        <w:numPr>
          <w:ilvl w:val="0"/>
          <w:numId w:val="7"/>
        </w:numPr>
        <w:shd w:val="clear" w:color="auto" w:fill="FFFFFF"/>
        <w:spacing w:before="150" w:after="12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Initial RCC-Q report due: September 1, 2022</w:t>
      </w:r>
    </w:p>
    <w:p w14:paraId="2A70CC53" w14:textId="7599D39C"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Reporting period: January 1, 2022–June 30, 2022</w:t>
      </w:r>
    </w:p>
    <w:p w14:paraId="445B4819" w14:textId="144CBAE5"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This report will be used to inform the RCC-Q threshold, rate adjustment calculation, and enforcement</w:t>
      </w:r>
      <w:r w:rsidR="00E56DBE" w:rsidRPr="00CA2079">
        <w:rPr>
          <w:rFonts w:ascii="Times New Roman" w:hAnsi="Times New Roman" w:cs="Times New Roman"/>
          <w:color w:val="000000" w:themeColor="text1"/>
        </w:rPr>
        <w:t>,</w:t>
      </w:r>
      <w:r w:rsidRPr="00CA2079">
        <w:rPr>
          <w:rFonts w:ascii="Times New Roman" w:hAnsi="Times New Roman" w:cs="Times New Roman"/>
          <w:color w:val="000000" w:themeColor="text1"/>
        </w:rPr>
        <w:t xml:space="preserve"> all of which will be established in</w:t>
      </w:r>
      <w:r w:rsidR="00A571D4" w:rsidRPr="00CA2079">
        <w:rPr>
          <w:rFonts w:ascii="Times New Roman" w:hAnsi="Times New Roman" w:cs="Times New Roman"/>
          <w:color w:val="000000" w:themeColor="text1"/>
        </w:rPr>
        <w:t xml:space="preserve"> a</w:t>
      </w:r>
      <w:r w:rsidRPr="00CA2079">
        <w:rPr>
          <w:rFonts w:ascii="Times New Roman" w:hAnsi="Times New Roman" w:cs="Times New Roman"/>
          <w:color w:val="000000" w:themeColor="text1"/>
        </w:rPr>
        <w:t xml:space="preserve"> subsequent bulletin or another written issuance. Facilities will be required to meet or exceed this threshold beginning in SFY 2024 or be subject to a downward rate adjustment.  </w:t>
      </w:r>
    </w:p>
    <w:p w14:paraId="2C60591E" w14:textId="77777777" w:rsidR="002F7997" w:rsidRPr="00CA2079" w:rsidRDefault="002F7997" w:rsidP="00A662D4">
      <w:pPr>
        <w:pStyle w:val="ListParagraph"/>
        <w:numPr>
          <w:ilvl w:val="0"/>
          <w:numId w:val="7"/>
        </w:numPr>
        <w:shd w:val="clear" w:color="auto" w:fill="FFFFFF"/>
        <w:spacing w:before="150" w:after="12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First Interim RCC-Q report due: February 1, 2023</w:t>
      </w:r>
    </w:p>
    <w:p w14:paraId="074796F7" w14:textId="36AC64AF"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Reporting period: July 1, 2022–December 31, 2022</w:t>
      </w:r>
    </w:p>
    <w:p w14:paraId="607724A5"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This report will be used to inform facilities if they are on track to meet the RCC-Q threshold in the SFY2023 reporting period.</w:t>
      </w:r>
    </w:p>
    <w:p w14:paraId="1E770AA7" w14:textId="3014DB84" w:rsidR="002F7997" w:rsidRPr="00CA2079" w:rsidRDefault="002F7997" w:rsidP="00A662D4">
      <w:pPr>
        <w:pStyle w:val="ListParagraph"/>
        <w:numPr>
          <w:ilvl w:val="0"/>
          <w:numId w:val="7"/>
        </w:numPr>
        <w:shd w:val="clear" w:color="auto" w:fill="FFFFFF"/>
        <w:spacing w:before="150" w:after="12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First Final RCC-Q report due: September 1, 2023</w:t>
      </w:r>
    </w:p>
    <w:p w14:paraId="57E070D3" w14:textId="11276386"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Reporting period: July 1, 2022–June 30, 2023</w:t>
      </w:r>
    </w:p>
    <w:p w14:paraId="5855256B" w14:textId="77777777" w:rsidR="002F7997" w:rsidRPr="00CA2079" w:rsidRDefault="002F7997" w:rsidP="00A662D4">
      <w:pPr>
        <w:pStyle w:val="ListParagraph"/>
        <w:numPr>
          <w:ilvl w:val="0"/>
          <w:numId w:val="5"/>
        </w:numPr>
        <w:shd w:val="clear" w:color="auto" w:fill="FFFFFF"/>
        <w:spacing w:after="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This report will be used for determining whether the facility met that threshold.</w:t>
      </w:r>
    </w:p>
    <w:p w14:paraId="1251684A" w14:textId="0A18CBD7" w:rsidR="002F7997" w:rsidRPr="00CA2079" w:rsidRDefault="002F7997" w:rsidP="00A662D4">
      <w:pPr>
        <w:pStyle w:val="ListParagraph"/>
        <w:numPr>
          <w:ilvl w:val="0"/>
          <w:numId w:val="7"/>
        </w:numPr>
        <w:shd w:val="clear" w:color="auto" w:fill="FFFFFF"/>
        <w:spacing w:before="150" w:after="12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 xml:space="preserve">Ongoing Interim RCC-Q reports due: </w:t>
      </w:r>
      <w:r w:rsidR="003524E3">
        <w:rPr>
          <w:rFonts w:ascii="Times New Roman" w:hAnsi="Times New Roman" w:cs="Times New Roman"/>
          <w:color w:val="000000" w:themeColor="text1"/>
        </w:rPr>
        <w:t>March</w:t>
      </w:r>
      <w:r w:rsidRPr="00CA2079">
        <w:rPr>
          <w:rFonts w:ascii="Times New Roman" w:hAnsi="Times New Roman" w:cs="Times New Roman"/>
          <w:color w:val="000000" w:themeColor="text1"/>
        </w:rPr>
        <w:t xml:space="preserve"> 1 of each year</w:t>
      </w:r>
    </w:p>
    <w:p w14:paraId="10229170" w14:textId="77777777" w:rsidR="002F7997" w:rsidRPr="00CA2079" w:rsidRDefault="002F7997" w:rsidP="00A662D4">
      <w:pPr>
        <w:pStyle w:val="ListParagraph"/>
        <w:numPr>
          <w:ilvl w:val="0"/>
          <w:numId w:val="7"/>
        </w:numPr>
        <w:shd w:val="clear" w:color="auto" w:fill="FFFFFF"/>
        <w:spacing w:before="150" w:after="12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Ongoing Final RCC-Q reports due: September 1 of each year</w:t>
      </w:r>
    </w:p>
    <w:p w14:paraId="382D9638" w14:textId="2F21C5D3" w:rsidR="002F7997" w:rsidRPr="00CA2079" w:rsidRDefault="002F7997" w:rsidP="00A662D4">
      <w:pPr>
        <w:pStyle w:val="ListParagraph"/>
        <w:numPr>
          <w:ilvl w:val="0"/>
          <w:numId w:val="6"/>
        </w:numPr>
        <w:shd w:val="clear" w:color="auto" w:fill="FFFFFF"/>
        <w:spacing w:before="150" w:after="12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 xml:space="preserve">Both the interim RCC-Q report and the final RCC-Q report must be submitted using the submission form available at the University of Massachusetts </w:t>
      </w:r>
      <w:r w:rsidR="00B557FA" w:rsidRPr="00CA2079">
        <w:rPr>
          <w:rFonts w:ascii="Times New Roman" w:hAnsi="Times New Roman" w:cs="Times New Roman"/>
          <w:color w:val="000000" w:themeColor="text1"/>
        </w:rPr>
        <w:t>p</w:t>
      </w:r>
      <w:r w:rsidRPr="00CA2079">
        <w:rPr>
          <w:rFonts w:ascii="Times New Roman" w:hAnsi="Times New Roman" w:cs="Times New Roman"/>
          <w:color w:val="000000" w:themeColor="text1"/>
        </w:rPr>
        <w:t xml:space="preserve">ortal at </w:t>
      </w:r>
      <w:hyperlink r:id="rId11" w:history="1">
        <w:r w:rsidRPr="00CA2079">
          <w:rPr>
            <w:rStyle w:val="Hyperlink"/>
            <w:rFonts w:ascii="Times New Roman" w:hAnsi="Times New Roman" w:cs="Times New Roman"/>
          </w:rPr>
          <w:t>http://www.uenter.org/nf</w:t>
        </w:r>
      </w:hyperlink>
      <w:r w:rsidRPr="00CA2079">
        <w:rPr>
          <w:rFonts w:ascii="Times New Roman" w:hAnsi="Times New Roman" w:cs="Times New Roman"/>
          <w:color w:val="000000" w:themeColor="text1"/>
        </w:rPr>
        <w:t>.</w:t>
      </w:r>
    </w:p>
    <w:p w14:paraId="44B0BDF5" w14:textId="77777777" w:rsidR="002F7997" w:rsidRPr="00CA2079" w:rsidRDefault="002F7997" w:rsidP="00A662D4">
      <w:pPr>
        <w:shd w:val="clear" w:color="auto" w:fill="FFFFFF"/>
        <w:spacing w:before="150" w:after="120" w:line="312" w:lineRule="atLeast"/>
        <w:rPr>
          <w:rFonts w:ascii="Times New Roman" w:hAnsi="Times New Roman" w:cs="Times New Roman"/>
          <w:b/>
          <w:bCs/>
          <w:color w:val="000000" w:themeColor="text1"/>
        </w:rPr>
      </w:pPr>
      <w:r w:rsidRPr="00CA2079">
        <w:rPr>
          <w:rFonts w:ascii="Times New Roman" w:hAnsi="Times New Roman" w:cs="Times New Roman"/>
          <w:b/>
          <w:bCs/>
          <w:color w:val="000000" w:themeColor="text1"/>
        </w:rPr>
        <w:t xml:space="preserve">Downward Adjustment </w:t>
      </w:r>
    </w:p>
    <w:p w14:paraId="4B742AB5" w14:textId="3DAF07B2" w:rsidR="002F7997" w:rsidRPr="00CA2079" w:rsidRDefault="002F7997" w:rsidP="00A662D4">
      <w:pPr>
        <w:shd w:val="clear" w:color="auto" w:fill="FFFFFF"/>
        <w:spacing w:before="150" w:after="120" w:line="312" w:lineRule="atLeast"/>
        <w:rPr>
          <w:rFonts w:ascii="Times New Roman" w:hAnsi="Times New Roman" w:cs="Times New Roman"/>
          <w:color w:val="000000" w:themeColor="text1"/>
        </w:rPr>
      </w:pPr>
      <w:r w:rsidRPr="00CA2079">
        <w:rPr>
          <w:rFonts w:ascii="Times New Roman" w:hAnsi="Times New Roman" w:cs="Times New Roman"/>
          <w:color w:val="000000" w:themeColor="text1"/>
        </w:rPr>
        <w:t xml:space="preserve">Pursuant to 101 CMR 204.10(1) and 204.10(4), a residential care facility’s rate may be subject to a downward adjustment if the facility fails to 1) be at or above the specified RCC-Q threshold in the previous state fiscal year or 2) submit the final compliance report by September 1, 2023, in accordance with 101 CMR 204.10(3). </w:t>
      </w:r>
    </w:p>
    <w:p w14:paraId="42973F44" w14:textId="77777777" w:rsidR="002F7997" w:rsidRPr="00CA2079" w:rsidRDefault="002F7997" w:rsidP="00A662D4">
      <w:pPr>
        <w:keepNext/>
        <w:shd w:val="clear" w:color="auto" w:fill="FFFFFF"/>
        <w:spacing w:before="150" w:after="120" w:line="312" w:lineRule="atLeast"/>
        <w:rPr>
          <w:rFonts w:ascii="Times New Roman" w:hAnsi="Times New Roman" w:cs="Times New Roman"/>
          <w:color w:val="000000" w:themeColor="text1"/>
        </w:rPr>
      </w:pPr>
      <w:r w:rsidRPr="00CA2079">
        <w:rPr>
          <w:rFonts w:ascii="Times New Roman" w:hAnsi="Times New Roman" w:cs="Times New Roman"/>
          <w:color w:val="000000" w:themeColor="text1"/>
          <w:u w:val="single"/>
        </w:rPr>
        <w:lastRenderedPageBreak/>
        <w:t>Downward Adjustment Calculation</w:t>
      </w:r>
      <w:r w:rsidRPr="00CA2079">
        <w:rPr>
          <w:rFonts w:ascii="Times New Roman" w:hAnsi="Times New Roman" w:cs="Times New Roman"/>
          <w:color w:val="000000" w:themeColor="text1"/>
        </w:rPr>
        <w:t>: Such downward adjustment will be calculated as follows:</w:t>
      </w:r>
    </w:p>
    <w:p w14:paraId="3F62E18E" w14:textId="2D7FC07C" w:rsidR="002F7997" w:rsidRPr="00CA2079" w:rsidRDefault="002F7997" w:rsidP="00A662D4">
      <w:pPr>
        <w:pStyle w:val="ListParagraph"/>
        <w:numPr>
          <w:ilvl w:val="0"/>
          <w:numId w:val="8"/>
        </w:numPr>
        <w:shd w:val="clear" w:color="auto" w:fill="FFFFFF"/>
        <w:spacing w:before="150" w:after="12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 xml:space="preserve">For every 1% below the 80% RCC-Q threshold, a 0.5% downward adjustment will be applied to the facility’s rate. </w:t>
      </w:r>
    </w:p>
    <w:p w14:paraId="4F73D3DC" w14:textId="7EC6FB8C" w:rsidR="002F7997" w:rsidRPr="00CA2079" w:rsidRDefault="002F7997" w:rsidP="00A662D4">
      <w:pPr>
        <w:pStyle w:val="ListParagraph"/>
        <w:numPr>
          <w:ilvl w:val="0"/>
          <w:numId w:val="8"/>
        </w:numPr>
        <w:shd w:val="clear" w:color="auto" w:fill="FFFFFF"/>
        <w:spacing w:before="150" w:after="120" w:line="312" w:lineRule="atLeast"/>
        <w:contextualSpacing w:val="0"/>
        <w:rPr>
          <w:rFonts w:ascii="Times New Roman" w:hAnsi="Times New Roman" w:cs="Times New Roman"/>
          <w:color w:val="000000" w:themeColor="text1"/>
        </w:rPr>
      </w:pPr>
      <w:r w:rsidRPr="00CA2079">
        <w:rPr>
          <w:rFonts w:ascii="Times New Roman" w:hAnsi="Times New Roman" w:cs="Times New Roman"/>
          <w:color w:val="000000" w:themeColor="text1"/>
        </w:rPr>
        <w:t>The maximum downward adjustment calculated in accordance with this bulletin may be no more than 5% of the facility’s rate. EOHHS may apply the maximum downward adjustment of 5% in the following rate year for facilities that fail to submit the final report by the due date established in 101 CMR 204.10(3) and described in this bulletin.</w:t>
      </w:r>
    </w:p>
    <w:p w14:paraId="29937F82" w14:textId="437BED7D" w:rsidR="002F7997" w:rsidRPr="00CA2079" w:rsidRDefault="002F7997" w:rsidP="00A662D4">
      <w:pPr>
        <w:shd w:val="clear" w:color="auto" w:fill="FFFFFF"/>
        <w:spacing w:before="150" w:after="120" w:line="312" w:lineRule="atLeast"/>
        <w:rPr>
          <w:rFonts w:ascii="Times New Roman" w:hAnsi="Times New Roman" w:cs="Times New Roman"/>
          <w:color w:val="000000" w:themeColor="text1"/>
        </w:rPr>
      </w:pPr>
      <w:r w:rsidRPr="00CA2079">
        <w:rPr>
          <w:rFonts w:ascii="Times New Roman" w:hAnsi="Times New Roman" w:cs="Times New Roman"/>
          <w:color w:val="000000" w:themeColor="text1"/>
          <w:u w:val="single"/>
        </w:rPr>
        <w:t>Downward Adjustment Exemption</w:t>
      </w:r>
      <w:r w:rsidRPr="00CA2079">
        <w:rPr>
          <w:rFonts w:ascii="Times New Roman" w:hAnsi="Times New Roman" w:cs="Times New Roman"/>
          <w:color w:val="000000" w:themeColor="text1"/>
        </w:rPr>
        <w:t xml:space="preserve">: </w:t>
      </w:r>
      <w:r w:rsidR="008F12CB" w:rsidRPr="00CA2079">
        <w:rPr>
          <w:rFonts w:ascii="Times New Roman" w:hAnsi="Times New Roman" w:cs="Times New Roman"/>
          <w:color w:val="000000" w:themeColor="text1"/>
        </w:rPr>
        <w:t>Pursuant to 101 CMR 204.10(5), residential care facilities that have fewer than 1,700 SSI/SSP and EAEDC days (also known as DTA days), based on the most recent cost report data available to CHIA, will be exempt from a downward adjustment</w:t>
      </w:r>
      <w:r w:rsidRPr="00CA2079">
        <w:rPr>
          <w:rFonts w:ascii="Times New Roman" w:hAnsi="Times New Roman" w:cs="Times New Roman"/>
          <w:color w:val="000000" w:themeColor="text1"/>
        </w:rPr>
        <w:t>. This exemption does not apply to facilities that failed to submit the final compliance report by September 1, 2023.</w:t>
      </w:r>
    </w:p>
    <w:p w14:paraId="1A8F56E0" w14:textId="77777777" w:rsidR="002F7997" w:rsidRPr="00CA2079" w:rsidRDefault="002F7997" w:rsidP="00A662D4">
      <w:pPr>
        <w:shd w:val="clear" w:color="auto" w:fill="FFFFFF"/>
        <w:spacing w:before="150" w:after="120" w:line="312" w:lineRule="atLeast"/>
        <w:rPr>
          <w:rFonts w:ascii="Times New Roman" w:hAnsi="Times New Roman" w:cs="Times New Roman"/>
          <w:b/>
          <w:bCs/>
          <w:color w:val="000000" w:themeColor="text1"/>
        </w:rPr>
      </w:pPr>
      <w:r w:rsidRPr="00CA2079">
        <w:rPr>
          <w:rFonts w:ascii="Times New Roman" w:hAnsi="Times New Roman" w:cs="Times New Roman"/>
          <w:b/>
          <w:bCs/>
          <w:color w:val="000000" w:themeColor="text1"/>
        </w:rPr>
        <w:t>Contact Information for Provider Questions about the Resident Care Cost Quotient</w:t>
      </w:r>
    </w:p>
    <w:p w14:paraId="08048F25" w14:textId="3B25B17D" w:rsidR="002F7997" w:rsidRPr="002F7997" w:rsidRDefault="002F7997" w:rsidP="00A662D4">
      <w:pPr>
        <w:shd w:val="clear" w:color="auto" w:fill="FFFFFF"/>
        <w:spacing w:before="150" w:after="120" w:line="312" w:lineRule="atLeast"/>
        <w:rPr>
          <w:rFonts w:ascii="Times New Roman" w:hAnsi="Times New Roman" w:cs="Times New Roman"/>
          <w:color w:val="000000" w:themeColor="text1"/>
        </w:rPr>
      </w:pPr>
      <w:r w:rsidRPr="00CA2079">
        <w:rPr>
          <w:rFonts w:ascii="Times New Roman" w:hAnsi="Times New Roman" w:cs="Times New Roman"/>
          <w:color w:val="000000" w:themeColor="text1"/>
        </w:rPr>
        <w:t xml:space="preserve">If you have questions about the information in this administrative bulletin, please email your inquiry to </w:t>
      </w:r>
      <w:hyperlink r:id="rId12" w:history="1">
        <w:r w:rsidRPr="00CA2079">
          <w:rPr>
            <w:rStyle w:val="Hyperlink"/>
            <w:rFonts w:ascii="Times New Roman" w:hAnsi="Times New Roman" w:cs="Times New Roman"/>
          </w:rPr>
          <w:t>InstitutionalPrograms@mass.gov</w:t>
        </w:r>
      </w:hyperlink>
      <w:r w:rsidRPr="00CA2079">
        <w:rPr>
          <w:rFonts w:ascii="Times New Roman" w:hAnsi="Times New Roman" w:cs="Times New Roman"/>
          <w:color w:val="000000" w:themeColor="text1"/>
        </w:rPr>
        <w:t>.</w:t>
      </w:r>
      <w:r w:rsidRPr="002F7997">
        <w:rPr>
          <w:rFonts w:ascii="Times New Roman" w:hAnsi="Times New Roman" w:cs="Times New Roman"/>
          <w:color w:val="000000" w:themeColor="text1"/>
        </w:rPr>
        <w:t xml:space="preserve">  </w:t>
      </w:r>
    </w:p>
    <w:p w14:paraId="12B7360E" w14:textId="19A16CF7" w:rsidR="0041466F" w:rsidRPr="002F7997" w:rsidRDefault="0041466F" w:rsidP="00A662D4">
      <w:pPr>
        <w:tabs>
          <w:tab w:val="left" w:pos="5250"/>
        </w:tabs>
        <w:rPr>
          <w:color w:val="000000" w:themeColor="text1"/>
        </w:rPr>
      </w:pPr>
      <w:r w:rsidRPr="002F7997">
        <w:rPr>
          <w:color w:val="000000" w:themeColor="text1"/>
        </w:rPr>
        <w:tab/>
      </w:r>
    </w:p>
    <w:sectPr w:rsidR="0041466F" w:rsidRPr="002F7997" w:rsidSect="00EE4C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8F2D" w14:textId="77777777" w:rsidR="001D2723" w:rsidRDefault="001D2723" w:rsidP="00153DCE">
      <w:r>
        <w:separator/>
      </w:r>
    </w:p>
  </w:endnote>
  <w:endnote w:type="continuationSeparator" w:id="0">
    <w:p w14:paraId="279821C8" w14:textId="77777777" w:rsidR="001D2723" w:rsidRDefault="001D2723"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DEEB" w14:textId="77777777" w:rsidR="004D48D7" w:rsidRDefault="004D4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665C" w14:textId="77777777" w:rsidR="004D48D7" w:rsidRDefault="004D4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FC69" w14:textId="77777777" w:rsidR="004D48D7" w:rsidRDefault="004D4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627E9" w14:textId="77777777" w:rsidR="001D2723" w:rsidRDefault="001D2723" w:rsidP="00153DCE">
      <w:r>
        <w:separator/>
      </w:r>
    </w:p>
  </w:footnote>
  <w:footnote w:type="continuationSeparator" w:id="0">
    <w:p w14:paraId="2200DE73" w14:textId="77777777" w:rsidR="001D2723" w:rsidRDefault="001D2723"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EB05" w14:textId="77777777" w:rsidR="004D48D7" w:rsidRDefault="004D4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A65" w14:textId="77777777" w:rsidR="004D48D7" w:rsidRDefault="004D4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0620322B" w:rsidR="00EE4CAE" w:rsidRPr="006E5DED" w:rsidRDefault="00585302"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1C315E76">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73EAFB5C">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17762CE0"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64272D">
      <w:t xml:space="preserve">  </w:t>
    </w:r>
    <w:r w:rsidR="00E27559">
      <w:t xml:space="preserve">     </w:t>
    </w:r>
    <w:r w:rsidR="0064272D">
      <w:t xml:space="preserve"> </w:t>
    </w:r>
  </w:p>
  <w:p w14:paraId="3A881FA9" w14:textId="2BA4463F"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p>
  <w:p w14:paraId="1E75DEA9" w14:textId="5827B38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7D11"/>
    <w:multiLevelType w:val="hybridMultilevel"/>
    <w:tmpl w:val="8A601F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1477B"/>
    <w:multiLevelType w:val="hybridMultilevel"/>
    <w:tmpl w:val="3DA4500C"/>
    <w:lvl w:ilvl="0" w:tplc="DA5466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2106A2"/>
    <w:multiLevelType w:val="hybridMultilevel"/>
    <w:tmpl w:val="A7BC6CAA"/>
    <w:lvl w:ilvl="0" w:tplc="91608C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9E6140"/>
    <w:multiLevelType w:val="hybridMultilevel"/>
    <w:tmpl w:val="EC18FD6E"/>
    <w:lvl w:ilvl="0" w:tplc="1B888FD2">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F49396C"/>
    <w:multiLevelType w:val="hybridMultilevel"/>
    <w:tmpl w:val="8A601F76"/>
    <w:lvl w:ilvl="0" w:tplc="5792F6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697784"/>
    <w:multiLevelType w:val="hybridMultilevel"/>
    <w:tmpl w:val="9AAAFB9A"/>
    <w:lvl w:ilvl="0" w:tplc="1258F8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462200">
    <w:abstractNumId w:val="3"/>
  </w:num>
  <w:num w:numId="2" w16cid:durableId="1445076893">
    <w:abstractNumId w:val="7"/>
  </w:num>
  <w:num w:numId="3" w16cid:durableId="1260407832">
    <w:abstractNumId w:val="6"/>
  </w:num>
  <w:num w:numId="4" w16cid:durableId="1905797848">
    <w:abstractNumId w:val="1"/>
  </w:num>
  <w:num w:numId="5" w16cid:durableId="1323583856">
    <w:abstractNumId w:val="4"/>
  </w:num>
  <w:num w:numId="6" w16cid:durableId="1495682414">
    <w:abstractNumId w:val="5"/>
  </w:num>
  <w:num w:numId="7" w16cid:durableId="1580014925">
    <w:abstractNumId w:val="2"/>
  </w:num>
  <w:num w:numId="8" w16cid:durableId="1444378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30CF0"/>
    <w:rsid w:val="000352CD"/>
    <w:rsid w:val="00067211"/>
    <w:rsid w:val="000722C4"/>
    <w:rsid w:val="000B3478"/>
    <w:rsid w:val="00134791"/>
    <w:rsid w:val="00153DCE"/>
    <w:rsid w:val="00154CA9"/>
    <w:rsid w:val="00193348"/>
    <w:rsid w:val="001A7742"/>
    <w:rsid w:val="001D2723"/>
    <w:rsid w:val="001D628B"/>
    <w:rsid w:val="001E30FD"/>
    <w:rsid w:val="00225E3B"/>
    <w:rsid w:val="002448DD"/>
    <w:rsid w:val="00266B97"/>
    <w:rsid w:val="00271D28"/>
    <w:rsid w:val="00284238"/>
    <w:rsid w:val="002F5D69"/>
    <w:rsid w:val="002F7997"/>
    <w:rsid w:val="003113E4"/>
    <w:rsid w:val="0033130A"/>
    <w:rsid w:val="00351564"/>
    <w:rsid w:val="003524E3"/>
    <w:rsid w:val="003A3882"/>
    <w:rsid w:val="003D1028"/>
    <w:rsid w:val="003E5080"/>
    <w:rsid w:val="003F6AAE"/>
    <w:rsid w:val="0041466F"/>
    <w:rsid w:val="004209EE"/>
    <w:rsid w:val="00434A4D"/>
    <w:rsid w:val="00443CDB"/>
    <w:rsid w:val="00465E5A"/>
    <w:rsid w:val="00465FD8"/>
    <w:rsid w:val="0049384D"/>
    <w:rsid w:val="004D48D7"/>
    <w:rsid w:val="0050371A"/>
    <w:rsid w:val="005159F5"/>
    <w:rsid w:val="005246D9"/>
    <w:rsid w:val="0053555D"/>
    <w:rsid w:val="0056474D"/>
    <w:rsid w:val="0057224E"/>
    <w:rsid w:val="00585302"/>
    <w:rsid w:val="00597C39"/>
    <w:rsid w:val="005B3BB6"/>
    <w:rsid w:val="005B5D35"/>
    <w:rsid w:val="005C1CAC"/>
    <w:rsid w:val="005D572A"/>
    <w:rsid w:val="005F20AC"/>
    <w:rsid w:val="005F66F1"/>
    <w:rsid w:val="00607406"/>
    <w:rsid w:val="0064272D"/>
    <w:rsid w:val="00651561"/>
    <w:rsid w:val="006718AB"/>
    <w:rsid w:val="006B1D87"/>
    <w:rsid w:val="006B6EE0"/>
    <w:rsid w:val="006C4874"/>
    <w:rsid w:val="006D2B2B"/>
    <w:rsid w:val="006E47B5"/>
    <w:rsid w:val="006E5DED"/>
    <w:rsid w:val="006F22C7"/>
    <w:rsid w:val="0070235D"/>
    <w:rsid w:val="00720C4F"/>
    <w:rsid w:val="007335E9"/>
    <w:rsid w:val="00734039"/>
    <w:rsid w:val="00756A11"/>
    <w:rsid w:val="00782360"/>
    <w:rsid w:val="007B48C3"/>
    <w:rsid w:val="007C6953"/>
    <w:rsid w:val="007F04B8"/>
    <w:rsid w:val="00800711"/>
    <w:rsid w:val="008106C3"/>
    <w:rsid w:val="00832CE5"/>
    <w:rsid w:val="008A50C9"/>
    <w:rsid w:val="008B5198"/>
    <w:rsid w:val="008E22AC"/>
    <w:rsid w:val="008F12CB"/>
    <w:rsid w:val="009454B5"/>
    <w:rsid w:val="00964EDE"/>
    <w:rsid w:val="009F005A"/>
    <w:rsid w:val="00A06F80"/>
    <w:rsid w:val="00A26B9F"/>
    <w:rsid w:val="00A34C8D"/>
    <w:rsid w:val="00A523D6"/>
    <w:rsid w:val="00A571D4"/>
    <w:rsid w:val="00A662D4"/>
    <w:rsid w:val="00A71E7A"/>
    <w:rsid w:val="00A87482"/>
    <w:rsid w:val="00AB33D8"/>
    <w:rsid w:val="00AD2BBC"/>
    <w:rsid w:val="00B557FA"/>
    <w:rsid w:val="00B623EB"/>
    <w:rsid w:val="00B76AA6"/>
    <w:rsid w:val="00BA6D03"/>
    <w:rsid w:val="00BC6F19"/>
    <w:rsid w:val="00C400D6"/>
    <w:rsid w:val="00C67440"/>
    <w:rsid w:val="00C87BF7"/>
    <w:rsid w:val="00CA2079"/>
    <w:rsid w:val="00D007A3"/>
    <w:rsid w:val="00D160CC"/>
    <w:rsid w:val="00D5182F"/>
    <w:rsid w:val="00D600FD"/>
    <w:rsid w:val="00D63172"/>
    <w:rsid w:val="00D705A5"/>
    <w:rsid w:val="00D761F6"/>
    <w:rsid w:val="00DD5978"/>
    <w:rsid w:val="00E052A4"/>
    <w:rsid w:val="00E10A6E"/>
    <w:rsid w:val="00E20533"/>
    <w:rsid w:val="00E2470D"/>
    <w:rsid w:val="00E27559"/>
    <w:rsid w:val="00E320F9"/>
    <w:rsid w:val="00E32DA6"/>
    <w:rsid w:val="00E40AD5"/>
    <w:rsid w:val="00E56BD5"/>
    <w:rsid w:val="00E56DBE"/>
    <w:rsid w:val="00E620A3"/>
    <w:rsid w:val="00E74BC2"/>
    <w:rsid w:val="00E92AC9"/>
    <w:rsid w:val="00ED4B64"/>
    <w:rsid w:val="00EE4CAE"/>
    <w:rsid w:val="00F12C5F"/>
    <w:rsid w:val="00F44C98"/>
    <w:rsid w:val="00F65E52"/>
    <w:rsid w:val="00F8728D"/>
    <w:rsid w:val="00FB216E"/>
    <w:rsid w:val="00FC70CA"/>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284238"/>
    <w:pPr>
      <w:tabs>
        <w:tab w:val="left" w:pos="3165"/>
      </w:tabs>
      <w:jc w:val="center"/>
      <w:outlineLvl w:val="0"/>
    </w:pPr>
    <w:rPr>
      <w:rFonts w:ascii="Times New Roman" w:eastAsia="Calibri" w:hAnsi="Times New Roman" w:cs="Times New Roman"/>
      <w:b/>
    </w:rPr>
  </w:style>
  <w:style w:type="paragraph" w:styleId="Heading2">
    <w:name w:val="heading 2"/>
    <w:basedOn w:val="Normal"/>
    <w:next w:val="Normal"/>
    <w:link w:val="Heading2Char"/>
    <w:uiPriority w:val="9"/>
    <w:semiHidden/>
    <w:unhideWhenUsed/>
    <w:qFormat/>
    <w:rsid w:val="002F79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284238"/>
    <w:rPr>
      <w:rFonts w:ascii="Times New Roman" w:eastAsia="Calibri" w:hAnsi="Times New Roman" w:cs="Times New Roman"/>
      <w:b/>
    </w:rPr>
  </w:style>
  <w:style w:type="character" w:customStyle="1" w:styleId="Heading2Char">
    <w:name w:val="Heading 2 Char"/>
    <w:basedOn w:val="DefaultParagraphFont"/>
    <w:link w:val="Heading2"/>
    <w:uiPriority w:val="9"/>
    <w:semiHidden/>
    <w:rsid w:val="002F7997"/>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A662D4"/>
    <w:rPr>
      <w:color w:val="605E5C"/>
      <w:shd w:val="clear" w:color="auto" w:fill="E1DFDD"/>
    </w:rPr>
  </w:style>
  <w:style w:type="paragraph" w:styleId="Revision">
    <w:name w:val="Revision"/>
    <w:hidden/>
    <w:uiPriority w:val="99"/>
    <w:semiHidden/>
    <w:rsid w:val="005C1CAC"/>
  </w:style>
  <w:style w:type="character" w:styleId="CommentReference">
    <w:name w:val="annotation reference"/>
    <w:basedOn w:val="DefaultParagraphFont"/>
    <w:uiPriority w:val="99"/>
    <w:semiHidden/>
    <w:unhideWhenUsed/>
    <w:rsid w:val="00E20533"/>
    <w:rPr>
      <w:sz w:val="16"/>
      <w:szCs w:val="16"/>
    </w:rPr>
  </w:style>
  <w:style w:type="paragraph" w:styleId="CommentText">
    <w:name w:val="annotation text"/>
    <w:basedOn w:val="Normal"/>
    <w:link w:val="CommentTextChar"/>
    <w:uiPriority w:val="99"/>
    <w:unhideWhenUsed/>
    <w:rsid w:val="00E20533"/>
    <w:rPr>
      <w:sz w:val="20"/>
      <w:szCs w:val="20"/>
    </w:rPr>
  </w:style>
  <w:style w:type="character" w:customStyle="1" w:styleId="CommentTextChar">
    <w:name w:val="Comment Text Char"/>
    <w:basedOn w:val="DefaultParagraphFont"/>
    <w:link w:val="CommentText"/>
    <w:uiPriority w:val="99"/>
    <w:rsid w:val="00E20533"/>
    <w:rPr>
      <w:sz w:val="20"/>
      <w:szCs w:val="20"/>
    </w:rPr>
  </w:style>
  <w:style w:type="paragraph" w:styleId="CommentSubject">
    <w:name w:val="annotation subject"/>
    <w:basedOn w:val="CommentText"/>
    <w:next w:val="CommentText"/>
    <w:link w:val="CommentSubjectChar"/>
    <w:uiPriority w:val="99"/>
    <w:semiHidden/>
    <w:unhideWhenUsed/>
    <w:rsid w:val="00E20533"/>
    <w:rPr>
      <w:b/>
      <w:bCs/>
    </w:rPr>
  </w:style>
  <w:style w:type="character" w:customStyle="1" w:styleId="CommentSubjectChar">
    <w:name w:val="Comment Subject Char"/>
    <w:basedOn w:val="CommentTextChar"/>
    <w:link w:val="CommentSubject"/>
    <w:uiPriority w:val="99"/>
    <w:semiHidden/>
    <w:rsid w:val="00E20533"/>
    <w:rPr>
      <w:b/>
      <w:bCs/>
      <w:sz w:val="20"/>
      <w:szCs w:val="20"/>
    </w:rPr>
  </w:style>
  <w:style w:type="character" w:styleId="FollowedHyperlink">
    <w:name w:val="FollowedHyperlink"/>
    <w:basedOn w:val="DefaultParagraphFont"/>
    <w:uiPriority w:val="99"/>
    <w:semiHidden/>
    <w:unhideWhenUsed/>
    <w:rsid w:val="00B557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titutionalPrograms@mas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enter.org/n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Eisan, Jenna (EHS)</cp:lastModifiedBy>
  <cp:revision>2</cp:revision>
  <cp:lastPrinted>2023-03-01T20:48:00Z</cp:lastPrinted>
  <dcterms:created xsi:type="dcterms:W3CDTF">2024-01-30T14:42:00Z</dcterms:created>
  <dcterms:modified xsi:type="dcterms:W3CDTF">2024-01-30T14:42:00Z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