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A6B18" w14:textId="7D6BEBEE" w:rsidR="00284238" w:rsidRPr="00C45A45" w:rsidRDefault="00284238" w:rsidP="005246D9">
      <w:pPr>
        <w:pStyle w:val="Heading1"/>
        <w:spacing w:before="360"/>
      </w:pPr>
      <w:r w:rsidRPr="00C45A45">
        <w:t xml:space="preserve">Administrative Bulletin </w:t>
      </w:r>
      <w:r w:rsidR="00760236">
        <w:t>23</w:t>
      </w:r>
      <w:r w:rsidRPr="00C45A45">
        <w:t>-</w:t>
      </w:r>
      <w:r w:rsidR="00744128">
        <w:t>26</w:t>
      </w:r>
    </w:p>
    <w:p w14:paraId="54CB3682" w14:textId="77777777" w:rsidR="00284238" w:rsidRDefault="00284238" w:rsidP="00284238">
      <w:pPr>
        <w:tabs>
          <w:tab w:val="center" w:pos="4950"/>
        </w:tabs>
        <w:jc w:val="center"/>
        <w:rPr>
          <w:rFonts w:ascii="Times New Roman" w:eastAsia="Calibri" w:hAnsi="Times New Roman" w:cs="Times New Roman"/>
          <w:b/>
        </w:rPr>
      </w:pPr>
    </w:p>
    <w:p w14:paraId="2813D6A0" w14:textId="6B8F5EE6" w:rsidR="00284238" w:rsidRPr="00760236" w:rsidRDefault="00760236" w:rsidP="00284238">
      <w:pPr>
        <w:jc w:val="center"/>
        <w:rPr>
          <w:rFonts w:ascii="Times New Roman" w:eastAsia="Calibri" w:hAnsi="Times New Roman" w:cs="Times New Roman"/>
          <w:b/>
        </w:rPr>
      </w:pPr>
      <w:r w:rsidRPr="00760236">
        <w:rPr>
          <w:rFonts w:ascii="Times New Roman" w:eastAsia="Calibri" w:hAnsi="Times New Roman" w:cs="Times New Roman"/>
          <w:b/>
        </w:rPr>
        <w:t>101 CMR 322.00: Rates for Durable Medical Equipment, Oxygen and Respiratory Therapy Equipment</w:t>
      </w:r>
    </w:p>
    <w:p w14:paraId="71E4116F" w14:textId="77777777" w:rsidR="00760236" w:rsidRDefault="00760236" w:rsidP="00284238">
      <w:pPr>
        <w:jc w:val="center"/>
        <w:rPr>
          <w:b/>
        </w:rPr>
      </w:pPr>
    </w:p>
    <w:p w14:paraId="1C1D7232" w14:textId="0349D2B0" w:rsidR="00284238" w:rsidRDefault="00284238" w:rsidP="00284238">
      <w:pPr>
        <w:spacing w:after="240"/>
        <w:jc w:val="center"/>
        <w:rPr>
          <w:rFonts w:ascii="Times New Roman" w:eastAsia="Calibri" w:hAnsi="Times New Roman" w:cs="Times New Roman"/>
        </w:rPr>
      </w:pPr>
      <w:r>
        <w:rPr>
          <w:rFonts w:ascii="Times New Roman" w:eastAsia="Calibri" w:hAnsi="Times New Roman" w:cs="Times New Roman"/>
        </w:rPr>
        <w:t>Effective</w:t>
      </w:r>
      <w:r w:rsidR="00760236">
        <w:rPr>
          <w:rFonts w:ascii="Times New Roman" w:eastAsia="Calibri" w:hAnsi="Times New Roman" w:cs="Times New Roman"/>
        </w:rPr>
        <w:t xml:space="preserve"> January 1, 2023</w:t>
      </w:r>
      <w:r w:rsidR="00142549">
        <w:rPr>
          <w:rFonts w:ascii="Times New Roman" w:eastAsia="Calibri" w:hAnsi="Times New Roman" w:cs="Times New Roman"/>
        </w:rPr>
        <w:t>; April 1, 2023</w:t>
      </w:r>
      <w:r w:rsidR="003D5273">
        <w:rPr>
          <w:rFonts w:ascii="Times New Roman" w:eastAsia="Calibri" w:hAnsi="Times New Roman" w:cs="Times New Roman"/>
        </w:rPr>
        <w:t>;</w:t>
      </w:r>
      <w:r w:rsidR="00142549">
        <w:rPr>
          <w:rFonts w:ascii="Times New Roman" w:eastAsia="Calibri" w:hAnsi="Times New Roman" w:cs="Times New Roman"/>
        </w:rPr>
        <w:t xml:space="preserve"> and July 1, 2023</w:t>
      </w:r>
    </w:p>
    <w:p w14:paraId="30B2B93D" w14:textId="2A49CF95" w:rsidR="00284238" w:rsidRPr="009503BB" w:rsidRDefault="009503BB" w:rsidP="00284238">
      <w:pPr>
        <w:shd w:val="clear" w:color="auto" w:fill="FFFFFF"/>
        <w:spacing w:after="240" w:line="276" w:lineRule="auto"/>
        <w:jc w:val="center"/>
        <w:rPr>
          <w:rFonts w:ascii="Times New Roman" w:hAnsi="Times New Roman" w:cs="Times New Roman"/>
          <w:b/>
        </w:rPr>
      </w:pPr>
      <w:r w:rsidRPr="0078744F">
        <w:rPr>
          <w:rFonts w:ascii="Times New Roman" w:hAnsi="Times New Roman" w:cs="Times New Roman"/>
          <w:b/>
        </w:rPr>
        <w:t>New Procedure Codes and Modifiers and Revised Code Descriptions</w:t>
      </w:r>
    </w:p>
    <w:p w14:paraId="3B9E2379" w14:textId="219FEDD6" w:rsidR="00760236" w:rsidRPr="00760236" w:rsidRDefault="00760236" w:rsidP="00760236">
      <w:pPr>
        <w:autoSpaceDE w:val="0"/>
        <w:autoSpaceDN w:val="0"/>
        <w:adjustRightInd w:val="0"/>
        <w:contextualSpacing/>
        <w:rPr>
          <w:rFonts w:ascii="Times New Roman" w:hAnsi="Times New Roman" w:cs="Times New Roman"/>
        </w:rPr>
      </w:pPr>
      <w:r w:rsidRPr="00760236">
        <w:rPr>
          <w:rFonts w:ascii="Times New Roman" w:hAnsi="Times New Roman" w:cs="Times New Roman"/>
        </w:rPr>
        <w:t xml:space="preserve">In accordance with 101 CMR 322.01(6): </w:t>
      </w:r>
      <w:r w:rsidRPr="00760236">
        <w:rPr>
          <w:rFonts w:ascii="Times New Roman" w:hAnsi="Times New Roman" w:cs="Times New Roman"/>
          <w:i/>
        </w:rPr>
        <w:t xml:space="preserve">Coding Updates and Corrections, </w:t>
      </w:r>
      <w:r w:rsidRPr="00760236">
        <w:rPr>
          <w:rFonts w:ascii="Times New Roman" w:hAnsi="Times New Roman" w:cs="Times New Roman"/>
        </w:rPr>
        <w:t xml:space="preserve">the Executive Office of Health and Human </w:t>
      </w:r>
      <w:r w:rsidR="0078744F" w:rsidRPr="00760236">
        <w:rPr>
          <w:rFonts w:ascii="Times New Roman" w:hAnsi="Times New Roman" w:cs="Times New Roman"/>
        </w:rPr>
        <w:t>Services is</w:t>
      </w:r>
      <w:r w:rsidR="00DE4BC2">
        <w:rPr>
          <w:rFonts w:ascii="Times New Roman" w:hAnsi="Times New Roman" w:cs="Times New Roman"/>
        </w:rPr>
        <w:t xml:space="preserve"> </w:t>
      </w:r>
      <w:r w:rsidRPr="0029473F">
        <w:rPr>
          <w:rFonts w:ascii="Times New Roman" w:hAnsi="Times New Roman" w:cs="Times New Roman"/>
        </w:rPr>
        <w:t xml:space="preserve">adding new procedure codes and modifiers, </w:t>
      </w:r>
      <w:r w:rsidR="0029473F">
        <w:rPr>
          <w:rFonts w:ascii="Times New Roman" w:hAnsi="Times New Roman" w:cs="Times New Roman"/>
        </w:rPr>
        <w:t>as well as</w:t>
      </w:r>
      <w:r w:rsidRPr="0029473F">
        <w:rPr>
          <w:rFonts w:ascii="Times New Roman" w:hAnsi="Times New Roman" w:cs="Times New Roman"/>
        </w:rPr>
        <w:t xml:space="preserve"> revising code descriptions effective</w:t>
      </w:r>
      <w:r w:rsidRPr="00760236">
        <w:rPr>
          <w:rFonts w:ascii="Times New Roman" w:hAnsi="Times New Roman" w:cs="Times New Roman"/>
        </w:rPr>
        <w:t xml:space="preserve"> for dates of service on or after January 1, 2023, April 1, 2023, and July 1, 2023. The lists </w:t>
      </w:r>
      <w:r w:rsidR="004F432E">
        <w:rPr>
          <w:rFonts w:ascii="Times New Roman" w:hAnsi="Times New Roman" w:cs="Times New Roman"/>
        </w:rPr>
        <w:t xml:space="preserve">below </w:t>
      </w:r>
      <w:r w:rsidRPr="00760236">
        <w:rPr>
          <w:rFonts w:ascii="Times New Roman" w:hAnsi="Times New Roman" w:cs="Times New Roman"/>
        </w:rPr>
        <w:t>specify codes that have been added or have revised modifiers or code descriptions, along with the applicable effective dates.</w:t>
      </w:r>
    </w:p>
    <w:p w14:paraId="3CC3A649" w14:textId="77777777" w:rsidR="00760236" w:rsidRPr="00760236" w:rsidRDefault="00760236" w:rsidP="00760236">
      <w:pPr>
        <w:autoSpaceDE w:val="0"/>
        <w:autoSpaceDN w:val="0"/>
        <w:adjustRightInd w:val="0"/>
        <w:contextualSpacing/>
        <w:rPr>
          <w:rFonts w:ascii="Times New Roman" w:hAnsi="Times New Roman" w:cs="Times New Roman"/>
        </w:rPr>
      </w:pPr>
    </w:p>
    <w:p w14:paraId="38CF0361" w14:textId="7E1BCB42" w:rsidR="00760236" w:rsidRPr="00760236" w:rsidRDefault="00760236" w:rsidP="00760236">
      <w:pPr>
        <w:autoSpaceDE w:val="0"/>
        <w:autoSpaceDN w:val="0"/>
        <w:adjustRightInd w:val="0"/>
        <w:contextualSpacing/>
        <w:rPr>
          <w:rFonts w:ascii="Times New Roman" w:hAnsi="Times New Roman" w:cs="Times New Roman"/>
        </w:rPr>
      </w:pPr>
      <w:r w:rsidRPr="00760236">
        <w:rPr>
          <w:rFonts w:ascii="Times New Roman" w:hAnsi="Times New Roman" w:cs="Times New Roman"/>
        </w:rPr>
        <w:t xml:space="preserve">For existing codes for which only the description has changed, the rates are unchanged as described in 101 CMR 322.01(6)(b). For entirely new codes with associated Medicare fees as of the Administrative Bulletin adoption date, payment rates are set at a percentage of prevailing Medicare fees as described in 101 CMR 322.03(16)(a). For entirely new codes without associated Medicare fees as of the Administrative Bulletin adoption date, individual </w:t>
      </w:r>
      <w:r w:rsidR="0078744F" w:rsidRPr="00760236">
        <w:rPr>
          <w:rFonts w:ascii="Times New Roman" w:hAnsi="Times New Roman" w:cs="Times New Roman"/>
        </w:rPr>
        <w:t>consideration is</w:t>
      </w:r>
      <w:r w:rsidRPr="00760236">
        <w:rPr>
          <w:rFonts w:ascii="Times New Roman" w:hAnsi="Times New Roman" w:cs="Times New Roman"/>
        </w:rPr>
        <w:t xml:space="preserve"> applied to establish payment as described in 101 CMR 322.03(16)(b). </w:t>
      </w:r>
    </w:p>
    <w:p w14:paraId="78C1774D" w14:textId="77777777" w:rsidR="00760236" w:rsidRPr="00760236" w:rsidRDefault="00760236" w:rsidP="00760236">
      <w:pPr>
        <w:autoSpaceDE w:val="0"/>
        <w:autoSpaceDN w:val="0"/>
        <w:adjustRightInd w:val="0"/>
        <w:contextualSpacing/>
        <w:rPr>
          <w:rFonts w:ascii="Times New Roman" w:hAnsi="Times New Roman" w:cs="Times New Roman"/>
        </w:rPr>
      </w:pPr>
    </w:p>
    <w:p w14:paraId="310AC7B9" w14:textId="54979947" w:rsidR="00760236" w:rsidRPr="00760236" w:rsidRDefault="00760236" w:rsidP="00760236">
      <w:pPr>
        <w:autoSpaceDE w:val="0"/>
        <w:autoSpaceDN w:val="0"/>
        <w:adjustRightInd w:val="0"/>
        <w:contextualSpacing/>
        <w:rPr>
          <w:rFonts w:ascii="Times New Roman" w:hAnsi="Times New Roman" w:cs="Times New Roman"/>
        </w:rPr>
      </w:pPr>
      <w:r w:rsidRPr="00760236">
        <w:rPr>
          <w:rFonts w:ascii="Times New Roman" w:hAnsi="Times New Roman" w:cs="Times New Roman"/>
        </w:rPr>
        <w:t>The appearance of a code in the tables below does not constitute authorization for, or approval of, the procedures or services for which rates are determined pursuant to</w:t>
      </w:r>
      <w:r w:rsidR="004F432E">
        <w:rPr>
          <w:rFonts w:ascii="Times New Roman" w:hAnsi="Times New Roman" w:cs="Times New Roman"/>
        </w:rPr>
        <w:t xml:space="preserve"> </w:t>
      </w:r>
      <w:r w:rsidRPr="00760236">
        <w:rPr>
          <w:rFonts w:ascii="Times New Roman" w:hAnsi="Times New Roman" w:cs="Times New Roman"/>
        </w:rPr>
        <w:t>101 CMR 322.00. Governmental units that purchase care under 101 CMR 322.00 are responsible for the definition, authorization, and approval of care to publicly aided individuals.</w:t>
      </w:r>
    </w:p>
    <w:p w14:paraId="059CDCB4" w14:textId="77777777" w:rsidR="00760236" w:rsidRPr="00760236" w:rsidRDefault="00760236" w:rsidP="00760236">
      <w:pPr>
        <w:contextualSpacing/>
        <w:rPr>
          <w:rFonts w:ascii="Times New Roman" w:hAnsi="Times New Roman" w:cs="Times New Roman"/>
          <w:b/>
        </w:rPr>
      </w:pPr>
    </w:p>
    <w:p w14:paraId="08629BDD" w14:textId="04DB6377" w:rsidR="004F432E" w:rsidRDefault="00760236" w:rsidP="00760236">
      <w:pPr>
        <w:contextualSpacing/>
        <w:rPr>
          <w:rFonts w:ascii="Times New Roman" w:hAnsi="Times New Roman" w:cs="Times New Roman"/>
        </w:rPr>
      </w:pPr>
      <w:r w:rsidRPr="00760236">
        <w:rPr>
          <w:rFonts w:ascii="Times New Roman" w:hAnsi="Times New Roman" w:cs="Times New Roman"/>
          <w:bCs/>
        </w:rPr>
        <w:t xml:space="preserve">Note that per Administrative Bulletin 23-20, all administrative bulletins issued under 101 CMR 322.00 between July 1, 2022, and July 7, </w:t>
      </w:r>
      <w:r w:rsidR="00B4495C" w:rsidRPr="00760236">
        <w:rPr>
          <w:rFonts w:ascii="Times New Roman" w:hAnsi="Times New Roman" w:cs="Times New Roman"/>
          <w:bCs/>
        </w:rPr>
        <w:t>2023,</w:t>
      </w:r>
      <w:r w:rsidRPr="00760236">
        <w:rPr>
          <w:rFonts w:ascii="Times New Roman" w:hAnsi="Times New Roman" w:cs="Times New Roman"/>
          <w:bCs/>
        </w:rPr>
        <w:t xml:space="preserve"> remain in effect and are not superseded by the regulatory update made effective July 7, 2023.</w:t>
      </w:r>
      <w:r w:rsidRPr="00760236">
        <w:rPr>
          <w:rFonts w:ascii="Times New Roman" w:hAnsi="Times New Roman" w:cs="Times New Roman"/>
        </w:rPr>
        <w:t xml:space="preserve"> </w:t>
      </w:r>
    </w:p>
    <w:p w14:paraId="03226CBC" w14:textId="77777777" w:rsidR="002B60E1" w:rsidRDefault="002B60E1" w:rsidP="00760236">
      <w:pPr>
        <w:contextualSpacing/>
        <w:rPr>
          <w:rFonts w:ascii="Times New Roman" w:hAnsi="Times New Roman" w:cs="Times New Roman"/>
        </w:rPr>
      </w:pPr>
    </w:p>
    <w:p w14:paraId="7C6A9D6A" w14:textId="77777777" w:rsidR="002B60E1" w:rsidRDefault="002B60E1" w:rsidP="00760236">
      <w:pPr>
        <w:contextualSpacing/>
        <w:rPr>
          <w:rFonts w:ascii="Times New Roman" w:hAnsi="Times New Roman" w:cs="Times New Roman"/>
        </w:rPr>
      </w:pPr>
    </w:p>
    <w:p w14:paraId="443E348E" w14:textId="77777777" w:rsidR="002B60E1" w:rsidRDefault="002B60E1" w:rsidP="00760236">
      <w:pPr>
        <w:contextualSpacing/>
        <w:rPr>
          <w:rFonts w:ascii="Times New Roman" w:hAnsi="Times New Roman" w:cs="Times New Roman"/>
        </w:rPr>
      </w:pPr>
    </w:p>
    <w:p w14:paraId="545C1B80" w14:textId="77777777" w:rsidR="002B60E1" w:rsidRDefault="002B60E1" w:rsidP="00760236">
      <w:pPr>
        <w:contextualSpacing/>
        <w:rPr>
          <w:rFonts w:ascii="Times New Roman" w:hAnsi="Times New Roman" w:cs="Times New Roman"/>
        </w:rPr>
      </w:pPr>
    </w:p>
    <w:p w14:paraId="1C0CA9AA" w14:textId="77777777" w:rsidR="002B60E1" w:rsidRDefault="002B60E1" w:rsidP="00760236">
      <w:pPr>
        <w:contextualSpacing/>
        <w:rPr>
          <w:rFonts w:ascii="Times New Roman" w:hAnsi="Times New Roman" w:cs="Times New Roman"/>
        </w:rPr>
      </w:pPr>
    </w:p>
    <w:p w14:paraId="17F05E21" w14:textId="77777777" w:rsidR="002B60E1" w:rsidRDefault="002B60E1" w:rsidP="00760236">
      <w:pPr>
        <w:contextualSpacing/>
        <w:rPr>
          <w:rFonts w:ascii="Times New Roman" w:hAnsi="Times New Roman" w:cs="Times New Roman"/>
        </w:rPr>
      </w:pPr>
    </w:p>
    <w:p w14:paraId="583D4E42" w14:textId="77777777" w:rsidR="00760236" w:rsidRPr="00760236" w:rsidRDefault="00760236" w:rsidP="00760236">
      <w:pPr>
        <w:contextualSpacing/>
        <w:rPr>
          <w:rFonts w:ascii="Times New Roman" w:hAnsi="Times New Roman" w:cs="Times New Roman"/>
          <w:b/>
        </w:rPr>
      </w:pPr>
      <w:r w:rsidRPr="00760236">
        <w:rPr>
          <w:rFonts w:ascii="Times New Roman" w:hAnsi="Times New Roman" w:cs="Times New Roman"/>
          <w:b/>
        </w:rPr>
        <w:lastRenderedPageBreak/>
        <w:tab/>
      </w:r>
      <w:r w:rsidRPr="00760236">
        <w:rPr>
          <w:rFonts w:ascii="Times New Roman" w:hAnsi="Times New Roman" w:cs="Times New Roman"/>
          <w:b/>
        </w:rPr>
        <w:tab/>
      </w:r>
      <w:r w:rsidRPr="00760236">
        <w:rPr>
          <w:rFonts w:ascii="Times New Roman" w:hAnsi="Times New Roman" w:cs="Times New Roman"/>
          <w:b/>
        </w:rPr>
        <w:tab/>
      </w:r>
      <w:r w:rsidRPr="00760236">
        <w:rPr>
          <w:rFonts w:ascii="Times New Roman" w:hAnsi="Times New Roman" w:cs="Times New Roman"/>
          <w:b/>
        </w:rPr>
        <w:tab/>
      </w:r>
      <w:r w:rsidRPr="00760236">
        <w:rPr>
          <w:rFonts w:ascii="Times New Roman" w:hAnsi="Times New Roman" w:cs="Times New Roman"/>
          <w:b/>
        </w:rPr>
        <w:tab/>
        <w:t>Effective January 1, 2023</w:t>
      </w:r>
    </w:p>
    <w:p w14:paraId="42F025B9" w14:textId="77777777" w:rsidR="00760236" w:rsidRPr="00760236" w:rsidRDefault="00760236" w:rsidP="00760236">
      <w:pPr>
        <w:contextualSpacing/>
        <w:rPr>
          <w:rFonts w:ascii="Times New Roman" w:hAnsi="Times New Roman" w:cs="Times New Roman"/>
          <w:b/>
        </w:rPr>
      </w:pPr>
    </w:p>
    <w:p w14:paraId="11E40BB1" w14:textId="77777777" w:rsidR="00760236" w:rsidRPr="00760236" w:rsidRDefault="00760236" w:rsidP="00760236">
      <w:pPr>
        <w:contextualSpacing/>
        <w:rPr>
          <w:rFonts w:ascii="Times New Roman" w:hAnsi="Times New Roman" w:cs="Times New Roman"/>
          <w:b/>
        </w:rPr>
      </w:pPr>
      <w:r w:rsidRPr="00760236">
        <w:rPr>
          <w:rFonts w:ascii="Times New Roman" w:hAnsi="Times New Roman" w:cs="Times New Roman"/>
          <w:b/>
        </w:rPr>
        <w:t>Added Modifier:</w:t>
      </w:r>
    </w:p>
    <w:p w14:paraId="74A144D6" w14:textId="77777777" w:rsidR="00760236" w:rsidRPr="00760236" w:rsidRDefault="00760236" w:rsidP="00760236">
      <w:pPr>
        <w:contextualSpacing/>
        <w:rPr>
          <w:rFonts w:ascii="Times New Roman" w:hAnsi="Times New Roman" w:cs="Times New Roman"/>
          <w:b/>
        </w:rPr>
      </w:pPr>
    </w:p>
    <w:tbl>
      <w:tblPr>
        <w:tblStyle w:val="TableGrid"/>
        <w:tblW w:w="10165" w:type="dxa"/>
        <w:tblLook w:val="04A0" w:firstRow="1" w:lastRow="0" w:firstColumn="1" w:lastColumn="0" w:noHBand="0" w:noVBand="1"/>
      </w:tblPr>
      <w:tblGrid>
        <w:gridCol w:w="2875"/>
        <w:gridCol w:w="7290"/>
      </w:tblGrid>
      <w:tr w:rsidR="00760236" w:rsidRPr="00760236" w14:paraId="44B52001" w14:textId="77777777" w:rsidTr="0078744F">
        <w:tc>
          <w:tcPr>
            <w:tcW w:w="2875" w:type="dxa"/>
          </w:tcPr>
          <w:p w14:paraId="69DAC724" w14:textId="77777777" w:rsidR="00760236" w:rsidRPr="00760236" w:rsidRDefault="00760236" w:rsidP="0078744F">
            <w:pPr>
              <w:keepNext/>
              <w:keepLines/>
              <w:contextualSpacing/>
              <w:jc w:val="center"/>
              <w:rPr>
                <w:b/>
                <w:sz w:val="22"/>
                <w:szCs w:val="22"/>
              </w:rPr>
            </w:pPr>
            <w:r w:rsidRPr="00760236">
              <w:rPr>
                <w:b/>
                <w:sz w:val="22"/>
                <w:szCs w:val="22"/>
              </w:rPr>
              <w:t>Modifier</w:t>
            </w:r>
          </w:p>
        </w:tc>
        <w:tc>
          <w:tcPr>
            <w:tcW w:w="7290" w:type="dxa"/>
          </w:tcPr>
          <w:p w14:paraId="0916A498" w14:textId="77777777" w:rsidR="00760236" w:rsidRPr="00760236" w:rsidRDefault="00760236" w:rsidP="0078744F">
            <w:pPr>
              <w:keepNext/>
              <w:keepLines/>
              <w:contextualSpacing/>
              <w:jc w:val="center"/>
              <w:rPr>
                <w:b/>
                <w:sz w:val="22"/>
                <w:szCs w:val="22"/>
              </w:rPr>
            </w:pPr>
            <w:r w:rsidRPr="00760236">
              <w:rPr>
                <w:b/>
                <w:sz w:val="22"/>
                <w:szCs w:val="22"/>
              </w:rPr>
              <w:t>Description</w:t>
            </w:r>
          </w:p>
        </w:tc>
      </w:tr>
      <w:tr w:rsidR="00760236" w:rsidRPr="00760236" w14:paraId="0FC3F3EB" w14:textId="77777777" w:rsidTr="0078744F">
        <w:tc>
          <w:tcPr>
            <w:tcW w:w="2875" w:type="dxa"/>
          </w:tcPr>
          <w:p w14:paraId="73999675" w14:textId="77777777" w:rsidR="00760236" w:rsidRPr="00760236" w:rsidRDefault="00760236" w:rsidP="0078744F">
            <w:pPr>
              <w:keepNext/>
              <w:keepLines/>
              <w:contextualSpacing/>
              <w:jc w:val="center"/>
              <w:rPr>
                <w:bCs/>
                <w:sz w:val="22"/>
                <w:szCs w:val="22"/>
              </w:rPr>
            </w:pPr>
            <w:r w:rsidRPr="00760236">
              <w:rPr>
                <w:bCs/>
                <w:sz w:val="22"/>
                <w:szCs w:val="22"/>
              </w:rPr>
              <w:t>CG</w:t>
            </w:r>
          </w:p>
        </w:tc>
        <w:tc>
          <w:tcPr>
            <w:tcW w:w="7290" w:type="dxa"/>
          </w:tcPr>
          <w:p w14:paraId="662E0D5F" w14:textId="77777777" w:rsidR="00760236" w:rsidRPr="00760236" w:rsidRDefault="00760236" w:rsidP="0078744F">
            <w:pPr>
              <w:keepNext/>
              <w:keepLines/>
              <w:contextualSpacing/>
              <w:rPr>
                <w:bCs/>
                <w:sz w:val="22"/>
                <w:szCs w:val="22"/>
              </w:rPr>
            </w:pPr>
            <w:r w:rsidRPr="00760236">
              <w:rPr>
                <w:bCs/>
                <w:sz w:val="22"/>
                <w:szCs w:val="22"/>
              </w:rPr>
              <w:t>Policy Criteria Applied </w:t>
            </w:r>
          </w:p>
        </w:tc>
      </w:tr>
    </w:tbl>
    <w:p w14:paraId="727B3930" w14:textId="77777777" w:rsidR="00760236" w:rsidRPr="00760236" w:rsidRDefault="00760236" w:rsidP="00760236">
      <w:pPr>
        <w:contextualSpacing/>
        <w:rPr>
          <w:rFonts w:ascii="Times New Roman" w:hAnsi="Times New Roman" w:cs="Times New Roman"/>
          <w:b/>
        </w:rPr>
      </w:pPr>
    </w:p>
    <w:p w14:paraId="7C4DD76D" w14:textId="4386A90B" w:rsidR="00760236" w:rsidRPr="00760236" w:rsidRDefault="00760236" w:rsidP="00760236">
      <w:pPr>
        <w:contextualSpacing/>
        <w:rPr>
          <w:rFonts w:ascii="Times New Roman" w:hAnsi="Times New Roman" w:cs="Times New Roman"/>
          <w:b/>
        </w:rPr>
      </w:pPr>
      <w:r w:rsidRPr="00760236">
        <w:rPr>
          <w:rFonts w:ascii="Times New Roman" w:hAnsi="Times New Roman" w:cs="Times New Roman"/>
          <w:b/>
        </w:rPr>
        <w:t xml:space="preserve">Addition of </w:t>
      </w:r>
      <w:r w:rsidR="00C0332F">
        <w:rPr>
          <w:rFonts w:ascii="Times New Roman" w:hAnsi="Times New Roman" w:cs="Times New Roman"/>
          <w:b/>
        </w:rPr>
        <w:t>M</w:t>
      </w:r>
      <w:r w:rsidRPr="00760236">
        <w:rPr>
          <w:rFonts w:ascii="Times New Roman" w:hAnsi="Times New Roman" w:cs="Times New Roman"/>
          <w:b/>
        </w:rPr>
        <w:t xml:space="preserve">odifier and </w:t>
      </w:r>
      <w:r w:rsidR="00C0332F">
        <w:rPr>
          <w:rFonts w:ascii="Times New Roman" w:hAnsi="Times New Roman" w:cs="Times New Roman"/>
          <w:b/>
        </w:rPr>
        <w:t>C</w:t>
      </w:r>
      <w:r w:rsidRPr="00760236">
        <w:rPr>
          <w:rFonts w:ascii="Times New Roman" w:hAnsi="Times New Roman" w:cs="Times New Roman"/>
          <w:b/>
        </w:rPr>
        <w:t xml:space="preserve">ode </w:t>
      </w:r>
      <w:r w:rsidR="00C0332F">
        <w:rPr>
          <w:rFonts w:ascii="Times New Roman" w:hAnsi="Times New Roman" w:cs="Times New Roman"/>
          <w:b/>
        </w:rPr>
        <w:t>C</w:t>
      </w:r>
      <w:r w:rsidRPr="00760236">
        <w:rPr>
          <w:rFonts w:ascii="Times New Roman" w:hAnsi="Times New Roman" w:cs="Times New Roman"/>
          <w:b/>
        </w:rPr>
        <w:t>ombination:</w:t>
      </w:r>
    </w:p>
    <w:p w14:paraId="514E6D81" w14:textId="77777777" w:rsidR="00760236" w:rsidRPr="00760236" w:rsidRDefault="00760236" w:rsidP="00760236">
      <w:pPr>
        <w:contextualSpacing/>
        <w:rPr>
          <w:rFonts w:ascii="Times New Roman" w:hAnsi="Times New Roman" w:cs="Times New Roman"/>
          <w:b/>
        </w:rPr>
      </w:pPr>
    </w:p>
    <w:tbl>
      <w:tblPr>
        <w:tblStyle w:val="TableGrid"/>
        <w:tblW w:w="10171" w:type="dxa"/>
        <w:tblLook w:val="04A0" w:firstRow="1" w:lastRow="0" w:firstColumn="1" w:lastColumn="0" w:noHBand="0" w:noVBand="1"/>
      </w:tblPr>
      <w:tblGrid>
        <w:gridCol w:w="1590"/>
        <w:gridCol w:w="1298"/>
        <w:gridCol w:w="5447"/>
        <w:gridCol w:w="1836"/>
      </w:tblGrid>
      <w:tr w:rsidR="00760236" w:rsidRPr="00760236" w14:paraId="0B344647" w14:textId="77777777" w:rsidTr="0078744F">
        <w:trPr>
          <w:cantSplit/>
          <w:trHeight w:val="230"/>
          <w:tblHeader/>
        </w:trPr>
        <w:tc>
          <w:tcPr>
            <w:tcW w:w="1590" w:type="dxa"/>
            <w:vAlign w:val="center"/>
          </w:tcPr>
          <w:p w14:paraId="48CBBFE9" w14:textId="77777777" w:rsidR="00760236" w:rsidRPr="00760236" w:rsidRDefault="00760236" w:rsidP="006F34DF">
            <w:pPr>
              <w:contextualSpacing/>
              <w:jc w:val="center"/>
              <w:rPr>
                <w:b/>
                <w:sz w:val="22"/>
                <w:szCs w:val="22"/>
              </w:rPr>
            </w:pPr>
            <w:r w:rsidRPr="00760236">
              <w:rPr>
                <w:b/>
                <w:sz w:val="22"/>
                <w:szCs w:val="22"/>
              </w:rPr>
              <w:t>Code</w:t>
            </w:r>
          </w:p>
        </w:tc>
        <w:tc>
          <w:tcPr>
            <w:tcW w:w="1298" w:type="dxa"/>
          </w:tcPr>
          <w:p w14:paraId="4B8E2383" w14:textId="77777777" w:rsidR="00760236" w:rsidRPr="00760236" w:rsidRDefault="00760236" w:rsidP="006F34DF">
            <w:pPr>
              <w:contextualSpacing/>
              <w:jc w:val="center"/>
              <w:rPr>
                <w:b/>
                <w:sz w:val="22"/>
                <w:szCs w:val="22"/>
              </w:rPr>
            </w:pPr>
            <w:r w:rsidRPr="00760236">
              <w:rPr>
                <w:b/>
                <w:sz w:val="22"/>
                <w:szCs w:val="22"/>
              </w:rPr>
              <w:t>Modifier</w:t>
            </w:r>
          </w:p>
        </w:tc>
        <w:tc>
          <w:tcPr>
            <w:tcW w:w="5447" w:type="dxa"/>
          </w:tcPr>
          <w:p w14:paraId="26F53893" w14:textId="77777777" w:rsidR="00760236" w:rsidRPr="00760236" w:rsidRDefault="00760236" w:rsidP="006F34DF">
            <w:pPr>
              <w:contextualSpacing/>
              <w:jc w:val="center"/>
              <w:rPr>
                <w:b/>
                <w:sz w:val="22"/>
                <w:szCs w:val="22"/>
              </w:rPr>
            </w:pPr>
            <w:r w:rsidRPr="00760236">
              <w:rPr>
                <w:b/>
                <w:sz w:val="22"/>
                <w:szCs w:val="22"/>
              </w:rPr>
              <w:t>Description</w:t>
            </w:r>
          </w:p>
        </w:tc>
        <w:tc>
          <w:tcPr>
            <w:tcW w:w="1836" w:type="dxa"/>
          </w:tcPr>
          <w:p w14:paraId="28882D08" w14:textId="77777777" w:rsidR="00760236" w:rsidRPr="00760236" w:rsidRDefault="00760236" w:rsidP="006F34DF">
            <w:pPr>
              <w:contextualSpacing/>
              <w:jc w:val="center"/>
              <w:rPr>
                <w:b/>
                <w:sz w:val="22"/>
                <w:szCs w:val="22"/>
              </w:rPr>
            </w:pPr>
            <w:r w:rsidRPr="00760236">
              <w:rPr>
                <w:b/>
                <w:sz w:val="22"/>
                <w:szCs w:val="22"/>
              </w:rPr>
              <w:t>Rate</w:t>
            </w:r>
          </w:p>
        </w:tc>
      </w:tr>
      <w:tr w:rsidR="00760236" w:rsidRPr="00760236" w14:paraId="04E91005" w14:textId="77777777" w:rsidTr="0078744F">
        <w:trPr>
          <w:cantSplit/>
          <w:trHeight w:val="230"/>
          <w:tblHeader/>
        </w:trPr>
        <w:tc>
          <w:tcPr>
            <w:tcW w:w="1590" w:type="dxa"/>
            <w:vAlign w:val="center"/>
          </w:tcPr>
          <w:p w14:paraId="6F78D85F" w14:textId="77777777" w:rsidR="00760236" w:rsidRPr="00760236" w:rsidRDefault="00760236" w:rsidP="006F34DF">
            <w:pPr>
              <w:contextualSpacing/>
              <w:jc w:val="center"/>
              <w:rPr>
                <w:bCs/>
                <w:sz w:val="22"/>
                <w:szCs w:val="22"/>
              </w:rPr>
            </w:pPr>
            <w:r w:rsidRPr="00760236">
              <w:rPr>
                <w:bCs/>
                <w:sz w:val="22"/>
                <w:szCs w:val="22"/>
              </w:rPr>
              <w:t>E2103</w:t>
            </w:r>
          </w:p>
        </w:tc>
        <w:tc>
          <w:tcPr>
            <w:tcW w:w="1298" w:type="dxa"/>
            <w:vAlign w:val="center"/>
          </w:tcPr>
          <w:p w14:paraId="0A11B8C4" w14:textId="77777777" w:rsidR="00760236" w:rsidRPr="00760236" w:rsidRDefault="00760236" w:rsidP="006F34DF">
            <w:pPr>
              <w:contextualSpacing/>
              <w:jc w:val="center"/>
              <w:rPr>
                <w:bCs/>
                <w:sz w:val="22"/>
                <w:szCs w:val="22"/>
              </w:rPr>
            </w:pPr>
            <w:r w:rsidRPr="00760236">
              <w:rPr>
                <w:bCs/>
                <w:sz w:val="22"/>
                <w:szCs w:val="22"/>
              </w:rPr>
              <w:t>NUCG</w:t>
            </w:r>
          </w:p>
        </w:tc>
        <w:tc>
          <w:tcPr>
            <w:tcW w:w="5447" w:type="dxa"/>
          </w:tcPr>
          <w:p w14:paraId="64E9DB3E" w14:textId="77777777" w:rsidR="00760236" w:rsidRPr="00760236" w:rsidRDefault="00760236" w:rsidP="006F34DF">
            <w:pPr>
              <w:contextualSpacing/>
              <w:rPr>
                <w:bCs/>
                <w:sz w:val="22"/>
                <w:szCs w:val="22"/>
              </w:rPr>
            </w:pPr>
            <w:r w:rsidRPr="00760236">
              <w:rPr>
                <w:bCs/>
                <w:sz w:val="22"/>
                <w:szCs w:val="22"/>
              </w:rPr>
              <w:t>Non-adjunctive, non-implanted continuous glucose monitor or receiver</w:t>
            </w:r>
          </w:p>
        </w:tc>
        <w:tc>
          <w:tcPr>
            <w:tcW w:w="1836" w:type="dxa"/>
            <w:vAlign w:val="center"/>
          </w:tcPr>
          <w:p w14:paraId="7A8CC185" w14:textId="77777777" w:rsidR="00760236" w:rsidRPr="00760236" w:rsidRDefault="00760236" w:rsidP="006F34DF">
            <w:pPr>
              <w:contextualSpacing/>
              <w:jc w:val="center"/>
              <w:rPr>
                <w:bCs/>
                <w:sz w:val="22"/>
                <w:szCs w:val="22"/>
              </w:rPr>
            </w:pPr>
            <w:r w:rsidRPr="00760236">
              <w:rPr>
                <w:bCs/>
                <w:sz w:val="22"/>
                <w:szCs w:val="22"/>
              </w:rPr>
              <w:t>$257.55</w:t>
            </w:r>
          </w:p>
        </w:tc>
      </w:tr>
      <w:tr w:rsidR="00760236" w:rsidRPr="00760236" w14:paraId="021CA4D3" w14:textId="77777777" w:rsidTr="0078744F">
        <w:trPr>
          <w:cantSplit/>
          <w:trHeight w:val="230"/>
          <w:tblHeader/>
        </w:trPr>
        <w:tc>
          <w:tcPr>
            <w:tcW w:w="1590" w:type="dxa"/>
            <w:vAlign w:val="center"/>
          </w:tcPr>
          <w:p w14:paraId="7C18374D" w14:textId="77777777" w:rsidR="00760236" w:rsidRPr="00760236" w:rsidRDefault="00760236" w:rsidP="006F34DF">
            <w:pPr>
              <w:contextualSpacing/>
              <w:jc w:val="center"/>
              <w:rPr>
                <w:bCs/>
                <w:sz w:val="22"/>
                <w:szCs w:val="22"/>
              </w:rPr>
            </w:pPr>
            <w:r w:rsidRPr="00760236">
              <w:rPr>
                <w:bCs/>
                <w:sz w:val="22"/>
                <w:szCs w:val="22"/>
              </w:rPr>
              <w:t>E2103</w:t>
            </w:r>
          </w:p>
        </w:tc>
        <w:tc>
          <w:tcPr>
            <w:tcW w:w="1298" w:type="dxa"/>
            <w:vAlign w:val="center"/>
          </w:tcPr>
          <w:p w14:paraId="480E7A9C" w14:textId="77777777" w:rsidR="00760236" w:rsidRPr="00760236" w:rsidRDefault="00760236" w:rsidP="006F34DF">
            <w:pPr>
              <w:contextualSpacing/>
              <w:jc w:val="center"/>
              <w:rPr>
                <w:bCs/>
                <w:sz w:val="22"/>
                <w:szCs w:val="22"/>
              </w:rPr>
            </w:pPr>
            <w:r w:rsidRPr="00760236">
              <w:rPr>
                <w:bCs/>
                <w:sz w:val="22"/>
                <w:szCs w:val="22"/>
              </w:rPr>
              <w:t>NUKFCG</w:t>
            </w:r>
          </w:p>
        </w:tc>
        <w:tc>
          <w:tcPr>
            <w:tcW w:w="5447" w:type="dxa"/>
          </w:tcPr>
          <w:p w14:paraId="6E829367" w14:textId="77777777" w:rsidR="00760236" w:rsidRPr="00760236" w:rsidRDefault="00760236" w:rsidP="006F34DF">
            <w:pPr>
              <w:contextualSpacing/>
              <w:rPr>
                <w:bCs/>
                <w:sz w:val="22"/>
                <w:szCs w:val="22"/>
              </w:rPr>
            </w:pPr>
            <w:r w:rsidRPr="00760236">
              <w:rPr>
                <w:bCs/>
                <w:sz w:val="22"/>
                <w:szCs w:val="22"/>
              </w:rPr>
              <w:t>Non-adjunctive, non-implanted continuous glucose monitor or receiver</w:t>
            </w:r>
          </w:p>
        </w:tc>
        <w:tc>
          <w:tcPr>
            <w:tcW w:w="1836" w:type="dxa"/>
            <w:vAlign w:val="center"/>
          </w:tcPr>
          <w:p w14:paraId="225DC35E" w14:textId="77777777" w:rsidR="00760236" w:rsidRPr="00760236" w:rsidRDefault="00760236" w:rsidP="006F34DF">
            <w:pPr>
              <w:contextualSpacing/>
              <w:jc w:val="center"/>
              <w:rPr>
                <w:bCs/>
                <w:sz w:val="22"/>
                <w:szCs w:val="22"/>
              </w:rPr>
            </w:pPr>
            <w:r w:rsidRPr="00760236">
              <w:rPr>
                <w:bCs/>
                <w:sz w:val="22"/>
                <w:szCs w:val="22"/>
              </w:rPr>
              <w:t>$285.96</w:t>
            </w:r>
          </w:p>
        </w:tc>
      </w:tr>
      <w:tr w:rsidR="00760236" w:rsidRPr="00760236" w14:paraId="3961C853" w14:textId="77777777" w:rsidTr="0078744F">
        <w:trPr>
          <w:cantSplit/>
          <w:trHeight w:val="230"/>
          <w:tblHeader/>
        </w:trPr>
        <w:tc>
          <w:tcPr>
            <w:tcW w:w="1590" w:type="dxa"/>
            <w:vAlign w:val="center"/>
          </w:tcPr>
          <w:p w14:paraId="1FEBE48F" w14:textId="77777777" w:rsidR="00760236" w:rsidRPr="00760236" w:rsidRDefault="00760236" w:rsidP="006F34DF">
            <w:pPr>
              <w:contextualSpacing/>
              <w:jc w:val="center"/>
              <w:rPr>
                <w:bCs/>
                <w:sz w:val="22"/>
                <w:szCs w:val="22"/>
              </w:rPr>
            </w:pPr>
            <w:r w:rsidRPr="00760236">
              <w:rPr>
                <w:bCs/>
                <w:sz w:val="22"/>
                <w:szCs w:val="22"/>
              </w:rPr>
              <w:t>E2103</w:t>
            </w:r>
          </w:p>
        </w:tc>
        <w:tc>
          <w:tcPr>
            <w:tcW w:w="1298" w:type="dxa"/>
            <w:vAlign w:val="center"/>
          </w:tcPr>
          <w:p w14:paraId="37ABF461" w14:textId="77777777" w:rsidR="00760236" w:rsidRPr="00760236" w:rsidRDefault="00760236" w:rsidP="006F34DF">
            <w:pPr>
              <w:contextualSpacing/>
              <w:jc w:val="center"/>
              <w:rPr>
                <w:bCs/>
                <w:sz w:val="22"/>
                <w:szCs w:val="22"/>
              </w:rPr>
            </w:pPr>
            <w:r w:rsidRPr="00760236">
              <w:rPr>
                <w:bCs/>
                <w:sz w:val="22"/>
                <w:szCs w:val="22"/>
              </w:rPr>
              <w:t>RRCG</w:t>
            </w:r>
          </w:p>
        </w:tc>
        <w:tc>
          <w:tcPr>
            <w:tcW w:w="5447" w:type="dxa"/>
          </w:tcPr>
          <w:p w14:paraId="5ACB0115" w14:textId="77777777" w:rsidR="00760236" w:rsidRPr="00760236" w:rsidRDefault="00760236" w:rsidP="006F34DF">
            <w:pPr>
              <w:contextualSpacing/>
              <w:rPr>
                <w:bCs/>
                <w:sz w:val="22"/>
                <w:szCs w:val="22"/>
              </w:rPr>
            </w:pPr>
            <w:r w:rsidRPr="00760236">
              <w:rPr>
                <w:bCs/>
                <w:sz w:val="22"/>
                <w:szCs w:val="22"/>
              </w:rPr>
              <w:t>Non-adjunctive, non-implanted continuous glucose monitor or receiver</w:t>
            </w:r>
          </w:p>
        </w:tc>
        <w:tc>
          <w:tcPr>
            <w:tcW w:w="1836" w:type="dxa"/>
            <w:vAlign w:val="center"/>
          </w:tcPr>
          <w:p w14:paraId="38F56649" w14:textId="77777777" w:rsidR="00760236" w:rsidRPr="00760236" w:rsidRDefault="00760236" w:rsidP="006F34DF">
            <w:pPr>
              <w:contextualSpacing/>
              <w:jc w:val="center"/>
              <w:rPr>
                <w:bCs/>
                <w:sz w:val="22"/>
                <w:szCs w:val="22"/>
              </w:rPr>
            </w:pPr>
            <w:r w:rsidRPr="00760236">
              <w:rPr>
                <w:bCs/>
                <w:sz w:val="22"/>
                <w:szCs w:val="22"/>
              </w:rPr>
              <w:t>$25.76</w:t>
            </w:r>
          </w:p>
        </w:tc>
      </w:tr>
      <w:tr w:rsidR="00760236" w:rsidRPr="00760236" w14:paraId="2B274E17" w14:textId="77777777" w:rsidTr="0078744F">
        <w:trPr>
          <w:cantSplit/>
          <w:trHeight w:val="230"/>
          <w:tblHeader/>
        </w:trPr>
        <w:tc>
          <w:tcPr>
            <w:tcW w:w="1590" w:type="dxa"/>
            <w:vAlign w:val="center"/>
          </w:tcPr>
          <w:p w14:paraId="774EEEC4" w14:textId="77777777" w:rsidR="00760236" w:rsidRPr="00760236" w:rsidRDefault="00760236" w:rsidP="006F34DF">
            <w:pPr>
              <w:contextualSpacing/>
              <w:jc w:val="center"/>
              <w:rPr>
                <w:bCs/>
                <w:sz w:val="22"/>
                <w:szCs w:val="22"/>
              </w:rPr>
            </w:pPr>
            <w:r w:rsidRPr="00760236">
              <w:rPr>
                <w:bCs/>
                <w:sz w:val="22"/>
                <w:szCs w:val="22"/>
              </w:rPr>
              <w:t>E2103</w:t>
            </w:r>
          </w:p>
        </w:tc>
        <w:tc>
          <w:tcPr>
            <w:tcW w:w="1298" w:type="dxa"/>
            <w:vAlign w:val="center"/>
          </w:tcPr>
          <w:p w14:paraId="2A2AD482" w14:textId="77777777" w:rsidR="00760236" w:rsidRPr="00760236" w:rsidRDefault="00760236" w:rsidP="006F34DF">
            <w:pPr>
              <w:contextualSpacing/>
              <w:jc w:val="center"/>
              <w:rPr>
                <w:bCs/>
                <w:sz w:val="22"/>
                <w:szCs w:val="22"/>
              </w:rPr>
            </w:pPr>
            <w:r w:rsidRPr="00760236">
              <w:rPr>
                <w:bCs/>
                <w:sz w:val="22"/>
                <w:szCs w:val="22"/>
              </w:rPr>
              <w:t>RRKFCG</w:t>
            </w:r>
          </w:p>
        </w:tc>
        <w:tc>
          <w:tcPr>
            <w:tcW w:w="5447" w:type="dxa"/>
          </w:tcPr>
          <w:p w14:paraId="48274A14" w14:textId="77777777" w:rsidR="00760236" w:rsidRPr="00760236" w:rsidRDefault="00760236" w:rsidP="006F34DF">
            <w:pPr>
              <w:contextualSpacing/>
              <w:rPr>
                <w:bCs/>
                <w:sz w:val="22"/>
                <w:szCs w:val="22"/>
              </w:rPr>
            </w:pPr>
            <w:r w:rsidRPr="00760236">
              <w:rPr>
                <w:bCs/>
                <w:sz w:val="22"/>
                <w:szCs w:val="22"/>
              </w:rPr>
              <w:t>Non-adjunctive, non-implanted continuous glucose monitor or receiver</w:t>
            </w:r>
          </w:p>
        </w:tc>
        <w:tc>
          <w:tcPr>
            <w:tcW w:w="1836" w:type="dxa"/>
            <w:vAlign w:val="center"/>
          </w:tcPr>
          <w:p w14:paraId="2651CCB7" w14:textId="77777777" w:rsidR="00760236" w:rsidRPr="00760236" w:rsidRDefault="00760236" w:rsidP="006F34DF">
            <w:pPr>
              <w:contextualSpacing/>
              <w:jc w:val="center"/>
              <w:rPr>
                <w:bCs/>
                <w:sz w:val="22"/>
                <w:szCs w:val="22"/>
              </w:rPr>
            </w:pPr>
            <w:r w:rsidRPr="00760236">
              <w:rPr>
                <w:bCs/>
                <w:sz w:val="22"/>
                <w:szCs w:val="22"/>
              </w:rPr>
              <w:t>$28.60</w:t>
            </w:r>
          </w:p>
        </w:tc>
      </w:tr>
      <w:tr w:rsidR="00760236" w:rsidRPr="00760236" w14:paraId="06ED61ED" w14:textId="77777777" w:rsidTr="0078744F">
        <w:trPr>
          <w:cantSplit/>
          <w:trHeight w:val="230"/>
          <w:tblHeader/>
        </w:trPr>
        <w:tc>
          <w:tcPr>
            <w:tcW w:w="1590" w:type="dxa"/>
            <w:vAlign w:val="center"/>
          </w:tcPr>
          <w:p w14:paraId="1DEB9862" w14:textId="77777777" w:rsidR="00760236" w:rsidRPr="00760236" w:rsidRDefault="00760236" w:rsidP="006F34DF">
            <w:pPr>
              <w:contextualSpacing/>
              <w:jc w:val="center"/>
              <w:rPr>
                <w:bCs/>
                <w:sz w:val="22"/>
                <w:szCs w:val="22"/>
              </w:rPr>
            </w:pPr>
            <w:r w:rsidRPr="00760236">
              <w:rPr>
                <w:bCs/>
                <w:sz w:val="22"/>
                <w:szCs w:val="22"/>
              </w:rPr>
              <w:t>E2103</w:t>
            </w:r>
          </w:p>
        </w:tc>
        <w:tc>
          <w:tcPr>
            <w:tcW w:w="1298" w:type="dxa"/>
            <w:vAlign w:val="center"/>
          </w:tcPr>
          <w:p w14:paraId="72419AC6" w14:textId="77777777" w:rsidR="00760236" w:rsidRPr="00760236" w:rsidRDefault="00760236" w:rsidP="006F34DF">
            <w:pPr>
              <w:contextualSpacing/>
              <w:jc w:val="center"/>
              <w:rPr>
                <w:bCs/>
                <w:sz w:val="22"/>
                <w:szCs w:val="22"/>
              </w:rPr>
            </w:pPr>
            <w:r w:rsidRPr="00760236">
              <w:rPr>
                <w:bCs/>
                <w:sz w:val="22"/>
                <w:szCs w:val="22"/>
              </w:rPr>
              <w:t>UECG</w:t>
            </w:r>
          </w:p>
        </w:tc>
        <w:tc>
          <w:tcPr>
            <w:tcW w:w="5447" w:type="dxa"/>
          </w:tcPr>
          <w:p w14:paraId="59DBA074" w14:textId="77777777" w:rsidR="00760236" w:rsidRPr="00760236" w:rsidRDefault="00760236" w:rsidP="006F34DF">
            <w:pPr>
              <w:contextualSpacing/>
              <w:rPr>
                <w:bCs/>
                <w:sz w:val="22"/>
                <w:szCs w:val="22"/>
              </w:rPr>
            </w:pPr>
            <w:r w:rsidRPr="00760236">
              <w:rPr>
                <w:bCs/>
                <w:sz w:val="22"/>
                <w:szCs w:val="22"/>
              </w:rPr>
              <w:t>Non-adjunctive, non-implanted continuous glucose monitor or receiver</w:t>
            </w:r>
          </w:p>
        </w:tc>
        <w:tc>
          <w:tcPr>
            <w:tcW w:w="1836" w:type="dxa"/>
            <w:vAlign w:val="center"/>
          </w:tcPr>
          <w:p w14:paraId="59A76C2A" w14:textId="77777777" w:rsidR="00760236" w:rsidRPr="00760236" w:rsidRDefault="00760236" w:rsidP="006F34DF">
            <w:pPr>
              <w:contextualSpacing/>
              <w:jc w:val="center"/>
              <w:rPr>
                <w:bCs/>
                <w:sz w:val="22"/>
                <w:szCs w:val="22"/>
              </w:rPr>
            </w:pPr>
            <w:r w:rsidRPr="00760236">
              <w:rPr>
                <w:bCs/>
                <w:sz w:val="22"/>
                <w:szCs w:val="22"/>
              </w:rPr>
              <w:t>$193.17</w:t>
            </w:r>
          </w:p>
        </w:tc>
      </w:tr>
      <w:tr w:rsidR="00760236" w:rsidRPr="00760236" w14:paraId="0ED01520" w14:textId="77777777" w:rsidTr="0078744F">
        <w:trPr>
          <w:cantSplit/>
          <w:trHeight w:val="230"/>
          <w:tblHeader/>
        </w:trPr>
        <w:tc>
          <w:tcPr>
            <w:tcW w:w="1590" w:type="dxa"/>
            <w:vAlign w:val="center"/>
          </w:tcPr>
          <w:p w14:paraId="5BD26C54" w14:textId="77777777" w:rsidR="00760236" w:rsidRPr="00760236" w:rsidRDefault="00760236" w:rsidP="006F34DF">
            <w:pPr>
              <w:contextualSpacing/>
              <w:jc w:val="center"/>
              <w:rPr>
                <w:bCs/>
                <w:sz w:val="22"/>
                <w:szCs w:val="22"/>
              </w:rPr>
            </w:pPr>
            <w:r w:rsidRPr="00760236">
              <w:rPr>
                <w:bCs/>
                <w:sz w:val="22"/>
                <w:szCs w:val="22"/>
              </w:rPr>
              <w:t>E2103</w:t>
            </w:r>
          </w:p>
        </w:tc>
        <w:tc>
          <w:tcPr>
            <w:tcW w:w="1298" w:type="dxa"/>
            <w:vAlign w:val="center"/>
          </w:tcPr>
          <w:p w14:paraId="3292CB4D" w14:textId="77777777" w:rsidR="00760236" w:rsidRPr="00760236" w:rsidRDefault="00760236" w:rsidP="006F34DF">
            <w:pPr>
              <w:contextualSpacing/>
              <w:jc w:val="center"/>
              <w:rPr>
                <w:bCs/>
                <w:sz w:val="22"/>
                <w:szCs w:val="22"/>
              </w:rPr>
            </w:pPr>
            <w:r w:rsidRPr="00760236">
              <w:rPr>
                <w:bCs/>
                <w:sz w:val="22"/>
                <w:szCs w:val="22"/>
              </w:rPr>
              <w:t>UEKFCG</w:t>
            </w:r>
          </w:p>
        </w:tc>
        <w:tc>
          <w:tcPr>
            <w:tcW w:w="5447" w:type="dxa"/>
          </w:tcPr>
          <w:p w14:paraId="448E1B52" w14:textId="77777777" w:rsidR="00760236" w:rsidRPr="00760236" w:rsidRDefault="00760236" w:rsidP="006F34DF">
            <w:pPr>
              <w:contextualSpacing/>
              <w:rPr>
                <w:bCs/>
                <w:sz w:val="22"/>
                <w:szCs w:val="22"/>
              </w:rPr>
            </w:pPr>
            <w:r w:rsidRPr="00760236">
              <w:rPr>
                <w:bCs/>
                <w:sz w:val="22"/>
                <w:szCs w:val="22"/>
              </w:rPr>
              <w:t>Non-adjunctive, non-implanted continuous glucose monitor or receiver</w:t>
            </w:r>
          </w:p>
        </w:tc>
        <w:tc>
          <w:tcPr>
            <w:tcW w:w="1836" w:type="dxa"/>
            <w:vAlign w:val="center"/>
          </w:tcPr>
          <w:p w14:paraId="1ABAE42B" w14:textId="77777777" w:rsidR="00760236" w:rsidRPr="00760236" w:rsidRDefault="00760236" w:rsidP="006F34DF">
            <w:pPr>
              <w:contextualSpacing/>
              <w:jc w:val="center"/>
              <w:rPr>
                <w:bCs/>
                <w:sz w:val="22"/>
                <w:szCs w:val="22"/>
              </w:rPr>
            </w:pPr>
            <w:r w:rsidRPr="00760236">
              <w:rPr>
                <w:bCs/>
                <w:sz w:val="22"/>
                <w:szCs w:val="22"/>
              </w:rPr>
              <w:t>$214.45</w:t>
            </w:r>
          </w:p>
        </w:tc>
      </w:tr>
    </w:tbl>
    <w:p w14:paraId="12C155A1" w14:textId="77777777" w:rsidR="00085A90" w:rsidRDefault="00085A90" w:rsidP="00760236">
      <w:pPr>
        <w:contextualSpacing/>
        <w:rPr>
          <w:rFonts w:ascii="Times New Roman" w:hAnsi="Times New Roman" w:cs="Times New Roman"/>
          <w:b/>
        </w:rPr>
      </w:pPr>
    </w:p>
    <w:p w14:paraId="0303674E" w14:textId="77777777" w:rsidR="00D91E31" w:rsidRPr="00760236" w:rsidRDefault="00D91E31" w:rsidP="00760236">
      <w:pPr>
        <w:contextualSpacing/>
        <w:rPr>
          <w:rFonts w:ascii="Times New Roman" w:hAnsi="Times New Roman" w:cs="Times New Roman"/>
          <w:b/>
        </w:rPr>
      </w:pPr>
    </w:p>
    <w:p w14:paraId="67F0CCEC" w14:textId="77777777" w:rsidR="00760236" w:rsidRPr="00760236" w:rsidRDefault="00760236" w:rsidP="00760236">
      <w:pPr>
        <w:spacing w:after="240"/>
        <w:contextualSpacing/>
        <w:jc w:val="center"/>
        <w:rPr>
          <w:rFonts w:ascii="Times New Roman" w:hAnsi="Times New Roman" w:cs="Times New Roman"/>
          <w:b/>
          <w:bCs/>
        </w:rPr>
      </w:pPr>
      <w:r w:rsidRPr="00760236">
        <w:rPr>
          <w:rFonts w:ascii="Times New Roman" w:eastAsia="Calibri" w:hAnsi="Times New Roman" w:cs="Times New Roman"/>
          <w:b/>
          <w:bCs/>
        </w:rPr>
        <w:t xml:space="preserve">Effective </w:t>
      </w:r>
      <w:r w:rsidRPr="00760236">
        <w:rPr>
          <w:rFonts w:ascii="Times New Roman" w:hAnsi="Times New Roman" w:cs="Times New Roman"/>
          <w:b/>
          <w:bCs/>
        </w:rPr>
        <w:t>April 1, 2023</w:t>
      </w:r>
    </w:p>
    <w:p w14:paraId="1BF25F44" w14:textId="77777777" w:rsidR="00760236" w:rsidRPr="00760236" w:rsidRDefault="00760236" w:rsidP="00432772">
      <w:pPr>
        <w:spacing w:after="240"/>
        <w:contextualSpacing/>
        <w:rPr>
          <w:rFonts w:ascii="Times New Roman" w:hAnsi="Times New Roman" w:cs="Times New Roman"/>
        </w:rPr>
      </w:pPr>
    </w:p>
    <w:p w14:paraId="1B61393D" w14:textId="216382D4" w:rsidR="00760236" w:rsidRDefault="00760236" w:rsidP="00760236">
      <w:pPr>
        <w:contextualSpacing/>
        <w:rPr>
          <w:rFonts w:ascii="Times New Roman" w:hAnsi="Times New Roman" w:cs="Times New Roman"/>
          <w:b/>
        </w:rPr>
      </w:pPr>
      <w:r w:rsidRPr="00760236">
        <w:rPr>
          <w:rFonts w:ascii="Times New Roman" w:hAnsi="Times New Roman" w:cs="Times New Roman"/>
          <w:b/>
        </w:rPr>
        <w:t>Added Codes:</w:t>
      </w:r>
    </w:p>
    <w:p w14:paraId="43DB7349" w14:textId="77777777" w:rsidR="00085A90" w:rsidRPr="00760236" w:rsidRDefault="00085A90" w:rsidP="00760236">
      <w:pPr>
        <w:contextualSpacing/>
        <w:rPr>
          <w:rFonts w:ascii="Times New Roman" w:hAnsi="Times New Roman" w:cs="Times New Roman"/>
          <w:b/>
        </w:rPr>
      </w:pPr>
    </w:p>
    <w:tbl>
      <w:tblPr>
        <w:tblStyle w:val="TableGrid"/>
        <w:tblW w:w="10165" w:type="dxa"/>
        <w:tblLook w:val="04A0" w:firstRow="1" w:lastRow="0" w:firstColumn="1" w:lastColumn="0" w:noHBand="0" w:noVBand="1"/>
      </w:tblPr>
      <w:tblGrid>
        <w:gridCol w:w="1525"/>
        <w:gridCol w:w="1260"/>
        <w:gridCol w:w="5507"/>
        <w:gridCol w:w="1873"/>
      </w:tblGrid>
      <w:tr w:rsidR="00760236" w:rsidRPr="00760236" w14:paraId="6CF20F4D" w14:textId="77777777" w:rsidTr="0078744F">
        <w:trPr>
          <w:trHeight w:val="230"/>
          <w:tblHeader/>
        </w:trPr>
        <w:tc>
          <w:tcPr>
            <w:tcW w:w="1525" w:type="dxa"/>
            <w:noWrap/>
            <w:hideMark/>
          </w:tcPr>
          <w:p w14:paraId="7BDD9519" w14:textId="77777777" w:rsidR="00760236" w:rsidRPr="00760236" w:rsidRDefault="00760236" w:rsidP="0078744F">
            <w:pPr>
              <w:spacing w:after="120"/>
              <w:contextualSpacing/>
              <w:jc w:val="center"/>
              <w:rPr>
                <w:b/>
                <w:bCs/>
                <w:sz w:val="22"/>
                <w:szCs w:val="22"/>
              </w:rPr>
            </w:pPr>
            <w:r w:rsidRPr="00760236">
              <w:rPr>
                <w:b/>
                <w:bCs/>
                <w:sz w:val="22"/>
                <w:szCs w:val="22"/>
              </w:rPr>
              <w:t>Code</w:t>
            </w:r>
          </w:p>
        </w:tc>
        <w:tc>
          <w:tcPr>
            <w:tcW w:w="1260" w:type="dxa"/>
            <w:noWrap/>
            <w:hideMark/>
          </w:tcPr>
          <w:p w14:paraId="7EADEC45" w14:textId="77777777" w:rsidR="00760236" w:rsidRPr="00760236" w:rsidRDefault="00760236" w:rsidP="0078744F">
            <w:pPr>
              <w:spacing w:after="120"/>
              <w:contextualSpacing/>
              <w:jc w:val="center"/>
              <w:rPr>
                <w:b/>
                <w:bCs/>
                <w:sz w:val="22"/>
                <w:szCs w:val="22"/>
              </w:rPr>
            </w:pPr>
            <w:r w:rsidRPr="00760236">
              <w:rPr>
                <w:b/>
                <w:bCs/>
                <w:sz w:val="22"/>
                <w:szCs w:val="22"/>
              </w:rPr>
              <w:t>Modifier</w:t>
            </w:r>
          </w:p>
        </w:tc>
        <w:tc>
          <w:tcPr>
            <w:tcW w:w="5507" w:type="dxa"/>
          </w:tcPr>
          <w:p w14:paraId="714E0D92" w14:textId="77777777" w:rsidR="00760236" w:rsidRPr="00760236" w:rsidRDefault="00760236" w:rsidP="0078744F">
            <w:pPr>
              <w:spacing w:after="120"/>
              <w:contextualSpacing/>
              <w:jc w:val="center"/>
              <w:rPr>
                <w:b/>
                <w:bCs/>
                <w:sz w:val="22"/>
                <w:szCs w:val="22"/>
              </w:rPr>
            </w:pPr>
            <w:r w:rsidRPr="00760236">
              <w:rPr>
                <w:b/>
                <w:bCs/>
                <w:sz w:val="22"/>
                <w:szCs w:val="22"/>
              </w:rPr>
              <w:t>Description</w:t>
            </w:r>
          </w:p>
        </w:tc>
        <w:tc>
          <w:tcPr>
            <w:tcW w:w="1873" w:type="dxa"/>
          </w:tcPr>
          <w:p w14:paraId="5A6B99A4" w14:textId="77777777" w:rsidR="00760236" w:rsidRPr="00760236" w:rsidRDefault="00760236" w:rsidP="0078744F">
            <w:pPr>
              <w:spacing w:after="120"/>
              <w:contextualSpacing/>
              <w:jc w:val="center"/>
              <w:rPr>
                <w:b/>
                <w:bCs/>
                <w:sz w:val="22"/>
                <w:szCs w:val="22"/>
              </w:rPr>
            </w:pPr>
            <w:r w:rsidRPr="00760236">
              <w:rPr>
                <w:b/>
                <w:bCs/>
                <w:sz w:val="22"/>
                <w:szCs w:val="22"/>
              </w:rPr>
              <w:t>Rate</w:t>
            </w:r>
          </w:p>
        </w:tc>
      </w:tr>
      <w:tr w:rsidR="00760236" w:rsidRPr="00760236" w14:paraId="6E365A60" w14:textId="77777777" w:rsidTr="0078744F">
        <w:trPr>
          <w:trHeight w:val="230"/>
        </w:trPr>
        <w:tc>
          <w:tcPr>
            <w:tcW w:w="1525" w:type="dxa"/>
            <w:noWrap/>
            <w:vAlign w:val="center"/>
            <w:hideMark/>
          </w:tcPr>
          <w:p w14:paraId="1D41FE4D" w14:textId="77777777" w:rsidR="00760236" w:rsidRPr="00760236" w:rsidRDefault="00760236" w:rsidP="0078744F">
            <w:pPr>
              <w:spacing w:after="120"/>
              <w:contextualSpacing/>
              <w:jc w:val="center"/>
              <w:rPr>
                <w:color w:val="000000"/>
                <w:sz w:val="22"/>
                <w:szCs w:val="22"/>
              </w:rPr>
            </w:pPr>
            <w:r w:rsidRPr="00760236">
              <w:rPr>
                <w:color w:val="000000"/>
                <w:sz w:val="22"/>
                <w:szCs w:val="22"/>
              </w:rPr>
              <w:t>A6590</w:t>
            </w:r>
          </w:p>
        </w:tc>
        <w:tc>
          <w:tcPr>
            <w:tcW w:w="1260" w:type="dxa"/>
            <w:vAlign w:val="bottom"/>
          </w:tcPr>
          <w:p w14:paraId="07C5973C" w14:textId="77777777" w:rsidR="00760236" w:rsidRPr="00760236" w:rsidRDefault="00760236" w:rsidP="0078744F">
            <w:pPr>
              <w:spacing w:after="120"/>
              <w:contextualSpacing/>
              <w:rPr>
                <w:sz w:val="22"/>
                <w:szCs w:val="22"/>
              </w:rPr>
            </w:pPr>
            <w:r w:rsidRPr="00760236">
              <w:rPr>
                <w:color w:val="000000"/>
                <w:sz w:val="22"/>
                <w:szCs w:val="22"/>
              </w:rPr>
              <w:t> </w:t>
            </w:r>
          </w:p>
        </w:tc>
        <w:tc>
          <w:tcPr>
            <w:tcW w:w="5507" w:type="dxa"/>
            <w:tcBorders>
              <w:top w:val="single" w:sz="4" w:space="0" w:color="auto"/>
              <w:left w:val="single" w:sz="4" w:space="0" w:color="auto"/>
              <w:bottom w:val="single" w:sz="4" w:space="0" w:color="auto"/>
              <w:right w:val="single" w:sz="4" w:space="0" w:color="auto"/>
            </w:tcBorders>
            <w:shd w:val="clear" w:color="auto" w:fill="auto"/>
          </w:tcPr>
          <w:p w14:paraId="4247824F" w14:textId="77777777" w:rsidR="00760236" w:rsidRPr="00760236" w:rsidRDefault="00760236" w:rsidP="0078744F">
            <w:pPr>
              <w:spacing w:after="120"/>
              <w:contextualSpacing/>
              <w:rPr>
                <w:color w:val="000000"/>
                <w:sz w:val="22"/>
                <w:szCs w:val="22"/>
              </w:rPr>
            </w:pPr>
            <w:r w:rsidRPr="00760236">
              <w:rPr>
                <w:color w:val="000000"/>
                <w:sz w:val="22"/>
                <w:szCs w:val="22"/>
              </w:rPr>
              <w:t>External urinary catheters, disposable, with wicking material, for use with suction pump, per month</w:t>
            </w:r>
          </w:p>
        </w:tc>
        <w:tc>
          <w:tcPr>
            <w:tcW w:w="1873" w:type="dxa"/>
            <w:vAlign w:val="center"/>
          </w:tcPr>
          <w:p w14:paraId="4C5EDC4D" w14:textId="77777777" w:rsidR="00760236" w:rsidRPr="00760236" w:rsidRDefault="00760236" w:rsidP="0078744F">
            <w:pPr>
              <w:spacing w:after="120"/>
              <w:contextualSpacing/>
              <w:jc w:val="center"/>
              <w:rPr>
                <w:color w:val="000000"/>
                <w:sz w:val="22"/>
                <w:szCs w:val="22"/>
              </w:rPr>
            </w:pPr>
            <w:r w:rsidRPr="00760236">
              <w:rPr>
                <w:color w:val="000000"/>
                <w:sz w:val="22"/>
                <w:szCs w:val="22"/>
              </w:rPr>
              <w:t>$300.90</w:t>
            </w:r>
          </w:p>
        </w:tc>
      </w:tr>
      <w:tr w:rsidR="00760236" w:rsidRPr="00760236" w14:paraId="3B3FC294" w14:textId="77777777" w:rsidTr="0078744F">
        <w:trPr>
          <w:trHeight w:val="230"/>
        </w:trPr>
        <w:tc>
          <w:tcPr>
            <w:tcW w:w="1525" w:type="dxa"/>
            <w:noWrap/>
            <w:vAlign w:val="center"/>
            <w:hideMark/>
          </w:tcPr>
          <w:p w14:paraId="3635FE00" w14:textId="77777777" w:rsidR="00760236" w:rsidRPr="00760236" w:rsidRDefault="00760236" w:rsidP="0078744F">
            <w:pPr>
              <w:spacing w:after="120"/>
              <w:contextualSpacing/>
              <w:jc w:val="center"/>
              <w:rPr>
                <w:color w:val="000000"/>
                <w:sz w:val="22"/>
                <w:szCs w:val="22"/>
              </w:rPr>
            </w:pPr>
            <w:r w:rsidRPr="00760236">
              <w:rPr>
                <w:color w:val="000000"/>
                <w:sz w:val="22"/>
                <w:szCs w:val="22"/>
              </w:rPr>
              <w:t>A6591</w:t>
            </w:r>
          </w:p>
        </w:tc>
        <w:tc>
          <w:tcPr>
            <w:tcW w:w="1260" w:type="dxa"/>
            <w:vAlign w:val="bottom"/>
          </w:tcPr>
          <w:p w14:paraId="505E19D8" w14:textId="77777777" w:rsidR="00760236" w:rsidRPr="00760236" w:rsidRDefault="00760236" w:rsidP="0078744F">
            <w:pPr>
              <w:spacing w:after="120"/>
              <w:contextualSpacing/>
              <w:rPr>
                <w:sz w:val="22"/>
                <w:szCs w:val="22"/>
              </w:rPr>
            </w:pPr>
            <w:r w:rsidRPr="00760236">
              <w:rPr>
                <w:color w:val="000000"/>
                <w:sz w:val="22"/>
                <w:szCs w:val="22"/>
              </w:rPr>
              <w:t> </w:t>
            </w:r>
          </w:p>
        </w:tc>
        <w:tc>
          <w:tcPr>
            <w:tcW w:w="5507" w:type="dxa"/>
            <w:tcBorders>
              <w:top w:val="nil"/>
              <w:left w:val="single" w:sz="4" w:space="0" w:color="auto"/>
              <w:bottom w:val="single" w:sz="4" w:space="0" w:color="auto"/>
              <w:right w:val="single" w:sz="4" w:space="0" w:color="auto"/>
            </w:tcBorders>
            <w:shd w:val="clear" w:color="auto" w:fill="auto"/>
          </w:tcPr>
          <w:p w14:paraId="45125720" w14:textId="77777777" w:rsidR="00760236" w:rsidRPr="00760236" w:rsidRDefault="00760236" w:rsidP="0078744F">
            <w:pPr>
              <w:spacing w:after="120"/>
              <w:contextualSpacing/>
              <w:rPr>
                <w:color w:val="000000"/>
                <w:sz w:val="22"/>
                <w:szCs w:val="22"/>
              </w:rPr>
            </w:pPr>
            <w:r w:rsidRPr="00760236">
              <w:rPr>
                <w:color w:val="000000"/>
                <w:sz w:val="22"/>
                <w:szCs w:val="22"/>
              </w:rPr>
              <w:t>External urinary catheter; non-disposable, for use with suction pump, per month</w:t>
            </w:r>
          </w:p>
        </w:tc>
        <w:tc>
          <w:tcPr>
            <w:tcW w:w="1873" w:type="dxa"/>
            <w:vAlign w:val="center"/>
          </w:tcPr>
          <w:p w14:paraId="6BA5306D" w14:textId="77777777" w:rsidR="00760236" w:rsidRPr="00760236" w:rsidRDefault="00760236" w:rsidP="0078744F">
            <w:pPr>
              <w:spacing w:after="120"/>
              <w:contextualSpacing/>
              <w:jc w:val="center"/>
              <w:rPr>
                <w:color w:val="000000"/>
                <w:sz w:val="22"/>
                <w:szCs w:val="22"/>
              </w:rPr>
            </w:pPr>
            <w:r w:rsidRPr="00760236">
              <w:rPr>
                <w:color w:val="000000"/>
                <w:sz w:val="22"/>
                <w:szCs w:val="22"/>
              </w:rPr>
              <w:t>$71.89</w:t>
            </w:r>
          </w:p>
        </w:tc>
      </w:tr>
      <w:tr w:rsidR="00760236" w:rsidRPr="00760236" w14:paraId="61D442AF" w14:textId="77777777" w:rsidTr="0078744F">
        <w:trPr>
          <w:trHeight w:val="230"/>
        </w:trPr>
        <w:tc>
          <w:tcPr>
            <w:tcW w:w="1525" w:type="dxa"/>
            <w:tcBorders>
              <w:bottom w:val="single" w:sz="4" w:space="0" w:color="auto"/>
            </w:tcBorders>
            <w:noWrap/>
            <w:vAlign w:val="center"/>
            <w:hideMark/>
          </w:tcPr>
          <w:p w14:paraId="181880B5" w14:textId="77777777" w:rsidR="00760236" w:rsidRPr="00760236" w:rsidRDefault="00760236" w:rsidP="0078744F">
            <w:pPr>
              <w:spacing w:after="120"/>
              <w:contextualSpacing/>
              <w:jc w:val="center"/>
              <w:rPr>
                <w:color w:val="000000"/>
                <w:sz w:val="22"/>
                <w:szCs w:val="22"/>
              </w:rPr>
            </w:pPr>
            <w:r w:rsidRPr="00760236">
              <w:rPr>
                <w:color w:val="000000"/>
                <w:sz w:val="22"/>
                <w:szCs w:val="22"/>
              </w:rPr>
              <w:t>A4341</w:t>
            </w:r>
          </w:p>
        </w:tc>
        <w:tc>
          <w:tcPr>
            <w:tcW w:w="1260" w:type="dxa"/>
            <w:tcBorders>
              <w:bottom w:val="single" w:sz="4" w:space="0" w:color="auto"/>
            </w:tcBorders>
            <w:vAlign w:val="bottom"/>
          </w:tcPr>
          <w:p w14:paraId="7F0E6A87" w14:textId="77777777" w:rsidR="00760236" w:rsidRPr="00760236" w:rsidRDefault="00760236" w:rsidP="0078744F">
            <w:pPr>
              <w:spacing w:after="120"/>
              <w:contextualSpacing/>
              <w:rPr>
                <w:sz w:val="22"/>
                <w:szCs w:val="22"/>
              </w:rPr>
            </w:pPr>
            <w:r w:rsidRPr="00760236">
              <w:rPr>
                <w:color w:val="000000"/>
                <w:sz w:val="22"/>
                <w:szCs w:val="22"/>
              </w:rPr>
              <w:t> </w:t>
            </w:r>
          </w:p>
        </w:tc>
        <w:tc>
          <w:tcPr>
            <w:tcW w:w="5507" w:type="dxa"/>
            <w:tcBorders>
              <w:top w:val="nil"/>
              <w:left w:val="single" w:sz="4" w:space="0" w:color="auto"/>
              <w:bottom w:val="single" w:sz="4" w:space="0" w:color="auto"/>
              <w:right w:val="single" w:sz="4" w:space="0" w:color="auto"/>
            </w:tcBorders>
            <w:shd w:val="clear" w:color="auto" w:fill="auto"/>
          </w:tcPr>
          <w:p w14:paraId="6719C7E2" w14:textId="77777777" w:rsidR="00760236" w:rsidRPr="00760236" w:rsidRDefault="00760236" w:rsidP="0078744F">
            <w:pPr>
              <w:spacing w:after="120"/>
              <w:contextualSpacing/>
              <w:rPr>
                <w:color w:val="000000"/>
                <w:sz w:val="22"/>
                <w:szCs w:val="22"/>
              </w:rPr>
            </w:pPr>
            <w:r w:rsidRPr="00760236">
              <w:rPr>
                <w:color w:val="000000"/>
                <w:sz w:val="22"/>
                <w:szCs w:val="22"/>
              </w:rPr>
              <w:t>Indwelling intraurethral drainage device with valve, patient inserted, replacement only, each</w:t>
            </w:r>
          </w:p>
        </w:tc>
        <w:tc>
          <w:tcPr>
            <w:tcW w:w="1873" w:type="dxa"/>
            <w:vAlign w:val="center"/>
          </w:tcPr>
          <w:p w14:paraId="63161944" w14:textId="77777777" w:rsidR="00760236" w:rsidRPr="00760236" w:rsidRDefault="00760236" w:rsidP="0078744F">
            <w:pPr>
              <w:spacing w:after="120"/>
              <w:contextualSpacing/>
              <w:jc w:val="center"/>
              <w:rPr>
                <w:color w:val="000000"/>
                <w:sz w:val="22"/>
                <w:szCs w:val="22"/>
              </w:rPr>
            </w:pPr>
            <w:r w:rsidRPr="00760236">
              <w:rPr>
                <w:color w:val="000000"/>
                <w:sz w:val="22"/>
                <w:szCs w:val="22"/>
              </w:rPr>
              <w:t>$275.83</w:t>
            </w:r>
          </w:p>
        </w:tc>
      </w:tr>
      <w:tr w:rsidR="00760236" w:rsidRPr="00760236" w14:paraId="14B9CFD0" w14:textId="77777777" w:rsidTr="0078744F">
        <w:trPr>
          <w:trHeight w:val="230"/>
        </w:trPr>
        <w:tc>
          <w:tcPr>
            <w:tcW w:w="1525" w:type="dxa"/>
            <w:tcBorders>
              <w:top w:val="single" w:sz="4" w:space="0" w:color="auto"/>
              <w:bottom w:val="single" w:sz="4" w:space="0" w:color="auto"/>
              <w:right w:val="single" w:sz="4" w:space="0" w:color="auto"/>
            </w:tcBorders>
            <w:noWrap/>
            <w:vAlign w:val="center"/>
            <w:hideMark/>
          </w:tcPr>
          <w:p w14:paraId="270F0C84" w14:textId="77777777" w:rsidR="00760236" w:rsidRPr="00760236" w:rsidRDefault="00760236" w:rsidP="0078744F">
            <w:pPr>
              <w:spacing w:after="120"/>
              <w:contextualSpacing/>
              <w:jc w:val="center"/>
              <w:rPr>
                <w:sz w:val="22"/>
                <w:szCs w:val="22"/>
              </w:rPr>
            </w:pPr>
            <w:r w:rsidRPr="00760236">
              <w:rPr>
                <w:sz w:val="22"/>
                <w:szCs w:val="22"/>
              </w:rPr>
              <w:t>A4342</w:t>
            </w:r>
          </w:p>
        </w:tc>
        <w:tc>
          <w:tcPr>
            <w:tcW w:w="1260" w:type="dxa"/>
            <w:tcBorders>
              <w:top w:val="single" w:sz="4" w:space="0" w:color="auto"/>
              <w:left w:val="single" w:sz="4" w:space="0" w:color="auto"/>
              <w:bottom w:val="single" w:sz="4" w:space="0" w:color="auto"/>
              <w:right w:val="single" w:sz="4" w:space="0" w:color="auto"/>
            </w:tcBorders>
            <w:vAlign w:val="bottom"/>
          </w:tcPr>
          <w:p w14:paraId="075FEEBC" w14:textId="77777777" w:rsidR="00760236" w:rsidRPr="00760236" w:rsidRDefault="00760236" w:rsidP="0078744F">
            <w:pPr>
              <w:spacing w:after="120"/>
              <w:contextualSpacing/>
              <w:rPr>
                <w:sz w:val="22"/>
                <w:szCs w:val="22"/>
              </w:rPr>
            </w:pPr>
            <w:r w:rsidRPr="00760236">
              <w:rPr>
                <w:sz w:val="22"/>
                <w:szCs w:val="22"/>
              </w:rPr>
              <w:t> </w:t>
            </w:r>
          </w:p>
        </w:tc>
        <w:tc>
          <w:tcPr>
            <w:tcW w:w="5507" w:type="dxa"/>
            <w:tcBorders>
              <w:top w:val="single" w:sz="4" w:space="0" w:color="auto"/>
              <w:left w:val="single" w:sz="4" w:space="0" w:color="auto"/>
              <w:bottom w:val="single" w:sz="4" w:space="0" w:color="auto"/>
              <w:right w:val="single" w:sz="4" w:space="0" w:color="auto"/>
            </w:tcBorders>
            <w:shd w:val="clear" w:color="auto" w:fill="auto"/>
          </w:tcPr>
          <w:p w14:paraId="0656606B" w14:textId="77777777" w:rsidR="00760236" w:rsidRPr="00760236" w:rsidRDefault="00760236" w:rsidP="0078744F">
            <w:pPr>
              <w:spacing w:after="120"/>
              <w:contextualSpacing/>
              <w:rPr>
                <w:sz w:val="22"/>
                <w:szCs w:val="22"/>
              </w:rPr>
            </w:pPr>
            <w:r w:rsidRPr="00760236">
              <w:rPr>
                <w:sz w:val="22"/>
                <w:szCs w:val="22"/>
              </w:rPr>
              <w:t>Accessories for patient inserted indwelling intraurethral drainage device with valve, replacement only, each</w:t>
            </w:r>
          </w:p>
        </w:tc>
        <w:tc>
          <w:tcPr>
            <w:tcW w:w="1873" w:type="dxa"/>
            <w:tcBorders>
              <w:left w:val="single" w:sz="4" w:space="0" w:color="auto"/>
            </w:tcBorders>
            <w:vAlign w:val="center"/>
          </w:tcPr>
          <w:p w14:paraId="3ABD8C3D" w14:textId="77777777" w:rsidR="00760236" w:rsidRPr="00760236" w:rsidRDefault="00760236" w:rsidP="0078744F">
            <w:pPr>
              <w:spacing w:after="120"/>
              <w:contextualSpacing/>
              <w:jc w:val="center"/>
              <w:rPr>
                <w:sz w:val="22"/>
                <w:szCs w:val="22"/>
              </w:rPr>
            </w:pPr>
            <w:r w:rsidRPr="00760236">
              <w:rPr>
                <w:sz w:val="22"/>
                <w:szCs w:val="22"/>
              </w:rPr>
              <w:t>$696.46</w:t>
            </w:r>
          </w:p>
        </w:tc>
      </w:tr>
      <w:tr w:rsidR="00760236" w:rsidRPr="00760236" w14:paraId="3F2F3BBB" w14:textId="77777777" w:rsidTr="0078744F">
        <w:trPr>
          <w:trHeight w:val="230"/>
        </w:trPr>
        <w:tc>
          <w:tcPr>
            <w:tcW w:w="1525" w:type="dxa"/>
            <w:tcBorders>
              <w:top w:val="single" w:sz="4" w:space="0" w:color="auto"/>
            </w:tcBorders>
            <w:noWrap/>
            <w:vAlign w:val="center"/>
            <w:hideMark/>
          </w:tcPr>
          <w:p w14:paraId="37661543" w14:textId="77777777" w:rsidR="00760236" w:rsidRPr="00760236" w:rsidRDefault="00760236" w:rsidP="0078744F">
            <w:pPr>
              <w:spacing w:after="120"/>
              <w:contextualSpacing/>
              <w:jc w:val="center"/>
              <w:rPr>
                <w:sz w:val="22"/>
                <w:szCs w:val="22"/>
              </w:rPr>
            </w:pPr>
            <w:r w:rsidRPr="00760236">
              <w:rPr>
                <w:sz w:val="22"/>
                <w:szCs w:val="22"/>
              </w:rPr>
              <w:t>A4560</w:t>
            </w:r>
          </w:p>
        </w:tc>
        <w:tc>
          <w:tcPr>
            <w:tcW w:w="1260" w:type="dxa"/>
            <w:tcBorders>
              <w:top w:val="single" w:sz="4" w:space="0" w:color="auto"/>
            </w:tcBorders>
            <w:vAlign w:val="bottom"/>
          </w:tcPr>
          <w:p w14:paraId="624A75BE" w14:textId="77777777" w:rsidR="00760236" w:rsidRPr="00760236" w:rsidRDefault="00760236" w:rsidP="0078744F">
            <w:pPr>
              <w:spacing w:after="120"/>
              <w:contextualSpacing/>
              <w:rPr>
                <w:sz w:val="22"/>
                <w:szCs w:val="22"/>
              </w:rPr>
            </w:pPr>
            <w:r w:rsidRPr="00760236">
              <w:rPr>
                <w:sz w:val="22"/>
                <w:szCs w:val="22"/>
              </w:rPr>
              <w:t> </w:t>
            </w:r>
          </w:p>
        </w:tc>
        <w:tc>
          <w:tcPr>
            <w:tcW w:w="5507" w:type="dxa"/>
            <w:tcBorders>
              <w:top w:val="single" w:sz="4" w:space="0" w:color="auto"/>
            </w:tcBorders>
          </w:tcPr>
          <w:p w14:paraId="5D93E206" w14:textId="77777777" w:rsidR="00760236" w:rsidRPr="00760236" w:rsidRDefault="00760236" w:rsidP="0078744F">
            <w:pPr>
              <w:spacing w:after="120"/>
              <w:contextualSpacing/>
              <w:rPr>
                <w:sz w:val="22"/>
                <w:szCs w:val="22"/>
              </w:rPr>
            </w:pPr>
            <w:r w:rsidRPr="00760236">
              <w:rPr>
                <w:sz w:val="22"/>
                <w:szCs w:val="22"/>
              </w:rPr>
              <w:t>Neuromuscular electrical stimulator (NMES), disposable, replacement only</w:t>
            </w:r>
          </w:p>
        </w:tc>
        <w:tc>
          <w:tcPr>
            <w:tcW w:w="1873" w:type="dxa"/>
            <w:vAlign w:val="center"/>
          </w:tcPr>
          <w:p w14:paraId="0D52DE85" w14:textId="77777777" w:rsidR="00760236" w:rsidRPr="00760236" w:rsidRDefault="00760236" w:rsidP="0078744F">
            <w:pPr>
              <w:spacing w:after="120"/>
              <w:contextualSpacing/>
              <w:jc w:val="center"/>
              <w:rPr>
                <w:sz w:val="22"/>
                <w:szCs w:val="22"/>
              </w:rPr>
            </w:pPr>
            <w:r w:rsidRPr="00760236">
              <w:rPr>
                <w:sz w:val="22"/>
                <w:szCs w:val="22"/>
              </w:rPr>
              <w:t>AAC+ 20%</w:t>
            </w:r>
          </w:p>
        </w:tc>
      </w:tr>
      <w:tr w:rsidR="00760236" w:rsidRPr="00760236" w14:paraId="63846C00" w14:textId="77777777" w:rsidTr="0078744F">
        <w:trPr>
          <w:trHeight w:val="230"/>
        </w:trPr>
        <w:tc>
          <w:tcPr>
            <w:tcW w:w="1525" w:type="dxa"/>
            <w:noWrap/>
            <w:vAlign w:val="center"/>
            <w:hideMark/>
          </w:tcPr>
          <w:p w14:paraId="12133D3E" w14:textId="77777777" w:rsidR="00760236" w:rsidRPr="00760236" w:rsidRDefault="00760236" w:rsidP="0078744F">
            <w:pPr>
              <w:spacing w:after="120"/>
              <w:contextualSpacing/>
              <w:jc w:val="center"/>
              <w:rPr>
                <w:sz w:val="22"/>
                <w:szCs w:val="22"/>
              </w:rPr>
            </w:pPr>
            <w:r w:rsidRPr="00760236">
              <w:rPr>
                <w:sz w:val="22"/>
                <w:szCs w:val="22"/>
              </w:rPr>
              <w:t>A7049</w:t>
            </w:r>
          </w:p>
        </w:tc>
        <w:tc>
          <w:tcPr>
            <w:tcW w:w="1260" w:type="dxa"/>
            <w:vAlign w:val="bottom"/>
          </w:tcPr>
          <w:p w14:paraId="072131DE" w14:textId="77777777" w:rsidR="00760236" w:rsidRPr="00760236" w:rsidRDefault="00760236" w:rsidP="0078744F">
            <w:pPr>
              <w:spacing w:after="120"/>
              <w:contextualSpacing/>
              <w:rPr>
                <w:sz w:val="22"/>
                <w:szCs w:val="22"/>
              </w:rPr>
            </w:pPr>
            <w:r w:rsidRPr="00760236">
              <w:rPr>
                <w:sz w:val="22"/>
                <w:szCs w:val="22"/>
              </w:rPr>
              <w:t> </w:t>
            </w:r>
          </w:p>
        </w:tc>
        <w:tc>
          <w:tcPr>
            <w:tcW w:w="5507" w:type="dxa"/>
          </w:tcPr>
          <w:p w14:paraId="1F82C9EC" w14:textId="77777777" w:rsidR="00760236" w:rsidRPr="00760236" w:rsidRDefault="00760236" w:rsidP="0078744F">
            <w:pPr>
              <w:spacing w:after="120"/>
              <w:contextualSpacing/>
              <w:rPr>
                <w:sz w:val="22"/>
                <w:szCs w:val="22"/>
              </w:rPr>
            </w:pPr>
            <w:r w:rsidRPr="00760236">
              <w:rPr>
                <w:sz w:val="22"/>
                <w:szCs w:val="22"/>
              </w:rPr>
              <w:t>Expiratory positive airway pressure intranasal resistance valve</w:t>
            </w:r>
          </w:p>
        </w:tc>
        <w:tc>
          <w:tcPr>
            <w:tcW w:w="1873" w:type="dxa"/>
            <w:vAlign w:val="center"/>
          </w:tcPr>
          <w:p w14:paraId="77892604" w14:textId="77777777" w:rsidR="00760236" w:rsidRPr="00760236" w:rsidRDefault="00760236" w:rsidP="0078744F">
            <w:pPr>
              <w:spacing w:after="120"/>
              <w:contextualSpacing/>
              <w:jc w:val="center"/>
              <w:rPr>
                <w:sz w:val="22"/>
                <w:szCs w:val="22"/>
              </w:rPr>
            </w:pPr>
            <w:r w:rsidRPr="00760236">
              <w:rPr>
                <w:sz w:val="22"/>
                <w:szCs w:val="22"/>
              </w:rPr>
              <w:t>AAC+ 20%</w:t>
            </w:r>
          </w:p>
        </w:tc>
      </w:tr>
      <w:tr w:rsidR="00760236" w:rsidRPr="00760236" w14:paraId="450B4B7A" w14:textId="77777777" w:rsidTr="0078744F">
        <w:trPr>
          <w:trHeight w:val="230"/>
        </w:trPr>
        <w:tc>
          <w:tcPr>
            <w:tcW w:w="1525" w:type="dxa"/>
            <w:noWrap/>
            <w:vAlign w:val="center"/>
            <w:hideMark/>
          </w:tcPr>
          <w:p w14:paraId="6A302246" w14:textId="77777777" w:rsidR="00760236" w:rsidRPr="00760236" w:rsidRDefault="00760236" w:rsidP="0078744F">
            <w:pPr>
              <w:spacing w:after="120"/>
              <w:contextualSpacing/>
              <w:jc w:val="center"/>
              <w:rPr>
                <w:sz w:val="22"/>
                <w:szCs w:val="22"/>
              </w:rPr>
            </w:pPr>
            <w:r w:rsidRPr="00760236">
              <w:rPr>
                <w:sz w:val="22"/>
                <w:szCs w:val="22"/>
              </w:rPr>
              <w:t>E0677</w:t>
            </w:r>
          </w:p>
        </w:tc>
        <w:tc>
          <w:tcPr>
            <w:tcW w:w="1260" w:type="dxa"/>
            <w:vAlign w:val="center"/>
          </w:tcPr>
          <w:p w14:paraId="539FD54F" w14:textId="77777777" w:rsidR="00760236" w:rsidRPr="00760236" w:rsidRDefault="00760236" w:rsidP="0078744F">
            <w:pPr>
              <w:spacing w:after="120"/>
              <w:contextualSpacing/>
              <w:jc w:val="center"/>
              <w:rPr>
                <w:sz w:val="22"/>
                <w:szCs w:val="22"/>
              </w:rPr>
            </w:pPr>
            <w:r w:rsidRPr="00760236">
              <w:rPr>
                <w:sz w:val="22"/>
                <w:szCs w:val="22"/>
              </w:rPr>
              <w:t>NU</w:t>
            </w:r>
          </w:p>
        </w:tc>
        <w:tc>
          <w:tcPr>
            <w:tcW w:w="5507" w:type="dxa"/>
            <w:tcBorders>
              <w:top w:val="single" w:sz="4" w:space="0" w:color="auto"/>
              <w:left w:val="single" w:sz="4" w:space="0" w:color="auto"/>
              <w:bottom w:val="single" w:sz="4" w:space="0" w:color="auto"/>
              <w:right w:val="single" w:sz="4" w:space="0" w:color="auto"/>
            </w:tcBorders>
            <w:shd w:val="clear" w:color="auto" w:fill="auto"/>
          </w:tcPr>
          <w:p w14:paraId="35C71789" w14:textId="77777777" w:rsidR="00760236" w:rsidRPr="00760236" w:rsidRDefault="00760236" w:rsidP="0078744F">
            <w:pPr>
              <w:spacing w:after="120"/>
              <w:contextualSpacing/>
              <w:rPr>
                <w:sz w:val="22"/>
                <w:szCs w:val="22"/>
              </w:rPr>
            </w:pPr>
            <w:r w:rsidRPr="00760236">
              <w:rPr>
                <w:sz w:val="22"/>
                <w:szCs w:val="22"/>
              </w:rPr>
              <w:t>Non-pneumatic sequential compression garment, trunk</w:t>
            </w:r>
          </w:p>
        </w:tc>
        <w:tc>
          <w:tcPr>
            <w:tcW w:w="1873" w:type="dxa"/>
            <w:vAlign w:val="center"/>
          </w:tcPr>
          <w:p w14:paraId="31DEA276" w14:textId="77777777" w:rsidR="00760236" w:rsidRPr="00760236" w:rsidRDefault="00760236" w:rsidP="0078744F">
            <w:pPr>
              <w:spacing w:after="120"/>
              <w:contextualSpacing/>
              <w:jc w:val="center"/>
              <w:rPr>
                <w:sz w:val="22"/>
                <w:szCs w:val="22"/>
              </w:rPr>
            </w:pPr>
            <w:r w:rsidRPr="00760236">
              <w:rPr>
                <w:sz w:val="22"/>
                <w:szCs w:val="22"/>
              </w:rPr>
              <w:t>$768.50</w:t>
            </w:r>
          </w:p>
        </w:tc>
      </w:tr>
      <w:tr w:rsidR="00760236" w:rsidRPr="00760236" w14:paraId="05943DA7" w14:textId="77777777" w:rsidTr="0078744F">
        <w:trPr>
          <w:trHeight w:val="230"/>
        </w:trPr>
        <w:tc>
          <w:tcPr>
            <w:tcW w:w="1525" w:type="dxa"/>
            <w:noWrap/>
            <w:vAlign w:val="center"/>
            <w:hideMark/>
          </w:tcPr>
          <w:p w14:paraId="5D5B7384" w14:textId="77777777" w:rsidR="00760236" w:rsidRPr="00760236" w:rsidRDefault="00760236" w:rsidP="0078744F">
            <w:pPr>
              <w:spacing w:after="120"/>
              <w:contextualSpacing/>
              <w:jc w:val="center"/>
              <w:rPr>
                <w:sz w:val="22"/>
                <w:szCs w:val="22"/>
              </w:rPr>
            </w:pPr>
            <w:r w:rsidRPr="00760236">
              <w:rPr>
                <w:sz w:val="22"/>
                <w:szCs w:val="22"/>
              </w:rPr>
              <w:t>E0677</w:t>
            </w:r>
          </w:p>
        </w:tc>
        <w:tc>
          <w:tcPr>
            <w:tcW w:w="1260" w:type="dxa"/>
            <w:vAlign w:val="center"/>
          </w:tcPr>
          <w:p w14:paraId="186B73E2" w14:textId="77777777" w:rsidR="00760236" w:rsidRPr="00760236" w:rsidRDefault="00760236" w:rsidP="0078744F">
            <w:pPr>
              <w:spacing w:after="120"/>
              <w:contextualSpacing/>
              <w:jc w:val="center"/>
              <w:rPr>
                <w:sz w:val="22"/>
                <w:szCs w:val="22"/>
              </w:rPr>
            </w:pPr>
            <w:r w:rsidRPr="00760236">
              <w:rPr>
                <w:sz w:val="22"/>
                <w:szCs w:val="22"/>
              </w:rPr>
              <w:t>UE</w:t>
            </w:r>
          </w:p>
        </w:tc>
        <w:tc>
          <w:tcPr>
            <w:tcW w:w="5507" w:type="dxa"/>
            <w:tcBorders>
              <w:top w:val="nil"/>
              <w:left w:val="single" w:sz="4" w:space="0" w:color="auto"/>
              <w:bottom w:val="single" w:sz="4" w:space="0" w:color="auto"/>
              <w:right w:val="single" w:sz="4" w:space="0" w:color="auto"/>
            </w:tcBorders>
            <w:shd w:val="clear" w:color="auto" w:fill="auto"/>
          </w:tcPr>
          <w:p w14:paraId="6D497246" w14:textId="77777777" w:rsidR="00760236" w:rsidRPr="00760236" w:rsidRDefault="00760236" w:rsidP="0078744F">
            <w:pPr>
              <w:spacing w:after="120"/>
              <w:contextualSpacing/>
              <w:rPr>
                <w:sz w:val="22"/>
                <w:szCs w:val="22"/>
              </w:rPr>
            </w:pPr>
            <w:r w:rsidRPr="00760236">
              <w:rPr>
                <w:sz w:val="22"/>
                <w:szCs w:val="22"/>
              </w:rPr>
              <w:t>Non-pneumatic sequential compression garment, trunk</w:t>
            </w:r>
          </w:p>
        </w:tc>
        <w:tc>
          <w:tcPr>
            <w:tcW w:w="1873" w:type="dxa"/>
            <w:vAlign w:val="center"/>
          </w:tcPr>
          <w:p w14:paraId="35B1EB14" w14:textId="77777777" w:rsidR="00760236" w:rsidRPr="00760236" w:rsidRDefault="00760236" w:rsidP="0078744F">
            <w:pPr>
              <w:spacing w:after="120"/>
              <w:contextualSpacing/>
              <w:jc w:val="center"/>
              <w:rPr>
                <w:sz w:val="22"/>
                <w:szCs w:val="22"/>
              </w:rPr>
            </w:pPr>
            <w:r w:rsidRPr="00760236">
              <w:rPr>
                <w:sz w:val="22"/>
                <w:szCs w:val="22"/>
              </w:rPr>
              <w:t>$576.38</w:t>
            </w:r>
          </w:p>
        </w:tc>
      </w:tr>
      <w:tr w:rsidR="00760236" w:rsidRPr="00760236" w14:paraId="4BB11114" w14:textId="77777777" w:rsidTr="0078744F">
        <w:trPr>
          <w:trHeight w:val="230"/>
        </w:trPr>
        <w:tc>
          <w:tcPr>
            <w:tcW w:w="1525" w:type="dxa"/>
            <w:noWrap/>
            <w:vAlign w:val="center"/>
            <w:hideMark/>
          </w:tcPr>
          <w:p w14:paraId="230DEBEA" w14:textId="77777777" w:rsidR="00760236" w:rsidRPr="00760236" w:rsidRDefault="00760236" w:rsidP="0078744F">
            <w:pPr>
              <w:spacing w:after="120"/>
              <w:contextualSpacing/>
              <w:jc w:val="center"/>
              <w:rPr>
                <w:sz w:val="22"/>
                <w:szCs w:val="22"/>
              </w:rPr>
            </w:pPr>
            <w:r w:rsidRPr="00760236">
              <w:rPr>
                <w:sz w:val="22"/>
                <w:szCs w:val="22"/>
              </w:rPr>
              <w:t>E0677</w:t>
            </w:r>
          </w:p>
        </w:tc>
        <w:tc>
          <w:tcPr>
            <w:tcW w:w="1260" w:type="dxa"/>
            <w:vAlign w:val="center"/>
          </w:tcPr>
          <w:p w14:paraId="682024FB" w14:textId="77777777" w:rsidR="00760236" w:rsidRPr="00760236" w:rsidRDefault="00760236" w:rsidP="0078744F">
            <w:pPr>
              <w:spacing w:after="120"/>
              <w:contextualSpacing/>
              <w:jc w:val="center"/>
              <w:rPr>
                <w:sz w:val="22"/>
                <w:szCs w:val="22"/>
              </w:rPr>
            </w:pPr>
            <w:r w:rsidRPr="00760236">
              <w:rPr>
                <w:sz w:val="22"/>
                <w:szCs w:val="22"/>
              </w:rPr>
              <w:t>KH KI</w:t>
            </w:r>
          </w:p>
        </w:tc>
        <w:tc>
          <w:tcPr>
            <w:tcW w:w="5507" w:type="dxa"/>
            <w:tcBorders>
              <w:top w:val="nil"/>
              <w:left w:val="single" w:sz="4" w:space="0" w:color="auto"/>
              <w:bottom w:val="single" w:sz="4" w:space="0" w:color="auto"/>
              <w:right w:val="single" w:sz="4" w:space="0" w:color="auto"/>
            </w:tcBorders>
            <w:shd w:val="clear" w:color="auto" w:fill="auto"/>
          </w:tcPr>
          <w:p w14:paraId="34379B22" w14:textId="77777777" w:rsidR="00760236" w:rsidRPr="00760236" w:rsidRDefault="00760236" w:rsidP="0078744F">
            <w:pPr>
              <w:spacing w:after="120"/>
              <w:contextualSpacing/>
              <w:rPr>
                <w:sz w:val="22"/>
                <w:szCs w:val="22"/>
              </w:rPr>
            </w:pPr>
            <w:r w:rsidRPr="00760236">
              <w:rPr>
                <w:sz w:val="22"/>
                <w:szCs w:val="22"/>
              </w:rPr>
              <w:t>Non-pneumatic sequential compression garment, trunk</w:t>
            </w:r>
          </w:p>
        </w:tc>
        <w:tc>
          <w:tcPr>
            <w:tcW w:w="1873" w:type="dxa"/>
            <w:vAlign w:val="center"/>
          </w:tcPr>
          <w:p w14:paraId="54473B0C" w14:textId="77777777" w:rsidR="00760236" w:rsidRPr="00760236" w:rsidRDefault="00760236" w:rsidP="0078744F">
            <w:pPr>
              <w:spacing w:after="120"/>
              <w:contextualSpacing/>
              <w:jc w:val="center"/>
              <w:rPr>
                <w:sz w:val="22"/>
                <w:szCs w:val="22"/>
              </w:rPr>
            </w:pPr>
            <w:r w:rsidRPr="00760236">
              <w:rPr>
                <w:sz w:val="22"/>
                <w:szCs w:val="22"/>
              </w:rPr>
              <w:t>$65.32</w:t>
            </w:r>
          </w:p>
        </w:tc>
      </w:tr>
      <w:tr w:rsidR="00760236" w:rsidRPr="00760236" w14:paraId="498FA95D" w14:textId="77777777" w:rsidTr="0078744F">
        <w:trPr>
          <w:trHeight w:val="230"/>
        </w:trPr>
        <w:tc>
          <w:tcPr>
            <w:tcW w:w="1525" w:type="dxa"/>
            <w:noWrap/>
            <w:vAlign w:val="center"/>
            <w:hideMark/>
          </w:tcPr>
          <w:p w14:paraId="62E8FE4F" w14:textId="77777777" w:rsidR="00760236" w:rsidRPr="00760236" w:rsidRDefault="00760236" w:rsidP="0078744F">
            <w:pPr>
              <w:spacing w:after="120"/>
              <w:contextualSpacing/>
              <w:jc w:val="center"/>
              <w:rPr>
                <w:sz w:val="22"/>
                <w:szCs w:val="22"/>
              </w:rPr>
            </w:pPr>
            <w:r w:rsidRPr="00760236">
              <w:rPr>
                <w:sz w:val="22"/>
                <w:szCs w:val="22"/>
              </w:rPr>
              <w:t>E0677</w:t>
            </w:r>
          </w:p>
        </w:tc>
        <w:tc>
          <w:tcPr>
            <w:tcW w:w="1260" w:type="dxa"/>
            <w:vAlign w:val="center"/>
          </w:tcPr>
          <w:p w14:paraId="1F7118EF" w14:textId="77777777" w:rsidR="00760236" w:rsidRPr="00760236" w:rsidRDefault="00760236" w:rsidP="0078744F">
            <w:pPr>
              <w:spacing w:after="120"/>
              <w:contextualSpacing/>
              <w:jc w:val="center"/>
              <w:rPr>
                <w:sz w:val="22"/>
                <w:szCs w:val="22"/>
              </w:rPr>
            </w:pPr>
            <w:r w:rsidRPr="00760236">
              <w:rPr>
                <w:sz w:val="22"/>
                <w:szCs w:val="22"/>
              </w:rPr>
              <w:t>KJ</w:t>
            </w:r>
          </w:p>
        </w:tc>
        <w:tc>
          <w:tcPr>
            <w:tcW w:w="5507" w:type="dxa"/>
          </w:tcPr>
          <w:p w14:paraId="50D64272" w14:textId="77777777" w:rsidR="00760236" w:rsidRPr="00760236" w:rsidRDefault="00760236" w:rsidP="0078744F">
            <w:pPr>
              <w:spacing w:after="120"/>
              <w:contextualSpacing/>
              <w:rPr>
                <w:sz w:val="22"/>
                <w:szCs w:val="22"/>
              </w:rPr>
            </w:pPr>
            <w:r w:rsidRPr="00760236">
              <w:rPr>
                <w:sz w:val="22"/>
                <w:szCs w:val="22"/>
              </w:rPr>
              <w:t>Non-pneumatic sequential compression garment, trunk</w:t>
            </w:r>
          </w:p>
        </w:tc>
        <w:tc>
          <w:tcPr>
            <w:tcW w:w="1873" w:type="dxa"/>
            <w:vAlign w:val="center"/>
          </w:tcPr>
          <w:p w14:paraId="46BFDD0A" w14:textId="77777777" w:rsidR="00760236" w:rsidRPr="00760236" w:rsidRDefault="00760236" w:rsidP="0078744F">
            <w:pPr>
              <w:spacing w:after="120"/>
              <w:contextualSpacing/>
              <w:jc w:val="center"/>
              <w:rPr>
                <w:sz w:val="22"/>
                <w:szCs w:val="22"/>
              </w:rPr>
            </w:pPr>
            <w:r w:rsidRPr="00760236">
              <w:rPr>
                <w:sz w:val="22"/>
                <w:szCs w:val="22"/>
              </w:rPr>
              <w:t>$57.64</w:t>
            </w:r>
          </w:p>
        </w:tc>
      </w:tr>
      <w:tr w:rsidR="00760236" w:rsidRPr="00760236" w14:paraId="1EA4466B" w14:textId="77777777" w:rsidTr="0078744F">
        <w:trPr>
          <w:trHeight w:val="230"/>
        </w:trPr>
        <w:tc>
          <w:tcPr>
            <w:tcW w:w="1525" w:type="dxa"/>
            <w:noWrap/>
            <w:vAlign w:val="center"/>
            <w:hideMark/>
          </w:tcPr>
          <w:p w14:paraId="276141BC" w14:textId="77777777" w:rsidR="00760236" w:rsidRPr="00760236" w:rsidRDefault="00760236" w:rsidP="0078744F">
            <w:pPr>
              <w:spacing w:after="120"/>
              <w:contextualSpacing/>
              <w:jc w:val="center"/>
              <w:rPr>
                <w:sz w:val="22"/>
                <w:szCs w:val="22"/>
              </w:rPr>
            </w:pPr>
            <w:r w:rsidRPr="00760236">
              <w:rPr>
                <w:sz w:val="22"/>
                <w:szCs w:val="22"/>
              </w:rPr>
              <w:t>E0711</w:t>
            </w:r>
          </w:p>
        </w:tc>
        <w:tc>
          <w:tcPr>
            <w:tcW w:w="1260" w:type="dxa"/>
            <w:vAlign w:val="bottom"/>
          </w:tcPr>
          <w:p w14:paraId="592380D1" w14:textId="77777777" w:rsidR="00760236" w:rsidRPr="00760236" w:rsidRDefault="00760236" w:rsidP="0078744F">
            <w:pPr>
              <w:spacing w:after="120"/>
              <w:contextualSpacing/>
              <w:rPr>
                <w:sz w:val="22"/>
                <w:szCs w:val="22"/>
              </w:rPr>
            </w:pPr>
            <w:r w:rsidRPr="00760236">
              <w:rPr>
                <w:sz w:val="22"/>
                <w:szCs w:val="22"/>
              </w:rPr>
              <w:t> </w:t>
            </w:r>
          </w:p>
        </w:tc>
        <w:tc>
          <w:tcPr>
            <w:tcW w:w="5507" w:type="dxa"/>
          </w:tcPr>
          <w:p w14:paraId="4211C29E" w14:textId="77777777" w:rsidR="00760236" w:rsidRPr="00760236" w:rsidRDefault="00760236" w:rsidP="0078744F">
            <w:pPr>
              <w:spacing w:after="120"/>
              <w:contextualSpacing/>
              <w:rPr>
                <w:sz w:val="22"/>
                <w:szCs w:val="22"/>
              </w:rPr>
            </w:pPr>
            <w:r w:rsidRPr="00760236">
              <w:rPr>
                <w:sz w:val="22"/>
                <w:szCs w:val="22"/>
              </w:rPr>
              <w:t>Upper extremity medical tubing/lines enclosure or covering device, restricts elbow range of motion</w:t>
            </w:r>
          </w:p>
        </w:tc>
        <w:tc>
          <w:tcPr>
            <w:tcW w:w="1873" w:type="dxa"/>
            <w:vAlign w:val="center"/>
          </w:tcPr>
          <w:p w14:paraId="3E64086E" w14:textId="77777777" w:rsidR="00760236" w:rsidRPr="00760236" w:rsidRDefault="00760236" w:rsidP="0078744F">
            <w:pPr>
              <w:spacing w:after="120"/>
              <w:contextualSpacing/>
              <w:jc w:val="center"/>
              <w:rPr>
                <w:sz w:val="22"/>
                <w:szCs w:val="22"/>
              </w:rPr>
            </w:pPr>
            <w:r w:rsidRPr="00760236">
              <w:rPr>
                <w:sz w:val="22"/>
                <w:szCs w:val="22"/>
              </w:rPr>
              <w:t>AAC+ 20%</w:t>
            </w:r>
          </w:p>
        </w:tc>
      </w:tr>
      <w:tr w:rsidR="00760236" w:rsidRPr="00760236" w14:paraId="6D11C607" w14:textId="77777777" w:rsidTr="0078744F">
        <w:trPr>
          <w:trHeight w:val="230"/>
        </w:trPr>
        <w:tc>
          <w:tcPr>
            <w:tcW w:w="1525" w:type="dxa"/>
            <w:noWrap/>
            <w:vAlign w:val="center"/>
            <w:hideMark/>
          </w:tcPr>
          <w:p w14:paraId="1F2E4446" w14:textId="77777777" w:rsidR="00760236" w:rsidRPr="00760236" w:rsidRDefault="00760236" w:rsidP="0078744F">
            <w:pPr>
              <w:spacing w:after="120"/>
              <w:contextualSpacing/>
              <w:jc w:val="center"/>
              <w:rPr>
                <w:sz w:val="22"/>
                <w:szCs w:val="22"/>
              </w:rPr>
            </w:pPr>
            <w:r w:rsidRPr="00760236">
              <w:rPr>
                <w:sz w:val="22"/>
                <w:szCs w:val="22"/>
              </w:rPr>
              <w:t>E1905</w:t>
            </w:r>
          </w:p>
        </w:tc>
        <w:tc>
          <w:tcPr>
            <w:tcW w:w="1260" w:type="dxa"/>
            <w:vAlign w:val="bottom"/>
          </w:tcPr>
          <w:p w14:paraId="4CFDFD42" w14:textId="77777777" w:rsidR="00760236" w:rsidRPr="00760236" w:rsidRDefault="00760236" w:rsidP="0078744F">
            <w:pPr>
              <w:spacing w:after="120"/>
              <w:contextualSpacing/>
              <w:rPr>
                <w:sz w:val="22"/>
                <w:szCs w:val="22"/>
              </w:rPr>
            </w:pPr>
            <w:r w:rsidRPr="00760236">
              <w:rPr>
                <w:sz w:val="22"/>
                <w:szCs w:val="22"/>
              </w:rPr>
              <w:t> </w:t>
            </w:r>
          </w:p>
        </w:tc>
        <w:tc>
          <w:tcPr>
            <w:tcW w:w="5507" w:type="dxa"/>
          </w:tcPr>
          <w:p w14:paraId="46E99FEC" w14:textId="77777777" w:rsidR="00760236" w:rsidRPr="00760236" w:rsidRDefault="00760236" w:rsidP="0078744F">
            <w:pPr>
              <w:spacing w:after="120"/>
              <w:contextualSpacing/>
              <w:rPr>
                <w:sz w:val="22"/>
                <w:szCs w:val="22"/>
              </w:rPr>
            </w:pPr>
            <w:r w:rsidRPr="00760236">
              <w:rPr>
                <w:sz w:val="22"/>
                <w:szCs w:val="22"/>
              </w:rPr>
              <w:t>Virtual reality cognitive behavioral therapy device (CBT), including pre-programmed therapy software</w:t>
            </w:r>
          </w:p>
        </w:tc>
        <w:tc>
          <w:tcPr>
            <w:tcW w:w="1873" w:type="dxa"/>
            <w:vAlign w:val="center"/>
          </w:tcPr>
          <w:p w14:paraId="0BA8FD80" w14:textId="77777777" w:rsidR="00760236" w:rsidRPr="00760236" w:rsidRDefault="00760236" w:rsidP="0078744F">
            <w:pPr>
              <w:spacing w:after="120"/>
              <w:contextualSpacing/>
              <w:jc w:val="center"/>
              <w:rPr>
                <w:sz w:val="22"/>
                <w:szCs w:val="22"/>
              </w:rPr>
            </w:pPr>
            <w:r w:rsidRPr="00760236">
              <w:rPr>
                <w:sz w:val="22"/>
                <w:szCs w:val="22"/>
              </w:rPr>
              <w:t>AAC+ 30%</w:t>
            </w:r>
          </w:p>
        </w:tc>
      </w:tr>
      <w:tr w:rsidR="00760236" w:rsidRPr="00760236" w14:paraId="2D734448" w14:textId="77777777" w:rsidTr="0078744F">
        <w:trPr>
          <w:trHeight w:val="230"/>
        </w:trPr>
        <w:tc>
          <w:tcPr>
            <w:tcW w:w="1525" w:type="dxa"/>
            <w:noWrap/>
            <w:vAlign w:val="center"/>
            <w:hideMark/>
          </w:tcPr>
          <w:p w14:paraId="5DE6F307" w14:textId="77777777" w:rsidR="00760236" w:rsidRPr="00760236" w:rsidRDefault="00760236" w:rsidP="0078744F">
            <w:pPr>
              <w:spacing w:after="120"/>
              <w:contextualSpacing/>
              <w:jc w:val="center"/>
              <w:rPr>
                <w:sz w:val="22"/>
                <w:szCs w:val="22"/>
              </w:rPr>
            </w:pPr>
            <w:r w:rsidRPr="00760236">
              <w:rPr>
                <w:sz w:val="22"/>
                <w:szCs w:val="22"/>
              </w:rPr>
              <w:lastRenderedPageBreak/>
              <w:t>K1035</w:t>
            </w:r>
          </w:p>
        </w:tc>
        <w:tc>
          <w:tcPr>
            <w:tcW w:w="1260" w:type="dxa"/>
            <w:vAlign w:val="bottom"/>
          </w:tcPr>
          <w:p w14:paraId="00063062" w14:textId="77777777" w:rsidR="00760236" w:rsidRPr="00760236" w:rsidRDefault="00760236" w:rsidP="0078744F">
            <w:pPr>
              <w:spacing w:after="120"/>
              <w:contextualSpacing/>
              <w:rPr>
                <w:sz w:val="22"/>
                <w:szCs w:val="22"/>
              </w:rPr>
            </w:pPr>
            <w:r w:rsidRPr="00760236">
              <w:rPr>
                <w:sz w:val="22"/>
                <w:szCs w:val="22"/>
              </w:rPr>
              <w:t> </w:t>
            </w:r>
          </w:p>
        </w:tc>
        <w:tc>
          <w:tcPr>
            <w:tcW w:w="5507" w:type="dxa"/>
          </w:tcPr>
          <w:p w14:paraId="087AD51B" w14:textId="77777777" w:rsidR="00760236" w:rsidRPr="00760236" w:rsidRDefault="00760236" w:rsidP="0078744F">
            <w:pPr>
              <w:spacing w:after="120"/>
              <w:contextualSpacing/>
              <w:rPr>
                <w:sz w:val="22"/>
                <w:szCs w:val="22"/>
              </w:rPr>
            </w:pPr>
            <w:r w:rsidRPr="00760236">
              <w:rPr>
                <w:sz w:val="22"/>
                <w:szCs w:val="22"/>
              </w:rPr>
              <w:t xml:space="preserve">Molecular diagnostic test reader, nonprescription self-administered and self-collected use, FDA approved, </w:t>
            </w:r>
            <w:proofErr w:type="gramStart"/>
            <w:r w:rsidRPr="00760236">
              <w:rPr>
                <w:sz w:val="22"/>
                <w:szCs w:val="22"/>
              </w:rPr>
              <w:t>authorized</w:t>
            </w:r>
            <w:proofErr w:type="gramEnd"/>
            <w:r w:rsidRPr="00760236">
              <w:rPr>
                <w:sz w:val="22"/>
                <w:szCs w:val="22"/>
              </w:rPr>
              <w:t xml:space="preserve"> or cleared</w:t>
            </w:r>
          </w:p>
        </w:tc>
        <w:tc>
          <w:tcPr>
            <w:tcW w:w="1873" w:type="dxa"/>
            <w:vAlign w:val="center"/>
          </w:tcPr>
          <w:p w14:paraId="6B4E1472" w14:textId="77777777" w:rsidR="00760236" w:rsidRPr="00760236" w:rsidRDefault="00760236" w:rsidP="0078744F">
            <w:pPr>
              <w:spacing w:after="120"/>
              <w:contextualSpacing/>
              <w:jc w:val="center"/>
              <w:rPr>
                <w:sz w:val="22"/>
                <w:szCs w:val="22"/>
              </w:rPr>
            </w:pPr>
            <w:r w:rsidRPr="00760236">
              <w:rPr>
                <w:sz w:val="22"/>
                <w:szCs w:val="22"/>
              </w:rPr>
              <w:t>AAC+ 30%</w:t>
            </w:r>
          </w:p>
        </w:tc>
      </w:tr>
    </w:tbl>
    <w:p w14:paraId="78A16F76" w14:textId="77777777" w:rsidR="00760236" w:rsidRPr="00760236" w:rsidRDefault="00760236" w:rsidP="00760236">
      <w:pPr>
        <w:contextualSpacing/>
        <w:rPr>
          <w:rFonts w:ascii="Times New Roman" w:hAnsi="Times New Roman" w:cs="Times New Roman"/>
          <w:b/>
        </w:rPr>
      </w:pPr>
    </w:p>
    <w:p w14:paraId="643E055D" w14:textId="77777777" w:rsidR="00760236" w:rsidRPr="00760236" w:rsidRDefault="00760236" w:rsidP="00760236">
      <w:pPr>
        <w:contextualSpacing/>
        <w:rPr>
          <w:rFonts w:ascii="Times New Roman" w:hAnsi="Times New Roman" w:cs="Times New Roman"/>
          <w:b/>
        </w:rPr>
      </w:pPr>
      <w:r w:rsidRPr="00760236">
        <w:rPr>
          <w:rFonts w:ascii="Times New Roman" w:hAnsi="Times New Roman" w:cs="Times New Roman"/>
          <w:b/>
        </w:rPr>
        <w:t>Revised Code Descriptions:</w:t>
      </w:r>
    </w:p>
    <w:p w14:paraId="3A60B899" w14:textId="77777777" w:rsidR="00760236" w:rsidRPr="00760236" w:rsidRDefault="00760236" w:rsidP="00760236">
      <w:pPr>
        <w:contextualSpacing/>
        <w:rPr>
          <w:rFonts w:ascii="Times New Roman" w:hAnsi="Times New Roman" w:cs="Times New Roman"/>
          <w:b/>
        </w:rPr>
      </w:pPr>
    </w:p>
    <w:tbl>
      <w:tblPr>
        <w:tblW w:w="102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0"/>
        <w:gridCol w:w="8672"/>
      </w:tblGrid>
      <w:tr w:rsidR="00760236" w:rsidRPr="00760236" w14:paraId="0BFA91D6" w14:textId="77777777" w:rsidTr="0078744F">
        <w:trPr>
          <w:trHeight w:val="230"/>
          <w:tblHeader/>
        </w:trPr>
        <w:tc>
          <w:tcPr>
            <w:tcW w:w="1530" w:type="dxa"/>
            <w:vAlign w:val="center"/>
          </w:tcPr>
          <w:p w14:paraId="2B968A11" w14:textId="77777777" w:rsidR="00760236" w:rsidRPr="00760236" w:rsidRDefault="00760236" w:rsidP="006F34DF">
            <w:pPr>
              <w:autoSpaceDE w:val="0"/>
              <w:autoSpaceDN w:val="0"/>
              <w:adjustRightInd w:val="0"/>
              <w:jc w:val="center"/>
              <w:rPr>
                <w:rFonts w:ascii="Times New Roman" w:hAnsi="Times New Roman" w:cs="Times New Roman"/>
                <w:b/>
                <w:bCs/>
              </w:rPr>
            </w:pPr>
            <w:r w:rsidRPr="00760236">
              <w:rPr>
                <w:rFonts w:ascii="Times New Roman" w:hAnsi="Times New Roman" w:cs="Times New Roman"/>
                <w:b/>
                <w:bCs/>
              </w:rPr>
              <w:t>Code</w:t>
            </w:r>
          </w:p>
        </w:tc>
        <w:tc>
          <w:tcPr>
            <w:tcW w:w="8672" w:type="dxa"/>
            <w:vAlign w:val="center"/>
          </w:tcPr>
          <w:p w14:paraId="493B88C4" w14:textId="77777777" w:rsidR="00760236" w:rsidRPr="00760236" w:rsidRDefault="00760236" w:rsidP="006F34DF">
            <w:pPr>
              <w:autoSpaceDE w:val="0"/>
              <w:autoSpaceDN w:val="0"/>
              <w:adjustRightInd w:val="0"/>
              <w:jc w:val="center"/>
              <w:rPr>
                <w:rFonts w:ascii="Times New Roman" w:hAnsi="Times New Roman" w:cs="Times New Roman"/>
                <w:b/>
                <w:bCs/>
              </w:rPr>
            </w:pPr>
            <w:r w:rsidRPr="00760236">
              <w:rPr>
                <w:rFonts w:ascii="Times New Roman" w:hAnsi="Times New Roman" w:cs="Times New Roman"/>
                <w:b/>
                <w:bCs/>
              </w:rPr>
              <w:t>Description</w:t>
            </w:r>
          </w:p>
        </w:tc>
      </w:tr>
      <w:tr w:rsidR="00760236" w:rsidRPr="00760236" w14:paraId="02705FA8" w14:textId="77777777" w:rsidTr="0078744F">
        <w:trPr>
          <w:trHeight w:val="230"/>
          <w:tblHeader/>
        </w:trPr>
        <w:tc>
          <w:tcPr>
            <w:tcW w:w="1530" w:type="dxa"/>
            <w:vAlign w:val="center"/>
          </w:tcPr>
          <w:p w14:paraId="26B96EEC" w14:textId="77777777" w:rsidR="00760236" w:rsidRPr="00760236" w:rsidRDefault="00760236" w:rsidP="006F34DF">
            <w:pPr>
              <w:autoSpaceDE w:val="0"/>
              <w:autoSpaceDN w:val="0"/>
              <w:adjustRightInd w:val="0"/>
              <w:rPr>
                <w:rFonts w:ascii="Times New Roman" w:eastAsiaTheme="minorEastAsia" w:hAnsi="Times New Roman" w:cs="Times New Roman"/>
              </w:rPr>
            </w:pPr>
            <w:r w:rsidRPr="00760236">
              <w:rPr>
                <w:rFonts w:ascii="Times New Roman" w:eastAsiaTheme="minorEastAsia" w:hAnsi="Times New Roman" w:cs="Times New Roman"/>
              </w:rPr>
              <w:t>A4628</w:t>
            </w:r>
          </w:p>
        </w:tc>
        <w:tc>
          <w:tcPr>
            <w:tcW w:w="8672" w:type="dxa"/>
            <w:vAlign w:val="center"/>
          </w:tcPr>
          <w:p w14:paraId="32E125B5" w14:textId="77777777" w:rsidR="00760236" w:rsidRPr="00760236" w:rsidRDefault="00760236" w:rsidP="006F34DF">
            <w:pPr>
              <w:autoSpaceDE w:val="0"/>
              <w:autoSpaceDN w:val="0"/>
              <w:adjustRightInd w:val="0"/>
              <w:rPr>
                <w:rFonts w:ascii="Times New Roman" w:hAnsi="Times New Roman" w:cs="Times New Roman"/>
              </w:rPr>
            </w:pPr>
            <w:r w:rsidRPr="00760236">
              <w:rPr>
                <w:rFonts w:ascii="Times New Roman" w:hAnsi="Times New Roman" w:cs="Times New Roman"/>
              </w:rPr>
              <w:t>Oral and/or oropharyngeal suction catheter, each</w:t>
            </w:r>
          </w:p>
        </w:tc>
      </w:tr>
      <w:tr w:rsidR="00760236" w:rsidRPr="00760236" w14:paraId="4F6869F8" w14:textId="77777777" w:rsidTr="0078744F">
        <w:trPr>
          <w:trHeight w:val="230"/>
          <w:tblHeader/>
        </w:trPr>
        <w:tc>
          <w:tcPr>
            <w:tcW w:w="1530" w:type="dxa"/>
            <w:vAlign w:val="center"/>
          </w:tcPr>
          <w:p w14:paraId="2C126DC6" w14:textId="77777777" w:rsidR="00760236" w:rsidRPr="00760236" w:rsidRDefault="00760236" w:rsidP="006F34DF">
            <w:pPr>
              <w:autoSpaceDE w:val="0"/>
              <w:autoSpaceDN w:val="0"/>
              <w:adjustRightInd w:val="0"/>
              <w:rPr>
                <w:rFonts w:ascii="Times New Roman" w:eastAsiaTheme="minorEastAsia" w:hAnsi="Times New Roman" w:cs="Times New Roman"/>
              </w:rPr>
            </w:pPr>
            <w:r w:rsidRPr="00760236">
              <w:rPr>
                <w:rFonts w:ascii="Times New Roman" w:eastAsiaTheme="minorEastAsia" w:hAnsi="Times New Roman" w:cs="Times New Roman"/>
              </w:rPr>
              <w:t>K1019</w:t>
            </w:r>
          </w:p>
        </w:tc>
        <w:tc>
          <w:tcPr>
            <w:tcW w:w="8672" w:type="dxa"/>
            <w:vAlign w:val="center"/>
          </w:tcPr>
          <w:p w14:paraId="5A0A122F" w14:textId="77777777" w:rsidR="00760236" w:rsidRPr="00760236" w:rsidRDefault="00760236" w:rsidP="006F34DF">
            <w:pPr>
              <w:autoSpaceDE w:val="0"/>
              <w:autoSpaceDN w:val="0"/>
              <w:adjustRightInd w:val="0"/>
              <w:rPr>
                <w:rFonts w:ascii="Times New Roman" w:hAnsi="Times New Roman" w:cs="Times New Roman"/>
              </w:rPr>
            </w:pPr>
            <w:r w:rsidRPr="00760236">
              <w:rPr>
                <w:rFonts w:ascii="Times New Roman" w:hAnsi="Times New Roman" w:cs="Times New Roman"/>
              </w:rPr>
              <w:t>Supplies and accessories for external upper limb tremor stimulator of the peripheral nerves of the wrist</w:t>
            </w:r>
          </w:p>
        </w:tc>
      </w:tr>
    </w:tbl>
    <w:p w14:paraId="030F88DE" w14:textId="77777777" w:rsidR="00760236" w:rsidRDefault="00760236" w:rsidP="00432772">
      <w:pPr>
        <w:spacing w:after="240"/>
        <w:contextualSpacing/>
        <w:rPr>
          <w:rFonts w:ascii="Times New Roman" w:eastAsia="Calibri" w:hAnsi="Times New Roman" w:cs="Times New Roman"/>
          <w:b/>
          <w:bCs/>
        </w:rPr>
      </w:pPr>
    </w:p>
    <w:p w14:paraId="4BAD3085" w14:textId="77777777" w:rsidR="00D91E31" w:rsidRPr="00760236" w:rsidRDefault="00D91E31" w:rsidP="00432772">
      <w:pPr>
        <w:spacing w:after="240"/>
        <w:contextualSpacing/>
        <w:rPr>
          <w:rFonts w:ascii="Times New Roman" w:eastAsia="Calibri" w:hAnsi="Times New Roman" w:cs="Times New Roman"/>
          <w:b/>
          <w:bCs/>
        </w:rPr>
      </w:pPr>
    </w:p>
    <w:p w14:paraId="06025B42" w14:textId="77777777" w:rsidR="00760236" w:rsidRDefault="00760236" w:rsidP="00760236">
      <w:pPr>
        <w:spacing w:after="240"/>
        <w:contextualSpacing/>
        <w:jc w:val="center"/>
        <w:rPr>
          <w:rFonts w:ascii="Times New Roman" w:hAnsi="Times New Roman" w:cs="Times New Roman"/>
          <w:b/>
          <w:bCs/>
        </w:rPr>
      </w:pPr>
      <w:r w:rsidRPr="00760236">
        <w:rPr>
          <w:rFonts w:ascii="Times New Roman" w:eastAsia="Calibri" w:hAnsi="Times New Roman" w:cs="Times New Roman"/>
          <w:b/>
          <w:bCs/>
        </w:rPr>
        <w:t xml:space="preserve">Effective </w:t>
      </w:r>
      <w:r w:rsidRPr="00760236">
        <w:rPr>
          <w:rFonts w:ascii="Times New Roman" w:hAnsi="Times New Roman" w:cs="Times New Roman"/>
          <w:b/>
          <w:bCs/>
        </w:rPr>
        <w:t>July 1, 2023</w:t>
      </w:r>
    </w:p>
    <w:p w14:paraId="11038E68" w14:textId="77777777" w:rsidR="006D4B0D" w:rsidRPr="00760236" w:rsidRDefault="006D4B0D" w:rsidP="00760236">
      <w:pPr>
        <w:spacing w:after="240"/>
        <w:contextualSpacing/>
        <w:jc w:val="center"/>
        <w:rPr>
          <w:rFonts w:ascii="Times New Roman" w:hAnsi="Times New Roman" w:cs="Times New Roman"/>
          <w:b/>
          <w:bCs/>
        </w:rPr>
      </w:pPr>
    </w:p>
    <w:p w14:paraId="2373A5B5" w14:textId="77777777" w:rsidR="00760236" w:rsidRPr="00760236" w:rsidRDefault="00760236" w:rsidP="00760236">
      <w:pPr>
        <w:contextualSpacing/>
        <w:rPr>
          <w:rFonts w:ascii="Times New Roman" w:hAnsi="Times New Roman" w:cs="Times New Roman"/>
          <w:b/>
        </w:rPr>
      </w:pPr>
      <w:r w:rsidRPr="00760236">
        <w:rPr>
          <w:rFonts w:ascii="Times New Roman" w:hAnsi="Times New Roman" w:cs="Times New Roman"/>
          <w:b/>
        </w:rPr>
        <w:t>Added Codes:</w:t>
      </w:r>
    </w:p>
    <w:p w14:paraId="26A8DA1A" w14:textId="77777777" w:rsidR="00760236" w:rsidRPr="00760236" w:rsidRDefault="00760236" w:rsidP="00760236">
      <w:pPr>
        <w:contextualSpacing/>
        <w:rPr>
          <w:rFonts w:ascii="Times New Roman" w:hAnsi="Times New Roman" w:cs="Times New Roman"/>
          <w:b/>
        </w:rPr>
      </w:pPr>
    </w:p>
    <w:tbl>
      <w:tblPr>
        <w:tblStyle w:val="TableGrid"/>
        <w:tblW w:w="10165" w:type="dxa"/>
        <w:tblLook w:val="04A0" w:firstRow="1" w:lastRow="0" w:firstColumn="1" w:lastColumn="0" w:noHBand="0" w:noVBand="1"/>
      </w:tblPr>
      <w:tblGrid>
        <w:gridCol w:w="1525"/>
        <w:gridCol w:w="7290"/>
        <w:gridCol w:w="1350"/>
      </w:tblGrid>
      <w:tr w:rsidR="00760236" w:rsidRPr="00760236" w14:paraId="42F9E6C8" w14:textId="77777777" w:rsidTr="0078744F">
        <w:trPr>
          <w:trHeight w:val="230"/>
        </w:trPr>
        <w:tc>
          <w:tcPr>
            <w:tcW w:w="1525" w:type="dxa"/>
            <w:noWrap/>
            <w:hideMark/>
          </w:tcPr>
          <w:p w14:paraId="36C3DB5E" w14:textId="77777777" w:rsidR="00760236" w:rsidRPr="00760236" w:rsidRDefault="00760236" w:rsidP="006F34DF">
            <w:pPr>
              <w:contextualSpacing/>
              <w:jc w:val="center"/>
              <w:rPr>
                <w:b/>
                <w:bCs/>
                <w:sz w:val="22"/>
                <w:szCs w:val="22"/>
              </w:rPr>
            </w:pPr>
            <w:r w:rsidRPr="00760236">
              <w:rPr>
                <w:b/>
                <w:bCs/>
                <w:sz w:val="22"/>
                <w:szCs w:val="22"/>
              </w:rPr>
              <w:t>Code</w:t>
            </w:r>
          </w:p>
        </w:tc>
        <w:tc>
          <w:tcPr>
            <w:tcW w:w="7290" w:type="dxa"/>
          </w:tcPr>
          <w:p w14:paraId="12C38506" w14:textId="77777777" w:rsidR="00760236" w:rsidRPr="00760236" w:rsidRDefault="00760236" w:rsidP="006F34DF">
            <w:pPr>
              <w:contextualSpacing/>
              <w:jc w:val="center"/>
              <w:rPr>
                <w:b/>
                <w:bCs/>
                <w:sz w:val="22"/>
                <w:szCs w:val="22"/>
              </w:rPr>
            </w:pPr>
            <w:r w:rsidRPr="00760236">
              <w:rPr>
                <w:b/>
                <w:bCs/>
                <w:sz w:val="22"/>
                <w:szCs w:val="22"/>
              </w:rPr>
              <w:t>Description</w:t>
            </w:r>
          </w:p>
        </w:tc>
        <w:tc>
          <w:tcPr>
            <w:tcW w:w="1350" w:type="dxa"/>
          </w:tcPr>
          <w:p w14:paraId="71D2E722" w14:textId="77777777" w:rsidR="00760236" w:rsidRPr="00760236" w:rsidRDefault="00760236" w:rsidP="006F34DF">
            <w:pPr>
              <w:contextualSpacing/>
              <w:jc w:val="center"/>
              <w:rPr>
                <w:b/>
                <w:bCs/>
                <w:sz w:val="22"/>
                <w:szCs w:val="22"/>
              </w:rPr>
            </w:pPr>
            <w:r w:rsidRPr="00760236">
              <w:rPr>
                <w:b/>
                <w:bCs/>
                <w:sz w:val="22"/>
                <w:szCs w:val="22"/>
              </w:rPr>
              <w:t>Rate</w:t>
            </w:r>
          </w:p>
        </w:tc>
      </w:tr>
      <w:tr w:rsidR="00760236" w:rsidRPr="00760236" w14:paraId="00A89A24" w14:textId="77777777" w:rsidTr="0078744F">
        <w:trPr>
          <w:trHeight w:val="230"/>
        </w:trPr>
        <w:tc>
          <w:tcPr>
            <w:tcW w:w="1525" w:type="dxa"/>
            <w:noWrap/>
            <w:vAlign w:val="center"/>
            <w:hideMark/>
          </w:tcPr>
          <w:p w14:paraId="081761FF" w14:textId="77777777" w:rsidR="00760236" w:rsidRPr="00760236" w:rsidRDefault="00760236" w:rsidP="006F34DF">
            <w:pPr>
              <w:contextualSpacing/>
              <w:jc w:val="center"/>
              <w:rPr>
                <w:color w:val="000000"/>
                <w:sz w:val="22"/>
                <w:szCs w:val="22"/>
              </w:rPr>
            </w:pPr>
            <w:r w:rsidRPr="00760236">
              <w:rPr>
                <w:sz w:val="22"/>
                <w:szCs w:val="22"/>
              </w:rPr>
              <w:t>J1576</w:t>
            </w:r>
          </w:p>
        </w:tc>
        <w:tc>
          <w:tcPr>
            <w:tcW w:w="7290" w:type="dxa"/>
            <w:tcBorders>
              <w:top w:val="single" w:sz="4" w:space="0" w:color="auto"/>
              <w:left w:val="single" w:sz="4" w:space="0" w:color="auto"/>
              <w:bottom w:val="single" w:sz="4" w:space="0" w:color="auto"/>
              <w:right w:val="single" w:sz="4" w:space="0" w:color="auto"/>
            </w:tcBorders>
            <w:shd w:val="clear" w:color="auto" w:fill="auto"/>
          </w:tcPr>
          <w:p w14:paraId="0417373A" w14:textId="77777777" w:rsidR="00760236" w:rsidRPr="00760236" w:rsidRDefault="00760236" w:rsidP="006F34DF">
            <w:pPr>
              <w:spacing w:after="160" w:line="259" w:lineRule="auto"/>
              <w:contextualSpacing/>
              <w:rPr>
                <w:color w:val="000000"/>
                <w:sz w:val="22"/>
                <w:szCs w:val="22"/>
              </w:rPr>
            </w:pPr>
            <w:r w:rsidRPr="00760236">
              <w:rPr>
                <w:color w:val="000000"/>
                <w:sz w:val="22"/>
                <w:szCs w:val="22"/>
              </w:rPr>
              <w:t>Injection, immune globulin (</w:t>
            </w:r>
            <w:proofErr w:type="spellStart"/>
            <w:r w:rsidRPr="00760236">
              <w:rPr>
                <w:color w:val="000000"/>
                <w:sz w:val="22"/>
                <w:szCs w:val="22"/>
              </w:rPr>
              <w:t>Panzyga</w:t>
            </w:r>
            <w:proofErr w:type="spellEnd"/>
            <w:r w:rsidRPr="00760236">
              <w:rPr>
                <w:color w:val="000000"/>
                <w:sz w:val="22"/>
                <w:szCs w:val="22"/>
              </w:rPr>
              <w:t>), intravenous, non-lyophilized (e.g., liquid), 500 mg</w:t>
            </w:r>
          </w:p>
        </w:tc>
        <w:tc>
          <w:tcPr>
            <w:tcW w:w="1350" w:type="dxa"/>
            <w:vAlign w:val="center"/>
          </w:tcPr>
          <w:p w14:paraId="09AE5968" w14:textId="77777777" w:rsidR="00760236" w:rsidRPr="00760236" w:rsidRDefault="00760236" w:rsidP="006F34DF">
            <w:pPr>
              <w:spacing w:after="160" w:line="259" w:lineRule="auto"/>
              <w:contextualSpacing/>
              <w:jc w:val="center"/>
              <w:rPr>
                <w:color w:val="000000"/>
                <w:sz w:val="22"/>
                <w:szCs w:val="22"/>
              </w:rPr>
            </w:pPr>
            <w:r w:rsidRPr="00760236">
              <w:rPr>
                <w:color w:val="000000"/>
                <w:sz w:val="22"/>
                <w:szCs w:val="22"/>
              </w:rPr>
              <w:t>AAC+ 20%</w:t>
            </w:r>
          </w:p>
        </w:tc>
      </w:tr>
      <w:tr w:rsidR="00760236" w:rsidRPr="00760236" w14:paraId="30139781" w14:textId="77777777" w:rsidTr="0078744F">
        <w:trPr>
          <w:trHeight w:val="230"/>
        </w:trPr>
        <w:tc>
          <w:tcPr>
            <w:tcW w:w="1525" w:type="dxa"/>
            <w:noWrap/>
            <w:vAlign w:val="center"/>
            <w:hideMark/>
          </w:tcPr>
          <w:p w14:paraId="5F2E02C2" w14:textId="77777777" w:rsidR="00760236" w:rsidRPr="00760236" w:rsidRDefault="00760236" w:rsidP="006F34DF">
            <w:pPr>
              <w:contextualSpacing/>
              <w:jc w:val="center"/>
              <w:rPr>
                <w:color w:val="000000"/>
                <w:sz w:val="22"/>
                <w:szCs w:val="22"/>
              </w:rPr>
            </w:pPr>
            <w:r w:rsidRPr="00760236">
              <w:rPr>
                <w:sz w:val="22"/>
                <w:szCs w:val="22"/>
              </w:rPr>
              <w:t>J1811</w:t>
            </w:r>
          </w:p>
        </w:tc>
        <w:tc>
          <w:tcPr>
            <w:tcW w:w="7290" w:type="dxa"/>
            <w:tcBorders>
              <w:top w:val="nil"/>
              <w:left w:val="single" w:sz="4" w:space="0" w:color="auto"/>
              <w:bottom w:val="single" w:sz="4" w:space="0" w:color="auto"/>
              <w:right w:val="single" w:sz="4" w:space="0" w:color="auto"/>
            </w:tcBorders>
            <w:shd w:val="clear" w:color="auto" w:fill="auto"/>
          </w:tcPr>
          <w:p w14:paraId="032CC8B6" w14:textId="77777777" w:rsidR="00760236" w:rsidRPr="00760236" w:rsidRDefault="00760236" w:rsidP="006F34DF">
            <w:pPr>
              <w:spacing w:after="160" w:line="259" w:lineRule="auto"/>
              <w:contextualSpacing/>
              <w:rPr>
                <w:color w:val="000000"/>
                <w:sz w:val="22"/>
                <w:szCs w:val="22"/>
              </w:rPr>
            </w:pPr>
            <w:r w:rsidRPr="00760236">
              <w:rPr>
                <w:color w:val="000000"/>
                <w:sz w:val="22"/>
                <w:szCs w:val="22"/>
              </w:rPr>
              <w:t>Insulin (</w:t>
            </w:r>
            <w:proofErr w:type="spellStart"/>
            <w:r w:rsidRPr="00760236">
              <w:rPr>
                <w:color w:val="000000"/>
                <w:sz w:val="22"/>
                <w:szCs w:val="22"/>
              </w:rPr>
              <w:t>Fiasp</w:t>
            </w:r>
            <w:proofErr w:type="spellEnd"/>
            <w:r w:rsidRPr="00760236">
              <w:rPr>
                <w:color w:val="000000"/>
                <w:sz w:val="22"/>
                <w:szCs w:val="22"/>
              </w:rPr>
              <w:t>) for administration through DME (i.e., insulin pump) per 50 units</w:t>
            </w:r>
          </w:p>
        </w:tc>
        <w:tc>
          <w:tcPr>
            <w:tcW w:w="1350" w:type="dxa"/>
            <w:vAlign w:val="center"/>
          </w:tcPr>
          <w:p w14:paraId="681CB333" w14:textId="77777777" w:rsidR="00760236" w:rsidRPr="00760236" w:rsidRDefault="00760236" w:rsidP="006F34DF">
            <w:pPr>
              <w:spacing w:after="160" w:line="259" w:lineRule="auto"/>
              <w:contextualSpacing/>
              <w:jc w:val="center"/>
              <w:rPr>
                <w:color w:val="000000"/>
                <w:sz w:val="22"/>
                <w:szCs w:val="22"/>
              </w:rPr>
            </w:pPr>
            <w:r w:rsidRPr="00760236">
              <w:rPr>
                <w:color w:val="000000"/>
                <w:sz w:val="22"/>
                <w:szCs w:val="22"/>
              </w:rPr>
              <w:t>AAC+ 30%</w:t>
            </w:r>
          </w:p>
        </w:tc>
      </w:tr>
      <w:tr w:rsidR="00760236" w:rsidRPr="00760236" w14:paraId="1E4287BB" w14:textId="77777777" w:rsidTr="0078744F">
        <w:trPr>
          <w:trHeight w:val="230"/>
        </w:trPr>
        <w:tc>
          <w:tcPr>
            <w:tcW w:w="1525" w:type="dxa"/>
            <w:tcBorders>
              <w:bottom w:val="single" w:sz="4" w:space="0" w:color="auto"/>
            </w:tcBorders>
            <w:noWrap/>
            <w:vAlign w:val="center"/>
            <w:hideMark/>
          </w:tcPr>
          <w:p w14:paraId="7AA7F086" w14:textId="77777777" w:rsidR="00760236" w:rsidRPr="00760236" w:rsidRDefault="00760236" w:rsidP="006F34DF">
            <w:pPr>
              <w:contextualSpacing/>
              <w:jc w:val="center"/>
              <w:rPr>
                <w:color w:val="000000"/>
                <w:sz w:val="22"/>
                <w:szCs w:val="22"/>
              </w:rPr>
            </w:pPr>
            <w:r w:rsidRPr="00760236">
              <w:rPr>
                <w:sz w:val="22"/>
                <w:szCs w:val="22"/>
              </w:rPr>
              <w:t>J1813</w:t>
            </w:r>
          </w:p>
        </w:tc>
        <w:tc>
          <w:tcPr>
            <w:tcW w:w="7290" w:type="dxa"/>
            <w:tcBorders>
              <w:top w:val="nil"/>
              <w:left w:val="single" w:sz="4" w:space="0" w:color="auto"/>
              <w:bottom w:val="single" w:sz="4" w:space="0" w:color="auto"/>
              <w:right w:val="single" w:sz="4" w:space="0" w:color="auto"/>
            </w:tcBorders>
            <w:shd w:val="clear" w:color="auto" w:fill="auto"/>
          </w:tcPr>
          <w:p w14:paraId="17C33B85" w14:textId="77777777" w:rsidR="00760236" w:rsidRPr="00760236" w:rsidRDefault="00760236" w:rsidP="006F34DF">
            <w:pPr>
              <w:spacing w:after="160" w:line="259" w:lineRule="auto"/>
              <w:contextualSpacing/>
              <w:rPr>
                <w:color w:val="000000"/>
                <w:sz w:val="22"/>
                <w:szCs w:val="22"/>
              </w:rPr>
            </w:pPr>
            <w:r w:rsidRPr="00760236">
              <w:rPr>
                <w:color w:val="000000"/>
                <w:sz w:val="22"/>
                <w:szCs w:val="22"/>
              </w:rPr>
              <w:t>Insulin (</w:t>
            </w:r>
            <w:proofErr w:type="spellStart"/>
            <w:r w:rsidRPr="00760236">
              <w:rPr>
                <w:color w:val="000000"/>
                <w:sz w:val="22"/>
                <w:szCs w:val="22"/>
              </w:rPr>
              <w:t>Lyumjev</w:t>
            </w:r>
            <w:proofErr w:type="spellEnd"/>
            <w:r w:rsidRPr="00760236">
              <w:rPr>
                <w:color w:val="000000"/>
                <w:sz w:val="22"/>
                <w:szCs w:val="22"/>
              </w:rPr>
              <w:t>) for administration through DME (i.e., insulin pump) per 50 units</w:t>
            </w:r>
          </w:p>
        </w:tc>
        <w:tc>
          <w:tcPr>
            <w:tcW w:w="1350" w:type="dxa"/>
            <w:vAlign w:val="center"/>
          </w:tcPr>
          <w:p w14:paraId="37CF1417" w14:textId="77777777" w:rsidR="00760236" w:rsidRPr="00760236" w:rsidRDefault="00760236" w:rsidP="006F34DF">
            <w:pPr>
              <w:spacing w:after="160" w:line="259" w:lineRule="auto"/>
              <w:contextualSpacing/>
              <w:jc w:val="center"/>
              <w:rPr>
                <w:color w:val="000000"/>
                <w:sz w:val="22"/>
                <w:szCs w:val="22"/>
              </w:rPr>
            </w:pPr>
            <w:r w:rsidRPr="00760236">
              <w:rPr>
                <w:color w:val="000000"/>
                <w:sz w:val="22"/>
                <w:szCs w:val="22"/>
              </w:rPr>
              <w:t>AAC+ 30%</w:t>
            </w:r>
          </w:p>
        </w:tc>
      </w:tr>
    </w:tbl>
    <w:p w14:paraId="4EC61DEA" w14:textId="77777777" w:rsidR="00EF6C72" w:rsidRPr="00EF6C72" w:rsidRDefault="00EF6C72" w:rsidP="00085A90"/>
    <w:sectPr w:rsidR="00EF6C72" w:rsidRPr="00EF6C72" w:rsidSect="00D548A1">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CC5F9" w14:textId="77777777" w:rsidR="00943550" w:rsidRDefault="00943550" w:rsidP="00153DCE">
      <w:r>
        <w:separator/>
      </w:r>
    </w:p>
  </w:endnote>
  <w:endnote w:type="continuationSeparator" w:id="0">
    <w:p w14:paraId="20E633BF" w14:textId="77777777" w:rsidR="00943550" w:rsidRDefault="00943550" w:rsidP="0015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140100"/>
      <w:docPartObj>
        <w:docPartGallery w:val="Page Numbers (Bottom of Page)"/>
        <w:docPartUnique/>
      </w:docPartObj>
    </w:sdtPr>
    <w:sdtEndPr>
      <w:rPr>
        <w:noProof/>
      </w:rPr>
    </w:sdtEndPr>
    <w:sdtContent>
      <w:p w14:paraId="394AA9D9" w14:textId="7F0FEAE1" w:rsidR="00965C67" w:rsidRDefault="00965C67" w:rsidP="001260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B83797" w14:textId="77777777" w:rsidR="00965C67" w:rsidRDefault="00965C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886738"/>
      <w:docPartObj>
        <w:docPartGallery w:val="Page Numbers (Bottom of Page)"/>
        <w:docPartUnique/>
      </w:docPartObj>
    </w:sdtPr>
    <w:sdtEndPr>
      <w:rPr>
        <w:noProof/>
      </w:rPr>
    </w:sdtEndPr>
    <w:sdtContent>
      <w:p w14:paraId="1EB05E1F" w14:textId="45ED1060" w:rsidR="00965C67" w:rsidRDefault="00965C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A43C7D" w14:textId="77777777" w:rsidR="00965C67" w:rsidRDefault="00965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7DB9A" w14:textId="77777777" w:rsidR="00943550" w:rsidRDefault="00943550" w:rsidP="00153DCE">
      <w:r>
        <w:separator/>
      </w:r>
    </w:p>
  </w:footnote>
  <w:footnote w:type="continuationSeparator" w:id="0">
    <w:p w14:paraId="564EE2E6" w14:textId="77777777" w:rsidR="00943550" w:rsidRDefault="00943550" w:rsidP="0015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1FA4" w14:textId="249F2DEC" w:rsidR="00EE4CAE" w:rsidRPr="006E5DED" w:rsidRDefault="004D48D7" w:rsidP="00EE4CAE">
    <w:pPr>
      <w:pStyle w:val="Header"/>
      <w:rPr>
        <w:noProof/>
        <w:color w:val="1F497D" w:themeColor="text2"/>
      </w:rPr>
    </w:pPr>
    <w:r>
      <w:rPr>
        <w:noProof/>
        <w:color w:val="1F497D" w:themeColor="text2"/>
      </w:rPr>
      <w:drawing>
        <wp:anchor distT="0" distB="0" distL="114300" distR="114300" simplePos="0" relativeHeight="251662336" behindDoc="0" locked="0" layoutInCell="1" allowOverlap="1" wp14:anchorId="64AAB5A7" wp14:editId="3047065E">
          <wp:simplePos x="0" y="0"/>
          <wp:positionH relativeFrom="column">
            <wp:posOffset>4774565</wp:posOffset>
          </wp:positionH>
          <wp:positionV relativeFrom="paragraph">
            <wp:posOffset>123825</wp:posOffset>
          </wp:positionV>
          <wp:extent cx="1174115" cy="621665"/>
          <wp:effectExtent l="0" t="0" r="6985" b="698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00585302" w:rsidRPr="006E5DED">
      <w:rPr>
        <w:noProof/>
        <w:color w:val="1F497D" w:themeColor="text2"/>
      </w:rPr>
      <mc:AlternateContent>
        <mc:Choice Requires="wps">
          <w:drawing>
            <wp:anchor distT="0" distB="0" distL="114300" distR="114300" simplePos="0" relativeHeight="251661312" behindDoc="0" locked="0" layoutInCell="1" allowOverlap="1" wp14:anchorId="3A881FAB" wp14:editId="437C5208">
              <wp:simplePos x="0" y="0"/>
              <wp:positionH relativeFrom="column">
                <wp:posOffset>1228090</wp:posOffset>
              </wp:positionH>
              <wp:positionV relativeFrom="paragraph">
                <wp:posOffset>95250</wp:posOffset>
              </wp:positionV>
              <wp:extent cx="3589020" cy="1403985"/>
              <wp:effectExtent l="0" t="0" r="0" b="1270"/>
              <wp:wrapNone/>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81FAB" id="_x0000_t202" coordsize="21600,21600" o:spt="202" path="m,l,21600r21600,l21600,xe">
              <v:stroke joinstyle="miter"/>
              <v:path gradientshapeok="t" o:connecttype="rect"/>
            </v:shapetype>
            <v:shape id="Text Box 2" o:spid="_x0000_s1026" type="#_x0000_t202" alt="&quot;&quot;" style="position:absolute;margin-left:96.7pt;margin-top:7.5pt;width:282.6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v:textbox>
            </v:shape>
          </w:pict>
        </mc:Fallback>
      </mc:AlternateContent>
    </w:r>
    <w:r w:rsidR="00EE4CAE">
      <w:rPr>
        <w:noProof/>
        <w:color w:val="1F497D" w:themeColor="text2"/>
      </w:rPr>
      <w:drawing>
        <wp:inline distT="0" distB="0" distL="0" distR="0" wp14:anchorId="3A881FAD" wp14:editId="2FCC1632">
          <wp:extent cx="1164590" cy="137795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A881FA5" w14:textId="0E7FB65E" w:rsidR="00EE4CAE" w:rsidRDefault="00EE4CAE" w:rsidP="00EE4CAE">
    <w:pPr>
      <w:pStyle w:val="Header"/>
    </w:pPr>
    <w:r>
      <w:ptab w:relativeTo="margin" w:alignment="right" w:leader="none"/>
    </w:r>
  </w:p>
  <w:p w14:paraId="2BC6C619" w14:textId="13088075" w:rsidR="00D160CC" w:rsidRDefault="00964EDE" w:rsidP="00EE4CAE">
    <w:pPr>
      <w:pStyle w:val="Header"/>
      <w:rPr>
        <w:b/>
        <w:color w:val="1F497D" w:themeColor="text2"/>
      </w:rPr>
    </w:pPr>
    <w:r>
      <w:rPr>
        <w:b/>
        <w:color w:val="1F497D" w:themeColor="text2"/>
      </w:rPr>
      <w:t xml:space="preserve">MAURA </w:t>
    </w:r>
    <w:r w:rsidR="00E56BD5">
      <w:rPr>
        <w:b/>
        <w:color w:val="1F497D" w:themeColor="text2"/>
      </w:rPr>
      <w:t xml:space="preserve">T. </w:t>
    </w:r>
    <w:r>
      <w:rPr>
        <w:b/>
        <w:color w:val="1F497D" w:themeColor="text2"/>
      </w:rPr>
      <w:t>HEALEY</w:t>
    </w:r>
    <w:r w:rsidR="00EE4CAE" w:rsidRPr="00153DCE">
      <w:rPr>
        <w:b/>
        <w:color w:val="1F497D" w:themeColor="text2"/>
      </w:rPr>
      <w:tab/>
    </w:r>
    <w:r w:rsidR="00D160CC">
      <w:rPr>
        <w:b/>
        <w:color w:val="1F497D" w:themeColor="text2"/>
      </w:rPr>
      <w:tab/>
    </w:r>
    <w:r w:rsidR="00E320F9">
      <w:rPr>
        <w:b/>
        <w:color w:val="1F497D" w:themeColor="text2"/>
      </w:rPr>
      <w:t>KATHLEEN E. WALSH</w:t>
    </w:r>
  </w:p>
  <w:p w14:paraId="49954343" w14:textId="5737383C" w:rsidR="00734039" w:rsidRDefault="00465E5A" w:rsidP="00EE4CAE">
    <w:pPr>
      <w:pStyle w:val="Header"/>
      <w:rPr>
        <w:b/>
        <w:color w:val="1F497D" w:themeColor="text2"/>
      </w:rPr>
    </w:pPr>
    <w:r w:rsidRPr="00153DCE">
      <w:rPr>
        <w:color w:val="1F497D" w:themeColor="text2"/>
        <w:sz w:val="20"/>
        <w:szCs w:val="20"/>
      </w:rPr>
      <w:t>GOVERNOR</w:t>
    </w:r>
    <w:r>
      <w:rPr>
        <w:b/>
        <w:color w:val="1F497D" w:themeColor="text2"/>
      </w:rPr>
      <w:t xml:space="preserve"> </w:t>
    </w:r>
    <w:r w:rsidR="00EE4CAE" w:rsidRPr="00153DCE">
      <w:rPr>
        <w:b/>
        <w:color w:val="1F497D" w:themeColor="text2"/>
      </w:rPr>
      <w:t xml:space="preserve">                                                             </w:t>
    </w:r>
    <w:r w:rsidR="00964EDE">
      <w:rPr>
        <w:b/>
        <w:color w:val="1F497D" w:themeColor="text2"/>
      </w:rPr>
      <w:t xml:space="preserve">                                              </w:t>
    </w:r>
    <w:r w:rsidR="00D160CC">
      <w:rPr>
        <w:b/>
        <w:color w:val="1F497D" w:themeColor="text2"/>
      </w:rPr>
      <w:tab/>
    </w:r>
    <w:r w:rsidR="00964EDE">
      <w:rPr>
        <w:b/>
        <w:color w:val="1F497D" w:themeColor="text2"/>
      </w:rPr>
      <w:t xml:space="preserve">     </w:t>
    </w:r>
    <w:r>
      <w:rPr>
        <w:color w:val="1F497D" w:themeColor="text2"/>
        <w:sz w:val="20"/>
        <w:szCs w:val="20"/>
      </w:rPr>
      <w:t>SECRETARY</w:t>
    </w:r>
  </w:p>
  <w:p w14:paraId="50A285D4" w14:textId="77777777" w:rsidR="00734039" w:rsidRDefault="00734039" w:rsidP="00EE4CAE">
    <w:pPr>
      <w:pStyle w:val="Header"/>
      <w:rPr>
        <w:b/>
        <w:color w:val="1F497D" w:themeColor="text2"/>
      </w:rPr>
    </w:pPr>
  </w:p>
  <w:p w14:paraId="63AE781D" w14:textId="213AD8DA" w:rsidR="00734039" w:rsidRPr="00734039" w:rsidRDefault="00964EDE" w:rsidP="00EE4CAE">
    <w:pPr>
      <w:pStyle w:val="Header"/>
      <w:rPr>
        <w:b/>
        <w:color w:val="1F497D" w:themeColor="text2"/>
      </w:rPr>
    </w:pPr>
    <w:r>
      <w:rPr>
        <w:b/>
        <w:color w:val="1F497D" w:themeColor="text2"/>
      </w:rPr>
      <w:t>KIMBERLEY DRISCOLL</w:t>
    </w:r>
    <w:r w:rsidR="00EE4CAE" w:rsidRPr="00153DCE">
      <w:rPr>
        <w:b/>
        <w:color w:val="1F497D" w:themeColor="text2"/>
      </w:rPr>
      <w:t xml:space="preserve">                                   </w:t>
    </w:r>
    <w:r w:rsidR="00EE4CAE" w:rsidRPr="00153DCE">
      <w:rPr>
        <w:color w:val="1F497D" w:themeColor="text2"/>
      </w:rPr>
      <w:t xml:space="preserve">     </w:t>
    </w:r>
    <w:r w:rsidR="00EE4CAE">
      <w:tab/>
    </w:r>
    <w:r w:rsidR="00EE4CAE">
      <w:tab/>
    </w:r>
    <w:r w:rsidR="005F66F1">
      <w:rPr>
        <w:b/>
        <w:color w:val="1F497D" w:themeColor="text2"/>
      </w:rPr>
      <w:t>MIKE LEVINE</w:t>
    </w:r>
    <w:r w:rsidR="0064272D">
      <w:t xml:space="preserve">   </w:t>
    </w:r>
    <w:r w:rsidR="00E27559">
      <w:t xml:space="preserve">     </w:t>
    </w:r>
    <w:r w:rsidR="0064272D">
      <w:t xml:space="preserve"> </w:t>
    </w:r>
  </w:p>
  <w:p w14:paraId="3A881FA9" w14:textId="1B78C312" w:rsidR="00EE4CAE" w:rsidRDefault="00EE4CAE">
    <w:pPr>
      <w:pStyle w:val="Header"/>
      <w:rPr>
        <w:color w:val="1F497D" w:themeColor="text2"/>
        <w:sz w:val="20"/>
        <w:szCs w:val="20"/>
      </w:rPr>
    </w:pPr>
    <w:r w:rsidRPr="00153DCE">
      <w:rPr>
        <w:color w:val="1F497D" w:themeColor="text2"/>
        <w:sz w:val="20"/>
        <w:szCs w:val="20"/>
      </w:rPr>
      <w:t>LIEUTENANT GOVERNOR</w:t>
    </w:r>
    <w:r w:rsidR="00E27559">
      <w:rPr>
        <w:color w:val="1F497D" w:themeColor="text2"/>
        <w:sz w:val="20"/>
        <w:szCs w:val="20"/>
      </w:rPr>
      <w:t xml:space="preserve"> </w:t>
    </w:r>
    <w:r w:rsidR="00607406">
      <w:rPr>
        <w:color w:val="1F497D" w:themeColor="text2"/>
        <w:sz w:val="20"/>
        <w:szCs w:val="20"/>
      </w:rPr>
      <w:tab/>
    </w:r>
    <w:r w:rsidR="00607406">
      <w:rPr>
        <w:color w:val="1F497D" w:themeColor="text2"/>
        <w:sz w:val="20"/>
        <w:szCs w:val="20"/>
      </w:rPr>
      <w:tab/>
    </w:r>
    <w:r w:rsidR="005F66F1">
      <w:rPr>
        <w:color w:val="1F497D" w:themeColor="text2"/>
        <w:sz w:val="20"/>
        <w:szCs w:val="20"/>
      </w:rPr>
      <w:t>ASSISTANT SECRETARY</w:t>
    </w:r>
  </w:p>
  <w:p w14:paraId="1E75DEA9" w14:textId="4D5871DE" w:rsidR="005F66F1" w:rsidRPr="00607406" w:rsidRDefault="005F66F1">
    <w:pPr>
      <w:pStyle w:val="Header"/>
      <w:rPr>
        <w:color w:val="1F497D" w:themeColor="text2"/>
      </w:rPr>
    </w:pPr>
    <w:r>
      <w:rPr>
        <w:color w:val="1F497D" w:themeColor="text2"/>
        <w:sz w:val="20"/>
        <w:szCs w:val="20"/>
      </w:rPr>
      <w:tab/>
    </w:r>
    <w:r>
      <w:rPr>
        <w:color w:val="1F497D" w:themeColor="text2"/>
        <w:sz w:val="20"/>
        <w:szCs w:val="20"/>
      </w:rPr>
      <w:tab/>
      <w:t>FOR MASSHEALTH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12928"/>
    <w:rsid w:val="00024809"/>
    <w:rsid w:val="00025C80"/>
    <w:rsid w:val="000722C4"/>
    <w:rsid w:val="00085A90"/>
    <w:rsid w:val="00085C7F"/>
    <w:rsid w:val="00096AEF"/>
    <w:rsid w:val="000B3478"/>
    <w:rsid w:val="000D11E4"/>
    <w:rsid w:val="00126068"/>
    <w:rsid w:val="00134791"/>
    <w:rsid w:val="00142549"/>
    <w:rsid w:val="00153DCE"/>
    <w:rsid w:val="00154CA9"/>
    <w:rsid w:val="00193348"/>
    <w:rsid w:val="001A7742"/>
    <w:rsid w:val="001D23D3"/>
    <w:rsid w:val="001D628B"/>
    <w:rsid w:val="002448DD"/>
    <w:rsid w:val="00266B97"/>
    <w:rsid w:val="00271D28"/>
    <w:rsid w:val="00275192"/>
    <w:rsid w:val="00275F03"/>
    <w:rsid w:val="00284238"/>
    <w:rsid w:val="0029473F"/>
    <w:rsid w:val="0029735B"/>
    <w:rsid w:val="002B60E1"/>
    <w:rsid w:val="003113E4"/>
    <w:rsid w:val="0033130A"/>
    <w:rsid w:val="00347A61"/>
    <w:rsid w:val="00351564"/>
    <w:rsid w:val="00365277"/>
    <w:rsid w:val="003A3882"/>
    <w:rsid w:val="003D5273"/>
    <w:rsid w:val="003D6ED0"/>
    <w:rsid w:val="003E3E2E"/>
    <w:rsid w:val="003F6AAE"/>
    <w:rsid w:val="004139AF"/>
    <w:rsid w:val="0041466F"/>
    <w:rsid w:val="00432772"/>
    <w:rsid w:val="00443CDB"/>
    <w:rsid w:val="00465E5A"/>
    <w:rsid w:val="004D48D7"/>
    <w:rsid w:val="004F0D57"/>
    <w:rsid w:val="004F432E"/>
    <w:rsid w:val="005246D9"/>
    <w:rsid w:val="0053555D"/>
    <w:rsid w:val="00543321"/>
    <w:rsid w:val="00557AAF"/>
    <w:rsid w:val="0056312B"/>
    <w:rsid w:val="0056474D"/>
    <w:rsid w:val="0057224E"/>
    <w:rsid w:val="00583807"/>
    <w:rsid w:val="00585302"/>
    <w:rsid w:val="00591F49"/>
    <w:rsid w:val="00597C39"/>
    <w:rsid w:val="005B5D35"/>
    <w:rsid w:val="005F20AC"/>
    <w:rsid w:val="005F66F1"/>
    <w:rsid w:val="00607406"/>
    <w:rsid w:val="006201E9"/>
    <w:rsid w:val="00635DBF"/>
    <w:rsid w:val="0064272D"/>
    <w:rsid w:val="00646809"/>
    <w:rsid w:val="006718AB"/>
    <w:rsid w:val="006B1D87"/>
    <w:rsid w:val="006B6EE0"/>
    <w:rsid w:val="006D4B0D"/>
    <w:rsid w:val="006E5DED"/>
    <w:rsid w:val="0070235D"/>
    <w:rsid w:val="00715266"/>
    <w:rsid w:val="00720C4F"/>
    <w:rsid w:val="0072671D"/>
    <w:rsid w:val="00734039"/>
    <w:rsid w:val="00744128"/>
    <w:rsid w:val="00760236"/>
    <w:rsid w:val="00782360"/>
    <w:rsid w:val="0078744F"/>
    <w:rsid w:val="007B48C3"/>
    <w:rsid w:val="007F04B8"/>
    <w:rsid w:val="00800711"/>
    <w:rsid w:val="008A50C9"/>
    <w:rsid w:val="00922E8B"/>
    <w:rsid w:val="00943550"/>
    <w:rsid w:val="009503BB"/>
    <w:rsid w:val="00964EDE"/>
    <w:rsid w:val="00965C67"/>
    <w:rsid w:val="00996DD3"/>
    <w:rsid w:val="009B6126"/>
    <w:rsid w:val="009D71A2"/>
    <w:rsid w:val="009E7D6B"/>
    <w:rsid w:val="009F2DF7"/>
    <w:rsid w:val="00A00ABB"/>
    <w:rsid w:val="00A06F80"/>
    <w:rsid w:val="00A10C66"/>
    <w:rsid w:val="00A27D4A"/>
    <w:rsid w:val="00A34C8D"/>
    <w:rsid w:val="00A47EE8"/>
    <w:rsid w:val="00A935DA"/>
    <w:rsid w:val="00AA3AD8"/>
    <w:rsid w:val="00AB33D8"/>
    <w:rsid w:val="00B04032"/>
    <w:rsid w:val="00B12B24"/>
    <w:rsid w:val="00B23260"/>
    <w:rsid w:val="00B4495C"/>
    <w:rsid w:val="00B623EB"/>
    <w:rsid w:val="00B81EB5"/>
    <w:rsid w:val="00BA54E9"/>
    <w:rsid w:val="00BA6D03"/>
    <w:rsid w:val="00C00CF0"/>
    <w:rsid w:val="00C0332F"/>
    <w:rsid w:val="00C400D6"/>
    <w:rsid w:val="00C463A8"/>
    <w:rsid w:val="00C74A90"/>
    <w:rsid w:val="00C87BF7"/>
    <w:rsid w:val="00CD11C5"/>
    <w:rsid w:val="00CD67C8"/>
    <w:rsid w:val="00D160CC"/>
    <w:rsid w:val="00D5182F"/>
    <w:rsid w:val="00D53095"/>
    <w:rsid w:val="00D548A1"/>
    <w:rsid w:val="00D574F6"/>
    <w:rsid w:val="00D63172"/>
    <w:rsid w:val="00D66976"/>
    <w:rsid w:val="00D761F6"/>
    <w:rsid w:val="00D91E31"/>
    <w:rsid w:val="00DD7D46"/>
    <w:rsid w:val="00DE4BC2"/>
    <w:rsid w:val="00E10A6E"/>
    <w:rsid w:val="00E27559"/>
    <w:rsid w:val="00E320F9"/>
    <w:rsid w:val="00E56BD5"/>
    <w:rsid w:val="00E620A3"/>
    <w:rsid w:val="00E74BC2"/>
    <w:rsid w:val="00E92AC9"/>
    <w:rsid w:val="00E946D8"/>
    <w:rsid w:val="00EE4CAE"/>
    <w:rsid w:val="00EE7D20"/>
    <w:rsid w:val="00EF6C72"/>
    <w:rsid w:val="00F12C5F"/>
    <w:rsid w:val="00F44C98"/>
    <w:rsid w:val="00F45453"/>
    <w:rsid w:val="00F600BD"/>
    <w:rsid w:val="00F65E52"/>
    <w:rsid w:val="00F71CF0"/>
    <w:rsid w:val="00F732CE"/>
    <w:rsid w:val="00F74BF0"/>
    <w:rsid w:val="00F8728D"/>
    <w:rsid w:val="00F94A92"/>
    <w:rsid w:val="00FB216E"/>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qFormat/>
    <w:rsid w:val="00284238"/>
    <w:pPr>
      <w:tabs>
        <w:tab w:val="left" w:pos="3165"/>
      </w:tabs>
      <w:jc w:val="center"/>
      <w:outlineLvl w:val="0"/>
    </w:pPr>
    <w:rPr>
      <w:rFonts w:ascii="Times New Roman" w:eastAsia="Calibri"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284238"/>
    <w:rPr>
      <w:rFonts w:ascii="Times New Roman" w:eastAsia="Calibri" w:hAnsi="Times New Roman" w:cs="Times New Roman"/>
      <w:b/>
    </w:rPr>
  </w:style>
  <w:style w:type="table" w:styleId="TableGrid">
    <w:name w:val="Table Grid"/>
    <w:basedOn w:val="TableNormal"/>
    <w:rsid w:val="0076023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4BC2"/>
  </w:style>
  <w:style w:type="character" w:styleId="CommentReference">
    <w:name w:val="annotation reference"/>
    <w:basedOn w:val="DefaultParagraphFont"/>
    <w:uiPriority w:val="99"/>
    <w:semiHidden/>
    <w:unhideWhenUsed/>
    <w:rsid w:val="00A27D4A"/>
    <w:rPr>
      <w:sz w:val="16"/>
      <w:szCs w:val="16"/>
    </w:rPr>
  </w:style>
  <w:style w:type="paragraph" w:styleId="CommentText">
    <w:name w:val="annotation text"/>
    <w:basedOn w:val="Normal"/>
    <w:link w:val="CommentTextChar"/>
    <w:uiPriority w:val="99"/>
    <w:unhideWhenUsed/>
    <w:rsid w:val="00A27D4A"/>
    <w:rPr>
      <w:sz w:val="20"/>
      <w:szCs w:val="20"/>
    </w:rPr>
  </w:style>
  <w:style w:type="character" w:customStyle="1" w:styleId="CommentTextChar">
    <w:name w:val="Comment Text Char"/>
    <w:basedOn w:val="DefaultParagraphFont"/>
    <w:link w:val="CommentText"/>
    <w:uiPriority w:val="99"/>
    <w:rsid w:val="00A27D4A"/>
    <w:rPr>
      <w:sz w:val="20"/>
      <w:szCs w:val="20"/>
    </w:rPr>
  </w:style>
  <w:style w:type="paragraph" w:styleId="CommentSubject">
    <w:name w:val="annotation subject"/>
    <w:basedOn w:val="CommentText"/>
    <w:next w:val="CommentText"/>
    <w:link w:val="CommentSubjectChar"/>
    <w:uiPriority w:val="99"/>
    <w:semiHidden/>
    <w:unhideWhenUsed/>
    <w:rsid w:val="00A27D4A"/>
    <w:rPr>
      <w:b/>
      <w:bCs/>
    </w:rPr>
  </w:style>
  <w:style w:type="character" w:customStyle="1" w:styleId="CommentSubjectChar">
    <w:name w:val="Comment Subject Char"/>
    <w:basedOn w:val="CommentTextChar"/>
    <w:link w:val="CommentSubject"/>
    <w:uiPriority w:val="99"/>
    <w:semiHidden/>
    <w:rsid w:val="00A27D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2.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customXml/itemProps3.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4.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ANF</dc:creator>
  <cp:lastModifiedBy>Schooling, Kathryn H (EHS)</cp:lastModifiedBy>
  <cp:revision>3</cp:revision>
  <cp:lastPrinted>2023-03-01T20:48:00Z</cp:lastPrinted>
  <dcterms:created xsi:type="dcterms:W3CDTF">2023-09-19T15:05:00Z</dcterms:created>
  <dcterms:modified xsi:type="dcterms:W3CDTF">2023-09-20T17:58:00Z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