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1F9B" w14:textId="70770BD3" w:rsidR="00EE4CAE" w:rsidRPr="004579AA" w:rsidRDefault="00EE4CAE" w:rsidP="00AC798F">
      <w:pPr>
        <w:rPr>
          <w:vertAlign w:val="subscript"/>
        </w:rPr>
      </w:pPr>
    </w:p>
    <w:p w14:paraId="7DD57EAB" w14:textId="05EE0C73" w:rsidR="00533A3B" w:rsidRPr="00AC798F" w:rsidRDefault="00533A3B" w:rsidP="005702E6">
      <w:pPr>
        <w:pStyle w:val="Heading1"/>
        <w:spacing w:before="240"/>
      </w:pPr>
      <w:r w:rsidRPr="00AC798F">
        <w:t xml:space="preserve">Administrative Bulletin </w:t>
      </w:r>
      <w:r w:rsidR="00E05AB8" w:rsidRPr="007B169C">
        <w:t>24</w:t>
      </w:r>
      <w:r w:rsidRPr="007B169C">
        <w:t>-</w:t>
      </w:r>
      <w:r w:rsidR="007B169C" w:rsidRPr="007B169C">
        <w:t>03</w:t>
      </w:r>
    </w:p>
    <w:p w14:paraId="02695039" w14:textId="77777777" w:rsidR="00533A3B" w:rsidRPr="00533A3B" w:rsidRDefault="00533A3B" w:rsidP="00AC798F"/>
    <w:p w14:paraId="3D3165FE" w14:textId="2BAE6A34" w:rsidR="00E05AB8" w:rsidRPr="00E05AB8" w:rsidRDefault="00533A3B" w:rsidP="00E05AB8">
      <w:pPr>
        <w:jc w:val="center"/>
        <w:rPr>
          <w:rFonts w:eastAsia="Calibri" w:cs="Times New Roman"/>
          <w:b/>
          <w:sz w:val="24"/>
          <w:szCs w:val="24"/>
        </w:rPr>
      </w:pPr>
      <w:r w:rsidRPr="00E05AB8">
        <w:rPr>
          <w:b/>
          <w:bCs/>
          <w:sz w:val="24"/>
          <w:szCs w:val="24"/>
        </w:rPr>
        <w:t xml:space="preserve">101 CMR </w:t>
      </w:r>
      <w:r w:rsidR="00E05AB8" w:rsidRPr="00E05AB8">
        <w:rPr>
          <w:rFonts w:cs="Times New Roman"/>
          <w:b/>
          <w:sz w:val="24"/>
          <w:szCs w:val="24"/>
        </w:rPr>
        <w:t>322.00</w:t>
      </w:r>
      <w:r w:rsidR="00E05AB8" w:rsidRPr="00E05AB8">
        <w:rPr>
          <w:rFonts w:eastAsia="Calibri" w:cs="Times New Roman"/>
          <w:b/>
          <w:sz w:val="24"/>
          <w:szCs w:val="24"/>
        </w:rPr>
        <w:t xml:space="preserve">: </w:t>
      </w:r>
      <w:r w:rsidR="00E05AB8" w:rsidRPr="00E05AB8">
        <w:rPr>
          <w:rFonts w:eastAsia="Calibri" w:cs="Times New Roman"/>
          <w:b/>
          <w:i/>
          <w:iCs/>
          <w:sz w:val="24"/>
          <w:szCs w:val="24"/>
        </w:rPr>
        <w:t>Rates for Durable Medical Equipment, Oxygen and Respiratory Therapy Equipment</w:t>
      </w:r>
    </w:p>
    <w:p w14:paraId="1D3755FA" w14:textId="2B228A41" w:rsidR="00533A3B" w:rsidRPr="00796A70" w:rsidRDefault="00533A3B" w:rsidP="00AC798F">
      <w:pPr>
        <w:jc w:val="center"/>
        <w:rPr>
          <w:b/>
          <w:bCs/>
          <w:sz w:val="24"/>
          <w:szCs w:val="24"/>
        </w:rPr>
      </w:pPr>
    </w:p>
    <w:p w14:paraId="1C734305" w14:textId="2D933D99" w:rsidR="00E05AB8" w:rsidRPr="00E05AB8" w:rsidRDefault="00E05AB8" w:rsidP="00450633">
      <w:pPr>
        <w:spacing w:before="120" w:after="240"/>
        <w:jc w:val="center"/>
        <w:rPr>
          <w:rFonts w:cs="Times New Roman"/>
          <w:bCs/>
          <w:sz w:val="24"/>
          <w:szCs w:val="24"/>
        </w:rPr>
      </w:pPr>
      <w:r w:rsidRPr="00E05AB8">
        <w:rPr>
          <w:rFonts w:cs="Times New Roman"/>
          <w:bCs/>
          <w:sz w:val="24"/>
          <w:szCs w:val="24"/>
        </w:rPr>
        <w:t>Effective January 1, 2020, July 7, 2023, and October 1, 2023</w:t>
      </w:r>
    </w:p>
    <w:p w14:paraId="7EFFA0A3" w14:textId="7DEC9C7A" w:rsidR="00450633" w:rsidRPr="00F71812" w:rsidRDefault="00862A08" w:rsidP="00450633">
      <w:pPr>
        <w:spacing w:before="120" w:after="240"/>
        <w:jc w:val="center"/>
        <w:rPr>
          <w:rFonts w:cs="Times New Roman"/>
          <w:b/>
          <w:sz w:val="24"/>
          <w:szCs w:val="24"/>
        </w:rPr>
      </w:pPr>
      <w:r w:rsidRPr="00F71812">
        <w:rPr>
          <w:rFonts w:cs="Times New Roman"/>
          <w:b/>
          <w:sz w:val="24"/>
          <w:szCs w:val="24"/>
        </w:rPr>
        <w:t xml:space="preserve">Code </w:t>
      </w:r>
      <w:r w:rsidR="00450633" w:rsidRPr="00F71812">
        <w:rPr>
          <w:rFonts w:cs="Times New Roman"/>
          <w:b/>
          <w:sz w:val="24"/>
          <w:szCs w:val="24"/>
        </w:rPr>
        <w:t>Updates for Certain Durable Medical Equipment, Oxygen and Respiratory Equipment</w:t>
      </w:r>
    </w:p>
    <w:p w14:paraId="701886E0" w14:textId="21257ECC" w:rsidR="00533A3B" w:rsidRPr="00450633" w:rsidRDefault="00CB788B" w:rsidP="00656FFF">
      <w:pPr>
        <w:pStyle w:val="Heading2"/>
        <w:spacing w:before="240"/>
      </w:pPr>
      <w:r>
        <w:t>Summary</w:t>
      </w:r>
    </w:p>
    <w:p w14:paraId="6B8DE2CF" w14:textId="66310C87" w:rsidR="00E05AB8" w:rsidRPr="00E05AB8" w:rsidRDefault="00E05AB8" w:rsidP="00C17DC7">
      <w:pPr>
        <w:autoSpaceDE w:val="0"/>
        <w:autoSpaceDN w:val="0"/>
        <w:adjustRightInd w:val="0"/>
        <w:spacing w:after="120"/>
        <w:rPr>
          <w:rFonts w:cs="Times New Roman"/>
        </w:rPr>
      </w:pPr>
      <w:r w:rsidRPr="00E05AB8">
        <w:rPr>
          <w:rFonts w:cs="Times New Roman"/>
        </w:rPr>
        <w:t xml:space="preserve">In accordance with 101 CMR 322.01(6): </w:t>
      </w:r>
      <w:r w:rsidRPr="00E05AB8">
        <w:rPr>
          <w:rFonts w:cs="Times New Roman"/>
          <w:i/>
        </w:rPr>
        <w:t xml:space="preserve">Coding Updates and Corrections, </w:t>
      </w:r>
      <w:r w:rsidRPr="00E05AB8">
        <w:rPr>
          <w:rFonts w:cs="Times New Roman"/>
        </w:rPr>
        <w:t xml:space="preserve">the Executive Office of Health and Human Services (EOHHS) is adding new procedure codes and modifiers, and revising </w:t>
      </w:r>
      <w:r w:rsidR="00EB1D4D">
        <w:rPr>
          <w:rFonts w:cs="Times New Roman"/>
        </w:rPr>
        <w:t xml:space="preserve">certain </w:t>
      </w:r>
      <w:r w:rsidRPr="00E05AB8">
        <w:rPr>
          <w:rFonts w:cs="Times New Roman"/>
        </w:rPr>
        <w:t>code descriptions</w:t>
      </w:r>
      <w:r w:rsidR="00450633">
        <w:rPr>
          <w:rFonts w:cs="Times New Roman"/>
        </w:rPr>
        <w:t>,</w:t>
      </w:r>
      <w:r w:rsidRPr="00E05AB8">
        <w:rPr>
          <w:rFonts w:cs="Times New Roman"/>
        </w:rPr>
        <w:t xml:space="preserve"> effective for dates of service on </w:t>
      </w:r>
      <w:r w:rsidR="00450633">
        <w:rPr>
          <w:rFonts w:cs="Times New Roman"/>
        </w:rPr>
        <w:t>and</w:t>
      </w:r>
      <w:r w:rsidR="00450633" w:rsidRPr="00E05AB8">
        <w:rPr>
          <w:rFonts w:cs="Times New Roman"/>
        </w:rPr>
        <w:t xml:space="preserve"> </w:t>
      </w:r>
      <w:r w:rsidRPr="00E05AB8">
        <w:rPr>
          <w:rFonts w:cs="Times New Roman"/>
        </w:rPr>
        <w:t xml:space="preserve">after </w:t>
      </w:r>
      <w:bookmarkStart w:id="0" w:name="_Hlk152267893"/>
      <w:r w:rsidRPr="00E05AB8">
        <w:rPr>
          <w:rFonts w:cs="Times New Roman"/>
        </w:rPr>
        <w:t>January 1, 2020, July 7, 2023, and October 1, 2023</w:t>
      </w:r>
      <w:bookmarkEnd w:id="0"/>
      <w:r w:rsidRPr="00E05AB8">
        <w:rPr>
          <w:rFonts w:cs="Times New Roman"/>
        </w:rPr>
        <w:t xml:space="preserve">. The following </w:t>
      </w:r>
      <w:r w:rsidR="00450633">
        <w:rPr>
          <w:rFonts w:cs="Times New Roman"/>
        </w:rPr>
        <w:t>tables</w:t>
      </w:r>
      <w:r w:rsidR="00450633" w:rsidRPr="00E05AB8">
        <w:rPr>
          <w:rFonts w:cs="Times New Roman"/>
        </w:rPr>
        <w:t xml:space="preserve"> </w:t>
      </w:r>
      <w:r w:rsidRPr="00E05AB8">
        <w:rPr>
          <w:rFonts w:cs="Times New Roman"/>
        </w:rPr>
        <w:t>specify codes that have been added or have revised modifiers or code descriptions, along with the applicable effective dates.</w:t>
      </w:r>
    </w:p>
    <w:p w14:paraId="4E419BD4" w14:textId="47160DED" w:rsidR="00E05AB8" w:rsidRPr="00E05AB8" w:rsidRDefault="00E05AB8" w:rsidP="00C17DC7">
      <w:pPr>
        <w:autoSpaceDE w:val="0"/>
        <w:autoSpaceDN w:val="0"/>
        <w:adjustRightInd w:val="0"/>
        <w:spacing w:after="120"/>
        <w:rPr>
          <w:rFonts w:cs="Times New Roman"/>
        </w:rPr>
      </w:pPr>
      <w:r w:rsidRPr="00E05AB8">
        <w:rPr>
          <w:rFonts w:cs="Times New Roman"/>
        </w:rPr>
        <w:t>For existing codes for which only the description has changed, the rates are unchanged as described in 101 CMR 322.01(6)(b). For entirely new codes</w:t>
      </w:r>
      <w:r w:rsidR="00CF4B56">
        <w:rPr>
          <w:rFonts w:cs="Times New Roman"/>
        </w:rPr>
        <w:t xml:space="preserve"> effective October 1, </w:t>
      </w:r>
      <w:proofErr w:type="gramStart"/>
      <w:r w:rsidR="00CF4B56">
        <w:rPr>
          <w:rFonts w:cs="Times New Roman"/>
        </w:rPr>
        <w:t>2023</w:t>
      </w:r>
      <w:proofErr w:type="gramEnd"/>
      <w:r w:rsidRPr="00E05AB8">
        <w:rPr>
          <w:rFonts w:cs="Times New Roman"/>
        </w:rPr>
        <w:t xml:space="preserve"> with associated Medicare fees as of </w:t>
      </w:r>
      <w:r w:rsidR="00E73565">
        <w:rPr>
          <w:rFonts w:cs="Times New Roman"/>
        </w:rPr>
        <w:t>October 1, 2023</w:t>
      </w:r>
      <w:r w:rsidRPr="00E05AB8">
        <w:rPr>
          <w:rFonts w:cs="Times New Roman"/>
        </w:rPr>
        <w:t>, rates are set at a percentage of prevailing Medicare fees as described in 101 CMR 322.03(16)(a).</w:t>
      </w:r>
    </w:p>
    <w:p w14:paraId="216F4939" w14:textId="34211D3C" w:rsidR="00E05AB8" w:rsidRPr="00C17DC7" w:rsidRDefault="00E05AB8" w:rsidP="00C17DC7">
      <w:pPr>
        <w:autoSpaceDE w:val="0"/>
        <w:autoSpaceDN w:val="0"/>
        <w:adjustRightInd w:val="0"/>
        <w:spacing w:after="120"/>
        <w:rPr>
          <w:rFonts w:cs="Times New Roman"/>
        </w:rPr>
      </w:pPr>
      <w:r w:rsidRPr="00E05AB8">
        <w:rPr>
          <w:rFonts w:cs="Times New Roman"/>
        </w:rPr>
        <w:t xml:space="preserve">The appearance of a code in the </w:t>
      </w:r>
      <w:r w:rsidR="00DC39C7">
        <w:rPr>
          <w:rFonts w:cs="Times New Roman"/>
        </w:rPr>
        <w:t xml:space="preserve">following </w:t>
      </w:r>
      <w:r w:rsidRPr="00E05AB8">
        <w:rPr>
          <w:rFonts w:cs="Times New Roman"/>
        </w:rPr>
        <w:t>tables does not constitute authorization for, or approval of, the procedures or services for which rates are determined pursuant to 101 CMR 322.00. Governmental units that purchase services under 101 CMR 322.00 are responsible for the definition, authorization, and approval of care to publicly aided individuals.</w:t>
      </w:r>
    </w:p>
    <w:p w14:paraId="4558CAC0" w14:textId="77777777" w:rsidR="00E05AB8" w:rsidRPr="00E05AB8" w:rsidRDefault="00E05AB8" w:rsidP="00E05AB8">
      <w:pPr>
        <w:rPr>
          <w:rFonts w:cs="Times New Roman"/>
          <w:bCs/>
        </w:rPr>
      </w:pPr>
      <w:r w:rsidRPr="00E05AB8">
        <w:rPr>
          <w:rFonts w:cs="Times New Roman"/>
          <w:bCs/>
        </w:rPr>
        <w:t>Note that per Administrative Bulletin 23-20, all administrative bulletins issued under 101 CMR 322.00 between July 1, 2022, and July 7, 2023, remain in effect and are not superseded by the regulatory updates made effective July 7, 2023.</w:t>
      </w:r>
      <w:r w:rsidRPr="00E05AB8">
        <w:t xml:space="preserve"> </w:t>
      </w:r>
    </w:p>
    <w:p w14:paraId="7A6706AE" w14:textId="77777777" w:rsidR="00E05AB8" w:rsidRPr="00E05AB8" w:rsidRDefault="00E05AB8" w:rsidP="00E05AB8">
      <w:pPr>
        <w:rPr>
          <w:rFonts w:cs="Times New Roman"/>
          <w:b/>
        </w:rPr>
      </w:pPr>
    </w:p>
    <w:p w14:paraId="5D7846BB" w14:textId="756B52FF" w:rsidR="00E05AB8" w:rsidRDefault="00E05AB8">
      <w:pPr>
        <w:rPr>
          <w:rFonts w:cs="Times New Roman"/>
          <w:b/>
        </w:rPr>
      </w:pPr>
    </w:p>
    <w:p w14:paraId="30097BC1" w14:textId="77777777" w:rsidR="00C17DC7" w:rsidRDefault="00C17DC7">
      <w:pPr>
        <w:rPr>
          <w:rFonts w:cs="Times New Roman"/>
          <w:b/>
        </w:rPr>
      </w:pPr>
    </w:p>
    <w:p w14:paraId="2A5DE8C1" w14:textId="77777777" w:rsidR="00E05AB8" w:rsidRPr="00227FDA" w:rsidRDefault="00E05AB8" w:rsidP="00E263FB">
      <w:pPr>
        <w:pStyle w:val="Heading2"/>
      </w:pPr>
      <w:r w:rsidRPr="00227FDA">
        <w:rPr>
          <w:rFonts w:eastAsia="Calibri"/>
        </w:rPr>
        <w:lastRenderedPageBreak/>
        <w:t xml:space="preserve">Effective </w:t>
      </w:r>
      <w:r w:rsidRPr="00227FDA">
        <w:t>January 1, 2020</w:t>
      </w:r>
    </w:p>
    <w:p w14:paraId="5B34EB9B" w14:textId="77777777" w:rsidR="00E05AB8" w:rsidRPr="00227FDA" w:rsidRDefault="00E05AB8" w:rsidP="00E263FB">
      <w:pPr>
        <w:pStyle w:val="Heading3"/>
      </w:pPr>
      <w:r w:rsidRPr="00227FDA">
        <w:t>Added Code</w:t>
      </w:r>
    </w:p>
    <w:tbl>
      <w:tblPr>
        <w:tblStyle w:val="TableGrid"/>
        <w:tblW w:w="9535" w:type="dxa"/>
        <w:tblInd w:w="0" w:type="dxa"/>
        <w:tblLook w:val="04A0" w:firstRow="1" w:lastRow="0" w:firstColumn="1" w:lastColumn="0" w:noHBand="0" w:noVBand="1"/>
        <w:tblCaption w:val="Added Code"/>
        <w:tblDescription w:val="Effective 1/1/20"/>
      </w:tblPr>
      <w:tblGrid>
        <w:gridCol w:w="1885"/>
        <w:gridCol w:w="6081"/>
        <w:gridCol w:w="1569"/>
      </w:tblGrid>
      <w:tr w:rsidR="00E05AB8" w:rsidRPr="00227FDA" w14:paraId="6B97119C" w14:textId="77777777" w:rsidTr="009F360A">
        <w:trPr>
          <w:trHeight w:val="285"/>
          <w:tblHeader/>
        </w:trPr>
        <w:tc>
          <w:tcPr>
            <w:tcW w:w="1885" w:type="dxa"/>
            <w:tcBorders>
              <w:top w:val="single" w:sz="4" w:space="0" w:color="auto"/>
              <w:left w:val="single" w:sz="4" w:space="0" w:color="auto"/>
              <w:bottom w:val="single" w:sz="4" w:space="0" w:color="auto"/>
              <w:right w:val="single" w:sz="4" w:space="0" w:color="auto"/>
            </w:tcBorders>
            <w:noWrap/>
            <w:hideMark/>
          </w:tcPr>
          <w:p w14:paraId="5833A7D1" w14:textId="77777777" w:rsidR="00E05AB8" w:rsidRPr="00227FDA" w:rsidRDefault="00E05AB8">
            <w:pPr>
              <w:jc w:val="center"/>
              <w:rPr>
                <w:b/>
                <w:bCs/>
              </w:rPr>
            </w:pPr>
            <w:r w:rsidRPr="00227FDA">
              <w:rPr>
                <w:b/>
                <w:bCs/>
              </w:rPr>
              <w:t>Code</w:t>
            </w:r>
          </w:p>
        </w:tc>
        <w:tc>
          <w:tcPr>
            <w:tcW w:w="6081" w:type="dxa"/>
            <w:tcBorders>
              <w:top w:val="single" w:sz="4" w:space="0" w:color="auto"/>
              <w:left w:val="single" w:sz="4" w:space="0" w:color="auto"/>
              <w:bottom w:val="single" w:sz="4" w:space="0" w:color="auto"/>
              <w:right w:val="single" w:sz="4" w:space="0" w:color="auto"/>
            </w:tcBorders>
            <w:hideMark/>
          </w:tcPr>
          <w:p w14:paraId="50B9DE68" w14:textId="77777777" w:rsidR="00E05AB8" w:rsidRPr="00227FDA" w:rsidRDefault="00E05AB8">
            <w:pPr>
              <w:jc w:val="center"/>
              <w:rPr>
                <w:b/>
                <w:bCs/>
                <w:sz w:val="22"/>
                <w:szCs w:val="22"/>
              </w:rPr>
            </w:pPr>
            <w:r w:rsidRPr="00227FDA">
              <w:rPr>
                <w:b/>
                <w:bCs/>
                <w:sz w:val="22"/>
                <w:szCs w:val="22"/>
              </w:rPr>
              <w:t>Description</w:t>
            </w:r>
          </w:p>
        </w:tc>
        <w:tc>
          <w:tcPr>
            <w:tcW w:w="1569" w:type="dxa"/>
            <w:tcBorders>
              <w:top w:val="single" w:sz="4" w:space="0" w:color="auto"/>
              <w:left w:val="single" w:sz="4" w:space="0" w:color="auto"/>
              <w:bottom w:val="single" w:sz="4" w:space="0" w:color="auto"/>
              <w:right w:val="single" w:sz="4" w:space="0" w:color="auto"/>
            </w:tcBorders>
            <w:hideMark/>
          </w:tcPr>
          <w:p w14:paraId="059621B0" w14:textId="77777777" w:rsidR="00E05AB8" w:rsidRPr="00227FDA" w:rsidRDefault="00E05AB8">
            <w:pPr>
              <w:jc w:val="center"/>
              <w:rPr>
                <w:b/>
                <w:bCs/>
                <w:sz w:val="22"/>
                <w:szCs w:val="22"/>
              </w:rPr>
            </w:pPr>
            <w:r w:rsidRPr="00227FDA">
              <w:rPr>
                <w:b/>
                <w:bCs/>
                <w:sz w:val="22"/>
                <w:szCs w:val="22"/>
              </w:rPr>
              <w:t>Rate</w:t>
            </w:r>
          </w:p>
        </w:tc>
      </w:tr>
      <w:tr w:rsidR="00E05AB8" w:rsidRPr="00227FDA" w14:paraId="371DA4EC" w14:textId="77777777" w:rsidTr="009F360A">
        <w:trPr>
          <w:trHeight w:val="665"/>
        </w:trPr>
        <w:tc>
          <w:tcPr>
            <w:tcW w:w="1885" w:type="dxa"/>
            <w:tcBorders>
              <w:top w:val="single" w:sz="4" w:space="0" w:color="auto"/>
              <w:left w:val="single" w:sz="4" w:space="0" w:color="auto"/>
              <w:bottom w:val="single" w:sz="4" w:space="0" w:color="auto"/>
              <w:right w:val="single" w:sz="4" w:space="0" w:color="auto"/>
            </w:tcBorders>
            <w:noWrap/>
            <w:vAlign w:val="center"/>
            <w:hideMark/>
          </w:tcPr>
          <w:p w14:paraId="1D8B821D" w14:textId="77777777" w:rsidR="00E05AB8" w:rsidRPr="00227FDA" w:rsidRDefault="00E05AB8">
            <w:pPr>
              <w:jc w:val="center"/>
              <w:rPr>
                <w:color w:val="000000"/>
                <w:sz w:val="22"/>
                <w:szCs w:val="22"/>
              </w:rPr>
            </w:pPr>
            <w:r w:rsidRPr="00227FDA">
              <w:rPr>
                <w:color w:val="000000"/>
                <w:sz w:val="22"/>
                <w:szCs w:val="22"/>
              </w:rPr>
              <w:t>K1004</w:t>
            </w:r>
          </w:p>
        </w:tc>
        <w:tc>
          <w:tcPr>
            <w:tcW w:w="6081" w:type="dxa"/>
            <w:tcBorders>
              <w:top w:val="single" w:sz="4" w:space="0" w:color="auto"/>
              <w:left w:val="single" w:sz="4" w:space="0" w:color="auto"/>
              <w:bottom w:val="single" w:sz="4" w:space="0" w:color="auto"/>
              <w:right w:val="single" w:sz="4" w:space="0" w:color="auto"/>
            </w:tcBorders>
            <w:vAlign w:val="center"/>
            <w:hideMark/>
          </w:tcPr>
          <w:p w14:paraId="0C0B5081" w14:textId="77777777" w:rsidR="00E05AB8" w:rsidRPr="00227FDA" w:rsidRDefault="00E05AB8">
            <w:pPr>
              <w:spacing w:line="256" w:lineRule="auto"/>
              <w:rPr>
                <w:color w:val="000000"/>
                <w:sz w:val="22"/>
                <w:szCs w:val="22"/>
              </w:rPr>
            </w:pPr>
            <w:r w:rsidRPr="00227FDA">
              <w:rPr>
                <w:color w:val="000000"/>
                <w:sz w:val="22"/>
                <w:szCs w:val="22"/>
              </w:rPr>
              <w:t>Low frequency ultrasonic diathermy treatment device for home use</w:t>
            </w:r>
          </w:p>
        </w:tc>
        <w:tc>
          <w:tcPr>
            <w:tcW w:w="1569" w:type="dxa"/>
            <w:tcBorders>
              <w:top w:val="single" w:sz="4" w:space="0" w:color="auto"/>
              <w:left w:val="single" w:sz="4" w:space="0" w:color="auto"/>
              <w:bottom w:val="single" w:sz="4" w:space="0" w:color="auto"/>
              <w:right w:val="single" w:sz="4" w:space="0" w:color="auto"/>
            </w:tcBorders>
            <w:vAlign w:val="center"/>
            <w:hideMark/>
          </w:tcPr>
          <w:p w14:paraId="291C20A8" w14:textId="77777777" w:rsidR="00E05AB8" w:rsidRPr="00227FDA" w:rsidRDefault="00E05AB8">
            <w:pPr>
              <w:spacing w:line="256" w:lineRule="auto"/>
              <w:jc w:val="center"/>
              <w:rPr>
                <w:color w:val="000000"/>
                <w:sz w:val="22"/>
                <w:szCs w:val="22"/>
              </w:rPr>
            </w:pPr>
            <w:r w:rsidRPr="00227FDA">
              <w:rPr>
                <w:color w:val="000000"/>
                <w:sz w:val="22"/>
                <w:szCs w:val="22"/>
              </w:rPr>
              <w:t>AAC + 30%</w:t>
            </w:r>
          </w:p>
        </w:tc>
      </w:tr>
    </w:tbl>
    <w:p w14:paraId="074CCE0D" w14:textId="77777777" w:rsidR="00E05AB8" w:rsidRPr="00227FDA" w:rsidRDefault="00E05AB8" w:rsidP="00E05AB8">
      <w:pPr>
        <w:rPr>
          <w:rFonts w:cs="Times New Roman"/>
          <w:b/>
        </w:rPr>
      </w:pPr>
    </w:p>
    <w:p w14:paraId="288973CF" w14:textId="77777777" w:rsidR="00E05AB8" w:rsidRPr="00227FDA" w:rsidRDefault="00E05AB8" w:rsidP="00E05AB8">
      <w:pPr>
        <w:jc w:val="center"/>
        <w:rPr>
          <w:rFonts w:cs="Times New Roman"/>
          <w:b/>
        </w:rPr>
      </w:pPr>
    </w:p>
    <w:p w14:paraId="3C2C90AF" w14:textId="77777777" w:rsidR="00E05AB8" w:rsidRPr="00227FDA" w:rsidRDefault="00E05AB8" w:rsidP="00E263FB">
      <w:pPr>
        <w:pStyle w:val="Heading2"/>
      </w:pPr>
      <w:r w:rsidRPr="00227FDA">
        <w:t>Effective July 7, 2023</w:t>
      </w:r>
    </w:p>
    <w:p w14:paraId="5A8A69E3" w14:textId="77777777" w:rsidR="00E05AB8" w:rsidRPr="00227FDA" w:rsidRDefault="00E05AB8" w:rsidP="00E263FB">
      <w:pPr>
        <w:pStyle w:val="Heading3"/>
      </w:pPr>
      <w:r w:rsidRPr="00227FDA">
        <w:t>Addition of Modifier and Code Combination</w:t>
      </w:r>
    </w:p>
    <w:p w14:paraId="0CC61EB4" w14:textId="77777777" w:rsidR="00E05AB8" w:rsidRPr="00227FDA" w:rsidRDefault="00E05AB8" w:rsidP="00E05AB8">
      <w:pPr>
        <w:rPr>
          <w:rFonts w:cs="Times New Roman"/>
          <w:b/>
        </w:rPr>
      </w:pPr>
      <w:r w:rsidRPr="00227FDA">
        <w:rPr>
          <w:rFonts w:cs="Times New Roman"/>
          <w:bCs/>
        </w:rPr>
        <w:t>Existing modifiers BA and BO are being added to existing codes B4100, B4102, B4103, and B4104. Note that both modifiers are being added to codes B4102, B4103, and B4104, but only the BO modifier is being added to code B4100.</w:t>
      </w:r>
    </w:p>
    <w:p w14:paraId="279487EE" w14:textId="77777777" w:rsidR="00E05AB8" w:rsidRPr="00227FDA" w:rsidRDefault="00E05AB8" w:rsidP="00E05AB8">
      <w:pPr>
        <w:rPr>
          <w:rFonts w:cs="Times New Roman"/>
          <w:b/>
        </w:rPr>
      </w:pPr>
    </w:p>
    <w:tbl>
      <w:tblPr>
        <w:tblStyle w:val="TableGrid"/>
        <w:tblW w:w="9625" w:type="dxa"/>
        <w:tblInd w:w="0" w:type="dxa"/>
        <w:tblLook w:val="04A0" w:firstRow="1" w:lastRow="0" w:firstColumn="1" w:lastColumn="0" w:noHBand="0" w:noVBand="1"/>
        <w:tblCaption w:val="Addition of Modifier and Code Combination:"/>
        <w:tblDescription w:val="Effective 7/7/23"/>
      </w:tblPr>
      <w:tblGrid>
        <w:gridCol w:w="1163"/>
        <w:gridCol w:w="1210"/>
        <w:gridCol w:w="5542"/>
        <w:gridCol w:w="1710"/>
      </w:tblGrid>
      <w:tr w:rsidR="00E05AB8" w:rsidRPr="00227FDA" w14:paraId="0454CC31" w14:textId="77777777" w:rsidTr="009F360A">
        <w:trPr>
          <w:cantSplit/>
          <w:trHeight w:val="284"/>
          <w:tblHeader/>
        </w:trPr>
        <w:tc>
          <w:tcPr>
            <w:tcW w:w="1163" w:type="dxa"/>
            <w:tcBorders>
              <w:top w:val="single" w:sz="4" w:space="0" w:color="auto"/>
              <w:left w:val="single" w:sz="4" w:space="0" w:color="auto"/>
              <w:bottom w:val="single" w:sz="4" w:space="0" w:color="auto"/>
              <w:right w:val="single" w:sz="4" w:space="0" w:color="auto"/>
            </w:tcBorders>
            <w:vAlign w:val="center"/>
            <w:hideMark/>
          </w:tcPr>
          <w:p w14:paraId="082F7335" w14:textId="77777777" w:rsidR="00E05AB8" w:rsidRPr="00227FDA" w:rsidRDefault="00E05AB8">
            <w:pPr>
              <w:jc w:val="center"/>
              <w:rPr>
                <w:b/>
              </w:rPr>
            </w:pPr>
            <w:r w:rsidRPr="00227FDA">
              <w:rPr>
                <w:b/>
              </w:rPr>
              <w:t>Code</w:t>
            </w:r>
          </w:p>
        </w:tc>
        <w:tc>
          <w:tcPr>
            <w:tcW w:w="1210" w:type="dxa"/>
            <w:tcBorders>
              <w:top w:val="single" w:sz="4" w:space="0" w:color="auto"/>
              <w:left w:val="single" w:sz="4" w:space="0" w:color="auto"/>
              <w:bottom w:val="single" w:sz="4" w:space="0" w:color="auto"/>
              <w:right w:val="single" w:sz="4" w:space="0" w:color="auto"/>
            </w:tcBorders>
            <w:hideMark/>
          </w:tcPr>
          <w:p w14:paraId="1F635F25" w14:textId="77777777" w:rsidR="00E05AB8" w:rsidRPr="00227FDA" w:rsidRDefault="00E05AB8">
            <w:pPr>
              <w:jc w:val="center"/>
              <w:rPr>
                <w:b/>
                <w:sz w:val="22"/>
                <w:szCs w:val="22"/>
              </w:rPr>
            </w:pPr>
            <w:r w:rsidRPr="00227FDA">
              <w:rPr>
                <w:b/>
                <w:sz w:val="22"/>
                <w:szCs w:val="22"/>
              </w:rPr>
              <w:t>Modifier</w:t>
            </w:r>
          </w:p>
        </w:tc>
        <w:tc>
          <w:tcPr>
            <w:tcW w:w="5542" w:type="dxa"/>
            <w:tcBorders>
              <w:top w:val="single" w:sz="4" w:space="0" w:color="auto"/>
              <w:left w:val="single" w:sz="4" w:space="0" w:color="auto"/>
              <w:bottom w:val="single" w:sz="4" w:space="0" w:color="auto"/>
              <w:right w:val="single" w:sz="4" w:space="0" w:color="auto"/>
            </w:tcBorders>
            <w:hideMark/>
          </w:tcPr>
          <w:p w14:paraId="4245CC55" w14:textId="77777777" w:rsidR="00E05AB8" w:rsidRPr="00227FDA" w:rsidRDefault="00E05AB8">
            <w:pPr>
              <w:jc w:val="center"/>
              <w:rPr>
                <w:b/>
                <w:sz w:val="22"/>
                <w:szCs w:val="22"/>
              </w:rPr>
            </w:pPr>
            <w:r w:rsidRPr="00227FDA">
              <w:rPr>
                <w:b/>
                <w:sz w:val="22"/>
                <w:szCs w:val="22"/>
              </w:rPr>
              <w:t>Description</w:t>
            </w:r>
          </w:p>
        </w:tc>
        <w:tc>
          <w:tcPr>
            <w:tcW w:w="1710" w:type="dxa"/>
            <w:tcBorders>
              <w:top w:val="single" w:sz="4" w:space="0" w:color="auto"/>
              <w:left w:val="single" w:sz="4" w:space="0" w:color="auto"/>
              <w:bottom w:val="single" w:sz="4" w:space="0" w:color="auto"/>
              <w:right w:val="single" w:sz="4" w:space="0" w:color="auto"/>
            </w:tcBorders>
            <w:hideMark/>
          </w:tcPr>
          <w:p w14:paraId="0ABCB412" w14:textId="77777777" w:rsidR="00E05AB8" w:rsidRPr="00227FDA" w:rsidRDefault="00E05AB8">
            <w:pPr>
              <w:jc w:val="center"/>
              <w:rPr>
                <w:b/>
                <w:sz w:val="22"/>
                <w:szCs w:val="22"/>
              </w:rPr>
            </w:pPr>
            <w:r w:rsidRPr="00227FDA">
              <w:rPr>
                <w:b/>
                <w:sz w:val="22"/>
                <w:szCs w:val="22"/>
              </w:rPr>
              <w:t>Rate</w:t>
            </w:r>
          </w:p>
        </w:tc>
      </w:tr>
      <w:tr w:rsidR="00E05AB8" w:rsidRPr="00227FDA" w14:paraId="2A837EFF" w14:textId="77777777" w:rsidTr="009F360A">
        <w:trPr>
          <w:cantSplit/>
          <w:trHeight w:val="440"/>
          <w:tblHeader/>
        </w:trPr>
        <w:tc>
          <w:tcPr>
            <w:tcW w:w="1163" w:type="dxa"/>
            <w:tcBorders>
              <w:top w:val="single" w:sz="4" w:space="0" w:color="auto"/>
              <w:left w:val="single" w:sz="4" w:space="0" w:color="auto"/>
              <w:bottom w:val="single" w:sz="4" w:space="0" w:color="auto"/>
              <w:right w:val="single" w:sz="4" w:space="0" w:color="auto"/>
            </w:tcBorders>
            <w:vAlign w:val="center"/>
            <w:hideMark/>
          </w:tcPr>
          <w:p w14:paraId="442A2960" w14:textId="77777777" w:rsidR="00E05AB8" w:rsidRPr="00227FDA" w:rsidRDefault="00E05AB8">
            <w:pPr>
              <w:jc w:val="center"/>
              <w:rPr>
                <w:bCs/>
                <w:sz w:val="22"/>
                <w:szCs w:val="22"/>
              </w:rPr>
            </w:pPr>
            <w:r w:rsidRPr="00227FDA">
              <w:rPr>
                <w:bCs/>
                <w:sz w:val="22"/>
                <w:szCs w:val="22"/>
              </w:rPr>
              <w:t>B4100</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0821CD9" w14:textId="77777777" w:rsidR="00E05AB8" w:rsidRPr="00227FDA" w:rsidRDefault="00E05AB8">
            <w:pPr>
              <w:jc w:val="center"/>
              <w:rPr>
                <w:bCs/>
                <w:sz w:val="22"/>
                <w:szCs w:val="22"/>
              </w:rPr>
            </w:pPr>
            <w:r w:rsidRPr="00227FDA">
              <w:rPr>
                <w:bCs/>
                <w:sz w:val="22"/>
                <w:szCs w:val="22"/>
              </w:rPr>
              <w:t>BO</w:t>
            </w:r>
          </w:p>
        </w:tc>
        <w:tc>
          <w:tcPr>
            <w:tcW w:w="5542" w:type="dxa"/>
            <w:tcBorders>
              <w:top w:val="single" w:sz="4" w:space="0" w:color="auto"/>
              <w:left w:val="single" w:sz="4" w:space="0" w:color="auto"/>
              <w:bottom w:val="single" w:sz="4" w:space="0" w:color="auto"/>
              <w:right w:val="single" w:sz="4" w:space="0" w:color="auto"/>
            </w:tcBorders>
            <w:vAlign w:val="center"/>
            <w:hideMark/>
          </w:tcPr>
          <w:p w14:paraId="3A99638F" w14:textId="77777777" w:rsidR="00E05AB8" w:rsidRPr="00227FDA" w:rsidRDefault="00E05AB8">
            <w:pPr>
              <w:rPr>
                <w:bCs/>
                <w:sz w:val="22"/>
                <w:szCs w:val="22"/>
              </w:rPr>
            </w:pPr>
            <w:r w:rsidRPr="00227FDA">
              <w:rPr>
                <w:sz w:val="22"/>
                <w:szCs w:val="22"/>
              </w:rPr>
              <w:t>Food thickener, administered orally, per ounce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98D3DAA" w14:textId="77777777" w:rsidR="00E05AB8" w:rsidRPr="00227FDA" w:rsidRDefault="00E05AB8">
            <w:pPr>
              <w:jc w:val="center"/>
              <w:rPr>
                <w:bCs/>
                <w:sz w:val="22"/>
                <w:szCs w:val="22"/>
              </w:rPr>
            </w:pPr>
            <w:r w:rsidRPr="00227FDA">
              <w:rPr>
                <w:bCs/>
                <w:sz w:val="22"/>
                <w:szCs w:val="22"/>
              </w:rPr>
              <w:t>AAC + 25%</w:t>
            </w:r>
          </w:p>
        </w:tc>
      </w:tr>
      <w:tr w:rsidR="00E05AB8" w:rsidRPr="00227FDA" w14:paraId="5E5D07A7" w14:textId="77777777" w:rsidTr="009F360A">
        <w:trPr>
          <w:cantSplit/>
          <w:trHeight w:val="537"/>
          <w:tblHeader/>
        </w:trPr>
        <w:tc>
          <w:tcPr>
            <w:tcW w:w="1163" w:type="dxa"/>
            <w:tcBorders>
              <w:top w:val="single" w:sz="4" w:space="0" w:color="auto"/>
              <w:left w:val="single" w:sz="4" w:space="0" w:color="auto"/>
              <w:bottom w:val="single" w:sz="4" w:space="0" w:color="auto"/>
              <w:right w:val="single" w:sz="4" w:space="0" w:color="auto"/>
            </w:tcBorders>
            <w:vAlign w:val="center"/>
            <w:hideMark/>
          </w:tcPr>
          <w:p w14:paraId="11ABC71E" w14:textId="77777777" w:rsidR="00E05AB8" w:rsidRPr="00227FDA" w:rsidRDefault="00E05AB8">
            <w:pPr>
              <w:jc w:val="center"/>
              <w:rPr>
                <w:bCs/>
                <w:sz w:val="22"/>
                <w:szCs w:val="22"/>
              </w:rPr>
            </w:pPr>
            <w:r w:rsidRPr="00227FDA">
              <w:rPr>
                <w:bCs/>
                <w:sz w:val="22"/>
                <w:szCs w:val="22"/>
              </w:rPr>
              <w:t>B4102</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6029282" w14:textId="77777777" w:rsidR="00E05AB8" w:rsidRPr="00227FDA" w:rsidRDefault="00E05AB8">
            <w:pPr>
              <w:jc w:val="center"/>
              <w:rPr>
                <w:bCs/>
                <w:sz w:val="22"/>
                <w:szCs w:val="22"/>
              </w:rPr>
            </w:pPr>
            <w:r w:rsidRPr="00227FDA">
              <w:rPr>
                <w:bCs/>
                <w:sz w:val="22"/>
                <w:szCs w:val="22"/>
              </w:rPr>
              <w:t>BO</w:t>
            </w:r>
          </w:p>
        </w:tc>
        <w:tc>
          <w:tcPr>
            <w:tcW w:w="5542" w:type="dxa"/>
            <w:tcBorders>
              <w:top w:val="single" w:sz="4" w:space="0" w:color="auto"/>
              <w:left w:val="single" w:sz="4" w:space="0" w:color="auto"/>
              <w:bottom w:val="single" w:sz="4" w:space="0" w:color="auto"/>
              <w:right w:val="single" w:sz="4" w:space="0" w:color="auto"/>
            </w:tcBorders>
            <w:vAlign w:val="center"/>
            <w:hideMark/>
          </w:tcPr>
          <w:p w14:paraId="2BBB3914" w14:textId="77777777" w:rsidR="00E05AB8" w:rsidRPr="00227FDA" w:rsidRDefault="00E05AB8">
            <w:pPr>
              <w:rPr>
                <w:bCs/>
                <w:sz w:val="22"/>
                <w:szCs w:val="22"/>
              </w:rPr>
            </w:pPr>
            <w:r w:rsidRPr="00227FDA">
              <w:rPr>
                <w:sz w:val="22"/>
                <w:szCs w:val="22"/>
              </w:rPr>
              <w:t>Enteral formula, for adults, used to replace fluids and electrolytes (e.g., clear liquids), 500 ML = 1 unit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889826A" w14:textId="77777777" w:rsidR="00E05AB8" w:rsidRPr="00227FDA" w:rsidRDefault="00E05AB8">
            <w:pPr>
              <w:jc w:val="center"/>
              <w:rPr>
                <w:bCs/>
                <w:sz w:val="22"/>
                <w:szCs w:val="22"/>
              </w:rPr>
            </w:pPr>
            <w:r w:rsidRPr="00227FDA">
              <w:rPr>
                <w:bCs/>
                <w:sz w:val="22"/>
                <w:szCs w:val="22"/>
              </w:rPr>
              <w:t>AAC + 25%</w:t>
            </w:r>
          </w:p>
        </w:tc>
      </w:tr>
      <w:tr w:rsidR="00E05AB8" w:rsidRPr="00227FDA" w14:paraId="5C19C0EF" w14:textId="77777777" w:rsidTr="009F360A">
        <w:trPr>
          <w:cantSplit/>
          <w:trHeight w:val="521"/>
          <w:tblHeader/>
        </w:trPr>
        <w:tc>
          <w:tcPr>
            <w:tcW w:w="1163" w:type="dxa"/>
            <w:tcBorders>
              <w:top w:val="single" w:sz="4" w:space="0" w:color="auto"/>
              <w:left w:val="single" w:sz="4" w:space="0" w:color="auto"/>
              <w:bottom w:val="single" w:sz="4" w:space="0" w:color="auto"/>
              <w:right w:val="single" w:sz="4" w:space="0" w:color="auto"/>
            </w:tcBorders>
            <w:vAlign w:val="center"/>
            <w:hideMark/>
          </w:tcPr>
          <w:p w14:paraId="31FB8821" w14:textId="77777777" w:rsidR="00E05AB8" w:rsidRPr="00227FDA" w:rsidRDefault="00E05AB8">
            <w:pPr>
              <w:jc w:val="center"/>
              <w:rPr>
                <w:bCs/>
                <w:sz w:val="22"/>
                <w:szCs w:val="22"/>
              </w:rPr>
            </w:pPr>
            <w:r w:rsidRPr="00227FDA">
              <w:rPr>
                <w:bCs/>
                <w:sz w:val="22"/>
                <w:szCs w:val="22"/>
              </w:rPr>
              <w:t>B4102</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9A23A80" w14:textId="77777777" w:rsidR="00E05AB8" w:rsidRPr="00227FDA" w:rsidRDefault="00E05AB8">
            <w:pPr>
              <w:jc w:val="center"/>
              <w:rPr>
                <w:bCs/>
                <w:sz w:val="22"/>
                <w:szCs w:val="22"/>
              </w:rPr>
            </w:pPr>
            <w:r w:rsidRPr="00227FDA">
              <w:rPr>
                <w:bCs/>
                <w:sz w:val="22"/>
                <w:szCs w:val="22"/>
              </w:rPr>
              <w:t>BA</w:t>
            </w:r>
          </w:p>
        </w:tc>
        <w:tc>
          <w:tcPr>
            <w:tcW w:w="5542" w:type="dxa"/>
            <w:tcBorders>
              <w:top w:val="single" w:sz="4" w:space="0" w:color="auto"/>
              <w:left w:val="single" w:sz="4" w:space="0" w:color="auto"/>
              <w:bottom w:val="single" w:sz="4" w:space="0" w:color="auto"/>
              <w:right w:val="single" w:sz="4" w:space="0" w:color="auto"/>
            </w:tcBorders>
            <w:vAlign w:val="center"/>
            <w:hideMark/>
          </w:tcPr>
          <w:p w14:paraId="7FAAF22D" w14:textId="77777777" w:rsidR="00E05AB8" w:rsidRPr="00227FDA" w:rsidRDefault="00E05AB8">
            <w:pPr>
              <w:rPr>
                <w:bCs/>
                <w:sz w:val="22"/>
                <w:szCs w:val="22"/>
              </w:rPr>
            </w:pPr>
            <w:r w:rsidRPr="00227FDA">
              <w:rPr>
                <w:sz w:val="22"/>
                <w:szCs w:val="22"/>
              </w:rPr>
              <w:t>Enteral formula, for adults, used to replace fluids and electrolytes (e.g., clear liquids), 500 ML = 1 unit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C199298" w14:textId="77777777" w:rsidR="00E05AB8" w:rsidRPr="00227FDA" w:rsidRDefault="00E05AB8">
            <w:pPr>
              <w:jc w:val="center"/>
              <w:rPr>
                <w:bCs/>
                <w:sz w:val="22"/>
                <w:szCs w:val="22"/>
              </w:rPr>
            </w:pPr>
            <w:r w:rsidRPr="00227FDA">
              <w:rPr>
                <w:bCs/>
                <w:sz w:val="22"/>
                <w:szCs w:val="22"/>
              </w:rPr>
              <w:t>AAC + 25%</w:t>
            </w:r>
          </w:p>
        </w:tc>
      </w:tr>
      <w:tr w:rsidR="00E05AB8" w:rsidRPr="00227FDA" w14:paraId="2294A693" w14:textId="77777777" w:rsidTr="009F360A">
        <w:trPr>
          <w:cantSplit/>
          <w:trHeight w:val="537"/>
          <w:tblHeader/>
        </w:trPr>
        <w:tc>
          <w:tcPr>
            <w:tcW w:w="1163" w:type="dxa"/>
            <w:tcBorders>
              <w:top w:val="single" w:sz="4" w:space="0" w:color="auto"/>
              <w:left w:val="single" w:sz="4" w:space="0" w:color="auto"/>
              <w:bottom w:val="single" w:sz="4" w:space="0" w:color="auto"/>
              <w:right w:val="single" w:sz="4" w:space="0" w:color="auto"/>
            </w:tcBorders>
            <w:vAlign w:val="center"/>
            <w:hideMark/>
          </w:tcPr>
          <w:p w14:paraId="630B8A5B" w14:textId="77777777" w:rsidR="00E05AB8" w:rsidRPr="00227FDA" w:rsidRDefault="00E05AB8">
            <w:pPr>
              <w:jc w:val="center"/>
              <w:rPr>
                <w:bCs/>
                <w:sz w:val="22"/>
                <w:szCs w:val="22"/>
              </w:rPr>
            </w:pPr>
            <w:r w:rsidRPr="00227FDA">
              <w:rPr>
                <w:bCs/>
                <w:sz w:val="22"/>
                <w:szCs w:val="22"/>
              </w:rPr>
              <w:t>B4103</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CC7B6B9" w14:textId="77777777" w:rsidR="00E05AB8" w:rsidRPr="00227FDA" w:rsidRDefault="00E05AB8">
            <w:pPr>
              <w:jc w:val="center"/>
              <w:rPr>
                <w:bCs/>
                <w:sz w:val="22"/>
                <w:szCs w:val="22"/>
              </w:rPr>
            </w:pPr>
            <w:r w:rsidRPr="00227FDA">
              <w:rPr>
                <w:bCs/>
                <w:sz w:val="22"/>
                <w:szCs w:val="22"/>
              </w:rPr>
              <w:t>BO</w:t>
            </w:r>
          </w:p>
        </w:tc>
        <w:tc>
          <w:tcPr>
            <w:tcW w:w="5542" w:type="dxa"/>
            <w:tcBorders>
              <w:top w:val="single" w:sz="4" w:space="0" w:color="auto"/>
              <w:left w:val="single" w:sz="4" w:space="0" w:color="auto"/>
              <w:bottom w:val="single" w:sz="4" w:space="0" w:color="auto"/>
              <w:right w:val="single" w:sz="4" w:space="0" w:color="auto"/>
            </w:tcBorders>
            <w:vAlign w:val="center"/>
            <w:hideMark/>
          </w:tcPr>
          <w:p w14:paraId="24B9C61A" w14:textId="77777777" w:rsidR="00E05AB8" w:rsidRPr="00227FDA" w:rsidRDefault="00E05AB8">
            <w:pPr>
              <w:rPr>
                <w:bCs/>
                <w:sz w:val="22"/>
                <w:szCs w:val="22"/>
              </w:rPr>
            </w:pPr>
            <w:r w:rsidRPr="00227FDA">
              <w:rPr>
                <w:sz w:val="22"/>
                <w:szCs w:val="22"/>
              </w:rPr>
              <w:t>Enteral formula, for pediatrics, used to replace fluids and electrolytes (e.g., clear liquids), 500 ML = 1 unit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5F1A6B2" w14:textId="77777777" w:rsidR="00E05AB8" w:rsidRPr="00227FDA" w:rsidRDefault="00E05AB8">
            <w:pPr>
              <w:jc w:val="center"/>
              <w:rPr>
                <w:bCs/>
                <w:sz w:val="22"/>
                <w:szCs w:val="22"/>
              </w:rPr>
            </w:pPr>
            <w:r w:rsidRPr="00227FDA">
              <w:rPr>
                <w:bCs/>
                <w:sz w:val="22"/>
                <w:szCs w:val="22"/>
              </w:rPr>
              <w:t>AAC + 25%</w:t>
            </w:r>
          </w:p>
        </w:tc>
      </w:tr>
      <w:tr w:rsidR="00E05AB8" w:rsidRPr="00227FDA" w14:paraId="010336C9" w14:textId="77777777" w:rsidTr="009F360A">
        <w:trPr>
          <w:cantSplit/>
          <w:trHeight w:val="521"/>
          <w:tblHeader/>
        </w:trPr>
        <w:tc>
          <w:tcPr>
            <w:tcW w:w="1163" w:type="dxa"/>
            <w:tcBorders>
              <w:top w:val="single" w:sz="4" w:space="0" w:color="auto"/>
              <w:left w:val="single" w:sz="4" w:space="0" w:color="auto"/>
              <w:bottom w:val="single" w:sz="4" w:space="0" w:color="auto"/>
              <w:right w:val="single" w:sz="4" w:space="0" w:color="auto"/>
            </w:tcBorders>
            <w:vAlign w:val="center"/>
            <w:hideMark/>
          </w:tcPr>
          <w:p w14:paraId="3BC719D0" w14:textId="77777777" w:rsidR="00E05AB8" w:rsidRPr="00227FDA" w:rsidRDefault="00E05AB8">
            <w:pPr>
              <w:jc w:val="center"/>
              <w:rPr>
                <w:bCs/>
                <w:sz w:val="22"/>
                <w:szCs w:val="22"/>
              </w:rPr>
            </w:pPr>
            <w:r w:rsidRPr="00227FDA">
              <w:rPr>
                <w:bCs/>
                <w:sz w:val="22"/>
                <w:szCs w:val="22"/>
              </w:rPr>
              <w:t>B4103</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036142E" w14:textId="77777777" w:rsidR="00E05AB8" w:rsidRPr="00227FDA" w:rsidRDefault="00E05AB8">
            <w:pPr>
              <w:jc w:val="center"/>
              <w:rPr>
                <w:bCs/>
                <w:sz w:val="22"/>
                <w:szCs w:val="22"/>
              </w:rPr>
            </w:pPr>
            <w:r w:rsidRPr="00227FDA">
              <w:rPr>
                <w:bCs/>
                <w:sz w:val="22"/>
                <w:szCs w:val="22"/>
              </w:rPr>
              <w:t>BA</w:t>
            </w:r>
          </w:p>
        </w:tc>
        <w:tc>
          <w:tcPr>
            <w:tcW w:w="5542" w:type="dxa"/>
            <w:tcBorders>
              <w:top w:val="single" w:sz="4" w:space="0" w:color="auto"/>
              <w:left w:val="single" w:sz="4" w:space="0" w:color="auto"/>
              <w:bottom w:val="single" w:sz="4" w:space="0" w:color="auto"/>
              <w:right w:val="single" w:sz="4" w:space="0" w:color="auto"/>
            </w:tcBorders>
            <w:vAlign w:val="center"/>
            <w:hideMark/>
          </w:tcPr>
          <w:p w14:paraId="15B11DD4" w14:textId="77777777" w:rsidR="00E05AB8" w:rsidRPr="00227FDA" w:rsidRDefault="00E05AB8">
            <w:pPr>
              <w:rPr>
                <w:bCs/>
                <w:sz w:val="22"/>
                <w:szCs w:val="22"/>
              </w:rPr>
            </w:pPr>
            <w:r w:rsidRPr="00227FDA">
              <w:rPr>
                <w:sz w:val="22"/>
                <w:szCs w:val="22"/>
              </w:rPr>
              <w:t>Enteral formula, for pediatrics, used to replace fluids and electrolytes (e.g., clear liquids), 500 ML = 1 unit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6D1FDD2" w14:textId="77777777" w:rsidR="00E05AB8" w:rsidRPr="00227FDA" w:rsidRDefault="00E05AB8">
            <w:pPr>
              <w:jc w:val="center"/>
              <w:rPr>
                <w:bCs/>
                <w:sz w:val="22"/>
                <w:szCs w:val="22"/>
              </w:rPr>
            </w:pPr>
            <w:r w:rsidRPr="00227FDA">
              <w:rPr>
                <w:bCs/>
                <w:sz w:val="22"/>
                <w:szCs w:val="22"/>
              </w:rPr>
              <w:t>AAC + 25%</w:t>
            </w:r>
          </w:p>
        </w:tc>
      </w:tr>
      <w:tr w:rsidR="00E05AB8" w:rsidRPr="00227FDA" w14:paraId="1BAAE30A" w14:textId="77777777" w:rsidTr="009F360A">
        <w:trPr>
          <w:cantSplit/>
          <w:trHeight w:val="521"/>
          <w:tblHeader/>
        </w:trPr>
        <w:tc>
          <w:tcPr>
            <w:tcW w:w="1163" w:type="dxa"/>
            <w:tcBorders>
              <w:top w:val="single" w:sz="4" w:space="0" w:color="auto"/>
              <w:left w:val="single" w:sz="4" w:space="0" w:color="auto"/>
              <w:bottom w:val="single" w:sz="4" w:space="0" w:color="auto"/>
              <w:right w:val="single" w:sz="4" w:space="0" w:color="auto"/>
            </w:tcBorders>
            <w:vAlign w:val="center"/>
            <w:hideMark/>
          </w:tcPr>
          <w:p w14:paraId="73597A29" w14:textId="77777777" w:rsidR="00E05AB8" w:rsidRPr="00227FDA" w:rsidRDefault="00E05AB8">
            <w:pPr>
              <w:jc w:val="center"/>
              <w:rPr>
                <w:bCs/>
                <w:sz w:val="22"/>
                <w:szCs w:val="22"/>
              </w:rPr>
            </w:pPr>
            <w:r w:rsidRPr="00227FDA">
              <w:rPr>
                <w:bCs/>
                <w:sz w:val="22"/>
                <w:szCs w:val="22"/>
              </w:rPr>
              <w:t>B4104</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AB05920" w14:textId="77777777" w:rsidR="00E05AB8" w:rsidRPr="00227FDA" w:rsidRDefault="00E05AB8">
            <w:pPr>
              <w:jc w:val="center"/>
              <w:rPr>
                <w:bCs/>
                <w:sz w:val="22"/>
                <w:szCs w:val="22"/>
              </w:rPr>
            </w:pPr>
            <w:r w:rsidRPr="00227FDA">
              <w:rPr>
                <w:bCs/>
                <w:sz w:val="22"/>
                <w:szCs w:val="22"/>
              </w:rPr>
              <w:t>BO</w:t>
            </w:r>
          </w:p>
        </w:tc>
        <w:tc>
          <w:tcPr>
            <w:tcW w:w="5542" w:type="dxa"/>
            <w:tcBorders>
              <w:top w:val="single" w:sz="4" w:space="0" w:color="auto"/>
              <w:left w:val="single" w:sz="4" w:space="0" w:color="auto"/>
              <w:bottom w:val="single" w:sz="4" w:space="0" w:color="auto"/>
              <w:right w:val="single" w:sz="4" w:space="0" w:color="auto"/>
            </w:tcBorders>
            <w:vAlign w:val="center"/>
            <w:hideMark/>
          </w:tcPr>
          <w:p w14:paraId="6A580B19" w14:textId="77777777" w:rsidR="00E05AB8" w:rsidRPr="00227FDA" w:rsidRDefault="00E05AB8">
            <w:pPr>
              <w:rPr>
                <w:bCs/>
                <w:sz w:val="22"/>
                <w:szCs w:val="22"/>
              </w:rPr>
            </w:pPr>
            <w:r w:rsidRPr="00227FDA">
              <w:rPr>
                <w:sz w:val="22"/>
                <w:szCs w:val="22"/>
              </w:rPr>
              <w:t>Additive for enteral formula (e.g., fiber)</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EAE9C31" w14:textId="77777777" w:rsidR="00E05AB8" w:rsidRPr="00227FDA" w:rsidRDefault="00E05AB8">
            <w:pPr>
              <w:jc w:val="center"/>
              <w:rPr>
                <w:bCs/>
                <w:sz w:val="22"/>
                <w:szCs w:val="22"/>
              </w:rPr>
            </w:pPr>
            <w:r w:rsidRPr="00227FDA">
              <w:rPr>
                <w:bCs/>
                <w:sz w:val="22"/>
                <w:szCs w:val="22"/>
              </w:rPr>
              <w:t>AAC + 25%</w:t>
            </w:r>
          </w:p>
        </w:tc>
      </w:tr>
      <w:tr w:rsidR="00E05AB8" w:rsidRPr="00227FDA" w14:paraId="1B8A6719" w14:textId="77777777" w:rsidTr="009F360A">
        <w:trPr>
          <w:cantSplit/>
          <w:trHeight w:val="521"/>
          <w:tblHeader/>
        </w:trPr>
        <w:tc>
          <w:tcPr>
            <w:tcW w:w="1163" w:type="dxa"/>
            <w:tcBorders>
              <w:top w:val="single" w:sz="4" w:space="0" w:color="auto"/>
              <w:left w:val="single" w:sz="4" w:space="0" w:color="auto"/>
              <w:bottom w:val="single" w:sz="4" w:space="0" w:color="auto"/>
              <w:right w:val="single" w:sz="4" w:space="0" w:color="auto"/>
            </w:tcBorders>
            <w:vAlign w:val="center"/>
            <w:hideMark/>
          </w:tcPr>
          <w:p w14:paraId="05D4A4F1" w14:textId="77777777" w:rsidR="00E05AB8" w:rsidRPr="00227FDA" w:rsidRDefault="00E05AB8">
            <w:pPr>
              <w:jc w:val="center"/>
              <w:rPr>
                <w:bCs/>
                <w:sz w:val="22"/>
                <w:szCs w:val="22"/>
              </w:rPr>
            </w:pPr>
            <w:r w:rsidRPr="00227FDA">
              <w:rPr>
                <w:bCs/>
                <w:sz w:val="22"/>
                <w:szCs w:val="22"/>
              </w:rPr>
              <w:t>B4104</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9C86EC4" w14:textId="77777777" w:rsidR="00E05AB8" w:rsidRPr="00227FDA" w:rsidRDefault="00E05AB8">
            <w:pPr>
              <w:jc w:val="center"/>
              <w:rPr>
                <w:bCs/>
                <w:sz w:val="22"/>
                <w:szCs w:val="22"/>
              </w:rPr>
            </w:pPr>
            <w:r w:rsidRPr="00227FDA">
              <w:rPr>
                <w:bCs/>
                <w:sz w:val="22"/>
                <w:szCs w:val="22"/>
              </w:rPr>
              <w:t>BA</w:t>
            </w:r>
          </w:p>
        </w:tc>
        <w:tc>
          <w:tcPr>
            <w:tcW w:w="5542" w:type="dxa"/>
            <w:tcBorders>
              <w:top w:val="single" w:sz="4" w:space="0" w:color="auto"/>
              <w:left w:val="single" w:sz="4" w:space="0" w:color="auto"/>
              <w:bottom w:val="single" w:sz="4" w:space="0" w:color="auto"/>
              <w:right w:val="single" w:sz="4" w:space="0" w:color="auto"/>
            </w:tcBorders>
            <w:vAlign w:val="center"/>
            <w:hideMark/>
          </w:tcPr>
          <w:p w14:paraId="294E3E67" w14:textId="77777777" w:rsidR="00E05AB8" w:rsidRPr="00227FDA" w:rsidRDefault="00E05AB8">
            <w:pPr>
              <w:rPr>
                <w:bCs/>
                <w:sz w:val="22"/>
                <w:szCs w:val="22"/>
              </w:rPr>
            </w:pPr>
            <w:r w:rsidRPr="00227FDA">
              <w:rPr>
                <w:sz w:val="22"/>
                <w:szCs w:val="22"/>
              </w:rPr>
              <w:t>Additive for enteral formula (e.g., fiber)</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9BCD028" w14:textId="77777777" w:rsidR="00E05AB8" w:rsidRPr="00227FDA" w:rsidRDefault="00E05AB8">
            <w:pPr>
              <w:jc w:val="center"/>
              <w:rPr>
                <w:bCs/>
                <w:sz w:val="22"/>
                <w:szCs w:val="22"/>
              </w:rPr>
            </w:pPr>
            <w:r w:rsidRPr="00227FDA">
              <w:rPr>
                <w:bCs/>
                <w:sz w:val="22"/>
                <w:szCs w:val="22"/>
              </w:rPr>
              <w:t>AAC + 25%</w:t>
            </w:r>
          </w:p>
        </w:tc>
      </w:tr>
    </w:tbl>
    <w:p w14:paraId="43A72A02" w14:textId="77777777" w:rsidR="00E05AB8" w:rsidRPr="00227FDA" w:rsidRDefault="00E05AB8" w:rsidP="00C17DC7">
      <w:pPr>
        <w:pStyle w:val="Heading2"/>
        <w:spacing w:before="240"/>
      </w:pPr>
      <w:r w:rsidRPr="00227FDA">
        <w:rPr>
          <w:rFonts w:eastAsia="Calibri"/>
        </w:rPr>
        <w:t xml:space="preserve">Effective </w:t>
      </w:r>
      <w:r w:rsidRPr="00227FDA">
        <w:t>October 1, 2023</w:t>
      </w:r>
    </w:p>
    <w:p w14:paraId="121EA6FA" w14:textId="76DD71E1" w:rsidR="00E05AB8" w:rsidRPr="00C17DC7" w:rsidRDefault="00E05AB8" w:rsidP="00C17DC7">
      <w:pPr>
        <w:pStyle w:val="Heading3"/>
      </w:pPr>
      <w:r w:rsidRPr="00227FDA">
        <w:t>Added Codes</w:t>
      </w:r>
    </w:p>
    <w:tbl>
      <w:tblPr>
        <w:tblStyle w:val="TableGrid"/>
        <w:tblpPr w:leftFromText="180" w:rightFromText="180" w:vertAnchor="text" w:tblpY="1"/>
        <w:tblOverlap w:val="never"/>
        <w:tblW w:w="10165" w:type="dxa"/>
        <w:tblInd w:w="0" w:type="dxa"/>
        <w:tblLook w:val="04A0" w:firstRow="1" w:lastRow="0" w:firstColumn="1" w:lastColumn="0" w:noHBand="0" w:noVBand="1"/>
        <w:tblCaption w:val="Added Codes:"/>
        <w:tblDescription w:val="effective 10/1/23"/>
      </w:tblPr>
      <w:tblGrid>
        <w:gridCol w:w="1165"/>
        <w:gridCol w:w="1210"/>
        <w:gridCol w:w="5540"/>
        <w:gridCol w:w="2250"/>
      </w:tblGrid>
      <w:tr w:rsidR="00E05AB8" w:rsidRPr="00227FDA" w14:paraId="2372A299" w14:textId="77777777" w:rsidTr="00CB788B">
        <w:trPr>
          <w:trHeight w:val="290"/>
          <w:tblHeader/>
        </w:trPr>
        <w:tc>
          <w:tcPr>
            <w:tcW w:w="1165" w:type="dxa"/>
            <w:tcBorders>
              <w:top w:val="single" w:sz="4" w:space="0" w:color="auto"/>
              <w:left w:val="single" w:sz="4" w:space="0" w:color="auto"/>
              <w:bottom w:val="single" w:sz="4" w:space="0" w:color="auto"/>
              <w:right w:val="single" w:sz="4" w:space="0" w:color="auto"/>
            </w:tcBorders>
            <w:noWrap/>
            <w:hideMark/>
          </w:tcPr>
          <w:p w14:paraId="3CF87261" w14:textId="77777777" w:rsidR="00E05AB8" w:rsidRPr="00227FDA" w:rsidRDefault="00E05AB8" w:rsidP="00CB788B">
            <w:pPr>
              <w:jc w:val="center"/>
              <w:rPr>
                <w:b/>
                <w:bCs/>
              </w:rPr>
            </w:pPr>
            <w:r w:rsidRPr="00227FDA">
              <w:rPr>
                <w:b/>
                <w:bCs/>
              </w:rPr>
              <w:t>Code</w:t>
            </w:r>
          </w:p>
        </w:tc>
        <w:tc>
          <w:tcPr>
            <w:tcW w:w="1210" w:type="dxa"/>
            <w:tcBorders>
              <w:top w:val="single" w:sz="4" w:space="0" w:color="auto"/>
              <w:left w:val="single" w:sz="4" w:space="0" w:color="auto"/>
              <w:bottom w:val="single" w:sz="4" w:space="0" w:color="auto"/>
              <w:right w:val="single" w:sz="4" w:space="0" w:color="auto"/>
            </w:tcBorders>
            <w:noWrap/>
            <w:hideMark/>
          </w:tcPr>
          <w:p w14:paraId="2248B780" w14:textId="77777777" w:rsidR="00E05AB8" w:rsidRPr="00227FDA" w:rsidRDefault="00E05AB8" w:rsidP="00CB788B">
            <w:pPr>
              <w:jc w:val="center"/>
              <w:rPr>
                <w:b/>
                <w:bCs/>
                <w:sz w:val="22"/>
                <w:szCs w:val="22"/>
              </w:rPr>
            </w:pPr>
            <w:r w:rsidRPr="00227FDA">
              <w:rPr>
                <w:b/>
                <w:bCs/>
                <w:sz w:val="22"/>
                <w:szCs w:val="22"/>
              </w:rPr>
              <w:t>Modifier</w:t>
            </w:r>
          </w:p>
        </w:tc>
        <w:tc>
          <w:tcPr>
            <w:tcW w:w="5540" w:type="dxa"/>
            <w:tcBorders>
              <w:top w:val="single" w:sz="4" w:space="0" w:color="auto"/>
              <w:left w:val="single" w:sz="4" w:space="0" w:color="auto"/>
              <w:bottom w:val="single" w:sz="4" w:space="0" w:color="auto"/>
              <w:right w:val="single" w:sz="4" w:space="0" w:color="auto"/>
            </w:tcBorders>
            <w:hideMark/>
          </w:tcPr>
          <w:p w14:paraId="5AB46F2F" w14:textId="77777777" w:rsidR="00E05AB8" w:rsidRPr="00227FDA" w:rsidRDefault="00E05AB8" w:rsidP="00CB788B">
            <w:pPr>
              <w:jc w:val="center"/>
              <w:rPr>
                <w:b/>
                <w:bCs/>
                <w:sz w:val="22"/>
                <w:szCs w:val="22"/>
              </w:rPr>
            </w:pPr>
            <w:r w:rsidRPr="00227FDA">
              <w:rPr>
                <w:b/>
                <w:bCs/>
                <w:sz w:val="22"/>
                <w:szCs w:val="22"/>
              </w:rPr>
              <w:t>Description</w:t>
            </w:r>
          </w:p>
        </w:tc>
        <w:tc>
          <w:tcPr>
            <w:tcW w:w="2250" w:type="dxa"/>
            <w:tcBorders>
              <w:top w:val="single" w:sz="4" w:space="0" w:color="auto"/>
              <w:left w:val="single" w:sz="4" w:space="0" w:color="auto"/>
              <w:bottom w:val="single" w:sz="4" w:space="0" w:color="auto"/>
              <w:right w:val="single" w:sz="4" w:space="0" w:color="auto"/>
            </w:tcBorders>
            <w:hideMark/>
          </w:tcPr>
          <w:p w14:paraId="571A3511" w14:textId="77777777" w:rsidR="00E05AB8" w:rsidRPr="00227FDA" w:rsidRDefault="00E05AB8" w:rsidP="00CB788B">
            <w:pPr>
              <w:jc w:val="center"/>
              <w:rPr>
                <w:b/>
                <w:bCs/>
                <w:sz w:val="22"/>
                <w:szCs w:val="22"/>
              </w:rPr>
            </w:pPr>
            <w:r w:rsidRPr="00227FDA">
              <w:rPr>
                <w:b/>
                <w:bCs/>
                <w:sz w:val="22"/>
                <w:szCs w:val="22"/>
              </w:rPr>
              <w:t>Rate</w:t>
            </w:r>
          </w:p>
        </w:tc>
      </w:tr>
      <w:tr w:rsidR="000604D9" w:rsidRPr="00227FDA" w14:paraId="1798B996" w14:textId="77777777" w:rsidTr="00BE5E8D">
        <w:trPr>
          <w:trHeight w:val="845"/>
        </w:trPr>
        <w:tc>
          <w:tcPr>
            <w:tcW w:w="1165" w:type="dxa"/>
            <w:tcBorders>
              <w:top w:val="single" w:sz="4" w:space="0" w:color="auto"/>
              <w:left w:val="single" w:sz="4" w:space="0" w:color="auto"/>
              <w:bottom w:val="single" w:sz="4" w:space="0" w:color="auto"/>
              <w:right w:val="single" w:sz="4" w:space="0" w:color="auto"/>
            </w:tcBorders>
            <w:noWrap/>
            <w:vAlign w:val="center"/>
          </w:tcPr>
          <w:p w14:paraId="5A7983FD" w14:textId="15F0B31F" w:rsidR="000604D9" w:rsidRPr="00227FDA" w:rsidRDefault="000604D9" w:rsidP="000604D9">
            <w:pPr>
              <w:jc w:val="center"/>
              <w:rPr>
                <w:color w:val="000000"/>
              </w:rPr>
            </w:pPr>
            <w:r w:rsidRPr="00227FDA">
              <w:rPr>
                <w:sz w:val="22"/>
                <w:szCs w:val="22"/>
              </w:rPr>
              <w:t>A9156</w:t>
            </w:r>
          </w:p>
        </w:tc>
        <w:tc>
          <w:tcPr>
            <w:tcW w:w="1210" w:type="dxa"/>
            <w:tcBorders>
              <w:top w:val="single" w:sz="4" w:space="0" w:color="auto"/>
              <w:left w:val="single" w:sz="4" w:space="0" w:color="auto"/>
              <w:bottom w:val="single" w:sz="4" w:space="0" w:color="auto"/>
              <w:right w:val="single" w:sz="4" w:space="0" w:color="auto"/>
            </w:tcBorders>
            <w:vAlign w:val="center"/>
          </w:tcPr>
          <w:p w14:paraId="02C9611F" w14:textId="77777777" w:rsidR="000604D9" w:rsidRPr="00227FDA" w:rsidRDefault="000604D9" w:rsidP="000604D9">
            <w:pPr>
              <w:spacing w:after="160" w:line="256" w:lineRule="auto"/>
              <w:rPr>
                <w:color w:val="000000"/>
              </w:rPr>
            </w:pPr>
          </w:p>
        </w:tc>
        <w:tc>
          <w:tcPr>
            <w:tcW w:w="5540" w:type="dxa"/>
            <w:tcBorders>
              <w:top w:val="single" w:sz="4" w:space="0" w:color="auto"/>
              <w:left w:val="single" w:sz="4" w:space="0" w:color="auto"/>
              <w:bottom w:val="single" w:sz="4" w:space="0" w:color="auto"/>
              <w:right w:val="single" w:sz="4" w:space="0" w:color="auto"/>
            </w:tcBorders>
            <w:vAlign w:val="center"/>
          </w:tcPr>
          <w:p w14:paraId="029F9E6F" w14:textId="4E146428" w:rsidR="000604D9" w:rsidRPr="00227FDA" w:rsidRDefault="000604D9" w:rsidP="000604D9">
            <w:pPr>
              <w:spacing w:line="256" w:lineRule="auto"/>
              <w:rPr>
                <w:color w:val="000000"/>
              </w:rPr>
            </w:pPr>
            <w:r w:rsidRPr="00227FDA">
              <w:rPr>
                <w:sz w:val="22"/>
                <w:szCs w:val="22"/>
              </w:rPr>
              <w:t>Oral mucoadhesive, any type (liquid, gel, paste, etc.), per 1 ml</w:t>
            </w:r>
          </w:p>
        </w:tc>
        <w:tc>
          <w:tcPr>
            <w:tcW w:w="2250" w:type="dxa"/>
            <w:tcBorders>
              <w:top w:val="single" w:sz="4" w:space="0" w:color="auto"/>
              <w:left w:val="single" w:sz="4" w:space="0" w:color="auto"/>
              <w:bottom w:val="single" w:sz="4" w:space="0" w:color="auto"/>
              <w:right w:val="single" w:sz="4" w:space="0" w:color="auto"/>
            </w:tcBorders>
            <w:vAlign w:val="center"/>
          </w:tcPr>
          <w:p w14:paraId="408DB655" w14:textId="7F533FB3" w:rsidR="000604D9" w:rsidRPr="00227FDA" w:rsidRDefault="000604D9" w:rsidP="000604D9">
            <w:pPr>
              <w:spacing w:line="256" w:lineRule="auto"/>
              <w:jc w:val="center"/>
              <w:rPr>
                <w:color w:val="000000"/>
              </w:rPr>
            </w:pPr>
            <w:r w:rsidRPr="00227FDA">
              <w:rPr>
                <w:sz w:val="22"/>
                <w:szCs w:val="22"/>
              </w:rPr>
              <w:t>AAC+30%</w:t>
            </w:r>
          </w:p>
        </w:tc>
      </w:tr>
      <w:tr w:rsidR="000604D9" w:rsidRPr="00227FDA" w14:paraId="22F2844D" w14:textId="77777777" w:rsidTr="00BE5E8D">
        <w:trPr>
          <w:trHeight w:val="845"/>
        </w:trPr>
        <w:tc>
          <w:tcPr>
            <w:tcW w:w="1165" w:type="dxa"/>
            <w:tcBorders>
              <w:top w:val="single" w:sz="4" w:space="0" w:color="auto"/>
              <w:left w:val="single" w:sz="4" w:space="0" w:color="auto"/>
              <w:bottom w:val="single" w:sz="4" w:space="0" w:color="auto"/>
              <w:right w:val="single" w:sz="4" w:space="0" w:color="auto"/>
            </w:tcBorders>
            <w:noWrap/>
            <w:vAlign w:val="center"/>
          </w:tcPr>
          <w:p w14:paraId="63B4DF33" w14:textId="37BFA8D1" w:rsidR="000604D9" w:rsidRPr="00227FDA" w:rsidRDefault="000604D9" w:rsidP="000604D9">
            <w:pPr>
              <w:jc w:val="center"/>
              <w:rPr>
                <w:color w:val="000000"/>
              </w:rPr>
            </w:pPr>
            <w:r w:rsidRPr="00227FDA">
              <w:rPr>
                <w:sz w:val="22"/>
                <w:szCs w:val="22"/>
              </w:rPr>
              <w:t>A9268</w:t>
            </w:r>
          </w:p>
        </w:tc>
        <w:tc>
          <w:tcPr>
            <w:tcW w:w="1210" w:type="dxa"/>
            <w:tcBorders>
              <w:top w:val="single" w:sz="4" w:space="0" w:color="auto"/>
              <w:left w:val="single" w:sz="4" w:space="0" w:color="auto"/>
              <w:bottom w:val="single" w:sz="4" w:space="0" w:color="auto"/>
              <w:right w:val="single" w:sz="4" w:space="0" w:color="auto"/>
            </w:tcBorders>
            <w:vAlign w:val="center"/>
          </w:tcPr>
          <w:p w14:paraId="2CE38DE2" w14:textId="77777777" w:rsidR="000604D9" w:rsidRPr="00227FDA" w:rsidRDefault="000604D9" w:rsidP="000604D9">
            <w:pPr>
              <w:spacing w:after="160" w:line="256" w:lineRule="auto"/>
              <w:rPr>
                <w:color w:val="000000"/>
              </w:rPr>
            </w:pPr>
          </w:p>
        </w:tc>
        <w:tc>
          <w:tcPr>
            <w:tcW w:w="5540" w:type="dxa"/>
            <w:tcBorders>
              <w:top w:val="single" w:sz="4" w:space="0" w:color="auto"/>
              <w:left w:val="single" w:sz="4" w:space="0" w:color="auto"/>
              <w:bottom w:val="single" w:sz="4" w:space="0" w:color="auto"/>
              <w:right w:val="single" w:sz="4" w:space="0" w:color="auto"/>
            </w:tcBorders>
            <w:vAlign w:val="center"/>
          </w:tcPr>
          <w:p w14:paraId="30C6CF39" w14:textId="4EBC3E41" w:rsidR="000604D9" w:rsidRPr="00227FDA" w:rsidRDefault="000604D9" w:rsidP="000604D9">
            <w:pPr>
              <w:spacing w:line="256" w:lineRule="auto"/>
              <w:rPr>
                <w:color w:val="000000"/>
              </w:rPr>
            </w:pPr>
            <w:r w:rsidRPr="00227FDA">
              <w:rPr>
                <w:sz w:val="22"/>
                <w:szCs w:val="22"/>
              </w:rPr>
              <w:t>Programmer for transient, orally ingested capsule</w:t>
            </w:r>
          </w:p>
        </w:tc>
        <w:tc>
          <w:tcPr>
            <w:tcW w:w="2250" w:type="dxa"/>
            <w:tcBorders>
              <w:top w:val="single" w:sz="4" w:space="0" w:color="auto"/>
              <w:left w:val="single" w:sz="4" w:space="0" w:color="auto"/>
              <w:bottom w:val="single" w:sz="4" w:space="0" w:color="auto"/>
              <w:right w:val="single" w:sz="4" w:space="0" w:color="auto"/>
            </w:tcBorders>
            <w:vAlign w:val="center"/>
          </w:tcPr>
          <w:p w14:paraId="5608996B" w14:textId="26AD25C5" w:rsidR="000604D9" w:rsidRPr="00227FDA" w:rsidRDefault="000604D9" w:rsidP="000604D9">
            <w:pPr>
              <w:spacing w:line="256" w:lineRule="auto"/>
              <w:jc w:val="center"/>
              <w:rPr>
                <w:color w:val="000000"/>
              </w:rPr>
            </w:pPr>
            <w:r w:rsidRPr="00227FDA">
              <w:rPr>
                <w:sz w:val="22"/>
                <w:szCs w:val="22"/>
              </w:rPr>
              <w:t>AAC+30%</w:t>
            </w:r>
          </w:p>
        </w:tc>
      </w:tr>
      <w:tr w:rsidR="000604D9" w:rsidRPr="00227FDA" w14:paraId="384168E8" w14:textId="77777777" w:rsidTr="00BE5E8D">
        <w:trPr>
          <w:trHeight w:val="845"/>
        </w:trPr>
        <w:tc>
          <w:tcPr>
            <w:tcW w:w="1165" w:type="dxa"/>
            <w:tcBorders>
              <w:top w:val="single" w:sz="4" w:space="0" w:color="auto"/>
              <w:left w:val="single" w:sz="4" w:space="0" w:color="auto"/>
              <w:bottom w:val="single" w:sz="4" w:space="0" w:color="auto"/>
              <w:right w:val="single" w:sz="4" w:space="0" w:color="auto"/>
            </w:tcBorders>
            <w:noWrap/>
            <w:vAlign w:val="center"/>
          </w:tcPr>
          <w:p w14:paraId="50EBB1A2" w14:textId="5B8ECE75" w:rsidR="000604D9" w:rsidRPr="00227FDA" w:rsidRDefault="000604D9" w:rsidP="000604D9">
            <w:pPr>
              <w:jc w:val="center"/>
              <w:rPr>
                <w:color w:val="000000"/>
              </w:rPr>
            </w:pPr>
            <w:r w:rsidRPr="00227FDA">
              <w:rPr>
                <w:sz w:val="22"/>
                <w:szCs w:val="22"/>
              </w:rPr>
              <w:lastRenderedPageBreak/>
              <w:t>A9269</w:t>
            </w:r>
          </w:p>
        </w:tc>
        <w:tc>
          <w:tcPr>
            <w:tcW w:w="1210" w:type="dxa"/>
            <w:tcBorders>
              <w:top w:val="single" w:sz="4" w:space="0" w:color="auto"/>
              <w:left w:val="single" w:sz="4" w:space="0" w:color="auto"/>
              <w:bottom w:val="single" w:sz="4" w:space="0" w:color="auto"/>
              <w:right w:val="single" w:sz="4" w:space="0" w:color="auto"/>
            </w:tcBorders>
            <w:vAlign w:val="center"/>
          </w:tcPr>
          <w:p w14:paraId="7D0A79D3" w14:textId="77777777" w:rsidR="000604D9" w:rsidRPr="00227FDA" w:rsidRDefault="000604D9" w:rsidP="000604D9">
            <w:pPr>
              <w:spacing w:after="160" w:line="256" w:lineRule="auto"/>
              <w:rPr>
                <w:color w:val="000000"/>
              </w:rPr>
            </w:pPr>
          </w:p>
        </w:tc>
        <w:tc>
          <w:tcPr>
            <w:tcW w:w="5540" w:type="dxa"/>
            <w:tcBorders>
              <w:top w:val="single" w:sz="4" w:space="0" w:color="auto"/>
              <w:left w:val="single" w:sz="4" w:space="0" w:color="auto"/>
              <w:bottom w:val="single" w:sz="4" w:space="0" w:color="auto"/>
              <w:right w:val="single" w:sz="4" w:space="0" w:color="auto"/>
            </w:tcBorders>
            <w:vAlign w:val="center"/>
          </w:tcPr>
          <w:p w14:paraId="15F09C06" w14:textId="10933AD2" w:rsidR="000604D9" w:rsidRPr="00227FDA" w:rsidRDefault="000604D9" w:rsidP="000604D9">
            <w:pPr>
              <w:spacing w:line="256" w:lineRule="auto"/>
              <w:rPr>
                <w:color w:val="000000"/>
              </w:rPr>
            </w:pPr>
            <w:r w:rsidRPr="00227FDA">
              <w:rPr>
                <w:sz w:val="22"/>
                <w:szCs w:val="22"/>
              </w:rPr>
              <w:t>Programable, transient, orally ingested capsule, for use with external programmer, per month</w:t>
            </w:r>
          </w:p>
        </w:tc>
        <w:tc>
          <w:tcPr>
            <w:tcW w:w="2250" w:type="dxa"/>
            <w:tcBorders>
              <w:top w:val="single" w:sz="4" w:space="0" w:color="auto"/>
              <w:left w:val="single" w:sz="4" w:space="0" w:color="auto"/>
              <w:bottom w:val="single" w:sz="4" w:space="0" w:color="auto"/>
              <w:right w:val="single" w:sz="4" w:space="0" w:color="auto"/>
            </w:tcBorders>
            <w:vAlign w:val="center"/>
          </w:tcPr>
          <w:p w14:paraId="4A9E5C22" w14:textId="7B44355F" w:rsidR="000604D9" w:rsidRPr="00227FDA" w:rsidRDefault="000604D9" w:rsidP="000604D9">
            <w:pPr>
              <w:spacing w:line="256" w:lineRule="auto"/>
              <w:jc w:val="center"/>
              <w:rPr>
                <w:color w:val="000000"/>
              </w:rPr>
            </w:pPr>
            <w:r w:rsidRPr="00227FDA">
              <w:rPr>
                <w:sz w:val="22"/>
                <w:szCs w:val="22"/>
              </w:rPr>
              <w:t>AAC+30%</w:t>
            </w:r>
          </w:p>
        </w:tc>
      </w:tr>
      <w:tr w:rsidR="00E05AB8" w:rsidRPr="00227FDA" w14:paraId="16DAEC03" w14:textId="77777777" w:rsidTr="00CB788B">
        <w:trPr>
          <w:trHeight w:val="845"/>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7FD47DC0" w14:textId="77777777" w:rsidR="00E05AB8" w:rsidRPr="00227FDA" w:rsidRDefault="00E05AB8" w:rsidP="00CB788B">
            <w:pPr>
              <w:jc w:val="center"/>
              <w:rPr>
                <w:color w:val="000000"/>
                <w:sz w:val="22"/>
                <w:szCs w:val="22"/>
              </w:rPr>
            </w:pPr>
            <w:r w:rsidRPr="00227FDA">
              <w:rPr>
                <w:color w:val="000000"/>
                <w:sz w:val="22"/>
                <w:szCs w:val="22"/>
              </w:rPr>
              <w:t>B4148</w:t>
            </w:r>
          </w:p>
        </w:tc>
        <w:tc>
          <w:tcPr>
            <w:tcW w:w="1210" w:type="dxa"/>
            <w:tcBorders>
              <w:top w:val="single" w:sz="4" w:space="0" w:color="auto"/>
              <w:left w:val="single" w:sz="4" w:space="0" w:color="auto"/>
              <w:bottom w:val="single" w:sz="4" w:space="0" w:color="auto"/>
              <w:right w:val="single" w:sz="4" w:space="0" w:color="auto"/>
            </w:tcBorders>
            <w:vAlign w:val="bottom"/>
            <w:hideMark/>
          </w:tcPr>
          <w:p w14:paraId="15E93B78" w14:textId="77777777" w:rsidR="00E05AB8" w:rsidRPr="00227FDA" w:rsidRDefault="00E05AB8" w:rsidP="00CB788B">
            <w:pPr>
              <w:spacing w:after="160" w:line="256" w:lineRule="auto"/>
              <w:rPr>
                <w:sz w:val="22"/>
                <w:szCs w:val="22"/>
              </w:rPr>
            </w:pPr>
            <w:r w:rsidRPr="00227FDA">
              <w:rPr>
                <w:color w:val="000000"/>
                <w:sz w:val="22"/>
                <w:szCs w:val="22"/>
              </w:rPr>
              <w:t> </w:t>
            </w:r>
          </w:p>
        </w:tc>
        <w:tc>
          <w:tcPr>
            <w:tcW w:w="5540" w:type="dxa"/>
            <w:tcBorders>
              <w:top w:val="single" w:sz="4" w:space="0" w:color="auto"/>
              <w:left w:val="single" w:sz="4" w:space="0" w:color="auto"/>
              <w:bottom w:val="single" w:sz="4" w:space="0" w:color="auto"/>
              <w:right w:val="single" w:sz="4" w:space="0" w:color="auto"/>
            </w:tcBorders>
            <w:vAlign w:val="center"/>
            <w:hideMark/>
          </w:tcPr>
          <w:p w14:paraId="2F9B22DE" w14:textId="77777777" w:rsidR="00E05AB8" w:rsidRPr="00227FDA" w:rsidRDefault="00E05AB8" w:rsidP="00CB788B">
            <w:pPr>
              <w:spacing w:line="256" w:lineRule="auto"/>
              <w:rPr>
                <w:color w:val="000000"/>
                <w:sz w:val="22"/>
                <w:szCs w:val="22"/>
              </w:rPr>
            </w:pPr>
            <w:r w:rsidRPr="00227FDA">
              <w:rPr>
                <w:color w:val="000000"/>
                <w:sz w:val="22"/>
                <w:szCs w:val="22"/>
              </w:rPr>
              <w:t>Enteral feeding supply kit; elastomeric control fed, per day, includes but not limited to feeding/flushing syringe, administration set tubing, dressings, tape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D9561EE" w14:textId="77777777" w:rsidR="00E05AB8" w:rsidRPr="00227FDA" w:rsidRDefault="00E05AB8" w:rsidP="00CB788B">
            <w:pPr>
              <w:spacing w:line="256" w:lineRule="auto"/>
              <w:jc w:val="center"/>
              <w:rPr>
                <w:color w:val="000000"/>
                <w:sz w:val="22"/>
                <w:szCs w:val="22"/>
              </w:rPr>
            </w:pPr>
            <w:r w:rsidRPr="00227FDA">
              <w:rPr>
                <w:color w:val="000000"/>
                <w:sz w:val="22"/>
                <w:szCs w:val="22"/>
              </w:rPr>
              <w:t>AAC +25%</w:t>
            </w:r>
          </w:p>
        </w:tc>
      </w:tr>
      <w:tr w:rsidR="00E05AB8" w:rsidRPr="00227FDA" w14:paraId="557D4554" w14:textId="77777777" w:rsidTr="00CB788B">
        <w:trPr>
          <w:trHeight w:val="845"/>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679CEF00" w14:textId="77777777" w:rsidR="00E05AB8" w:rsidRPr="00227FDA" w:rsidRDefault="00E05AB8" w:rsidP="00CB788B">
            <w:pPr>
              <w:jc w:val="center"/>
              <w:rPr>
                <w:color w:val="000000"/>
                <w:sz w:val="22"/>
                <w:szCs w:val="22"/>
              </w:rPr>
            </w:pPr>
            <w:r w:rsidRPr="00227FDA">
              <w:rPr>
                <w:color w:val="000000"/>
                <w:sz w:val="22"/>
                <w:szCs w:val="22"/>
              </w:rPr>
              <w:t>E0490</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A89D0E2" w14:textId="77777777" w:rsidR="00E05AB8" w:rsidRPr="00227FDA" w:rsidRDefault="00E05AB8" w:rsidP="00CB788B">
            <w:pPr>
              <w:spacing w:line="256" w:lineRule="auto"/>
              <w:jc w:val="center"/>
              <w:rPr>
                <w:sz w:val="22"/>
                <w:szCs w:val="22"/>
              </w:rPr>
            </w:pPr>
            <w:r w:rsidRPr="00227FDA">
              <w:rPr>
                <w:color w:val="000000"/>
                <w:sz w:val="22"/>
                <w:szCs w:val="22"/>
              </w:rPr>
              <w:t>NU</w:t>
            </w:r>
          </w:p>
        </w:tc>
        <w:tc>
          <w:tcPr>
            <w:tcW w:w="5540" w:type="dxa"/>
            <w:tcBorders>
              <w:top w:val="nil"/>
              <w:left w:val="single" w:sz="4" w:space="0" w:color="auto"/>
              <w:bottom w:val="single" w:sz="4" w:space="0" w:color="auto"/>
              <w:right w:val="single" w:sz="4" w:space="0" w:color="auto"/>
            </w:tcBorders>
            <w:vAlign w:val="center"/>
            <w:hideMark/>
          </w:tcPr>
          <w:p w14:paraId="641F2792" w14:textId="77777777" w:rsidR="00E05AB8" w:rsidRPr="00227FDA" w:rsidRDefault="00E05AB8" w:rsidP="00CB788B">
            <w:pPr>
              <w:spacing w:line="256" w:lineRule="auto"/>
              <w:rPr>
                <w:color w:val="000000"/>
                <w:sz w:val="22"/>
                <w:szCs w:val="22"/>
              </w:rPr>
            </w:pPr>
            <w:r w:rsidRPr="00227FDA">
              <w:rPr>
                <w:color w:val="000000"/>
                <w:sz w:val="22"/>
                <w:szCs w:val="22"/>
              </w:rPr>
              <w:t>Power source and control electronics unit for oral device/appliance for neuromuscular electrical stimulation of the tongue muscle, controlled by hardware remote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A3DF218" w14:textId="77777777" w:rsidR="00E05AB8" w:rsidRPr="00227FDA" w:rsidRDefault="00E05AB8" w:rsidP="00CB788B">
            <w:pPr>
              <w:spacing w:line="256" w:lineRule="auto"/>
              <w:jc w:val="center"/>
              <w:rPr>
                <w:color w:val="000000"/>
                <w:sz w:val="22"/>
                <w:szCs w:val="22"/>
              </w:rPr>
            </w:pPr>
            <w:r w:rsidRPr="00227FDA">
              <w:rPr>
                <w:sz w:val="22"/>
                <w:szCs w:val="22"/>
              </w:rPr>
              <w:t>$1,190.50</w:t>
            </w:r>
          </w:p>
        </w:tc>
      </w:tr>
      <w:tr w:rsidR="00E05AB8" w:rsidRPr="00227FDA" w14:paraId="1EC0A479" w14:textId="77777777" w:rsidTr="00CB788B">
        <w:trPr>
          <w:trHeight w:val="432"/>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41D993B6" w14:textId="77777777" w:rsidR="00E05AB8" w:rsidRPr="00227FDA" w:rsidRDefault="00E05AB8" w:rsidP="00CB788B">
            <w:pPr>
              <w:jc w:val="center"/>
              <w:rPr>
                <w:color w:val="000000"/>
                <w:sz w:val="22"/>
                <w:szCs w:val="22"/>
              </w:rPr>
            </w:pPr>
            <w:r w:rsidRPr="00227FDA">
              <w:rPr>
                <w:color w:val="000000"/>
                <w:sz w:val="22"/>
                <w:szCs w:val="22"/>
              </w:rPr>
              <w:t>E0490</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304920B" w14:textId="77777777" w:rsidR="00E05AB8" w:rsidRPr="00227FDA" w:rsidRDefault="00E05AB8" w:rsidP="00CB788B">
            <w:pPr>
              <w:spacing w:line="256" w:lineRule="auto"/>
              <w:jc w:val="center"/>
              <w:rPr>
                <w:sz w:val="22"/>
                <w:szCs w:val="22"/>
              </w:rPr>
            </w:pPr>
            <w:r w:rsidRPr="00227FDA">
              <w:rPr>
                <w:color w:val="000000"/>
                <w:sz w:val="22"/>
                <w:szCs w:val="22"/>
              </w:rPr>
              <w:t>RR</w:t>
            </w:r>
          </w:p>
        </w:tc>
        <w:tc>
          <w:tcPr>
            <w:tcW w:w="5540" w:type="dxa"/>
            <w:tcBorders>
              <w:top w:val="nil"/>
              <w:left w:val="single" w:sz="4" w:space="0" w:color="auto"/>
              <w:bottom w:val="single" w:sz="4" w:space="0" w:color="auto"/>
              <w:right w:val="single" w:sz="4" w:space="0" w:color="auto"/>
            </w:tcBorders>
            <w:vAlign w:val="center"/>
            <w:hideMark/>
          </w:tcPr>
          <w:p w14:paraId="7163A388" w14:textId="77777777" w:rsidR="00E05AB8" w:rsidRPr="00227FDA" w:rsidRDefault="00E05AB8" w:rsidP="00CB788B">
            <w:pPr>
              <w:spacing w:line="256" w:lineRule="auto"/>
              <w:rPr>
                <w:color w:val="000000"/>
                <w:sz w:val="22"/>
                <w:szCs w:val="22"/>
              </w:rPr>
            </w:pPr>
            <w:r w:rsidRPr="00227FDA">
              <w:rPr>
                <w:color w:val="000000"/>
                <w:sz w:val="22"/>
                <w:szCs w:val="22"/>
              </w:rPr>
              <w:t>Power source and control electronics unit for oral device/appliance for neuromuscular electrical stimulation of the tongue muscle, controlled by hardware remote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6859C0F" w14:textId="77777777" w:rsidR="00E05AB8" w:rsidRPr="00227FDA" w:rsidRDefault="00E05AB8" w:rsidP="00CB788B">
            <w:pPr>
              <w:spacing w:line="256" w:lineRule="auto"/>
              <w:jc w:val="center"/>
              <w:rPr>
                <w:color w:val="000000"/>
                <w:sz w:val="22"/>
                <w:szCs w:val="22"/>
              </w:rPr>
            </w:pPr>
            <w:r w:rsidRPr="00227FDA">
              <w:rPr>
                <w:sz w:val="22"/>
                <w:szCs w:val="22"/>
              </w:rPr>
              <w:t>$119.05</w:t>
            </w:r>
          </w:p>
        </w:tc>
      </w:tr>
      <w:tr w:rsidR="00E05AB8" w:rsidRPr="00227FDA" w14:paraId="6A0A7990" w14:textId="77777777" w:rsidTr="00CB788B">
        <w:trPr>
          <w:trHeight w:val="432"/>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5F727233" w14:textId="77777777" w:rsidR="00E05AB8" w:rsidRPr="00227FDA" w:rsidRDefault="00E05AB8" w:rsidP="00CB788B">
            <w:pPr>
              <w:jc w:val="center"/>
              <w:rPr>
                <w:sz w:val="22"/>
                <w:szCs w:val="22"/>
              </w:rPr>
            </w:pPr>
            <w:r w:rsidRPr="00227FDA">
              <w:rPr>
                <w:sz w:val="22"/>
                <w:szCs w:val="22"/>
              </w:rPr>
              <w:t>E0490</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493E9DD" w14:textId="77777777" w:rsidR="00E05AB8" w:rsidRPr="00227FDA" w:rsidRDefault="00E05AB8" w:rsidP="00CB788B">
            <w:pPr>
              <w:spacing w:line="256" w:lineRule="auto"/>
              <w:jc w:val="center"/>
              <w:rPr>
                <w:sz w:val="22"/>
                <w:szCs w:val="22"/>
              </w:rPr>
            </w:pPr>
            <w:r w:rsidRPr="00227FDA">
              <w:rPr>
                <w:sz w:val="22"/>
                <w:szCs w:val="22"/>
              </w:rPr>
              <w:t>UE</w:t>
            </w:r>
          </w:p>
        </w:tc>
        <w:tc>
          <w:tcPr>
            <w:tcW w:w="5540" w:type="dxa"/>
            <w:tcBorders>
              <w:top w:val="single" w:sz="4" w:space="0" w:color="auto"/>
              <w:left w:val="single" w:sz="4" w:space="0" w:color="auto"/>
              <w:bottom w:val="single" w:sz="4" w:space="0" w:color="auto"/>
              <w:right w:val="single" w:sz="4" w:space="0" w:color="auto"/>
            </w:tcBorders>
            <w:vAlign w:val="center"/>
            <w:hideMark/>
          </w:tcPr>
          <w:p w14:paraId="797FAD3B" w14:textId="77777777" w:rsidR="00E05AB8" w:rsidRPr="00227FDA" w:rsidRDefault="00E05AB8" w:rsidP="00CB788B">
            <w:pPr>
              <w:spacing w:line="256" w:lineRule="auto"/>
              <w:rPr>
                <w:sz w:val="22"/>
                <w:szCs w:val="22"/>
              </w:rPr>
            </w:pPr>
            <w:r w:rsidRPr="00227FDA">
              <w:rPr>
                <w:color w:val="000000"/>
                <w:sz w:val="22"/>
                <w:szCs w:val="22"/>
              </w:rPr>
              <w:t>Power source and control electronics unit for oral device/appliance for neuromuscular electrical stimulation of the tongue muscle, controlled by hardware remote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225AA7E" w14:textId="77777777" w:rsidR="00E05AB8" w:rsidRPr="00227FDA" w:rsidRDefault="00E05AB8" w:rsidP="00CB788B">
            <w:pPr>
              <w:spacing w:line="256" w:lineRule="auto"/>
              <w:jc w:val="center"/>
              <w:rPr>
                <w:sz w:val="22"/>
                <w:szCs w:val="22"/>
              </w:rPr>
            </w:pPr>
            <w:r w:rsidRPr="00227FDA">
              <w:rPr>
                <w:sz w:val="22"/>
                <w:szCs w:val="22"/>
              </w:rPr>
              <w:t>$892.88</w:t>
            </w:r>
          </w:p>
        </w:tc>
      </w:tr>
      <w:tr w:rsidR="00E05AB8" w:rsidRPr="00227FDA" w14:paraId="35756E68" w14:textId="77777777" w:rsidTr="00CB788B">
        <w:trPr>
          <w:trHeight w:val="432"/>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2EE688B1" w14:textId="77777777" w:rsidR="00E05AB8" w:rsidRPr="00227FDA" w:rsidRDefault="00E05AB8" w:rsidP="00CB788B">
            <w:pPr>
              <w:jc w:val="center"/>
              <w:rPr>
                <w:sz w:val="22"/>
                <w:szCs w:val="22"/>
              </w:rPr>
            </w:pPr>
            <w:r w:rsidRPr="00227FDA">
              <w:rPr>
                <w:sz w:val="22"/>
                <w:szCs w:val="22"/>
              </w:rPr>
              <w:t>E0491</w:t>
            </w:r>
          </w:p>
        </w:tc>
        <w:tc>
          <w:tcPr>
            <w:tcW w:w="1210" w:type="dxa"/>
            <w:tcBorders>
              <w:top w:val="single" w:sz="4" w:space="0" w:color="auto"/>
              <w:left w:val="single" w:sz="4" w:space="0" w:color="auto"/>
              <w:bottom w:val="single" w:sz="4" w:space="0" w:color="auto"/>
              <w:right w:val="single" w:sz="4" w:space="0" w:color="auto"/>
            </w:tcBorders>
            <w:vAlign w:val="center"/>
          </w:tcPr>
          <w:p w14:paraId="5D16C00C" w14:textId="77777777" w:rsidR="00E05AB8" w:rsidRPr="00227FDA" w:rsidRDefault="00E05AB8" w:rsidP="00CB788B">
            <w:pPr>
              <w:spacing w:after="160" w:line="256" w:lineRule="auto"/>
              <w:jc w:val="center"/>
              <w:rPr>
                <w:sz w:val="22"/>
                <w:szCs w:val="22"/>
              </w:rPr>
            </w:pPr>
          </w:p>
        </w:tc>
        <w:tc>
          <w:tcPr>
            <w:tcW w:w="5540" w:type="dxa"/>
            <w:tcBorders>
              <w:top w:val="single" w:sz="4" w:space="0" w:color="auto"/>
              <w:left w:val="single" w:sz="4" w:space="0" w:color="auto"/>
              <w:bottom w:val="single" w:sz="4" w:space="0" w:color="auto"/>
              <w:right w:val="single" w:sz="4" w:space="0" w:color="auto"/>
            </w:tcBorders>
            <w:vAlign w:val="center"/>
            <w:hideMark/>
          </w:tcPr>
          <w:p w14:paraId="4CD26CB7" w14:textId="77777777" w:rsidR="00E05AB8" w:rsidRPr="00227FDA" w:rsidRDefault="00E05AB8" w:rsidP="00CB788B">
            <w:pPr>
              <w:spacing w:line="256" w:lineRule="auto"/>
              <w:rPr>
                <w:sz w:val="22"/>
                <w:szCs w:val="22"/>
              </w:rPr>
            </w:pPr>
            <w:r w:rsidRPr="00227FDA">
              <w:rPr>
                <w:sz w:val="22"/>
                <w:szCs w:val="22"/>
              </w:rPr>
              <w:t>Oral device/appliance for neuromuscular electrical stimulation of the tongue muscle, used in conjunction with the power source and control electronics unit, controlled by hardware remote, 90-day supply</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FA198F3" w14:textId="77777777" w:rsidR="00E05AB8" w:rsidRPr="00227FDA" w:rsidRDefault="00E05AB8" w:rsidP="00CB788B">
            <w:pPr>
              <w:spacing w:line="256" w:lineRule="auto"/>
              <w:jc w:val="center"/>
              <w:rPr>
                <w:sz w:val="22"/>
                <w:szCs w:val="22"/>
              </w:rPr>
            </w:pPr>
            <w:r w:rsidRPr="00227FDA">
              <w:rPr>
                <w:sz w:val="22"/>
                <w:szCs w:val="22"/>
              </w:rPr>
              <w:t>$83.57</w:t>
            </w:r>
          </w:p>
        </w:tc>
      </w:tr>
      <w:tr w:rsidR="00E05AB8" w:rsidRPr="00227FDA" w14:paraId="68240F01" w14:textId="77777777" w:rsidTr="00CB788B">
        <w:trPr>
          <w:trHeight w:val="432"/>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672DA042" w14:textId="77777777" w:rsidR="00E05AB8" w:rsidRPr="00227FDA" w:rsidRDefault="00E05AB8" w:rsidP="00CB788B">
            <w:pPr>
              <w:jc w:val="center"/>
              <w:rPr>
                <w:sz w:val="22"/>
                <w:szCs w:val="22"/>
              </w:rPr>
            </w:pPr>
            <w:r w:rsidRPr="00227FDA">
              <w:rPr>
                <w:sz w:val="22"/>
                <w:szCs w:val="22"/>
              </w:rPr>
              <w:t>K1036</w:t>
            </w:r>
          </w:p>
        </w:tc>
        <w:tc>
          <w:tcPr>
            <w:tcW w:w="1210" w:type="dxa"/>
            <w:tcBorders>
              <w:top w:val="single" w:sz="4" w:space="0" w:color="auto"/>
              <w:left w:val="single" w:sz="4" w:space="0" w:color="auto"/>
              <w:bottom w:val="single" w:sz="4" w:space="0" w:color="auto"/>
              <w:right w:val="single" w:sz="4" w:space="0" w:color="auto"/>
            </w:tcBorders>
            <w:vAlign w:val="center"/>
          </w:tcPr>
          <w:p w14:paraId="5C69EBFA" w14:textId="77777777" w:rsidR="00E05AB8" w:rsidRPr="00227FDA" w:rsidRDefault="00E05AB8" w:rsidP="00CB788B">
            <w:pPr>
              <w:spacing w:after="160" w:line="256" w:lineRule="auto"/>
              <w:jc w:val="center"/>
              <w:rPr>
                <w:sz w:val="22"/>
                <w:szCs w:val="22"/>
              </w:rPr>
            </w:pPr>
          </w:p>
        </w:tc>
        <w:tc>
          <w:tcPr>
            <w:tcW w:w="5540" w:type="dxa"/>
            <w:tcBorders>
              <w:top w:val="nil"/>
              <w:left w:val="single" w:sz="4" w:space="0" w:color="auto"/>
              <w:bottom w:val="single" w:sz="4" w:space="0" w:color="auto"/>
              <w:right w:val="single" w:sz="4" w:space="0" w:color="auto"/>
            </w:tcBorders>
            <w:vAlign w:val="center"/>
            <w:hideMark/>
          </w:tcPr>
          <w:p w14:paraId="668EB427" w14:textId="77777777" w:rsidR="00E05AB8" w:rsidRPr="00227FDA" w:rsidRDefault="00E05AB8" w:rsidP="00CB788B">
            <w:pPr>
              <w:spacing w:line="256" w:lineRule="auto"/>
              <w:rPr>
                <w:sz w:val="22"/>
                <w:szCs w:val="22"/>
              </w:rPr>
            </w:pPr>
            <w:r w:rsidRPr="00227FDA">
              <w:rPr>
                <w:sz w:val="22"/>
                <w:szCs w:val="22"/>
              </w:rPr>
              <w:t>Supplies and accessories (e.g., transducer) for low frequency ultrasonic diathermy treatment device, per month</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BA2304F" w14:textId="77777777" w:rsidR="00E05AB8" w:rsidRPr="00227FDA" w:rsidRDefault="00E05AB8" w:rsidP="00CB788B">
            <w:pPr>
              <w:spacing w:line="256" w:lineRule="auto"/>
              <w:jc w:val="center"/>
              <w:rPr>
                <w:sz w:val="22"/>
                <w:szCs w:val="22"/>
              </w:rPr>
            </w:pPr>
            <w:r w:rsidRPr="00227FDA">
              <w:rPr>
                <w:sz w:val="22"/>
                <w:szCs w:val="22"/>
              </w:rPr>
              <w:t>AAC+30%</w:t>
            </w:r>
          </w:p>
        </w:tc>
      </w:tr>
    </w:tbl>
    <w:p w14:paraId="6625892A" w14:textId="78FE1783" w:rsidR="00E05AB8" w:rsidRPr="00C17DC7" w:rsidRDefault="00E05AB8" w:rsidP="00C17DC7">
      <w:pPr>
        <w:pStyle w:val="Heading3"/>
        <w:spacing w:before="360" w:after="240"/>
      </w:pPr>
      <w:r w:rsidRPr="00227FDA">
        <w:t>Revised Code Descriptions</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vised Code Descriptions:"/>
      </w:tblPr>
      <w:tblGrid>
        <w:gridCol w:w="1170"/>
        <w:gridCol w:w="9000"/>
      </w:tblGrid>
      <w:tr w:rsidR="00E05AB8" w:rsidRPr="00227FDA" w14:paraId="5435FF20" w14:textId="77777777" w:rsidTr="00E05AB8">
        <w:trPr>
          <w:trHeight w:val="537"/>
          <w:tblHeader/>
        </w:trPr>
        <w:tc>
          <w:tcPr>
            <w:tcW w:w="1170" w:type="dxa"/>
            <w:tcBorders>
              <w:top w:val="single" w:sz="4" w:space="0" w:color="auto"/>
              <w:left w:val="single" w:sz="4" w:space="0" w:color="auto"/>
              <w:bottom w:val="single" w:sz="4" w:space="0" w:color="auto"/>
              <w:right w:val="single" w:sz="4" w:space="0" w:color="auto"/>
            </w:tcBorders>
            <w:vAlign w:val="center"/>
            <w:hideMark/>
          </w:tcPr>
          <w:p w14:paraId="490C0465" w14:textId="77777777" w:rsidR="00E05AB8" w:rsidRPr="00227FDA" w:rsidRDefault="00E05AB8">
            <w:pPr>
              <w:autoSpaceDE w:val="0"/>
              <w:autoSpaceDN w:val="0"/>
              <w:adjustRightInd w:val="0"/>
              <w:jc w:val="center"/>
              <w:rPr>
                <w:rFonts w:cs="Times New Roman"/>
                <w:b/>
                <w:bCs/>
              </w:rPr>
            </w:pPr>
            <w:r w:rsidRPr="00227FDA">
              <w:rPr>
                <w:rFonts w:cs="Times New Roman"/>
                <w:b/>
                <w:bCs/>
              </w:rPr>
              <w:t>Code</w:t>
            </w:r>
          </w:p>
        </w:tc>
        <w:tc>
          <w:tcPr>
            <w:tcW w:w="9000" w:type="dxa"/>
            <w:tcBorders>
              <w:top w:val="single" w:sz="4" w:space="0" w:color="auto"/>
              <w:left w:val="single" w:sz="4" w:space="0" w:color="auto"/>
              <w:bottom w:val="single" w:sz="4" w:space="0" w:color="auto"/>
              <w:right w:val="single" w:sz="4" w:space="0" w:color="auto"/>
            </w:tcBorders>
            <w:vAlign w:val="center"/>
            <w:hideMark/>
          </w:tcPr>
          <w:p w14:paraId="6D11855C" w14:textId="77777777" w:rsidR="00E05AB8" w:rsidRPr="00227FDA" w:rsidRDefault="00E05AB8">
            <w:pPr>
              <w:autoSpaceDE w:val="0"/>
              <w:autoSpaceDN w:val="0"/>
              <w:adjustRightInd w:val="0"/>
              <w:jc w:val="center"/>
              <w:rPr>
                <w:rFonts w:cs="Times New Roman"/>
                <w:b/>
                <w:bCs/>
              </w:rPr>
            </w:pPr>
            <w:r w:rsidRPr="00227FDA">
              <w:rPr>
                <w:rFonts w:cs="Times New Roman"/>
                <w:b/>
                <w:bCs/>
              </w:rPr>
              <w:t>Description</w:t>
            </w:r>
          </w:p>
        </w:tc>
      </w:tr>
      <w:tr w:rsidR="00E05AB8" w:rsidRPr="00227FDA" w14:paraId="7781C64F" w14:textId="77777777" w:rsidTr="00E05AB8">
        <w:trPr>
          <w:trHeight w:val="461"/>
          <w:tblHeader/>
        </w:trPr>
        <w:tc>
          <w:tcPr>
            <w:tcW w:w="1170" w:type="dxa"/>
            <w:tcBorders>
              <w:top w:val="single" w:sz="4" w:space="0" w:color="auto"/>
              <w:left w:val="single" w:sz="4" w:space="0" w:color="auto"/>
              <w:bottom w:val="single" w:sz="4" w:space="0" w:color="auto"/>
              <w:right w:val="single" w:sz="4" w:space="0" w:color="auto"/>
            </w:tcBorders>
            <w:vAlign w:val="center"/>
            <w:hideMark/>
          </w:tcPr>
          <w:p w14:paraId="36894D43" w14:textId="77777777" w:rsidR="00E05AB8" w:rsidRPr="00227FDA" w:rsidRDefault="00E05AB8">
            <w:pPr>
              <w:autoSpaceDE w:val="0"/>
              <w:autoSpaceDN w:val="0"/>
              <w:adjustRightInd w:val="0"/>
              <w:jc w:val="center"/>
              <w:rPr>
                <w:rFonts w:eastAsiaTheme="minorEastAsia" w:cs="Times New Roman"/>
              </w:rPr>
            </w:pPr>
            <w:r w:rsidRPr="00227FDA">
              <w:rPr>
                <w:rFonts w:eastAsiaTheme="minorEastAsia" w:cs="Times New Roman"/>
              </w:rPr>
              <w:t>A4344</w:t>
            </w:r>
          </w:p>
        </w:tc>
        <w:tc>
          <w:tcPr>
            <w:tcW w:w="9000" w:type="dxa"/>
            <w:tcBorders>
              <w:top w:val="single" w:sz="4" w:space="0" w:color="auto"/>
              <w:left w:val="single" w:sz="4" w:space="0" w:color="auto"/>
              <w:bottom w:val="single" w:sz="4" w:space="0" w:color="auto"/>
              <w:right w:val="single" w:sz="4" w:space="0" w:color="auto"/>
            </w:tcBorders>
            <w:vAlign w:val="center"/>
            <w:hideMark/>
          </w:tcPr>
          <w:p w14:paraId="4C65C6A0" w14:textId="77777777" w:rsidR="00E05AB8" w:rsidRPr="00227FDA" w:rsidRDefault="00E05AB8">
            <w:pPr>
              <w:autoSpaceDE w:val="0"/>
              <w:autoSpaceDN w:val="0"/>
              <w:adjustRightInd w:val="0"/>
              <w:rPr>
                <w:rFonts w:cs="Times New Roman"/>
              </w:rPr>
            </w:pPr>
            <w:r w:rsidRPr="00227FDA">
              <w:rPr>
                <w:rFonts w:cs="Times New Roman"/>
              </w:rPr>
              <w:t>Indwelling catheter; foley type, two-way, all silicone or polyurethane, each</w:t>
            </w:r>
          </w:p>
        </w:tc>
      </w:tr>
      <w:tr w:rsidR="00E05AB8" w:rsidRPr="00227FDA" w14:paraId="3D1E292F" w14:textId="77777777" w:rsidTr="00E05AB8">
        <w:trPr>
          <w:trHeight w:val="581"/>
          <w:tblHeader/>
        </w:trPr>
        <w:tc>
          <w:tcPr>
            <w:tcW w:w="1170" w:type="dxa"/>
            <w:tcBorders>
              <w:top w:val="single" w:sz="4" w:space="0" w:color="auto"/>
              <w:left w:val="single" w:sz="4" w:space="0" w:color="auto"/>
              <w:bottom w:val="single" w:sz="4" w:space="0" w:color="auto"/>
              <w:right w:val="single" w:sz="4" w:space="0" w:color="auto"/>
            </w:tcBorders>
            <w:vAlign w:val="center"/>
            <w:hideMark/>
          </w:tcPr>
          <w:p w14:paraId="48A1AAE7" w14:textId="77777777" w:rsidR="00E05AB8" w:rsidRPr="00227FDA" w:rsidRDefault="00E05AB8">
            <w:pPr>
              <w:autoSpaceDE w:val="0"/>
              <w:autoSpaceDN w:val="0"/>
              <w:adjustRightInd w:val="0"/>
              <w:jc w:val="center"/>
              <w:rPr>
                <w:rFonts w:eastAsiaTheme="minorEastAsia" w:cs="Times New Roman"/>
              </w:rPr>
            </w:pPr>
            <w:r w:rsidRPr="00227FDA">
              <w:rPr>
                <w:rFonts w:eastAsiaTheme="minorEastAsia" w:cs="Times New Roman"/>
              </w:rPr>
              <w:t>K1028</w:t>
            </w:r>
          </w:p>
        </w:tc>
        <w:tc>
          <w:tcPr>
            <w:tcW w:w="9000" w:type="dxa"/>
            <w:tcBorders>
              <w:top w:val="single" w:sz="4" w:space="0" w:color="auto"/>
              <w:left w:val="single" w:sz="4" w:space="0" w:color="auto"/>
              <w:bottom w:val="single" w:sz="4" w:space="0" w:color="auto"/>
              <w:right w:val="single" w:sz="4" w:space="0" w:color="auto"/>
            </w:tcBorders>
            <w:vAlign w:val="center"/>
            <w:hideMark/>
          </w:tcPr>
          <w:p w14:paraId="7D263076" w14:textId="77777777" w:rsidR="00E05AB8" w:rsidRPr="00227FDA" w:rsidRDefault="00E05AB8">
            <w:pPr>
              <w:autoSpaceDE w:val="0"/>
              <w:autoSpaceDN w:val="0"/>
              <w:adjustRightInd w:val="0"/>
              <w:rPr>
                <w:rFonts w:cs="Times New Roman"/>
              </w:rPr>
            </w:pPr>
            <w:r w:rsidRPr="00227FDA">
              <w:rPr>
                <w:rFonts w:cs="Times New Roman"/>
              </w:rPr>
              <w:t>Power source and control electronics unit for oral device/appliance for neuromuscular electrical stimulation of the tongue muscle, controlled by phone application</w:t>
            </w:r>
          </w:p>
        </w:tc>
      </w:tr>
    </w:tbl>
    <w:p w14:paraId="491ED5E7" w14:textId="77777777" w:rsidR="00E05AB8" w:rsidRPr="00227FDA" w:rsidRDefault="00E05AB8" w:rsidP="00E05AB8">
      <w:pPr>
        <w:tabs>
          <w:tab w:val="left" w:pos="5638"/>
        </w:tabs>
        <w:rPr>
          <w:rFonts w:cs="Times New Roman"/>
        </w:rPr>
      </w:pPr>
    </w:p>
    <w:p w14:paraId="3F00D2FD" w14:textId="77777777" w:rsidR="00E05AB8" w:rsidRDefault="00E05AB8" w:rsidP="00E05AB8">
      <w:pPr>
        <w:jc w:val="center"/>
        <w:rPr>
          <w:rFonts w:ascii="Times New Roman" w:eastAsia="Calibri" w:hAnsi="Times New Roman" w:cs="Times New Roman"/>
          <w:b/>
          <w:bCs/>
          <w:sz w:val="24"/>
          <w:szCs w:val="24"/>
        </w:rPr>
      </w:pPr>
    </w:p>
    <w:p w14:paraId="5B00C4EB" w14:textId="77777777" w:rsidR="00CF51B8" w:rsidRDefault="00EC2A2D" w:rsidP="00D34D35">
      <w:pPr>
        <w:spacing w:before="960"/>
        <w:rPr>
          <w:rStyle w:val="Hyperlink"/>
          <w:position w:val="10"/>
        </w:rPr>
      </w:pPr>
      <w:r>
        <w:rPr>
          <w:noProof/>
        </w:rPr>
        <w:drawing>
          <wp:inline distT="0" distB="0" distL="0" distR="0" wp14:anchorId="5A7AF994" wp14:editId="3AC57F74">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1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2" w:history="1">
        <w:r w:rsidRPr="008B1B7F">
          <w:rPr>
            <w:rStyle w:val="Hyperlink"/>
            <w:position w:val="10"/>
          </w:rPr>
          <w:t>MassHealth on Facebook</w:t>
        </w:r>
      </w:hyperlink>
      <w:r>
        <w:rPr>
          <w:position w:val="10"/>
        </w:rPr>
        <w:t xml:space="preserve">     </w:t>
      </w:r>
      <w:r>
        <w:rPr>
          <w:noProof/>
        </w:rPr>
        <w:drawing>
          <wp:inline distT="0" distB="0" distL="0" distR="0" wp14:anchorId="45B75311" wp14:editId="24FA896C">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1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4" w:history="1">
        <w:r>
          <w:rPr>
            <w:rStyle w:val="Hyperlink"/>
            <w:position w:val="10"/>
          </w:rPr>
          <w:t>MassHealth on X (Twitter)</w:t>
        </w:r>
      </w:hyperlink>
      <w:r>
        <w:rPr>
          <w:position w:val="10"/>
        </w:rPr>
        <w:t xml:space="preserve">     </w:t>
      </w:r>
      <w:r>
        <w:rPr>
          <w:noProof/>
        </w:rPr>
        <w:drawing>
          <wp:inline distT="0" distB="0" distL="0" distR="0" wp14:anchorId="3A76AA55" wp14:editId="75715E42">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1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6" w:history="1">
        <w:r w:rsidRPr="008B1B7F">
          <w:rPr>
            <w:rStyle w:val="Hyperlink"/>
            <w:position w:val="10"/>
          </w:rPr>
          <w:t>MassHealth on YouTube</w:t>
        </w:r>
      </w:hyperlink>
    </w:p>
    <w:sectPr w:rsidR="00CF51B8" w:rsidSect="00D34D35">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4E47" w14:textId="77777777" w:rsidR="00CE57C8" w:rsidRDefault="00CE57C8" w:rsidP="00AC798F">
      <w:r>
        <w:separator/>
      </w:r>
    </w:p>
  </w:endnote>
  <w:endnote w:type="continuationSeparator" w:id="0">
    <w:p w14:paraId="7DFE8A87" w14:textId="77777777" w:rsidR="00CE57C8" w:rsidRDefault="00CE57C8"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D69B" w14:textId="77777777" w:rsidR="00F66A27" w:rsidRDefault="00F66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9BEF" w14:textId="3599F265" w:rsidR="00F22618" w:rsidRPr="00F22618" w:rsidRDefault="00F22618" w:rsidP="00F22618">
    <w:pPr>
      <w:pStyle w:val="Footer"/>
      <w:jc w:val="center"/>
    </w:pPr>
    <w:r w:rsidRPr="00F22618">
      <w:t xml:space="preserve">Page </w:t>
    </w:r>
    <w:r w:rsidRPr="00F22618">
      <w:fldChar w:fldCharType="begin"/>
    </w:r>
    <w:r w:rsidRPr="00F22618">
      <w:instrText xml:space="preserve"> PAGE  \* Arabic  \* MERGEFORMAT </w:instrText>
    </w:r>
    <w:r w:rsidRPr="00F22618">
      <w:fldChar w:fldCharType="separate"/>
    </w:r>
    <w:r w:rsidRPr="00F22618">
      <w:rPr>
        <w:noProof/>
      </w:rPr>
      <w:t>1</w:t>
    </w:r>
    <w:r w:rsidRPr="00F22618">
      <w:fldChar w:fldCharType="end"/>
    </w:r>
    <w:r w:rsidRPr="00F22618">
      <w:t xml:space="preserve"> of </w:t>
    </w:r>
    <w:fldSimple w:instr=" NUMPAGES  \* Arabic  \* MERGEFORMAT ">
      <w:r w:rsidRPr="00F22618">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6FF0" w14:textId="19BEAF64" w:rsidR="00094622" w:rsidRPr="00F22618" w:rsidRDefault="00094622" w:rsidP="00F22618">
    <w:pPr>
      <w:pStyle w:val="Footer"/>
      <w:jc w:val="center"/>
    </w:pPr>
    <w:r w:rsidRPr="00F22618">
      <w:t xml:space="preserve">Page </w:t>
    </w:r>
    <w:r w:rsidRPr="00F22618">
      <w:fldChar w:fldCharType="begin"/>
    </w:r>
    <w:r w:rsidRPr="00F22618">
      <w:instrText xml:space="preserve"> PAGE  \* Arabic  \* MERGEFORMAT </w:instrText>
    </w:r>
    <w:r w:rsidRPr="00F22618">
      <w:fldChar w:fldCharType="separate"/>
    </w:r>
    <w:r w:rsidRPr="00F22618">
      <w:rPr>
        <w:noProof/>
      </w:rPr>
      <w:t>1</w:t>
    </w:r>
    <w:r w:rsidRPr="00F22618">
      <w:fldChar w:fldCharType="end"/>
    </w:r>
    <w:r w:rsidRPr="00F22618">
      <w:t xml:space="preserve"> of </w:t>
    </w:r>
    <w:fldSimple w:instr=" NUMPAGES  \* Arabic  \* MERGEFORMAT ">
      <w:r w:rsidRPr="00F22618">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40AF" w14:textId="77777777" w:rsidR="00CE57C8" w:rsidRDefault="00CE57C8" w:rsidP="00AC798F">
      <w:r>
        <w:separator/>
      </w:r>
    </w:p>
  </w:footnote>
  <w:footnote w:type="continuationSeparator" w:id="0">
    <w:p w14:paraId="23E095CE" w14:textId="77777777" w:rsidR="00CE57C8" w:rsidRDefault="00CE57C8"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EE84" w14:textId="77777777" w:rsidR="00F66A27" w:rsidRDefault="00F6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977C" w14:textId="77777777" w:rsidR="003B6B1D" w:rsidRPr="00AC798F" w:rsidRDefault="003B6B1D" w:rsidP="003B6B1D">
    <w:pPr>
      <w:jc w:val="right"/>
    </w:pPr>
    <w:r w:rsidRPr="00AC798F">
      <w:t>EOHHS</w:t>
    </w:r>
  </w:p>
  <w:p w14:paraId="086D58E0" w14:textId="494680D2" w:rsidR="003B6B1D" w:rsidRPr="00AC798F" w:rsidRDefault="003B6B1D" w:rsidP="003B6B1D">
    <w:pPr>
      <w:jc w:val="right"/>
    </w:pPr>
    <w:r w:rsidRPr="00AC798F">
      <w:t xml:space="preserve">Administrative Bulletin </w:t>
    </w:r>
    <w:r w:rsidR="004579AA">
      <w:t>24</w:t>
    </w:r>
    <w:r w:rsidR="00F66A27" w:rsidRPr="00F66A27">
      <w:t>-03</w:t>
    </w:r>
  </w:p>
  <w:p w14:paraId="65F74145" w14:textId="6038E17A" w:rsidR="003B6B1D" w:rsidRPr="00AC798F" w:rsidRDefault="003B6B1D" w:rsidP="003B6B1D">
    <w:pPr>
      <w:jc w:val="right"/>
    </w:pPr>
    <w:r w:rsidRPr="00AC798F">
      <w:t xml:space="preserve">Effective </w:t>
    </w:r>
    <w:r w:rsidR="004579AA" w:rsidRPr="00E05AB8">
      <w:rPr>
        <w:rFonts w:cs="Times New Roman"/>
        <w:bCs/>
        <w:sz w:val="24"/>
        <w:szCs w:val="24"/>
      </w:rPr>
      <w:t>January 1, 2020, July 7, 2023, and October 1, 2023</w:t>
    </w:r>
  </w:p>
  <w:p w14:paraId="6429EDAE" w14:textId="77777777" w:rsidR="00AC2256" w:rsidRDefault="00AC2256">
    <w:pPr>
      <w:pStyle w:val="Header"/>
    </w:pPr>
  </w:p>
  <w:p w14:paraId="55C491F0" w14:textId="77777777" w:rsidR="00CB788B" w:rsidRDefault="00CB7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F431" w14:textId="77777777" w:rsidR="00AC2256" w:rsidRPr="006E5DED" w:rsidRDefault="00AC2256" w:rsidP="00AC2256">
    <w:pPr>
      <w:pStyle w:val="Header"/>
      <w:rPr>
        <w:noProof/>
      </w:rPr>
    </w:pPr>
    <w:r>
      <w:rPr>
        <w:noProof/>
        <w:color w:val="1F497D" w:themeColor="text2"/>
      </w:rPr>
      <w:drawing>
        <wp:anchor distT="0" distB="0" distL="114300" distR="114300" simplePos="0" relativeHeight="251660288" behindDoc="0" locked="0" layoutInCell="1" allowOverlap="1" wp14:anchorId="7C73B141" wp14:editId="7D63FAA1">
          <wp:simplePos x="0" y="0"/>
          <wp:positionH relativeFrom="column">
            <wp:posOffset>4798695</wp:posOffset>
          </wp:positionH>
          <wp:positionV relativeFrom="paragraph">
            <wp:posOffset>123825</wp:posOffset>
          </wp:positionV>
          <wp:extent cx="1174115" cy="621665"/>
          <wp:effectExtent l="0" t="0" r="698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rPr>
      <mc:AlternateContent>
        <mc:Choice Requires="wps">
          <w:drawing>
            <wp:anchor distT="0" distB="0" distL="114300" distR="114300" simplePos="0" relativeHeight="251659264" behindDoc="0" locked="0" layoutInCell="1" allowOverlap="1" wp14:anchorId="7F92E19A" wp14:editId="40E5DF89">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6870195C" w14:textId="77777777" w:rsidR="00AC2256" w:rsidRPr="00AC798F" w:rsidRDefault="00AC2256" w:rsidP="00AC2256">
                          <w:pPr>
                            <w:pStyle w:val="Header"/>
                            <w:jc w:val="center"/>
                            <w:rPr>
                              <w:color w:val="4F81BD" w:themeColor="accent1"/>
                              <w:sz w:val="20"/>
                            </w:rPr>
                          </w:pPr>
                          <w:r w:rsidRPr="00AC798F">
                            <w:rPr>
                              <w:color w:val="4F81BD" w:themeColor="accent1"/>
                            </w:rPr>
                            <w:t>EXECUTIVE OFFICE OF HEALTH AND HUMAN SERVICES</w:t>
                          </w:r>
                        </w:p>
                        <w:p w14:paraId="2F89C73F" w14:textId="77777777" w:rsidR="00AC2256" w:rsidRPr="00AC798F" w:rsidRDefault="00AC2256" w:rsidP="00AC2256">
                          <w:pPr>
                            <w:pStyle w:val="Header"/>
                            <w:jc w:val="center"/>
                            <w:rPr>
                              <w:b/>
                              <w:bCs/>
                              <w:color w:val="4F81BD" w:themeColor="accent1"/>
                            </w:rPr>
                          </w:pPr>
                          <w:r w:rsidRPr="00AC798F">
                            <w:rPr>
                              <w:b/>
                              <w:bCs/>
                              <w:color w:val="4F81BD" w:themeColor="accent1"/>
                            </w:rPr>
                            <w:t>COMMONWEALTH OF MASSACHUSETTS</w:t>
                          </w:r>
                        </w:p>
                        <w:p w14:paraId="53AD9A25" w14:textId="77777777" w:rsidR="00AC2256" w:rsidRDefault="00AC2256" w:rsidP="00AC2256">
                          <w:pPr>
                            <w:pStyle w:val="Header"/>
                            <w:jc w:val="center"/>
                            <w:rPr>
                              <w:color w:val="4F81BD" w:themeColor="accent1"/>
                            </w:rPr>
                          </w:pPr>
                          <w:r w:rsidRPr="00AC798F">
                            <w:rPr>
                              <w:color w:val="4F81BD" w:themeColor="accent1"/>
                            </w:rPr>
                            <w:t>ONE ASHBURTON PLACE, BOSTON, MA 02108</w:t>
                          </w:r>
                        </w:p>
                        <w:p w14:paraId="45FF6A9D" w14:textId="77777777" w:rsidR="00AC2256" w:rsidRPr="00AC798F" w:rsidRDefault="00AC2256" w:rsidP="00AC2256">
                          <w:pPr>
                            <w:pStyle w:val="Header"/>
                            <w:jc w:val="center"/>
                            <w:rPr>
                              <w:color w:val="4F81BD" w:themeColor="accent1"/>
                            </w:rPr>
                          </w:pPr>
                          <w:r>
                            <w:rPr>
                              <w:color w:val="4F81BD" w:themeColor="accent1"/>
                            </w:rPr>
                            <w:t>(617) 573-1600</w:t>
                          </w:r>
                        </w:p>
                        <w:p w14:paraId="72A9D576" w14:textId="77777777" w:rsidR="00AC2256" w:rsidRDefault="00AC2256" w:rsidP="00AC225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2E19A"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6870195C" w14:textId="77777777" w:rsidR="00AC2256" w:rsidRPr="00AC798F" w:rsidRDefault="00AC2256" w:rsidP="00AC2256">
                    <w:pPr>
                      <w:pStyle w:val="Header"/>
                      <w:jc w:val="center"/>
                      <w:rPr>
                        <w:color w:val="4F81BD" w:themeColor="accent1"/>
                        <w:sz w:val="20"/>
                      </w:rPr>
                    </w:pPr>
                    <w:r w:rsidRPr="00AC798F">
                      <w:rPr>
                        <w:color w:val="4F81BD" w:themeColor="accent1"/>
                      </w:rPr>
                      <w:t>EXECUTIVE OFFICE OF HEALTH AND HUMAN SERVICES</w:t>
                    </w:r>
                  </w:p>
                  <w:p w14:paraId="2F89C73F" w14:textId="77777777" w:rsidR="00AC2256" w:rsidRPr="00AC798F" w:rsidRDefault="00AC2256" w:rsidP="00AC2256">
                    <w:pPr>
                      <w:pStyle w:val="Header"/>
                      <w:jc w:val="center"/>
                      <w:rPr>
                        <w:b/>
                        <w:bCs/>
                        <w:color w:val="4F81BD" w:themeColor="accent1"/>
                      </w:rPr>
                    </w:pPr>
                    <w:r w:rsidRPr="00AC798F">
                      <w:rPr>
                        <w:b/>
                        <w:bCs/>
                        <w:color w:val="4F81BD" w:themeColor="accent1"/>
                      </w:rPr>
                      <w:t>COMMONWEALTH OF MASSACHUSETTS</w:t>
                    </w:r>
                  </w:p>
                  <w:p w14:paraId="53AD9A25" w14:textId="77777777" w:rsidR="00AC2256" w:rsidRDefault="00AC2256" w:rsidP="00AC2256">
                    <w:pPr>
                      <w:pStyle w:val="Header"/>
                      <w:jc w:val="center"/>
                      <w:rPr>
                        <w:color w:val="4F81BD" w:themeColor="accent1"/>
                      </w:rPr>
                    </w:pPr>
                    <w:r w:rsidRPr="00AC798F">
                      <w:rPr>
                        <w:color w:val="4F81BD" w:themeColor="accent1"/>
                      </w:rPr>
                      <w:t>ONE ASHBURTON PLACE, BOSTON, MA 02108</w:t>
                    </w:r>
                  </w:p>
                  <w:p w14:paraId="45FF6A9D" w14:textId="77777777" w:rsidR="00AC2256" w:rsidRPr="00AC798F" w:rsidRDefault="00AC2256" w:rsidP="00AC2256">
                    <w:pPr>
                      <w:pStyle w:val="Header"/>
                      <w:jc w:val="center"/>
                      <w:rPr>
                        <w:color w:val="4F81BD" w:themeColor="accent1"/>
                      </w:rPr>
                    </w:pPr>
                    <w:r>
                      <w:rPr>
                        <w:color w:val="4F81BD" w:themeColor="accent1"/>
                      </w:rPr>
                      <w:t>(617) 573-1600</w:t>
                    </w:r>
                  </w:p>
                  <w:p w14:paraId="72A9D576" w14:textId="77777777" w:rsidR="00AC2256" w:rsidRDefault="00AC2256" w:rsidP="00AC2256"/>
                </w:txbxContent>
              </v:textbox>
            </v:shape>
          </w:pict>
        </mc:Fallback>
      </mc:AlternateContent>
    </w:r>
    <w:r>
      <w:rPr>
        <w:noProof/>
      </w:rPr>
      <w:drawing>
        <wp:inline distT="0" distB="0" distL="0" distR="0" wp14:anchorId="4DBD57B8" wp14:editId="73DB1C96">
          <wp:extent cx="1164590" cy="137795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539B0465" w14:textId="77777777" w:rsidR="00AC2256" w:rsidRDefault="00AC2256" w:rsidP="00AC2256">
    <w:pPr>
      <w:pStyle w:val="Header"/>
    </w:pPr>
    <w:r>
      <w:ptab w:relativeTo="margin" w:alignment="right" w:leader="none"/>
    </w:r>
  </w:p>
  <w:p w14:paraId="7D04759F" w14:textId="77777777" w:rsidR="00AC2256" w:rsidRPr="00AC798F" w:rsidRDefault="00AC2256" w:rsidP="00AC2256">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2F215A49" w14:textId="77777777" w:rsidR="00AC2256" w:rsidRPr="00AC798F" w:rsidRDefault="00AC2256" w:rsidP="00AC2256">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2D91705F" w14:textId="77777777" w:rsidR="00AC2256" w:rsidRPr="00AC798F" w:rsidRDefault="00AC2256" w:rsidP="00AC2256">
    <w:pPr>
      <w:pStyle w:val="Header"/>
      <w:rPr>
        <w:color w:val="1F497D" w:themeColor="text2"/>
      </w:rPr>
    </w:pPr>
  </w:p>
  <w:p w14:paraId="3F90BBC9" w14:textId="77777777" w:rsidR="00AC2256" w:rsidRPr="00AC798F" w:rsidRDefault="00AC2256" w:rsidP="00AC2256">
    <w:pPr>
      <w:pStyle w:val="Header"/>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2E80EE9A" w14:textId="77777777" w:rsidR="00AC2256" w:rsidRPr="00AC798F" w:rsidRDefault="00AC2256" w:rsidP="00AC2256">
    <w:pPr>
      <w:pStyle w:val="Header"/>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234E68F5" w14:textId="77777777" w:rsidR="00AC2256" w:rsidRPr="00AC798F" w:rsidRDefault="00AC2256" w:rsidP="00AC2256">
    <w:pPr>
      <w:pStyle w:val="Header"/>
      <w:rPr>
        <w:color w:val="1F497D" w:themeColor="text2"/>
      </w:rPr>
    </w:pPr>
    <w:r w:rsidRPr="00AC798F">
      <w:rPr>
        <w:color w:val="1F497D" w:themeColor="text2"/>
      </w:rPr>
      <w:tab/>
    </w:r>
    <w:r w:rsidRPr="00AC798F">
      <w:rPr>
        <w:color w:val="1F497D" w:themeColor="text2"/>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1469A"/>
    <w:rsid w:val="00024809"/>
    <w:rsid w:val="000604D9"/>
    <w:rsid w:val="000722C4"/>
    <w:rsid w:val="00094622"/>
    <w:rsid w:val="00097D12"/>
    <w:rsid w:val="000B3478"/>
    <w:rsid w:val="000C798E"/>
    <w:rsid w:val="00134791"/>
    <w:rsid w:val="00146C2F"/>
    <w:rsid w:val="00153DCE"/>
    <w:rsid w:val="00154CA9"/>
    <w:rsid w:val="00193348"/>
    <w:rsid w:val="001A7742"/>
    <w:rsid w:val="001D628B"/>
    <w:rsid w:val="0022152B"/>
    <w:rsid w:val="00227A3B"/>
    <w:rsid w:val="00227FDA"/>
    <w:rsid w:val="002448DD"/>
    <w:rsid w:val="00252E51"/>
    <w:rsid w:val="00266B97"/>
    <w:rsid w:val="00271D28"/>
    <w:rsid w:val="00284238"/>
    <w:rsid w:val="002A779E"/>
    <w:rsid w:val="003113E4"/>
    <w:rsid w:val="0033130A"/>
    <w:rsid w:val="00351564"/>
    <w:rsid w:val="00351CB7"/>
    <w:rsid w:val="003A0FB6"/>
    <w:rsid w:val="003A3882"/>
    <w:rsid w:val="003B6B1D"/>
    <w:rsid w:val="003E70F8"/>
    <w:rsid w:val="003F6AAE"/>
    <w:rsid w:val="0041466F"/>
    <w:rsid w:val="004240A0"/>
    <w:rsid w:val="00443CDB"/>
    <w:rsid w:val="00450633"/>
    <w:rsid w:val="004579AA"/>
    <w:rsid w:val="00465E5A"/>
    <w:rsid w:val="004D48D7"/>
    <w:rsid w:val="005246D9"/>
    <w:rsid w:val="00533A3B"/>
    <w:rsid w:val="0053555D"/>
    <w:rsid w:val="0056474D"/>
    <w:rsid w:val="005702E6"/>
    <w:rsid w:val="0057224E"/>
    <w:rsid w:val="00585302"/>
    <w:rsid w:val="00597C39"/>
    <w:rsid w:val="005B5D35"/>
    <w:rsid w:val="005F20AC"/>
    <w:rsid w:val="005F66F1"/>
    <w:rsid w:val="00607406"/>
    <w:rsid w:val="0064272D"/>
    <w:rsid w:val="00656FFF"/>
    <w:rsid w:val="006718AB"/>
    <w:rsid w:val="0067618A"/>
    <w:rsid w:val="006B1D87"/>
    <w:rsid w:val="006B6EE0"/>
    <w:rsid w:val="006E5DED"/>
    <w:rsid w:val="006E5F67"/>
    <w:rsid w:val="006F172E"/>
    <w:rsid w:val="0070235D"/>
    <w:rsid w:val="00720C4F"/>
    <w:rsid w:val="00734039"/>
    <w:rsid w:val="00782360"/>
    <w:rsid w:val="00796A70"/>
    <w:rsid w:val="007B169C"/>
    <w:rsid w:val="007B48C3"/>
    <w:rsid w:val="007F04B8"/>
    <w:rsid w:val="00800711"/>
    <w:rsid w:val="00862A08"/>
    <w:rsid w:val="008A50C9"/>
    <w:rsid w:val="008C7C8A"/>
    <w:rsid w:val="009461EC"/>
    <w:rsid w:val="00964EDE"/>
    <w:rsid w:val="00984786"/>
    <w:rsid w:val="009F360A"/>
    <w:rsid w:val="00A06F80"/>
    <w:rsid w:val="00A34C8D"/>
    <w:rsid w:val="00A95583"/>
    <w:rsid w:val="00AB33D8"/>
    <w:rsid w:val="00AC2256"/>
    <w:rsid w:val="00AC798F"/>
    <w:rsid w:val="00AD1572"/>
    <w:rsid w:val="00B05E0C"/>
    <w:rsid w:val="00B623EB"/>
    <w:rsid w:val="00BA6D03"/>
    <w:rsid w:val="00BE1FB2"/>
    <w:rsid w:val="00C1076E"/>
    <w:rsid w:val="00C17DC7"/>
    <w:rsid w:val="00C400D6"/>
    <w:rsid w:val="00C4194A"/>
    <w:rsid w:val="00C87BF7"/>
    <w:rsid w:val="00CB788B"/>
    <w:rsid w:val="00CD06DF"/>
    <w:rsid w:val="00CD44F4"/>
    <w:rsid w:val="00CE57C8"/>
    <w:rsid w:val="00CF4B56"/>
    <w:rsid w:val="00CF51B8"/>
    <w:rsid w:val="00D160CC"/>
    <w:rsid w:val="00D34D35"/>
    <w:rsid w:val="00D5182F"/>
    <w:rsid w:val="00D63172"/>
    <w:rsid w:val="00D761F6"/>
    <w:rsid w:val="00DA7C5B"/>
    <w:rsid w:val="00DC39C7"/>
    <w:rsid w:val="00DE28CE"/>
    <w:rsid w:val="00E025F3"/>
    <w:rsid w:val="00E05AB8"/>
    <w:rsid w:val="00E10A6E"/>
    <w:rsid w:val="00E12022"/>
    <w:rsid w:val="00E263FB"/>
    <w:rsid w:val="00E27559"/>
    <w:rsid w:val="00E320F9"/>
    <w:rsid w:val="00E46B1A"/>
    <w:rsid w:val="00E56BD5"/>
    <w:rsid w:val="00E620A3"/>
    <w:rsid w:val="00E73565"/>
    <w:rsid w:val="00E74BC2"/>
    <w:rsid w:val="00E92AC9"/>
    <w:rsid w:val="00E95E6C"/>
    <w:rsid w:val="00EB1D4D"/>
    <w:rsid w:val="00EC2A2D"/>
    <w:rsid w:val="00EE4CAE"/>
    <w:rsid w:val="00F12C5F"/>
    <w:rsid w:val="00F22618"/>
    <w:rsid w:val="00F44C98"/>
    <w:rsid w:val="00F65E52"/>
    <w:rsid w:val="00F66A27"/>
    <w:rsid w:val="00F7181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1A"/>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paragraph" w:styleId="CommentText">
    <w:name w:val="annotation text"/>
    <w:basedOn w:val="Normal"/>
    <w:link w:val="CommentTextChar"/>
    <w:uiPriority w:val="99"/>
    <w:unhideWhenUsed/>
    <w:rsid w:val="00E05AB8"/>
    <w:rPr>
      <w:rFonts w:asciiTheme="minorHAnsi" w:hAnsiTheme="minorHAnsi"/>
      <w:sz w:val="20"/>
      <w:szCs w:val="20"/>
    </w:rPr>
  </w:style>
  <w:style w:type="character" w:customStyle="1" w:styleId="CommentTextChar">
    <w:name w:val="Comment Text Char"/>
    <w:basedOn w:val="DefaultParagraphFont"/>
    <w:link w:val="CommentText"/>
    <w:uiPriority w:val="99"/>
    <w:rsid w:val="00E05AB8"/>
    <w:rPr>
      <w:sz w:val="20"/>
      <w:szCs w:val="20"/>
    </w:rPr>
  </w:style>
  <w:style w:type="character" w:styleId="CommentReference">
    <w:name w:val="annotation reference"/>
    <w:basedOn w:val="DefaultParagraphFont"/>
    <w:uiPriority w:val="99"/>
    <w:semiHidden/>
    <w:unhideWhenUsed/>
    <w:rsid w:val="00E05AB8"/>
    <w:rPr>
      <w:sz w:val="16"/>
      <w:szCs w:val="16"/>
    </w:rPr>
  </w:style>
  <w:style w:type="table" w:styleId="TableGrid">
    <w:name w:val="Table Grid"/>
    <w:basedOn w:val="TableNormal"/>
    <w:rsid w:val="00E05AB8"/>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63FB"/>
    <w:rPr>
      <w:rFonts w:ascii="Georgia" w:hAnsi="Georgia"/>
      <w:b/>
      <w:bCs/>
    </w:rPr>
  </w:style>
  <w:style w:type="character" w:customStyle="1" w:styleId="CommentSubjectChar">
    <w:name w:val="Comment Subject Char"/>
    <w:basedOn w:val="CommentTextChar"/>
    <w:link w:val="CommentSubject"/>
    <w:uiPriority w:val="99"/>
    <w:semiHidden/>
    <w:rsid w:val="00E263FB"/>
    <w:rPr>
      <w:rFonts w:ascii="Georgia" w:hAnsi="Georgia"/>
      <w:b/>
      <w:bCs/>
      <w:sz w:val="20"/>
      <w:szCs w:val="20"/>
    </w:rPr>
  </w:style>
  <w:style w:type="paragraph" w:styleId="Revision">
    <w:name w:val="Revision"/>
    <w:hidden/>
    <w:uiPriority w:val="99"/>
    <w:semiHidden/>
    <w:rsid w:val="00450633"/>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46782">
      <w:bodyDiv w:val="1"/>
      <w:marLeft w:val="0"/>
      <w:marRight w:val="0"/>
      <w:marTop w:val="0"/>
      <w:marBottom w:val="0"/>
      <w:divBdr>
        <w:top w:val="none" w:sz="0" w:space="0" w:color="auto"/>
        <w:left w:val="none" w:sz="0" w:space="0" w:color="auto"/>
        <w:bottom w:val="none" w:sz="0" w:space="0" w:color="auto"/>
        <w:right w:val="none" w:sz="0" w:space="0" w:color="auto"/>
      </w:divBdr>
    </w:div>
    <w:div w:id="749037854">
      <w:bodyDiv w:val="1"/>
      <w:marLeft w:val="0"/>
      <w:marRight w:val="0"/>
      <w:marTop w:val="0"/>
      <w:marBottom w:val="0"/>
      <w:divBdr>
        <w:top w:val="none" w:sz="0" w:space="0" w:color="auto"/>
        <w:left w:val="none" w:sz="0" w:space="0" w:color="auto"/>
        <w:bottom w:val="none" w:sz="0" w:space="0" w:color="auto"/>
        <w:right w:val="none" w:sz="0" w:space="0" w:color="auto"/>
      </w:divBdr>
    </w:div>
    <w:div w:id="78816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acebook.com/MassHealth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1QQ61nTN7LNKkhjrjnYOU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tter.com/MassHealth"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purl.org/dc/dcmitype/"/>
    <ds:schemaRef ds:uri="http://schemas.microsoft.com/office/infopath/2007/PartnerControls"/>
    <ds:schemaRef ds:uri="92d6340a-28f9-40f2-b67e-9117d40e80df"/>
    <ds:schemaRef ds:uri="http://schemas.microsoft.com/office/2006/documentManagement/types"/>
    <ds:schemaRef ds:uri="http://schemas.microsoft.com/office/2006/metadata/properties"/>
    <ds:schemaRef ds:uri="http://schemas.openxmlformats.org/package/2006/metadata/core-properties"/>
    <ds:schemaRef ds:uri="b99dd02c-9c1e-437e-afaf-826568b6bf7d"/>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DeLeo, Dan (EHS)</cp:lastModifiedBy>
  <cp:revision>8</cp:revision>
  <cp:lastPrinted>2024-01-22T19:49:00Z</cp:lastPrinted>
  <dcterms:created xsi:type="dcterms:W3CDTF">2024-01-08T19:58:00Z</dcterms:created>
  <dcterms:modified xsi:type="dcterms:W3CDTF">2024-01-22T19:55:00Z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