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7EAB" w14:textId="4D56EE6B" w:rsidR="00533A3B" w:rsidRPr="00AC798F" w:rsidRDefault="00533A3B" w:rsidP="00AD1945">
      <w:pPr>
        <w:pStyle w:val="Heading1"/>
        <w:spacing w:before="240" w:after="0"/>
      </w:pPr>
      <w:r w:rsidRPr="00AC798F">
        <w:t xml:space="preserve">Administrative Bulletin </w:t>
      </w:r>
      <w:r w:rsidR="00DF2581">
        <w:t>24-</w:t>
      </w:r>
      <w:r w:rsidR="00E77F56">
        <w:t>07</w:t>
      </w:r>
    </w:p>
    <w:p w14:paraId="02695039" w14:textId="77777777" w:rsidR="00533A3B" w:rsidRPr="00533A3B" w:rsidRDefault="00533A3B" w:rsidP="00AC798F"/>
    <w:p w14:paraId="1D3755FA" w14:textId="2AA5C23A" w:rsidR="00533A3B" w:rsidRPr="00DF2581" w:rsidRDefault="00533A3B" w:rsidP="00AD1945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796A70">
        <w:rPr>
          <w:b/>
          <w:bCs/>
          <w:sz w:val="24"/>
          <w:szCs w:val="24"/>
        </w:rPr>
        <w:t xml:space="preserve">101 CMR </w:t>
      </w:r>
      <w:r w:rsidR="00DF2581">
        <w:rPr>
          <w:b/>
          <w:bCs/>
          <w:sz w:val="24"/>
          <w:szCs w:val="24"/>
        </w:rPr>
        <w:t>323</w:t>
      </w:r>
      <w:r w:rsidRPr="00796A70">
        <w:rPr>
          <w:b/>
          <w:bCs/>
          <w:sz w:val="24"/>
          <w:szCs w:val="24"/>
        </w:rPr>
        <w:t xml:space="preserve">.00: </w:t>
      </w:r>
      <w:r w:rsidR="00DF2581">
        <w:rPr>
          <w:b/>
          <w:bCs/>
          <w:i/>
          <w:iCs/>
          <w:sz w:val="24"/>
          <w:szCs w:val="24"/>
        </w:rPr>
        <w:t>Rates for Hearing Services</w:t>
      </w:r>
    </w:p>
    <w:p w14:paraId="6EEA254C" w14:textId="77777777" w:rsidR="00533A3B" w:rsidRPr="00796A70" w:rsidRDefault="00533A3B" w:rsidP="00AC798F">
      <w:pPr>
        <w:rPr>
          <w:sz w:val="24"/>
          <w:szCs w:val="24"/>
        </w:rPr>
      </w:pPr>
    </w:p>
    <w:p w14:paraId="27A5BE69" w14:textId="6AA6759F" w:rsidR="00533A3B" w:rsidRDefault="00533A3B" w:rsidP="00AD1945">
      <w:pPr>
        <w:spacing w:after="0"/>
        <w:jc w:val="center"/>
        <w:rPr>
          <w:color w:val="FF0000"/>
          <w:sz w:val="24"/>
          <w:szCs w:val="24"/>
        </w:rPr>
      </w:pPr>
      <w:r w:rsidRPr="00796A70">
        <w:rPr>
          <w:sz w:val="24"/>
          <w:szCs w:val="24"/>
        </w:rPr>
        <w:t xml:space="preserve">Effective </w:t>
      </w:r>
      <w:r w:rsidR="0087343C" w:rsidRPr="0087343C">
        <w:rPr>
          <w:sz w:val="24"/>
          <w:szCs w:val="24"/>
        </w:rPr>
        <w:t>January 1, 2024</w:t>
      </w:r>
    </w:p>
    <w:p w14:paraId="258A924B" w14:textId="77777777" w:rsidR="00AD1945" w:rsidRPr="00796A70" w:rsidRDefault="00AD1945" w:rsidP="00AD1945">
      <w:pPr>
        <w:spacing w:after="0"/>
        <w:jc w:val="center"/>
        <w:rPr>
          <w:sz w:val="24"/>
          <w:szCs w:val="24"/>
        </w:rPr>
      </w:pPr>
    </w:p>
    <w:p w14:paraId="7673694D" w14:textId="7FC59A07" w:rsidR="00F44E10" w:rsidRPr="00F44E10" w:rsidRDefault="0087343C" w:rsidP="00F44E10">
      <w:pPr>
        <w:pStyle w:val="SubjectLine"/>
      </w:pPr>
      <w:r>
        <w:t>CPT 2024 Code Updates</w:t>
      </w:r>
    </w:p>
    <w:p w14:paraId="218ED137" w14:textId="77777777" w:rsidR="00E964C3" w:rsidRDefault="00E964C3" w:rsidP="00656FFF">
      <w:pPr>
        <w:spacing w:line="276" w:lineRule="auto"/>
        <w:sectPr w:rsidR="00E964C3" w:rsidSect="00974D6F">
          <w:head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258963A2" w14:textId="7CF75E97" w:rsidR="00852E4B" w:rsidRPr="0022152B" w:rsidRDefault="0087343C" w:rsidP="00DA095C">
      <w:pPr>
        <w:pStyle w:val="Heading2"/>
      </w:pPr>
      <w:r>
        <w:t>Summa</w:t>
      </w:r>
      <w:r w:rsidR="00F2144F">
        <w:t>ry</w:t>
      </w:r>
    </w:p>
    <w:p w14:paraId="09CB38CD" w14:textId="71CD6ED7" w:rsidR="00446B88" w:rsidRDefault="00446B88" w:rsidP="00446B88">
      <w:pPr>
        <w:spacing w:after="0" w:line="276" w:lineRule="auto"/>
      </w:pPr>
      <w:r w:rsidRPr="00AB0C3A">
        <w:t xml:space="preserve">In accordance with 101 CMR 323.01(5): </w:t>
      </w:r>
      <w:r w:rsidRPr="00AB0C3A">
        <w:rPr>
          <w:i/>
          <w:iCs/>
        </w:rPr>
        <w:t>Coding Updates and Corrections</w:t>
      </w:r>
      <w:r w:rsidRPr="00AB0C3A">
        <w:t xml:space="preserve">, the Executive Office of </w:t>
      </w:r>
      <w:proofErr w:type="gramStart"/>
      <w:r w:rsidRPr="00AB0C3A">
        <w:t>Health</w:t>
      </w:r>
      <w:proofErr w:type="gramEnd"/>
      <w:r w:rsidRPr="00AB0C3A">
        <w:t xml:space="preserve"> and Human Services (EOHHS) is adding new procedure codes effective for dates of service on or after January 1, 2024. The list</w:t>
      </w:r>
      <w:r>
        <w:t xml:space="preserve"> below</w:t>
      </w:r>
      <w:r w:rsidRPr="00AB0C3A">
        <w:t xml:space="preserve"> </w:t>
      </w:r>
      <w:r>
        <w:t>describes</w:t>
      </w:r>
      <w:r w:rsidRPr="00AB0C3A">
        <w:t xml:space="preserve"> the codes that have been added. Pursuant to 101 CMR 323.01(5)(d), EOHHS is applying individual consideration (I.C.) payment for these codes.</w:t>
      </w:r>
      <w:r>
        <w:t xml:space="preserve"> Rates listed in this administrative bulletin are applicable until revised rates are issued by EOHHS.</w:t>
      </w:r>
    </w:p>
    <w:p w14:paraId="544EBA95" w14:textId="77777777" w:rsidR="00446B88" w:rsidRPr="00AB0C3A" w:rsidRDefault="00446B88" w:rsidP="00446B88">
      <w:pPr>
        <w:spacing w:line="276" w:lineRule="auto"/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7769"/>
        <w:gridCol w:w="1075"/>
      </w:tblGrid>
      <w:tr w:rsidR="00446B88" w:rsidRPr="00AB0C3A" w14:paraId="28CFE3F6" w14:textId="77777777" w:rsidTr="00BA74D1">
        <w:trPr>
          <w:trHeight w:val="300"/>
          <w:tblHeader/>
        </w:trPr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14:paraId="6B58C31D" w14:textId="77777777" w:rsidR="00446B88" w:rsidRPr="00AB0C3A" w:rsidRDefault="00446B88" w:rsidP="00BA74D1">
            <w:pPr>
              <w:spacing w:line="276" w:lineRule="auto"/>
              <w:jc w:val="center"/>
              <w:rPr>
                <w:b/>
              </w:rPr>
            </w:pPr>
            <w:r w:rsidRPr="00AB0C3A">
              <w:rPr>
                <w:b/>
              </w:rPr>
              <w:t>Added Code</w:t>
            </w:r>
          </w:p>
        </w:tc>
        <w:tc>
          <w:tcPr>
            <w:tcW w:w="7769" w:type="dxa"/>
            <w:tcBorders>
              <w:bottom w:val="single" w:sz="4" w:space="0" w:color="auto"/>
            </w:tcBorders>
            <w:shd w:val="clear" w:color="auto" w:fill="auto"/>
          </w:tcPr>
          <w:p w14:paraId="47421955" w14:textId="77777777" w:rsidR="00446B88" w:rsidRPr="00AB0C3A" w:rsidRDefault="00446B88" w:rsidP="00BA74D1">
            <w:pPr>
              <w:spacing w:line="276" w:lineRule="auto"/>
              <w:jc w:val="center"/>
              <w:rPr>
                <w:b/>
              </w:rPr>
            </w:pPr>
            <w:r w:rsidRPr="00AB0C3A">
              <w:rPr>
                <w:b/>
              </w:rPr>
              <w:t>Description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4DD2BE00" w14:textId="77777777" w:rsidR="00446B88" w:rsidRPr="00AB0C3A" w:rsidRDefault="00446B88" w:rsidP="00BA74D1">
            <w:pPr>
              <w:spacing w:line="276" w:lineRule="auto"/>
              <w:jc w:val="center"/>
              <w:rPr>
                <w:b/>
              </w:rPr>
            </w:pPr>
            <w:r w:rsidRPr="00AB0C3A">
              <w:rPr>
                <w:b/>
              </w:rPr>
              <w:t>Rate</w:t>
            </w:r>
          </w:p>
        </w:tc>
      </w:tr>
      <w:tr w:rsidR="00446B88" w:rsidRPr="00AB0C3A" w14:paraId="1007D386" w14:textId="77777777" w:rsidTr="00BA74D1">
        <w:trPr>
          <w:trHeight w:val="300"/>
        </w:trPr>
        <w:tc>
          <w:tcPr>
            <w:tcW w:w="1226" w:type="dxa"/>
            <w:shd w:val="clear" w:color="auto" w:fill="auto"/>
            <w:vAlign w:val="center"/>
          </w:tcPr>
          <w:p w14:paraId="4A6925AA" w14:textId="77777777" w:rsidR="00446B88" w:rsidRPr="00AB0C3A" w:rsidRDefault="00446B88" w:rsidP="00BA74D1">
            <w:pPr>
              <w:spacing w:line="276" w:lineRule="auto"/>
              <w:jc w:val="center"/>
            </w:pPr>
            <w:r w:rsidRPr="00AB0C3A">
              <w:t>92622</w:t>
            </w:r>
          </w:p>
        </w:tc>
        <w:tc>
          <w:tcPr>
            <w:tcW w:w="7769" w:type="dxa"/>
            <w:shd w:val="clear" w:color="auto" w:fill="auto"/>
          </w:tcPr>
          <w:p w14:paraId="3ED6C7AB" w14:textId="77777777" w:rsidR="00446B88" w:rsidRPr="00AB0C3A" w:rsidRDefault="00446B88" w:rsidP="00BA74D1">
            <w:pPr>
              <w:spacing w:line="276" w:lineRule="auto"/>
            </w:pPr>
            <w:r w:rsidRPr="00AB0C3A">
              <w:t xml:space="preserve">Diagnostic analysis, programming, and verification of an auditory </w:t>
            </w:r>
            <w:proofErr w:type="spellStart"/>
            <w:r w:rsidRPr="00AB0C3A">
              <w:t>osseointegrated</w:t>
            </w:r>
            <w:proofErr w:type="spellEnd"/>
            <w:r w:rsidRPr="00AB0C3A">
              <w:t xml:space="preserve"> sound processor, any type; first 60 minutes</w:t>
            </w:r>
          </w:p>
        </w:tc>
        <w:tc>
          <w:tcPr>
            <w:tcW w:w="1075" w:type="dxa"/>
            <w:vAlign w:val="center"/>
          </w:tcPr>
          <w:p w14:paraId="50B6CDF3" w14:textId="77777777" w:rsidR="00446B88" w:rsidRPr="00AB0C3A" w:rsidRDefault="00446B88" w:rsidP="00BA74D1">
            <w:pPr>
              <w:spacing w:line="276" w:lineRule="auto"/>
              <w:jc w:val="center"/>
            </w:pPr>
            <w:r w:rsidRPr="00AB0C3A">
              <w:t>I.C.</w:t>
            </w:r>
          </w:p>
        </w:tc>
      </w:tr>
      <w:tr w:rsidR="00446B88" w:rsidRPr="00AB0C3A" w14:paraId="14585186" w14:textId="77777777" w:rsidTr="00BA74D1">
        <w:trPr>
          <w:trHeight w:val="300"/>
        </w:trPr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A72E8" w14:textId="77777777" w:rsidR="00446B88" w:rsidRPr="00AB0C3A" w:rsidRDefault="00446B88" w:rsidP="00BA74D1">
            <w:pPr>
              <w:spacing w:line="276" w:lineRule="auto"/>
              <w:jc w:val="center"/>
            </w:pPr>
            <w:r w:rsidRPr="00AB0C3A">
              <w:t>92623</w:t>
            </w:r>
          </w:p>
        </w:tc>
        <w:tc>
          <w:tcPr>
            <w:tcW w:w="7769" w:type="dxa"/>
            <w:tcBorders>
              <w:bottom w:val="single" w:sz="4" w:space="0" w:color="auto"/>
            </w:tcBorders>
            <w:shd w:val="clear" w:color="auto" w:fill="auto"/>
          </w:tcPr>
          <w:p w14:paraId="1E26DCBD" w14:textId="77777777" w:rsidR="00446B88" w:rsidRPr="00AB0C3A" w:rsidRDefault="00446B88" w:rsidP="00BA74D1">
            <w:pPr>
              <w:spacing w:line="276" w:lineRule="auto"/>
            </w:pPr>
            <w:r w:rsidRPr="00AB0C3A">
              <w:t xml:space="preserve">Diagnostic analysis, programming, and verification of an auditory </w:t>
            </w:r>
            <w:proofErr w:type="spellStart"/>
            <w:r w:rsidRPr="00AB0C3A">
              <w:t>osseointegrated</w:t>
            </w:r>
            <w:proofErr w:type="spellEnd"/>
            <w:r w:rsidRPr="00AB0C3A">
              <w:t xml:space="preserve"> sound processor, any type; each additional 15 minutes</w:t>
            </w:r>
            <w:r>
              <w:t xml:space="preserve"> (List separately in addition to code for primary procedure.)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53EF09D0" w14:textId="77777777" w:rsidR="00446B88" w:rsidRPr="00AB0C3A" w:rsidRDefault="00446B88" w:rsidP="00BA74D1">
            <w:pPr>
              <w:spacing w:line="276" w:lineRule="auto"/>
              <w:jc w:val="center"/>
            </w:pPr>
            <w:r w:rsidRPr="00AB0C3A">
              <w:t>I.C.</w:t>
            </w:r>
          </w:p>
        </w:tc>
      </w:tr>
    </w:tbl>
    <w:p w14:paraId="3F54C682" w14:textId="77777777" w:rsidR="0091703A" w:rsidRDefault="0091703A" w:rsidP="001A606D">
      <w:pPr>
        <w:spacing w:line="276" w:lineRule="auto"/>
      </w:pPr>
    </w:p>
    <w:p w14:paraId="7737D529" w14:textId="77777777" w:rsidR="00744DF5" w:rsidRDefault="00744DF5" w:rsidP="001A606D">
      <w:pPr>
        <w:spacing w:line="276" w:lineRule="auto"/>
      </w:pPr>
    </w:p>
    <w:p w14:paraId="50BBCC26" w14:textId="77777777" w:rsidR="00451433" w:rsidRDefault="00451433" w:rsidP="001A606D">
      <w:pPr>
        <w:spacing w:line="276" w:lineRule="auto"/>
      </w:pPr>
    </w:p>
    <w:p w14:paraId="045B58B3" w14:textId="77777777" w:rsidR="00744DF5" w:rsidRDefault="00744DF5" w:rsidP="001A606D">
      <w:pPr>
        <w:spacing w:line="276" w:lineRule="auto"/>
      </w:pPr>
    </w:p>
    <w:p w14:paraId="12B7360E" w14:textId="7D90C164" w:rsidR="0041466F" w:rsidRPr="0041466F" w:rsidRDefault="0091703A" w:rsidP="00744DF5">
      <w:pPr>
        <w:spacing w:line="276" w:lineRule="auto"/>
      </w:pPr>
      <w:r>
        <w:rPr>
          <w:noProof/>
        </w:rPr>
        <w:drawing>
          <wp:inline distT="0" distB="0" distL="0" distR="0" wp14:anchorId="5ABABAE2" wp14:editId="48A044EC">
            <wp:extent cx="219438" cy="219438"/>
            <wp:effectExtent l="0" t="0" r="0" b="9525"/>
            <wp:docPr id="186518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86518985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4780DCE3" wp14:editId="35A6D16C">
            <wp:extent cx="219438" cy="219438"/>
            <wp:effectExtent l="0" t="0" r="9525" b="9525"/>
            <wp:docPr id="610088090" name="Picture 61008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>
        <w:r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rPr>
          <w:noProof/>
        </w:rPr>
        <w:drawing>
          <wp:inline distT="0" distB="0" distL="0" distR="0" wp14:anchorId="5BBCF7B8" wp14:editId="7B7845BA">
            <wp:extent cx="219438" cy="219438"/>
            <wp:effectExtent l="0" t="0" r="9525" b="9525"/>
            <wp:docPr id="1407212517" name="Picture 140721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8B1B7F">
          <w:rPr>
            <w:rStyle w:val="Hyperlink"/>
            <w:position w:val="10"/>
          </w:rPr>
          <w:t>MassHealth on YouTube</w:t>
        </w:r>
      </w:hyperlink>
    </w:p>
    <w:sectPr w:rsidR="0041466F" w:rsidRPr="0041466F" w:rsidSect="00974D6F">
      <w:headerReference w:type="default" r:id="rId20"/>
      <w:footerReference w:type="default" r:id="rId21"/>
      <w:type w:val="continuous"/>
      <w:pgSz w:w="12240" w:h="15840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C906" w14:textId="77777777" w:rsidR="00F12C5F" w:rsidRDefault="00F12C5F" w:rsidP="00AC798F">
      <w:r>
        <w:separator/>
      </w:r>
    </w:p>
    <w:p w14:paraId="3DA75D99" w14:textId="77777777" w:rsidR="00835677" w:rsidRDefault="00835677"/>
  </w:endnote>
  <w:endnote w:type="continuationSeparator" w:id="0">
    <w:p w14:paraId="771D7FD3" w14:textId="77777777" w:rsidR="00F12C5F" w:rsidRDefault="00F12C5F" w:rsidP="00AC798F">
      <w:r>
        <w:continuationSeparator/>
      </w:r>
    </w:p>
    <w:p w14:paraId="481DEE91" w14:textId="77777777" w:rsidR="00835677" w:rsidRDefault="0083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5713" w14:textId="1704C92D" w:rsidR="00E964C3" w:rsidRDefault="00E964C3" w:rsidP="00F531D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1C38" w14:textId="77777777" w:rsidR="00F12C5F" w:rsidRDefault="00F12C5F" w:rsidP="00AC798F">
      <w:r>
        <w:separator/>
      </w:r>
    </w:p>
    <w:p w14:paraId="05E52994" w14:textId="77777777" w:rsidR="00835677" w:rsidRDefault="00835677"/>
  </w:footnote>
  <w:footnote w:type="continuationSeparator" w:id="0">
    <w:p w14:paraId="1D823454" w14:textId="77777777" w:rsidR="00F12C5F" w:rsidRDefault="00F12C5F" w:rsidP="00AC798F">
      <w:r>
        <w:continuationSeparator/>
      </w:r>
    </w:p>
    <w:p w14:paraId="6618EAF1" w14:textId="77777777" w:rsidR="00835677" w:rsidRDefault="00835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826BB" w14:textId="77777777" w:rsidR="00E964C3" w:rsidRPr="00AC798F" w:rsidRDefault="00E964C3" w:rsidP="00E964C3">
    <w:pPr>
      <w:jc w:val="right"/>
    </w:pPr>
    <w:r w:rsidRPr="00AC798F">
      <w:t>EOHHS</w:t>
    </w:r>
  </w:p>
  <w:p w14:paraId="30028F94" w14:textId="77777777" w:rsidR="00E964C3" w:rsidRPr="00AC798F" w:rsidRDefault="00E964C3" w:rsidP="00E964C3">
    <w:pPr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D4AEAB8" w14:textId="77777777" w:rsidR="00E964C3" w:rsidRPr="00AC798F" w:rsidRDefault="00E964C3" w:rsidP="00E964C3">
    <w:pPr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6F1B245B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6DE3" w14:textId="5C993A13" w:rsidR="00E964C3" w:rsidRPr="006E5DED" w:rsidRDefault="001A7A68" w:rsidP="00C773D1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E4873" wp14:editId="073A39CF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55B9C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08B853DB" w14:textId="77777777" w:rsidR="00E964C3" w:rsidRPr="00AC798F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2275A66B" w14:textId="77777777" w:rsidR="00E964C3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7D513F23" w14:textId="588EF53E" w:rsidR="00E964C3" w:rsidRPr="00C773D1" w:rsidRDefault="00E964C3" w:rsidP="00C773D1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E4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EA55B9C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08B853DB" w14:textId="77777777" w:rsidR="00E964C3" w:rsidRPr="00AC798F" w:rsidRDefault="00E964C3" w:rsidP="00C773D1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2275A66B" w14:textId="77777777" w:rsidR="00E964C3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7D513F23" w14:textId="588EF53E" w:rsidR="00E964C3" w:rsidRPr="00C773D1" w:rsidRDefault="00E964C3" w:rsidP="00C773D1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 w:rsidR="00E964C3">
      <w:rPr>
        <w:noProof/>
        <w:color w:val="1F497D" w:themeColor="text2"/>
      </w:rPr>
      <w:drawing>
        <wp:anchor distT="0" distB="0" distL="114300" distR="114300" simplePos="0" relativeHeight="251661312" behindDoc="0" locked="0" layoutInCell="1" allowOverlap="1" wp14:anchorId="61BAA277" wp14:editId="42A41197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4C3">
      <w:rPr>
        <w:noProof/>
      </w:rPr>
      <w:drawing>
        <wp:inline distT="0" distB="0" distL="0" distR="0" wp14:anchorId="40DEB212" wp14:editId="3A62237F">
          <wp:extent cx="1164590" cy="1377950"/>
          <wp:effectExtent l="0" t="0" r="0" b="0"/>
          <wp:docPr id="819895468" name="Picture 81989546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F793DA" w14:textId="77777777" w:rsidR="00E964C3" w:rsidRDefault="00E964C3" w:rsidP="00E964C3">
    <w:pPr>
      <w:pStyle w:val="Header"/>
    </w:pPr>
    <w:r>
      <w:ptab w:relativeTo="margin" w:alignment="right" w:leader="none"/>
    </w:r>
  </w:p>
  <w:p w14:paraId="17EFEBBD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KATHLEEN E. WALSH</w:t>
    </w:r>
  </w:p>
  <w:p w14:paraId="6A336775" w14:textId="77777777" w:rsidR="00E964C3" w:rsidRPr="00AC798F" w:rsidRDefault="00E964C3" w:rsidP="00C773D1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5114DD60" w14:textId="77777777" w:rsidR="00E964C3" w:rsidRPr="00AC798F" w:rsidRDefault="00E964C3" w:rsidP="00E964C3">
    <w:pPr>
      <w:pStyle w:val="Header"/>
      <w:rPr>
        <w:color w:val="1F497D" w:themeColor="text2"/>
      </w:rPr>
    </w:pPr>
  </w:p>
  <w:p w14:paraId="287D9EF7" w14:textId="77777777" w:rsidR="00E964C3" w:rsidRPr="00AC798F" w:rsidRDefault="00E964C3" w:rsidP="00C773D1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76484391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ASSISTANT SECRETARY</w:t>
    </w:r>
  </w:p>
  <w:p w14:paraId="4D5509B6" w14:textId="77777777" w:rsidR="00E964C3" w:rsidRPr="00AC798F" w:rsidRDefault="00E964C3" w:rsidP="00C773D1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7F93" w14:textId="77777777" w:rsidR="00E964C3" w:rsidRPr="002A007D" w:rsidRDefault="00E964C3" w:rsidP="002A0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722C4"/>
    <w:rsid w:val="000B3478"/>
    <w:rsid w:val="00130559"/>
    <w:rsid w:val="00134791"/>
    <w:rsid w:val="00146C2F"/>
    <w:rsid w:val="00153DCE"/>
    <w:rsid w:val="00154CA9"/>
    <w:rsid w:val="00193348"/>
    <w:rsid w:val="001A606D"/>
    <w:rsid w:val="001A7742"/>
    <w:rsid w:val="001A7A68"/>
    <w:rsid w:val="001D628B"/>
    <w:rsid w:val="00206B0A"/>
    <w:rsid w:val="0022152B"/>
    <w:rsid w:val="002448DD"/>
    <w:rsid w:val="00266B97"/>
    <w:rsid w:val="00271D28"/>
    <w:rsid w:val="0027639F"/>
    <w:rsid w:val="00284238"/>
    <w:rsid w:val="00291039"/>
    <w:rsid w:val="002A007D"/>
    <w:rsid w:val="002A779E"/>
    <w:rsid w:val="003113E4"/>
    <w:rsid w:val="0033130A"/>
    <w:rsid w:val="0033475A"/>
    <w:rsid w:val="00351564"/>
    <w:rsid w:val="003A3882"/>
    <w:rsid w:val="003F6AAE"/>
    <w:rsid w:val="0041055F"/>
    <w:rsid w:val="0041466F"/>
    <w:rsid w:val="0041715C"/>
    <w:rsid w:val="00421B27"/>
    <w:rsid w:val="00443CDB"/>
    <w:rsid w:val="00446B88"/>
    <w:rsid w:val="00451433"/>
    <w:rsid w:val="00465E5A"/>
    <w:rsid w:val="004D48D7"/>
    <w:rsid w:val="005246D9"/>
    <w:rsid w:val="00533A3B"/>
    <w:rsid w:val="0053555D"/>
    <w:rsid w:val="0056474D"/>
    <w:rsid w:val="005702E6"/>
    <w:rsid w:val="0057224E"/>
    <w:rsid w:val="00585302"/>
    <w:rsid w:val="00597C39"/>
    <w:rsid w:val="005B5D35"/>
    <w:rsid w:val="005F20AC"/>
    <w:rsid w:val="005F66F1"/>
    <w:rsid w:val="00607406"/>
    <w:rsid w:val="0064272D"/>
    <w:rsid w:val="00656FFF"/>
    <w:rsid w:val="006718AB"/>
    <w:rsid w:val="0069045F"/>
    <w:rsid w:val="006B1D87"/>
    <w:rsid w:val="006B6EE0"/>
    <w:rsid w:val="006E5DED"/>
    <w:rsid w:val="0070235D"/>
    <w:rsid w:val="0071737A"/>
    <w:rsid w:val="00720C4F"/>
    <w:rsid w:val="00734039"/>
    <w:rsid w:val="00744DF5"/>
    <w:rsid w:val="00782360"/>
    <w:rsid w:val="00796A70"/>
    <w:rsid w:val="007B48C3"/>
    <w:rsid w:val="007F04B8"/>
    <w:rsid w:val="00800711"/>
    <w:rsid w:val="00835677"/>
    <w:rsid w:val="00852E4B"/>
    <w:rsid w:val="008669CB"/>
    <w:rsid w:val="0087343C"/>
    <w:rsid w:val="008A50C9"/>
    <w:rsid w:val="008C7C8A"/>
    <w:rsid w:val="0091703A"/>
    <w:rsid w:val="00964EDE"/>
    <w:rsid w:val="00972245"/>
    <w:rsid w:val="00974D6F"/>
    <w:rsid w:val="00984786"/>
    <w:rsid w:val="009A3538"/>
    <w:rsid w:val="00A01D8C"/>
    <w:rsid w:val="00A06F80"/>
    <w:rsid w:val="00A34C8D"/>
    <w:rsid w:val="00A75CD6"/>
    <w:rsid w:val="00A92760"/>
    <w:rsid w:val="00AB33D8"/>
    <w:rsid w:val="00AC798F"/>
    <w:rsid w:val="00AD1945"/>
    <w:rsid w:val="00B0173B"/>
    <w:rsid w:val="00B05E0C"/>
    <w:rsid w:val="00B623EB"/>
    <w:rsid w:val="00BA6D03"/>
    <w:rsid w:val="00BE1FB2"/>
    <w:rsid w:val="00C1076E"/>
    <w:rsid w:val="00C400D6"/>
    <w:rsid w:val="00C4194A"/>
    <w:rsid w:val="00C773D1"/>
    <w:rsid w:val="00C87BF7"/>
    <w:rsid w:val="00D160CC"/>
    <w:rsid w:val="00D5182F"/>
    <w:rsid w:val="00D63172"/>
    <w:rsid w:val="00D761F6"/>
    <w:rsid w:val="00DA095C"/>
    <w:rsid w:val="00DC2342"/>
    <w:rsid w:val="00DF2581"/>
    <w:rsid w:val="00E10A6E"/>
    <w:rsid w:val="00E27559"/>
    <w:rsid w:val="00E320F9"/>
    <w:rsid w:val="00E464C3"/>
    <w:rsid w:val="00E56BD5"/>
    <w:rsid w:val="00E620A3"/>
    <w:rsid w:val="00E74BC2"/>
    <w:rsid w:val="00E77F56"/>
    <w:rsid w:val="00E92AC9"/>
    <w:rsid w:val="00E964C3"/>
    <w:rsid w:val="00EE4CAE"/>
    <w:rsid w:val="00F12C5F"/>
    <w:rsid w:val="00F2144F"/>
    <w:rsid w:val="00F30AF6"/>
    <w:rsid w:val="00F44C98"/>
    <w:rsid w:val="00F44E10"/>
    <w:rsid w:val="00F531D7"/>
    <w:rsid w:val="00F60649"/>
    <w:rsid w:val="00F65E52"/>
    <w:rsid w:val="00F7660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AC798F"/>
    <w:pPr>
      <w:tabs>
        <w:tab w:val="left" w:pos="3165"/>
      </w:tabs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C798F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MassHealth1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1QQ61nTN7LNKkhjrjnYOU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Johnson, Sharon (EHS)</cp:lastModifiedBy>
  <cp:revision>3</cp:revision>
  <cp:lastPrinted>2024-02-23T17:55:00Z</cp:lastPrinted>
  <dcterms:created xsi:type="dcterms:W3CDTF">2024-02-23T17:54:00Z</dcterms:created>
  <dcterms:modified xsi:type="dcterms:W3CDTF">2024-02-23T17:55:00Z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