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57EAB" w14:textId="6976C4A0" w:rsidR="00533A3B" w:rsidRDefault="00533A3B" w:rsidP="00A72FAD">
      <w:pPr>
        <w:pStyle w:val="Heading1"/>
        <w:spacing w:before="120" w:after="0"/>
      </w:pPr>
      <w:r w:rsidRPr="00100E5C">
        <w:t xml:space="preserve">Administrative Bulletin </w:t>
      </w:r>
      <w:r w:rsidR="00C355AA">
        <w:t>24-</w:t>
      </w:r>
      <w:r w:rsidR="007B785F">
        <w:t>12</w:t>
      </w:r>
    </w:p>
    <w:p w14:paraId="2AD16DA2" w14:textId="77777777" w:rsidR="00A72FAD" w:rsidRPr="00A72FAD" w:rsidRDefault="00A72FAD" w:rsidP="00A72FAD">
      <w:pPr>
        <w:spacing w:after="0"/>
      </w:pPr>
    </w:p>
    <w:p w14:paraId="1D3755FA" w14:textId="1D9E8A8B" w:rsidR="00533A3B" w:rsidRDefault="00533A3B" w:rsidP="00A72FAD">
      <w:pPr>
        <w:spacing w:after="0"/>
        <w:jc w:val="center"/>
        <w:rPr>
          <w:b/>
          <w:bCs/>
          <w:i/>
          <w:iCs/>
          <w:sz w:val="24"/>
          <w:szCs w:val="24"/>
        </w:rPr>
      </w:pPr>
      <w:r w:rsidRPr="00796A70">
        <w:rPr>
          <w:b/>
          <w:bCs/>
          <w:sz w:val="24"/>
          <w:szCs w:val="24"/>
        </w:rPr>
        <w:t xml:space="preserve">101 CMR </w:t>
      </w:r>
      <w:r w:rsidR="00C355AA">
        <w:rPr>
          <w:b/>
          <w:bCs/>
          <w:sz w:val="24"/>
          <w:szCs w:val="24"/>
        </w:rPr>
        <w:t>512</w:t>
      </w:r>
      <w:r w:rsidRPr="00796A70">
        <w:rPr>
          <w:b/>
          <w:bCs/>
          <w:sz w:val="24"/>
          <w:szCs w:val="24"/>
        </w:rPr>
        <w:t xml:space="preserve">.00: </w:t>
      </w:r>
      <w:r w:rsidR="00C355AA">
        <w:rPr>
          <w:b/>
          <w:bCs/>
          <w:sz w:val="24"/>
          <w:szCs w:val="24"/>
        </w:rPr>
        <w:t>Nursing Facility User Fees</w:t>
      </w:r>
    </w:p>
    <w:p w14:paraId="04FBBEA3" w14:textId="77777777" w:rsidR="00A72FAD" w:rsidRPr="00A72FAD" w:rsidRDefault="00A72FAD" w:rsidP="00A72FAD">
      <w:pPr>
        <w:spacing w:after="0"/>
      </w:pPr>
    </w:p>
    <w:p w14:paraId="27A5BE69" w14:textId="747006F3" w:rsidR="00533A3B" w:rsidRDefault="00533A3B" w:rsidP="00A72FAD">
      <w:pPr>
        <w:spacing w:after="0"/>
        <w:jc w:val="center"/>
        <w:rPr>
          <w:color w:val="FF0000"/>
          <w:sz w:val="24"/>
          <w:szCs w:val="24"/>
        </w:rPr>
      </w:pPr>
      <w:r w:rsidRPr="00796A70">
        <w:rPr>
          <w:sz w:val="24"/>
          <w:szCs w:val="24"/>
        </w:rPr>
        <w:t xml:space="preserve">Effective </w:t>
      </w:r>
      <w:r w:rsidR="00C355AA" w:rsidRPr="00C355AA">
        <w:rPr>
          <w:sz w:val="24"/>
          <w:szCs w:val="24"/>
        </w:rPr>
        <w:t>July 1, 2024</w:t>
      </w:r>
    </w:p>
    <w:p w14:paraId="02B0D633" w14:textId="77777777" w:rsidR="00A72FAD" w:rsidRPr="00A72FAD" w:rsidRDefault="00A72FAD" w:rsidP="00A72FAD">
      <w:pPr>
        <w:spacing w:after="0"/>
      </w:pPr>
    </w:p>
    <w:p w14:paraId="220D9338" w14:textId="6A1A0D90" w:rsidR="00533A3B" w:rsidRPr="00FB3A7B" w:rsidRDefault="00C355AA" w:rsidP="0089781D">
      <w:pPr>
        <w:pStyle w:val="SubjectLine"/>
      </w:pPr>
      <w:r w:rsidRPr="00FB3A7B">
        <w:t xml:space="preserve">Nursing Facility User Fee Update and </w:t>
      </w:r>
      <w:r w:rsidR="00FB3A7B">
        <w:br/>
      </w:r>
      <w:r w:rsidRPr="00FB3A7B">
        <w:t>Classification of Nursing Facility User Fees Groups</w:t>
      </w:r>
    </w:p>
    <w:p w14:paraId="218ED137" w14:textId="77777777" w:rsidR="00E964C3" w:rsidRDefault="00E964C3" w:rsidP="00656FFF">
      <w:pPr>
        <w:spacing w:line="276" w:lineRule="auto"/>
        <w:sectPr w:rsidR="00E964C3" w:rsidSect="00415645">
          <w:head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4C7BB7FD" w14:textId="77777777" w:rsidR="00C355AA" w:rsidRPr="0022152B" w:rsidRDefault="00C355AA" w:rsidP="00C355AA">
      <w:pPr>
        <w:pStyle w:val="Heading2"/>
      </w:pPr>
      <w:r>
        <w:t>Summary</w:t>
      </w:r>
    </w:p>
    <w:p w14:paraId="3113544A" w14:textId="77777777" w:rsidR="00C355AA" w:rsidRPr="00C355AA" w:rsidRDefault="00C355AA" w:rsidP="00C355AA">
      <w:pPr>
        <w:spacing w:line="276" w:lineRule="auto"/>
      </w:pPr>
      <w:r w:rsidRPr="00C355AA">
        <w:t>The Executive Office of Health and Human Services (EOHHS) is issuing this administrative bulletin pursuant to 101 CMR 512.04(3). Effective July 1, 2024, the user fee will be applied as follows:</w:t>
      </w:r>
    </w:p>
    <w:tbl>
      <w:tblPr>
        <w:tblW w:w="53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14"/>
        <w:gridCol w:w="2796"/>
      </w:tblGrid>
      <w:tr w:rsidR="00C355AA" w:rsidRPr="00C355AA" w14:paraId="26233E5F" w14:textId="77777777" w:rsidTr="005A74CF">
        <w:trPr>
          <w:jc w:val="center"/>
        </w:trPr>
        <w:tc>
          <w:tcPr>
            <w:tcW w:w="2514" w:type="dxa"/>
            <w:tcMar>
              <w:top w:w="100" w:type="dxa"/>
              <w:left w:w="100" w:type="dxa"/>
              <w:bottom w:w="100" w:type="dxa"/>
              <w:right w:w="100" w:type="dxa"/>
            </w:tcMar>
          </w:tcPr>
          <w:p w14:paraId="7810A15F" w14:textId="77777777" w:rsidR="00C355AA" w:rsidRPr="00C355AA" w:rsidRDefault="00C355AA" w:rsidP="00C355AA">
            <w:pPr>
              <w:spacing w:line="276" w:lineRule="auto"/>
              <w:rPr>
                <w:b/>
              </w:rPr>
            </w:pPr>
            <w:r w:rsidRPr="00C355AA">
              <w:rPr>
                <w:b/>
              </w:rPr>
              <w:t>Facility Group</w:t>
            </w:r>
          </w:p>
        </w:tc>
        <w:tc>
          <w:tcPr>
            <w:tcW w:w="2796" w:type="dxa"/>
            <w:tcMar>
              <w:top w:w="100" w:type="dxa"/>
              <w:left w:w="100" w:type="dxa"/>
              <w:bottom w:w="100" w:type="dxa"/>
              <w:right w:w="100" w:type="dxa"/>
            </w:tcMar>
          </w:tcPr>
          <w:p w14:paraId="310BA0C4" w14:textId="77777777" w:rsidR="00C355AA" w:rsidRPr="00C355AA" w:rsidRDefault="00C355AA" w:rsidP="00C355AA">
            <w:pPr>
              <w:spacing w:line="276" w:lineRule="auto"/>
              <w:rPr>
                <w:b/>
              </w:rPr>
            </w:pPr>
            <w:r w:rsidRPr="00C355AA">
              <w:rPr>
                <w:b/>
                <w:i/>
              </w:rPr>
              <w:t>Per Diem</w:t>
            </w:r>
            <w:r w:rsidRPr="00C355AA">
              <w:rPr>
                <w:b/>
              </w:rPr>
              <w:t xml:space="preserve"> User Fee Effective July 1, 2024</w:t>
            </w:r>
          </w:p>
        </w:tc>
      </w:tr>
      <w:tr w:rsidR="00C355AA" w:rsidRPr="00C355AA" w14:paraId="046008A2" w14:textId="77777777" w:rsidTr="005A74CF">
        <w:trPr>
          <w:jc w:val="center"/>
        </w:trPr>
        <w:tc>
          <w:tcPr>
            <w:tcW w:w="2514" w:type="dxa"/>
            <w:tcMar>
              <w:top w:w="100" w:type="dxa"/>
              <w:left w:w="100" w:type="dxa"/>
              <w:bottom w:w="100" w:type="dxa"/>
              <w:right w:w="100" w:type="dxa"/>
            </w:tcMar>
          </w:tcPr>
          <w:p w14:paraId="311C7AB6" w14:textId="241132BC" w:rsidR="00C355AA" w:rsidRPr="00C355AA" w:rsidRDefault="00C355AA" w:rsidP="00B1302C">
            <w:pPr>
              <w:spacing w:line="276" w:lineRule="auto"/>
              <w:jc w:val="center"/>
            </w:pPr>
            <w:r w:rsidRPr="00C355AA">
              <w:t xml:space="preserve">Group </w:t>
            </w:r>
            <w:r w:rsidR="004D61BE">
              <w:t>I</w:t>
            </w:r>
          </w:p>
        </w:tc>
        <w:tc>
          <w:tcPr>
            <w:tcW w:w="2796" w:type="dxa"/>
            <w:tcMar>
              <w:top w:w="100" w:type="dxa"/>
              <w:left w:w="100" w:type="dxa"/>
              <w:bottom w:w="100" w:type="dxa"/>
              <w:right w:w="100" w:type="dxa"/>
            </w:tcMar>
          </w:tcPr>
          <w:p w14:paraId="2C9C5470" w14:textId="77777777" w:rsidR="00C355AA" w:rsidRPr="00C355AA" w:rsidRDefault="00C355AA" w:rsidP="00B1302C">
            <w:pPr>
              <w:spacing w:line="276" w:lineRule="auto"/>
              <w:jc w:val="center"/>
            </w:pPr>
            <w:r w:rsidRPr="00C355AA">
              <w:t>$26.60</w:t>
            </w:r>
          </w:p>
        </w:tc>
      </w:tr>
      <w:tr w:rsidR="00C355AA" w:rsidRPr="00C355AA" w14:paraId="7B7B737B" w14:textId="77777777" w:rsidTr="005A74CF">
        <w:trPr>
          <w:jc w:val="center"/>
        </w:trPr>
        <w:tc>
          <w:tcPr>
            <w:tcW w:w="2514" w:type="dxa"/>
            <w:tcMar>
              <w:top w:w="100" w:type="dxa"/>
              <w:left w:w="100" w:type="dxa"/>
              <w:bottom w:w="100" w:type="dxa"/>
              <w:right w:w="100" w:type="dxa"/>
            </w:tcMar>
          </w:tcPr>
          <w:p w14:paraId="7337EE50" w14:textId="550307CF" w:rsidR="00C355AA" w:rsidRPr="00C355AA" w:rsidRDefault="00C355AA" w:rsidP="00B1302C">
            <w:pPr>
              <w:spacing w:line="276" w:lineRule="auto"/>
              <w:jc w:val="center"/>
            </w:pPr>
            <w:r w:rsidRPr="00C355AA">
              <w:t xml:space="preserve">Group </w:t>
            </w:r>
            <w:r w:rsidR="004D61BE">
              <w:t>II</w:t>
            </w:r>
          </w:p>
        </w:tc>
        <w:tc>
          <w:tcPr>
            <w:tcW w:w="2796" w:type="dxa"/>
            <w:tcMar>
              <w:top w:w="100" w:type="dxa"/>
              <w:left w:w="100" w:type="dxa"/>
              <w:bottom w:w="100" w:type="dxa"/>
              <w:right w:w="100" w:type="dxa"/>
            </w:tcMar>
          </w:tcPr>
          <w:p w14:paraId="43BE6D7F" w14:textId="77777777" w:rsidR="00C355AA" w:rsidRPr="00C355AA" w:rsidRDefault="00C355AA" w:rsidP="00B1302C">
            <w:pPr>
              <w:spacing w:line="276" w:lineRule="auto"/>
              <w:jc w:val="center"/>
            </w:pPr>
            <w:r w:rsidRPr="00C355AA">
              <w:t>$7.98</w:t>
            </w:r>
          </w:p>
        </w:tc>
      </w:tr>
    </w:tbl>
    <w:p w14:paraId="02975040" w14:textId="77777777" w:rsidR="00C355AA" w:rsidRPr="00C355AA" w:rsidRDefault="00C355AA" w:rsidP="00C355AA">
      <w:pPr>
        <w:spacing w:line="276" w:lineRule="auto"/>
      </w:pPr>
    </w:p>
    <w:p w14:paraId="01EE5DF4" w14:textId="69D8BBCD" w:rsidR="00C355AA" w:rsidRPr="00C355AA" w:rsidRDefault="00C355AA" w:rsidP="00C355AA">
      <w:pPr>
        <w:spacing w:line="276" w:lineRule="auto"/>
      </w:pPr>
      <w:r w:rsidRPr="00C355AA">
        <w:t>The two groups of facilities for purposes of 101 CMR 512.00 are defined in 101 CMR 512.03(1)(a) and (b)</w:t>
      </w:r>
      <w:r w:rsidR="0046294D">
        <w:t xml:space="preserve"> as follows</w:t>
      </w:r>
      <w:r w:rsidRPr="00C355AA">
        <w:t>:</w:t>
      </w:r>
    </w:p>
    <w:p w14:paraId="3096FDAF" w14:textId="51599C05" w:rsidR="00722951" w:rsidRDefault="00C355AA" w:rsidP="00C355AA">
      <w:pPr>
        <w:spacing w:line="276" w:lineRule="auto"/>
      </w:pPr>
      <w:r w:rsidRPr="00C355AA">
        <w:t xml:space="preserve">(a)  Group I:  All facilities that do not meet the criteria for group II; and </w:t>
      </w:r>
      <w:r w:rsidR="00722951">
        <w:br w:type="page"/>
      </w:r>
    </w:p>
    <w:p w14:paraId="2B8EFB36" w14:textId="77777777" w:rsidR="00C355AA" w:rsidRPr="00C355AA" w:rsidRDefault="00C355AA" w:rsidP="00C355AA">
      <w:pPr>
        <w:spacing w:line="276" w:lineRule="auto"/>
      </w:pPr>
      <w:r w:rsidRPr="00C355AA">
        <w:lastRenderedPageBreak/>
        <w:t>(b)  Group II:  Any nursing facility meeting one or more of the following criteria:</w:t>
      </w:r>
    </w:p>
    <w:p w14:paraId="2748143F" w14:textId="64A0D48B" w:rsidR="00C355AA" w:rsidRPr="00C355AA" w:rsidRDefault="00C355AA" w:rsidP="00C355AA">
      <w:pPr>
        <w:spacing w:line="276" w:lineRule="auto"/>
        <w:ind w:left="720"/>
      </w:pPr>
      <w:r w:rsidRPr="00C355AA">
        <w:t xml:space="preserve">1.  a non-profit continuing care retirement community or non-profit residential care </w:t>
      </w:r>
      <w:proofErr w:type="gramStart"/>
      <w:r w:rsidRPr="00C355AA">
        <w:t>facility;</w:t>
      </w:r>
      <w:proofErr w:type="gramEnd"/>
    </w:p>
    <w:p w14:paraId="133D6F42" w14:textId="77777777" w:rsidR="00C355AA" w:rsidRPr="00C355AA" w:rsidRDefault="00C355AA" w:rsidP="00C355AA">
      <w:pPr>
        <w:spacing w:line="276" w:lineRule="auto"/>
        <w:ind w:left="720"/>
      </w:pPr>
      <w:r w:rsidRPr="00C355AA">
        <w:t xml:space="preserve">2.  a non-profit facility that provides at least 39,000 annual Medicaid bed days, as determined by EOHHS; or </w:t>
      </w:r>
    </w:p>
    <w:p w14:paraId="36E1FD8F" w14:textId="77777777" w:rsidR="00C355AA" w:rsidRPr="00C355AA" w:rsidRDefault="00C355AA" w:rsidP="00C355AA">
      <w:pPr>
        <w:spacing w:line="276" w:lineRule="auto"/>
        <w:ind w:firstLine="720"/>
      </w:pPr>
      <w:r w:rsidRPr="00C355AA">
        <w:t>3.  a facility with a Medicaid utilization rate of 87% or higher, as determined by EOHHS.</w:t>
      </w:r>
    </w:p>
    <w:p w14:paraId="3FFCC012" w14:textId="6EBA96E9" w:rsidR="00C355AA" w:rsidRPr="00C355AA" w:rsidRDefault="008C3D19" w:rsidP="00C355AA">
      <w:pPr>
        <w:spacing w:line="276" w:lineRule="auto"/>
      </w:pPr>
      <w:hyperlink r:id="rId14" w:history="1">
        <w:r w:rsidR="00C355AA" w:rsidRPr="00E22244">
          <w:rPr>
            <w:rStyle w:val="Hyperlink"/>
          </w:rPr>
          <w:t>Administrative Bulletin 23-24</w:t>
        </w:r>
      </w:hyperlink>
      <w:r w:rsidR="00F64B8E">
        <w:t>:</w:t>
      </w:r>
      <w:r w:rsidR="00C355AA" w:rsidRPr="00C355AA">
        <w:t xml:space="preserve"> </w:t>
      </w:r>
      <w:r w:rsidR="00C355AA" w:rsidRPr="00C355AA">
        <w:rPr>
          <w:i/>
          <w:iCs/>
        </w:rPr>
        <w:t>Classification of Nursing Facility User Fees Groups</w:t>
      </w:r>
      <w:r w:rsidR="00C355AA" w:rsidRPr="00C355AA">
        <w:t xml:space="preserve">, effective September 1, 2023, announced that a facility’s eligibility for its user fee group would be updated </w:t>
      </w:r>
      <w:r w:rsidR="00C2107C">
        <w:t>as of</w:t>
      </w:r>
      <w:r w:rsidR="00C2107C" w:rsidRPr="00C355AA">
        <w:t xml:space="preserve"> </w:t>
      </w:r>
      <w:r w:rsidR="00C355AA" w:rsidRPr="00C355AA">
        <w:t>July 1, 2024</w:t>
      </w:r>
      <w:r w:rsidR="00F64B8E">
        <w:t>,</w:t>
      </w:r>
      <w:r w:rsidR="00C355AA" w:rsidRPr="00C355AA">
        <w:t xml:space="preserve"> based </w:t>
      </w:r>
      <w:r w:rsidR="00C8573A">
        <w:t>up</w:t>
      </w:r>
      <w:r w:rsidR="00C355AA" w:rsidRPr="00C355AA">
        <w:t xml:space="preserve">on data from the period between April 1, 2022, and March 31, 2023. </w:t>
      </w:r>
      <w:r w:rsidR="00C8573A">
        <w:t xml:space="preserve"> </w:t>
      </w:r>
      <w:r w:rsidR="00C355AA" w:rsidRPr="00C355AA">
        <w:t xml:space="preserve">EOHHS has analyzed this data and is now ready to notify facilities of their updated user fee group classifications that will take effect on July 1, 2024. The application of the updated source data resulted in a change to some facilities’ user fee group classification. EOHHS has posted the updated group listings on the MassHealth website at </w:t>
      </w:r>
      <w:hyperlink r:id="rId15" w:history="1">
        <w:r w:rsidR="00C355AA" w:rsidRPr="00C355AA">
          <w:rPr>
            <w:rStyle w:val="Hyperlink"/>
          </w:rPr>
          <w:t>www.mass.gov/regulations/101-CMR-51200-nursing-facility-user-fees</w:t>
        </w:r>
      </w:hyperlink>
      <w:r w:rsidR="00C355AA" w:rsidRPr="00C355AA">
        <w:t>. EOHHS strongly encourages nursing facilities to visit the website for advance notice of their user fee group classification that will take effect on July 1, 2024.</w:t>
      </w:r>
    </w:p>
    <w:p w14:paraId="788EAFC1" w14:textId="6DC71B75" w:rsidR="00E964C3" w:rsidRDefault="00E964C3" w:rsidP="00656FFF">
      <w:pPr>
        <w:spacing w:line="276" w:lineRule="auto"/>
      </w:pPr>
    </w:p>
    <w:p w14:paraId="6A57929E" w14:textId="77777777" w:rsidR="00B05E0C" w:rsidRDefault="00B05E0C" w:rsidP="00100E5C"/>
    <w:p w14:paraId="1D513142" w14:textId="05C5996A" w:rsidR="00B05E0C" w:rsidRDefault="00B05E0C" w:rsidP="00722951">
      <w:pPr>
        <w:spacing w:before="480"/>
      </w:pPr>
      <w:r>
        <w:rPr>
          <w:noProof/>
        </w:rPr>
        <w:drawing>
          <wp:inline distT="0" distB="0" distL="0" distR="0" wp14:anchorId="4EDB8485" wp14:editId="4F2A4F16">
            <wp:extent cx="219438" cy="219438"/>
            <wp:effectExtent l="0" t="0" r="0" b="9525"/>
            <wp:docPr id="1865189851" name="Picture 1" descr="Faceb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k logo"/>
                    <pic:cNvPicPr/>
                  </pic:nvPicPr>
                  <pic:blipFill>
                    <a:blip r:embed="rId1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7" w:history="1">
        <w:r w:rsidRPr="008B1B7F">
          <w:rPr>
            <w:rStyle w:val="Hyperlink"/>
            <w:position w:val="10"/>
          </w:rPr>
          <w:t>MassHealth on Facebook</w:t>
        </w:r>
      </w:hyperlink>
      <w:r>
        <w:rPr>
          <w:position w:val="10"/>
        </w:rPr>
        <w:t xml:space="preserve">     </w:t>
      </w:r>
      <w:r>
        <w:rPr>
          <w:noProof/>
        </w:rPr>
        <w:drawing>
          <wp:inline distT="0" distB="0" distL="0" distR="0" wp14:anchorId="4D851928" wp14:editId="0A1F9335">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008C7C8A">
          <w:rPr>
            <w:rStyle w:val="Hyperlink"/>
            <w:position w:val="10"/>
          </w:rPr>
          <w:t>MassHealth on X (Twitter)</w:t>
        </w:r>
      </w:hyperlink>
      <w:r>
        <w:rPr>
          <w:position w:val="10"/>
        </w:rPr>
        <w:t xml:space="preserve">     </w:t>
      </w:r>
      <w:r>
        <w:rPr>
          <w:noProof/>
        </w:rPr>
        <w:drawing>
          <wp:inline distT="0" distB="0" distL="0" distR="0" wp14:anchorId="04440F56" wp14:editId="3865B0DF">
            <wp:extent cx="219438" cy="219438"/>
            <wp:effectExtent l="0" t="0" r="9525" b="9525"/>
            <wp:docPr id="1407212517" name="Picture 1407212517" descr="YouTub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10;"/>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8B1B7F">
          <w:rPr>
            <w:rStyle w:val="Hyperlink"/>
            <w:position w:val="10"/>
          </w:rPr>
          <w:t>MassHealth on YouTube</w:t>
        </w:r>
      </w:hyperlink>
    </w:p>
    <w:p w14:paraId="7CD89ECE" w14:textId="77777777" w:rsidR="00B05E0C" w:rsidRPr="00AC798F" w:rsidRDefault="00B05E0C" w:rsidP="00656FFF">
      <w:pPr>
        <w:spacing w:line="276" w:lineRule="auto"/>
      </w:pPr>
    </w:p>
    <w:p w14:paraId="12B7360E" w14:textId="2FC8295A" w:rsidR="0041466F" w:rsidRPr="0041466F" w:rsidRDefault="0041466F" w:rsidP="00AC798F"/>
    <w:sectPr w:rsidR="0041466F" w:rsidRPr="0041466F" w:rsidSect="00415645">
      <w:headerReference w:type="default" r:id="rId22"/>
      <w:footerReference w:type="default" r:id="rId2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36884" w14:textId="77777777" w:rsidR="00415645" w:rsidRDefault="00415645" w:rsidP="00AC798F">
      <w:r>
        <w:separator/>
      </w:r>
    </w:p>
    <w:p w14:paraId="534D5CE7" w14:textId="77777777" w:rsidR="00415645" w:rsidRDefault="00415645"/>
  </w:endnote>
  <w:endnote w:type="continuationSeparator" w:id="0">
    <w:p w14:paraId="32DD5711" w14:textId="77777777" w:rsidR="00415645" w:rsidRDefault="00415645" w:rsidP="00AC798F">
      <w:r>
        <w:continuationSeparator/>
      </w:r>
    </w:p>
    <w:p w14:paraId="706201B0" w14:textId="77777777" w:rsidR="00415645" w:rsidRDefault="00415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7D166" w14:textId="77777777" w:rsidR="00415645" w:rsidRDefault="00415645" w:rsidP="00AC798F">
      <w:r>
        <w:separator/>
      </w:r>
    </w:p>
    <w:p w14:paraId="28392AB8" w14:textId="77777777" w:rsidR="00415645" w:rsidRDefault="00415645"/>
  </w:footnote>
  <w:footnote w:type="continuationSeparator" w:id="0">
    <w:p w14:paraId="16B12D89" w14:textId="77777777" w:rsidR="00415645" w:rsidRDefault="00415645" w:rsidP="00AC798F">
      <w:r>
        <w:continuationSeparator/>
      </w:r>
    </w:p>
    <w:p w14:paraId="262C9BAA" w14:textId="77777777" w:rsidR="00415645" w:rsidRDefault="00415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7A706C35">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77777777"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77777777"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94F95" w14:textId="77777777" w:rsidR="00E964C3" w:rsidRPr="00AC798F" w:rsidRDefault="00E964C3" w:rsidP="0071737A">
    <w:pPr>
      <w:spacing w:after="0" w:line="276" w:lineRule="auto"/>
      <w:jc w:val="right"/>
    </w:pPr>
    <w:r w:rsidRPr="00AC798F">
      <w:t>EOHHS</w:t>
    </w:r>
  </w:p>
  <w:p w14:paraId="035EBA9C" w14:textId="2B9AACC8" w:rsidR="00E964C3" w:rsidRPr="00AC798F" w:rsidRDefault="00E964C3" w:rsidP="0071737A">
    <w:pPr>
      <w:spacing w:after="0" w:line="276" w:lineRule="auto"/>
      <w:jc w:val="right"/>
    </w:pPr>
    <w:r w:rsidRPr="00AC798F">
      <w:t xml:space="preserve">Administrative Bulletin </w:t>
    </w:r>
    <w:r w:rsidR="00B1302C">
      <w:t>24-</w:t>
    </w:r>
    <w:r w:rsidR="007B785F">
      <w:t>12</w:t>
    </w:r>
  </w:p>
  <w:p w14:paraId="64299DFB" w14:textId="41343A87" w:rsidR="00E964C3" w:rsidRPr="00AC798F" w:rsidRDefault="00E964C3" w:rsidP="0071737A">
    <w:pPr>
      <w:spacing w:after="0" w:line="276" w:lineRule="auto"/>
      <w:jc w:val="right"/>
    </w:pPr>
    <w:r w:rsidRPr="00AC798F">
      <w:t xml:space="preserve">Effective </w:t>
    </w:r>
    <w:r w:rsidR="00B1302C">
      <w:t>July 1, 2024</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2B89"/>
    <w:rsid w:val="00007C23"/>
    <w:rsid w:val="00024809"/>
    <w:rsid w:val="000722C4"/>
    <w:rsid w:val="000B3478"/>
    <w:rsid w:val="00100E5C"/>
    <w:rsid w:val="00103746"/>
    <w:rsid w:val="001058E6"/>
    <w:rsid w:val="00130559"/>
    <w:rsid w:val="00134791"/>
    <w:rsid w:val="00146C2F"/>
    <w:rsid w:val="00153DCE"/>
    <w:rsid w:val="00154CA9"/>
    <w:rsid w:val="00193348"/>
    <w:rsid w:val="00195630"/>
    <w:rsid w:val="001A7742"/>
    <w:rsid w:val="001A7A68"/>
    <w:rsid w:val="001D628B"/>
    <w:rsid w:val="001F69EC"/>
    <w:rsid w:val="0022152B"/>
    <w:rsid w:val="002448DD"/>
    <w:rsid w:val="00266B97"/>
    <w:rsid w:val="00271D28"/>
    <w:rsid w:val="0027639F"/>
    <w:rsid w:val="00284238"/>
    <w:rsid w:val="00291039"/>
    <w:rsid w:val="002A779E"/>
    <w:rsid w:val="003113E4"/>
    <w:rsid w:val="0033130A"/>
    <w:rsid w:val="00351564"/>
    <w:rsid w:val="003A3882"/>
    <w:rsid w:val="003D4F88"/>
    <w:rsid w:val="003F6AAE"/>
    <w:rsid w:val="0041466F"/>
    <w:rsid w:val="00415645"/>
    <w:rsid w:val="0041715C"/>
    <w:rsid w:val="00421B27"/>
    <w:rsid w:val="00443CDB"/>
    <w:rsid w:val="0046294D"/>
    <w:rsid w:val="00465E5A"/>
    <w:rsid w:val="004D48D7"/>
    <w:rsid w:val="004D61BE"/>
    <w:rsid w:val="005246D9"/>
    <w:rsid w:val="00533A3B"/>
    <w:rsid w:val="0053555D"/>
    <w:rsid w:val="00555FC2"/>
    <w:rsid w:val="0056474D"/>
    <w:rsid w:val="005702E6"/>
    <w:rsid w:val="0057224E"/>
    <w:rsid w:val="00572AF9"/>
    <w:rsid w:val="00585302"/>
    <w:rsid w:val="00597C39"/>
    <w:rsid w:val="005B5D35"/>
    <w:rsid w:val="005F20AC"/>
    <w:rsid w:val="005F66F1"/>
    <w:rsid w:val="00607406"/>
    <w:rsid w:val="00631E6D"/>
    <w:rsid w:val="0064272D"/>
    <w:rsid w:val="00656FFF"/>
    <w:rsid w:val="006718AB"/>
    <w:rsid w:val="006B1D87"/>
    <w:rsid w:val="006B6EE0"/>
    <w:rsid w:val="006E5DED"/>
    <w:rsid w:val="0070235D"/>
    <w:rsid w:val="00716F92"/>
    <w:rsid w:val="0071737A"/>
    <w:rsid w:val="00720C4F"/>
    <w:rsid w:val="00722951"/>
    <w:rsid w:val="00734039"/>
    <w:rsid w:val="00782360"/>
    <w:rsid w:val="00796A70"/>
    <w:rsid w:val="007B2CDA"/>
    <w:rsid w:val="007B48C3"/>
    <w:rsid w:val="007B785F"/>
    <w:rsid w:val="007F04B8"/>
    <w:rsid w:val="00800711"/>
    <w:rsid w:val="00835677"/>
    <w:rsid w:val="00852E4B"/>
    <w:rsid w:val="0086045D"/>
    <w:rsid w:val="008669CB"/>
    <w:rsid w:val="0089781D"/>
    <w:rsid w:val="008A50C9"/>
    <w:rsid w:val="008B3832"/>
    <w:rsid w:val="008C3D19"/>
    <w:rsid w:val="008C7C8A"/>
    <w:rsid w:val="009434A5"/>
    <w:rsid w:val="00964EDE"/>
    <w:rsid w:val="00984786"/>
    <w:rsid w:val="009860E6"/>
    <w:rsid w:val="00991DC8"/>
    <w:rsid w:val="009A3538"/>
    <w:rsid w:val="009F1C06"/>
    <w:rsid w:val="00A01D8C"/>
    <w:rsid w:val="00A06F80"/>
    <w:rsid w:val="00A34C8D"/>
    <w:rsid w:val="00A72FAD"/>
    <w:rsid w:val="00A75CD6"/>
    <w:rsid w:val="00AB33D8"/>
    <w:rsid w:val="00AC798F"/>
    <w:rsid w:val="00AD1945"/>
    <w:rsid w:val="00B0173B"/>
    <w:rsid w:val="00B05E0C"/>
    <w:rsid w:val="00B1302C"/>
    <w:rsid w:val="00B623EB"/>
    <w:rsid w:val="00BA6D03"/>
    <w:rsid w:val="00BE1FB2"/>
    <w:rsid w:val="00C1076E"/>
    <w:rsid w:val="00C2107C"/>
    <w:rsid w:val="00C355AA"/>
    <w:rsid w:val="00C400D6"/>
    <w:rsid w:val="00C40D56"/>
    <w:rsid w:val="00C4194A"/>
    <w:rsid w:val="00C67AC6"/>
    <w:rsid w:val="00C773D1"/>
    <w:rsid w:val="00C8573A"/>
    <w:rsid w:val="00C87BF7"/>
    <w:rsid w:val="00CC0E10"/>
    <w:rsid w:val="00CD0456"/>
    <w:rsid w:val="00D160CC"/>
    <w:rsid w:val="00D35714"/>
    <w:rsid w:val="00D5182F"/>
    <w:rsid w:val="00D63172"/>
    <w:rsid w:val="00D634B3"/>
    <w:rsid w:val="00D761F6"/>
    <w:rsid w:val="00DA095C"/>
    <w:rsid w:val="00DB0F31"/>
    <w:rsid w:val="00E10A6E"/>
    <w:rsid w:val="00E22244"/>
    <w:rsid w:val="00E27559"/>
    <w:rsid w:val="00E320F9"/>
    <w:rsid w:val="00E56BD5"/>
    <w:rsid w:val="00E620A3"/>
    <w:rsid w:val="00E74BC2"/>
    <w:rsid w:val="00E92AC9"/>
    <w:rsid w:val="00E964C3"/>
    <w:rsid w:val="00EB6016"/>
    <w:rsid w:val="00EE4CAE"/>
    <w:rsid w:val="00F12C5F"/>
    <w:rsid w:val="00F247CB"/>
    <w:rsid w:val="00F30AF6"/>
    <w:rsid w:val="00F44C98"/>
    <w:rsid w:val="00F44E10"/>
    <w:rsid w:val="00F531D7"/>
    <w:rsid w:val="00F60649"/>
    <w:rsid w:val="00F64B8E"/>
    <w:rsid w:val="00F65E52"/>
    <w:rsid w:val="00F8728D"/>
    <w:rsid w:val="00FB216E"/>
    <w:rsid w:val="00FB3A7B"/>
    <w:rsid w:val="00FD442D"/>
    <w:rsid w:val="00FE4AA0"/>
    <w:rsid w:val="00FE6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B3A7B"/>
    <w:pPr>
      <w:tabs>
        <w:tab w:val="left" w:pos="900"/>
      </w:tabs>
      <w:spacing w:after="0"/>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B3A7B"/>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paragraph" w:styleId="Revision">
    <w:name w:val="Revision"/>
    <w:hidden/>
    <w:uiPriority w:val="99"/>
    <w:semiHidden/>
    <w:rsid w:val="00C355AA"/>
    <w:rPr>
      <w:rFonts w:ascii="Georgia" w:hAnsi="Georgia"/>
    </w:rPr>
  </w:style>
  <w:style w:type="character" w:styleId="UnresolvedMention">
    <w:name w:val="Unresolved Mention"/>
    <w:basedOn w:val="DefaultParagraphFont"/>
    <w:uiPriority w:val="99"/>
    <w:semiHidden/>
    <w:unhideWhenUsed/>
    <w:rsid w:val="00195630"/>
    <w:rPr>
      <w:color w:val="605E5C"/>
      <w:shd w:val="clear" w:color="auto" w:fill="E1DFDD"/>
    </w:rPr>
  </w:style>
  <w:style w:type="character" w:styleId="CommentReference">
    <w:name w:val="annotation reference"/>
    <w:basedOn w:val="DefaultParagraphFont"/>
    <w:uiPriority w:val="99"/>
    <w:semiHidden/>
    <w:unhideWhenUsed/>
    <w:rsid w:val="0046294D"/>
    <w:rPr>
      <w:sz w:val="16"/>
      <w:szCs w:val="16"/>
    </w:rPr>
  </w:style>
  <w:style w:type="paragraph" w:styleId="CommentText">
    <w:name w:val="annotation text"/>
    <w:basedOn w:val="Normal"/>
    <w:link w:val="CommentTextChar"/>
    <w:uiPriority w:val="99"/>
    <w:unhideWhenUsed/>
    <w:rsid w:val="0046294D"/>
    <w:rPr>
      <w:sz w:val="20"/>
      <w:szCs w:val="20"/>
    </w:rPr>
  </w:style>
  <w:style w:type="character" w:customStyle="1" w:styleId="CommentTextChar">
    <w:name w:val="Comment Text Char"/>
    <w:basedOn w:val="DefaultParagraphFont"/>
    <w:link w:val="CommentText"/>
    <w:uiPriority w:val="99"/>
    <w:rsid w:val="0046294D"/>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46294D"/>
    <w:rPr>
      <w:b/>
      <w:bCs/>
    </w:rPr>
  </w:style>
  <w:style w:type="character" w:customStyle="1" w:styleId="CommentSubjectChar">
    <w:name w:val="Comment Subject Char"/>
    <w:basedOn w:val="CommentTextChar"/>
    <w:link w:val="CommentSubject"/>
    <w:uiPriority w:val="99"/>
    <w:semiHidden/>
    <w:rsid w:val="0046294D"/>
    <w:rPr>
      <w:rFonts w:ascii="Georgia" w:hAnsi="Georgia"/>
      <w:b/>
      <w:bCs/>
      <w:sz w:val="20"/>
      <w:szCs w:val="20"/>
    </w:rPr>
  </w:style>
  <w:style w:type="character" w:styleId="FollowedHyperlink">
    <w:name w:val="FollowedHyperlink"/>
    <w:basedOn w:val="DefaultParagraphFont"/>
    <w:uiPriority w:val="99"/>
    <w:semiHidden/>
    <w:unhideWhenUsed/>
    <w:rsid w:val="00572A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youtube.com/channel/UC1QQ61nTN7LNKkhjrjnYOU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facebook.com/MassHealth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s.gov/doc/nursing-facility-user-fee-group-list-july-1-2024-0/download"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twitter.com/MassHeal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2023-eohhs-administrative-bulletin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3.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4.xml><?xml version="1.0" encoding="utf-8"?>
<ds:datastoreItem xmlns:ds="http://schemas.openxmlformats.org/officeDocument/2006/customXml" ds:itemID="{442BB599-8839-4967-BFFB-C4F243E4C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Sousa, Pam (EHS)</cp:lastModifiedBy>
  <cp:revision>2</cp:revision>
  <cp:lastPrinted>2023-03-01T20:48:00Z</cp:lastPrinted>
  <dcterms:created xsi:type="dcterms:W3CDTF">2024-05-15T14:47:00Z</dcterms:created>
  <dcterms:modified xsi:type="dcterms:W3CDTF">2024-05-15T14:47:00Z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