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7A1B9" w14:textId="77777777" w:rsidR="00EE4CAE" w:rsidRDefault="00EE4CAE" w:rsidP="00AC798F"/>
    <w:p w14:paraId="5F83FD03" w14:textId="0A823409" w:rsidR="00533A3B" w:rsidRPr="00AC798F" w:rsidRDefault="00533A3B" w:rsidP="005702E6">
      <w:pPr>
        <w:pStyle w:val="Heading1"/>
        <w:spacing w:before="240"/>
      </w:pPr>
      <w:r w:rsidRPr="00AC798F">
        <w:t xml:space="preserve">Administrative Bulletin </w:t>
      </w:r>
      <w:r w:rsidR="00FB36D4" w:rsidRPr="0096615D">
        <w:t>24</w:t>
      </w:r>
      <w:r w:rsidRPr="0096615D">
        <w:t>-</w:t>
      </w:r>
      <w:r w:rsidR="005C39F9">
        <w:t>17</w:t>
      </w:r>
    </w:p>
    <w:p w14:paraId="658E4EE1" w14:textId="77777777" w:rsidR="00533A3B" w:rsidRPr="00533A3B" w:rsidRDefault="00533A3B" w:rsidP="00AC798F"/>
    <w:p w14:paraId="1F74F212" w14:textId="77777777" w:rsidR="00533A3B" w:rsidRPr="00796A70" w:rsidRDefault="00533A3B" w:rsidP="00AC798F">
      <w:pPr>
        <w:jc w:val="center"/>
        <w:rPr>
          <w:b/>
          <w:bCs/>
          <w:sz w:val="24"/>
          <w:szCs w:val="24"/>
        </w:rPr>
      </w:pPr>
      <w:r w:rsidRPr="00796A70">
        <w:rPr>
          <w:b/>
          <w:bCs/>
          <w:sz w:val="24"/>
          <w:szCs w:val="24"/>
        </w:rPr>
        <w:t xml:space="preserve">101 CMR </w:t>
      </w:r>
      <w:r w:rsidR="00FB36D4">
        <w:rPr>
          <w:b/>
          <w:bCs/>
          <w:sz w:val="24"/>
          <w:szCs w:val="24"/>
        </w:rPr>
        <w:t>322</w:t>
      </w:r>
      <w:r w:rsidRPr="00796A70">
        <w:rPr>
          <w:b/>
          <w:bCs/>
          <w:sz w:val="24"/>
          <w:szCs w:val="24"/>
        </w:rPr>
        <w:t xml:space="preserve">.00: </w:t>
      </w:r>
      <w:r w:rsidR="00FB36D4">
        <w:rPr>
          <w:b/>
          <w:bCs/>
          <w:i/>
          <w:iCs/>
          <w:sz w:val="24"/>
          <w:szCs w:val="24"/>
        </w:rPr>
        <w:t xml:space="preserve">Rates for </w:t>
      </w:r>
      <w:bookmarkStart w:id="0" w:name="_Hlk159410726"/>
      <w:r w:rsidR="00FB36D4">
        <w:rPr>
          <w:b/>
          <w:bCs/>
          <w:i/>
          <w:iCs/>
          <w:sz w:val="24"/>
          <w:szCs w:val="24"/>
        </w:rPr>
        <w:t>Durable Medical Equipment, Oxygen and Respiratory Therapy Equipment</w:t>
      </w:r>
      <w:bookmarkEnd w:id="0"/>
    </w:p>
    <w:p w14:paraId="64775854" w14:textId="77777777" w:rsidR="00533A3B" w:rsidRPr="00796A70" w:rsidRDefault="00533A3B" w:rsidP="00AC798F">
      <w:pPr>
        <w:rPr>
          <w:sz w:val="24"/>
          <w:szCs w:val="24"/>
        </w:rPr>
      </w:pPr>
    </w:p>
    <w:p w14:paraId="51848CC5" w14:textId="457B73D6" w:rsidR="00533A3B" w:rsidRDefault="00533A3B" w:rsidP="0022152B">
      <w:pPr>
        <w:spacing w:before="120" w:after="240"/>
        <w:jc w:val="center"/>
        <w:rPr>
          <w:sz w:val="24"/>
          <w:szCs w:val="24"/>
        </w:rPr>
      </w:pPr>
      <w:r w:rsidRPr="00796A70">
        <w:rPr>
          <w:sz w:val="24"/>
          <w:szCs w:val="24"/>
        </w:rPr>
        <w:t xml:space="preserve">Effective </w:t>
      </w:r>
      <w:r w:rsidR="00D7659F">
        <w:rPr>
          <w:sz w:val="24"/>
          <w:szCs w:val="24"/>
        </w:rPr>
        <w:t>April</w:t>
      </w:r>
      <w:r w:rsidR="00FB36D4">
        <w:rPr>
          <w:sz w:val="24"/>
          <w:szCs w:val="24"/>
        </w:rPr>
        <w:t xml:space="preserve"> 1, 2024</w:t>
      </w:r>
    </w:p>
    <w:p w14:paraId="65193DE0" w14:textId="01388B56" w:rsidR="00D02F04" w:rsidRDefault="005924F7" w:rsidP="00A91296">
      <w:pPr>
        <w:pStyle w:val="SubjectLine"/>
      </w:pPr>
      <w:r w:rsidRPr="00D00D88">
        <w:t>Coding Updates for Certain Durable Medical Equipment</w:t>
      </w:r>
      <w:r w:rsidR="00B461B8">
        <w:t xml:space="preserve"> and</w:t>
      </w:r>
      <w:r w:rsidR="00B461B8" w:rsidRPr="00D00D88">
        <w:t xml:space="preserve"> </w:t>
      </w:r>
      <w:r w:rsidRPr="00D00D88">
        <w:t>Oxygen and Respiratory Therapy Equipment</w:t>
      </w:r>
    </w:p>
    <w:p w14:paraId="1467B230" w14:textId="77777777" w:rsidR="00DB69B3" w:rsidRDefault="00DB69B3" w:rsidP="00264CCC">
      <w:pPr>
        <w:spacing w:before="120" w:after="240"/>
        <w:rPr>
          <w:b/>
          <w:bCs/>
          <w:sz w:val="24"/>
          <w:szCs w:val="24"/>
        </w:rPr>
      </w:pPr>
    </w:p>
    <w:p w14:paraId="692B9FEB" w14:textId="77777777" w:rsidR="00264CCC" w:rsidRPr="00D00D88" w:rsidRDefault="00DB69B3" w:rsidP="00AA72BD">
      <w:pPr>
        <w:pStyle w:val="Heading2"/>
      </w:pPr>
      <w:r>
        <w:t>Summary</w:t>
      </w:r>
    </w:p>
    <w:p w14:paraId="49A2FB53" w14:textId="7146054E" w:rsidR="00FB36D4" w:rsidRPr="003A7D3C" w:rsidRDefault="00AD0864" w:rsidP="003A7D3C">
      <w:pPr>
        <w:autoSpaceDE w:val="0"/>
        <w:autoSpaceDN w:val="0"/>
        <w:adjustRightInd w:val="0"/>
        <w:spacing w:after="120" w:line="276" w:lineRule="auto"/>
        <w:rPr>
          <w:rFonts w:cs="Times New Roman"/>
        </w:rPr>
      </w:pPr>
      <w:r w:rsidRPr="003A7D3C">
        <w:rPr>
          <w:rFonts w:cs="Times New Roman"/>
        </w:rPr>
        <w:t>Under</w:t>
      </w:r>
      <w:r w:rsidR="00FB36D4" w:rsidRPr="003A7D3C">
        <w:rPr>
          <w:rFonts w:cs="Times New Roman"/>
        </w:rPr>
        <w:t xml:space="preserve"> 101 CMR 322.01(6): </w:t>
      </w:r>
      <w:r w:rsidR="00FB36D4" w:rsidRPr="003A7D3C">
        <w:rPr>
          <w:rFonts w:cs="Times New Roman"/>
          <w:i/>
        </w:rPr>
        <w:t xml:space="preserve">Coding Updates and Corrections, </w:t>
      </w:r>
      <w:r w:rsidR="00FB36D4" w:rsidRPr="003A7D3C">
        <w:rPr>
          <w:rFonts w:cs="Times New Roman"/>
        </w:rPr>
        <w:t xml:space="preserve">the Executive Office of Health and Human Services (EOHHS) is adding new procedure codes, deleting outdated codes, </w:t>
      </w:r>
      <w:r w:rsidR="006E3FF5" w:rsidRPr="003A7D3C">
        <w:rPr>
          <w:rFonts w:cs="Times New Roman"/>
        </w:rPr>
        <w:t xml:space="preserve">updating certain rates, </w:t>
      </w:r>
      <w:r w:rsidR="00FB36D4" w:rsidRPr="003A7D3C">
        <w:rPr>
          <w:rFonts w:cs="Times New Roman"/>
        </w:rPr>
        <w:t>and revising code descriptions</w:t>
      </w:r>
      <w:r w:rsidR="00DB69B3" w:rsidRPr="003A7D3C">
        <w:rPr>
          <w:rFonts w:cs="Times New Roman"/>
        </w:rPr>
        <w:t>,</w:t>
      </w:r>
      <w:r w:rsidR="00FB36D4" w:rsidRPr="003A7D3C">
        <w:rPr>
          <w:rFonts w:cs="Times New Roman"/>
        </w:rPr>
        <w:t xml:space="preserve"> effective for dates of service on or after </w:t>
      </w:r>
      <w:r w:rsidR="00D7659F" w:rsidRPr="003A7D3C">
        <w:rPr>
          <w:rFonts w:cs="Times New Roman"/>
        </w:rPr>
        <w:t>April</w:t>
      </w:r>
      <w:r w:rsidR="00FB36D4" w:rsidRPr="003A7D3C">
        <w:rPr>
          <w:rFonts w:cs="Times New Roman"/>
        </w:rPr>
        <w:t xml:space="preserve"> 1, 2024. The following lists specify codes that have been added, deleted, or have revised code descriptions</w:t>
      </w:r>
      <w:r w:rsidR="00E51E57" w:rsidRPr="003A7D3C">
        <w:rPr>
          <w:rFonts w:cs="Times New Roman"/>
        </w:rPr>
        <w:t xml:space="preserve"> or rates.</w:t>
      </w:r>
    </w:p>
    <w:p w14:paraId="1B36F433" w14:textId="79EFE7E6" w:rsidR="00FB36D4" w:rsidRPr="003A7D3C" w:rsidRDefault="00FB36D4" w:rsidP="003A7D3C">
      <w:pPr>
        <w:autoSpaceDE w:val="0"/>
        <w:autoSpaceDN w:val="0"/>
        <w:adjustRightInd w:val="0"/>
        <w:spacing w:after="120" w:line="276" w:lineRule="auto"/>
        <w:rPr>
          <w:rFonts w:cs="Times New Roman"/>
        </w:rPr>
      </w:pPr>
      <w:r w:rsidRPr="003A7D3C">
        <w:rPr>
          <w:rFonts w:cs="Times New Roman"/>
        </w:rPr>
        <w:t xml:space="preserve">For existing codes </w:t>
      </w:r>
      <w:r w:rsidR="00296C52" w:rsidRPr="003A7D3C">
        <w:rPr>
          <w:rFonts w:cs="Times New Roman"/>
        </w:rPr>
        <w:t>where</w:t>
      </w:r>
      <w:r w:rsidRPr="003A7D3C">
        <w:rPr>
          <w:rFonts w:cs="Times New Roman"/>
        </w:rPr>
        <w:t xml:space="preserve"> only the </w:t>
      </w:r>
      <w:r w:rsidR="00D41397" w:rsidRPr="003A7D3C">
        <w:rPr>
          <w:rFonts w:cs="Times New Roman"/>
        </w:rPr>
        <w:t xml:space="preserve">code </w:t>
      </w:r>
      <w:r w:rsidRPr="003A7D3C">
        <w:rPr>
          <w:rFonts w:cs="Times New Roman"/>
        </w:rPr>
        <w:t xml:space="preserve">description has changed, the rates </w:t>
      </w:r>
      <w:r w:rsidR="00296C52" w:rsidRPr="003A7D3C">
        <w:rPr>
          <w:rFonts w:cs="Times New Roman"/>
        </w:rPr>
        <w:t xml:space="preserve">remain </w:t>
      </w:r>
      <w:r w:rsidRPr="003A7D3C">
        <w:rPr>
          <w:rFonts w:cs="Times New Roman"/>
        </w:rPr>
        <w:t xml:space="preserve">as described in 101 CMR 322.01(6)(b). For entirely new codes with associated Medicare fees, payment rates are set at a percentage of prevailing Medicare fees as described in 101 CMR 322.03(16)(a). For entirely new codes without associated Medicare fees, individual consideration (I.C.) is applied to establish payment as described in 101 CMR 322.03(16)(b). </w:t>
      </w:r>
      <w:r w:rsidR="00F9180F" w:rsidRPr="003A7D3C">
        <w:rPr>
          <w:rFonts w:cs="Times New Roman"/>
        </w:rPr>
        <w:t>Rates listed in this administrative bulletin are applicable until revised rates are issued by EOHHS.</w:t>
      </w:r>
    </w:p>
    <w:p w14:paraId="775C6F65" w14:textId="03A057BF" w:rsidR="00FB36D4" w:rsidRPr="003A7D3C" w:rsidRDefault="00FB36D4" w:rsidP="003A7D3C">
      <w:pPr>
        <w:autoSpaceDE w:val="0"/>
        <w:autoSpaceDN w:val="0"/>
        <w:adjustRightInd w:val="0"/>
        <w:spacing w:after="120" w:line="276" w:lineRule="auto"/>
        <w:rPr>
          <w:rFonts w:cs="Times New Roman"/>
        </w:rPr>
      </w:pPr>
      <w:r w:rsidRPr="003A7D3C">
        <w:rPr>
          <w:rFonts w:cs="Times New Roman"/>
        </w:rPr>
        <w:t xml:space="preserve">The appearance of a code in the tables below does not constitute authorization for, or approval of, the procedures or services for which rates are determined </w:t>
      </w:r>
      <w:r w:rsidR="00C024EB" w:rsidRPr="003A7D3C">
        <w:rPr>
          <w:rFonts w:cs="Times New Roman"/>
        </w:rPr>
        <w:t>under</w:t>
      </w:r>
      <w:r w:rsidRPr="003A7D3C">
        <w:rPr>
          <w:rFonts w:cs="Times New Roman"/>
        </w:rPr>
        <w:t xml:space="preserve"> 101 CMR 322.00. Governmental units that purchase care are responsible for the definition, authorization, and approval of care to publicly aided individuals.</w:t>
      </w:r>
      <w:r w:rsidR="00A527CE" w:rsidRPr="001972AB">
        <w:t xml:space="preserve"> </w:t>
      </w:r>
    </w:p>
    <w:p w14:paraId="302A8029" w14:textId="3952F129" w:rsidR="00533A3B" w:rsidRPr="00D00D88" w:rsidRDefault="00FB36D4" w:rsidP="00AA72BD">
      <w:pPr>
        <w:pStyle w:val="Heading2"/>
      </w:pPr>
      <w:r w:rsidRPr="00D00D88">
        <w:lastRenderedPageBreak/>
        <w:t>Added Codes</w:t>
      </w:r>
    </w:p>
    <w:tbl>
      <w:tblPr>
        <w:tblStyle w:val="TableGrid"/>
        <w:tblW w:w="0" w:type="auto"/>
        <w:tblLook w:val="04A0" w:firstRow="1" w:lastRow="0" w:firstColumn="1" w:lastColumn="0" w:noHBand="0" w:noVBand="1"/>
      </w:tblPr>
      <w:tblGrid>
        <w:gridCol w:w="1481"/>
        <w:gridCol w:w="1209"/>
        <w:gridCol w:w="5315"/>
        <w:gridCol w:w="1345"/>
      </w:tblGrid>
      <w:tr w:rsidR="00FB36D4" w:rsidRPr="00736A84" w14:paraId="28A1F410" w14:textId="77777777" w:rsidTr="003A7D3C">
        <w:trPr>
          <w:trHeight w:val="290"/>
          <w:tblHeader/>
        </w:trPr>
        <w:tc>
          <w:tcPr>
            <w:tcW w:w="1481" w:type="dxa"/>
            <w:noWrap/>
            <w:vAlign w:val="center"/>
            <w:hideMark/>
          </w:tcPr>
          <w:p w14:paraId="69837225" w14:textId="77777777" w:rsidR="00FB36D4" w:rsidRPr="003A7D3C" w:rsidRDefault="00FB36D4" w:rsidP="00DC4C73">
            <w:pPr>
              <w:contextualSpacing/>
              <w:jc w:val="center"/>
              <w:rPr>
                <w:b/>
                <w:bCs/>
                <w:sz w:val="22"/>
                <w:szCs w:val="22"/>
              </w:rPr>
            </w:pPr>
            <w:r w:rsidRPr="003A7D3C">
              <w:rPr>
                <w:b/>
                <w:bCs/>
              </w:rPr>
              <w:t>Code</w:t>
            </w:r>
          </w:p>
        </w:tc>
        <w:tc>
          <w:tcPr>
            <w:tcW w:w="1209" w:type="dxa"/>
            <w:noWrap/>
            <w:vAlign w:val="center"/>
            <w:hideMark/>
          </w:tcPr>
          <w:p w14:paraId="72BED9B1" w14:textId="77777777" w:rsidR="00FB36D4" w:rsidRPr="003A7D3C" w:rsidRDefault="00FB36D4" w:rsidP="00DC4C73">
            <w:pPr>
              <w:contextualSpacing/>
              <w:jc w:val="center"/>
              <w:rPr>
                <w:b/>
                <w:bCs/>
                <w:sz w:val="22"/>
                <w:szCs w:val="22"/>
              </w:rPr>
            </w:pPr>
            <w:r w:rsidRPr="003A7D3C">
              <w:rPr>
                <w:b/>
                <w:bCs/>
              </w:rPr>
              <w:t>Modifier</w:t>
            </w:r>
          </w:p>
        </w:tc>
        <w:tc>
          <w:tcPr>
            <w:tcW w:w="5315" w:type="dxa"/>
            <w:noWrap/>
            <w:vAlign w:val="center"/>
            <w:hideMark/>
          </w:tcPr>
          <w:p w14:paraId="1EB25CDB" w14:textId="77777777" w:rsidR="00FB36D4" w:rsidRPr="003A7D3C" w:rsidRDefault="00FB36D4" w:rsidP="00DC4C73">
            <w:pPr>
              <w:contextualSpacing/>
              <w:jc w:val="center"/>
              <w:rPr>
                <w:b/>
                <w:bCs/>
                <w:sz w:val="22"/>
                <w:szCs w:val="22"/>
              </w:rPr>
            </w:pPr>
            <w:r w:rsidRPr="003A7D3C">
              <w:rPr>
                <w:b/>
                <w:bCs/>
              </w:rPr>
              <w:t>Description</w:t>
            </w:r>
          </w:p>
        </w:tc>
        <w:tc>
          <w:tcPr>
            <w:tcW w:w="1345" w:type="dxa"/>
            <w:noWrap/>
            <w:vAlign w:val="center"/>
            <w:hideMark/>
          </w:tcPr>
          <w:p w14:paraId="3BA0F348" w14:textId="77777777" w:rsidR="00FB36D4" w:rsidRPr="003A7D3C" w:rsidRDefault="00FB36D4" w:rsidP="00DC4C73">
            <w:pPr>
              <w:contextualSpacing/>
              <w:jc w:val="center"/>
              <w:rPr>
                <w:b/>
                <w:bCs/>
                <w:sz w:val="22"/>
                <w:szCs w:val="22"/>
              </w:rPr>
            </w:pPr>
            <w:r w:rsidRPr="003A7D3C">
              <w:rPr>
                <w:b/>
                <w:bCs/>
              </w:rPr>
              <w:t>Rate</w:t>
            </w:r>
          </w:p>
        </w:tc>
      </w:tr>
      <w:tr w:rsidR="00D7659F" w:rsidRPr="00736A84" w14:paraId="147D66C3" w14:textId="77777777" w:rsidTr="003A7D3C">
        <w:trPr>
          <w:trHeight w:val="290"/>
        </w:trPr>
        <w:tc>
          <w:tcPr>
            <w:tcW w:w="1481" w:type="dxa"/>
            <w:noWrap/>
            <w:hideMark/>
          </w:tcPr>
          <w:p w14:paraId="681CDAA8" w14:textId="33417BE6" w:rsidR="00D7659F" w:rsidRPr="003A7D3C" w:rsidRDefault="00D7659F" w:rsidP="00D7659F">
            <w:pPr>
              <w:contextualSpacing/>
              <w:jc w:val="center"/>
              <w:rPr>
                <w:bCs/>
                <w:sz w:val="22"/>
                <w:szCs w:val="22"/>
              </w:rPr>
            </w:pPr>
            <w:r w:rsidRPr="001972AB">
              <w:t>A4271</w:t>
            </w:r>
          </w:p>
        </w:tc>
        <w:tc>
          <w:tcPr>
            <w:tcW w:w="1209" w:type="dxa"/>
            <w:noWrap/>
            <w:hideMark/>
          </w:tcPr>
          <w:p w14:paraId="35FD5EDC" w14:textId="77777777" w:rsidR="00D7659F" w:rsidRPr="003A7D3C" w:rsidRDefault="00D7659F" w:rsidP="00D7659F">
            <w:pPr>
              <w:contextualSpacing/>
              <w:jc w:val="center"/>
              <w:rPr>
                <w:bCs/>
                <w:sz w:val="22"/>
                <w:szCs w:val="22"/>
              </w:rPr>
            </w:pPr>
          </w:p>
        </w:tc>
        <w:tc>
          <w:tcPr>
            <w:tcW w:w="5315" w:type="dxa"/>
            <w:hideMark/>
          </w:tcPr>
          <w:p w14:paraId="542CF31D" w14:textId="38103354" w:rsidR="00D7659F" w:rsidRPr="003A7D3C" w:rsidRDefault="00D7659F" w:rsidP="00D7659F">
            <w:pPr>
              <w:contextualSpacing/>
              <w:rPr>
                <w:bCs/>
                <w:sz w:val="22"/>
                <w:szCs w:val="22"/>
              </w:rPr>
            </w:pPr>
            <w:r w:rsidRPr="001972AB">
              <w:t>Integrated lancing and blood sample testing cartridges for home blood glucose monitor, per month</w:t>
            </w:r>
          </w:p>
        </w:tc>
        <w:tc>
          <w:tcPr>
            <w:tcW w:w="1345" w:type="dxa"/>
            <w:noWrap/>
            <w:hideMark/>
          </w:tcPr>
          <w:p w14:paraId="5B778D87" w14:textId="6CDC1DE8" w:rsidR="00D7659F" w:rsidRPr="003A7D3C" w:rsidRDefault="00D7659F" w:rsidP="00D7659F">
            <w:pPr>
              <w:contextualSpacing/>
              <w:jc w:val="center"/>
              <w:rPr>
                <w:bCs/>
                <w:sz w:val="22"/>
                <w:szCs w:val="22"/>
              </w:rPr>
            </w:pPr>
            <w:r w:rsidRPr="001972AB">
              <w:t xml:space="preserve"> $65.25 </w:t>
            </w:r>
          </w:p>
        </w:tc>
      </w:tr>
      <w:tr w:rsidR="00D7659F" w:rsidRPr="00736A84" w14:paraId="10C9CC2C" w14:textId="77777777" w:rsidTr="003A7D3C">
        <w:trPr>
          <w:trHeight w:val="290"/>
        </w:trPr>
        <w:tc>
          <w:tcPr>
            <w:tcW w:w="1481" w:type="dxa"/>
            <w:noWrap/>
            <w:hideMark/>
          </w:tcPr>
          <w:p w14:paraId="29DBFDD7" w14:textId="5B40633C" w:rsidR="00D7659F" w:rsidRPr="003A7D3C" w:rsidRDefault="00D7659F" w:rsidP="00D7659F">
            <w:pPr>
              <w:contextualSpacing/>
              <w:jc w:val="center"/>
              <w:rPr>
                <w:bCs/>
                <w:sz w:val="22"/>
                <w:szCs w:val="22"/>
              </w:rPr>
            </w:pPr>
            <w:r w:rsidRPr="001972AB">
              <w:t>A4593</w:t>
            </w:r>
          </w:p>
        </w:tc>
        <w:tc>
          <w:tcPr>
            <w:tcW w:w="1209" w:type="dxa"/>
            <w:noWrap/>
            <w:hideMark/>
          </w:tcPr>
          <w:p w14:paraId="77A5E104" w14:textId="77777777" w:rsidR="00D7659F" w:rsidRPr="003A7D3C" w:rsidRDefault="00D7659F" w:rsidP="00D7659F">
            <w:pPr>
              <w:contextualSpacing/>
              <w:jc w:val="center"/>
              <w:rPr>
                <w:bCs/>
                <w:sz w:val="22"/>
                <w:szCs w:val="22"/>
              </w:rPr>
            </w:pPr>
          </w:p>
        </w:tc>
        <w:tc>
          <w:tcPr>
            <w:tcW w:w="5315" w:type="dxa"/>
            <w:noWrap/>
            <w:hideMark/>
          </w:tcPr>
          <w:p w14:paraId="31B65455" w14:textId="4082794D" w:rsidR="00D7659F" w:rsidRPr="003A7D3C" w:rsidRDefault="00D7659F" w:rsidP="00D7659F">
            <w:pPr>
              <w:contextualSpacing/>
              <w:rPr>
                <w:bCs/>
                <w:sz w:val="22"/>
                <w:szCs w:val="22"/>
              </w:rPr>
            </w:pPr>
            <w:r w:rsidRPr="001972AB">
              <w:t>Neuromodulation stimulator system, adjunct to rehabilitation therapy regime</w:t>
            </w:r>
          </w:p>
        </w:tc>
        <w:tc>
          <w:tcPr>
            <w:tcW w:w="1345" w:type="dxa"/>
            <w:noWrap/>
            <w:hideMark/>
          </w:tcPr>
          <w:p w14:paraId="3ACE20B6" w14:textId="2DC7F713" w:rsidR="00D7659F" w:rsidRPr="003A7D3C" w:rsidRDefault="00D7659F" w:rsidP="00D7659F">
            <w:pPr>
              <w:contextualSpacing/>
              <w:jc w:val="center"/>
              <w:rPr>
                <w:bCs/>
                <w:sz w:val="22"/>
                <w:szCs w:val="22"/>
              </w:rPr>
            </w:pPr>
            <w:r w:rsidRPr="001972AB">
              <w:t>AAC+ 30%</w:t>
            </w:r>
          </w:p>
        </w:tc>
      </w:tr>
      <w:tr w:rsidR="00D7659F" w:rsidRPr="00736A84" w14:paraId="57BD3092" w14:textId="77777777" w:rsidTr="003A7D3C">
        <w:trPr>
          <w:trHeight w:val="290"/>
        </w:trPr>
        <w:tc>
          <w:tcPr>
            <w:tcW w:w="1481" w:type="dxa"/>
            <w:noWrap/>
            <w:hideMark/>
          </w:tcPr>
          <w:p w14:paraId="28AA7699" w14:textId="3D9CFE20" w:rsidR="00D7659F" w:rsidRPr="003A7D3C" w:rsidRDefault="00D7659F" w:rsidP="00D7659F">
            <w:pPr>
              <w:contextualSpacing/>
              <w:jc w:val="center"/>
              <w:rPr>
                <w:bCs/>
                <w:sz w:val="22"/>
                <w:szCs w:val="22"/>
              </w:rPr>
            </w:pPr>
            <w:r w:rsidRPr="001972AB">
              <w:t>A4594</w:t>
            </w:r>
          </w:p>
        </w:tc>
        <w:tc>
          <w:tcPr>
            <w:tcW w:w="1209" w:type="dxa"/>
            <w:noWrap/>
            <w:hideMark/>
          </w:tcPr>
          <w:p w14:paraId="2E94916B" w14:textId="77777777" w:rsidR="00D7659F" w:rsidRPr="003A7D3C" w:rsidRDefault="00D7659F" w:rsidP="00D7659F">
            <w:pPr>
              <w:contextualSpacing/>
              <w:jc w:val="center"/>
              <w:rPr>
                <w:bCs/>
                <w:sz w:val="22"/>
                <w:szCs w:val="22"/>
              </w:rPr>
            </w:pPr>
          </w:p>
        </w:tc>
        <w:tc>
          <w:tcPr>
            <w:tcW w:w="5315" w:type="dxa"/>
            <w:noWrap/>
            <w:hideMark/>
          </w:tcPr>
          <w:p w14:paraId="149B7470" w14:textId="5223F95F" w:rsidR="00D7659F" w:rsidRPr="003A7D3C" w:rsidRDefault="00D7659F" w:rsidP="00D7659F">
            <w:pPr>
              <w:contextualSpacing/>
              <w:rPr>
                <w:bCs/>
                <w:sz w:val="22"/>
                <w:szCs w:val="22"/>
              </w:rPr>
            </w:pPr>
            <w:r w:rsidRPr="001972AB">
              <w:t>Neuromodulation stimulator system, adjunct to rehabilitation therapy regime, mouthpiece each</w:t>
            </w:r>
          </w:p>
        </w:tc>
        <w:tc>
          <w:tcPr>
            <w:tcW w:w="1345" w:type="dxa"/>
            <w:noWrap/>
            <w:hideMark/>
          </w:tcPr>
          <w:p w14:paraId="2ACEB9DE" w14:textId="1DCDA46B" w:rsidR="00D7659F" w:rsidRPr="003A7D3C" w:rsidRDefault="00D7659F" w:rsidP="00D7659F">
            <w:pPr>
              <w:contextualSpacing/>
              <w:jc w:val="center"/>
              <w:rPr>
                <w:bCs/>
                <w:sz w:val="22"/>
                <w:szCs w:val="22"/>
              </w:rPr>
            </w:pPr>
            <w:r w:rsidRPr="001972AB">
              <w:t>AAC+ 30%</w:t>
            </w:r>
          </w:p>
        </w:tc>
      </w:tr>
      <w:tr w:rsidR="00D7659F" w:rsidRPr="00736A84" w14:paraId="52C80111" w14:textId="77777777" w:rsidTr="003A7D3C">
        <w:trPr>
          <w:trHeight w:val="290"/>
        </w:trPr>
        <w:tc>
          <w:tcPr>
            <w:tcW w:w="1481" w:type="dxa"/>
            <w:noWrap/>
            <w:hideMark/>
          </w:tcPr>
          <w:p w14:paraId="0FFD305A" w14:textId="5947C078" w:rsidR="00D7659F" w:rsidRPr="003A7D3C" w:rsidRDefault="00D7659F" w:rsidP="00D7659F">
            <w:pPr>
              <w:contextualSpacing/>
              <w:jc w:val="center"/>
              <w:rPr>
                <w:bCs/>
                <w:sz w:val="22"/>
                <w:szCs w:val="22"/>
              </w:rPr>
            </w:pPr>
            <w:r w:rsidRPr="001972AB">
              <w:t>E0152</w:t>
            </w:r>
          </w:p>
        </w:tc>
        <w:tc>
          <w:tcPr>
            <w:tcW w:w="1209" w:type="dxa"/>
            <w:noWrap/>
            <w:hideMark/>
          </w:tcPr>
          <w:p w14:paraId="7F34A1F7" w14:textId="77777777" w:rsidR="00D7659F" w:rsidRPr="003A7D3C" w:rsidRDefault="00D7659F" w:rsidP="00D7659F">
            <w:pPr>
              <w:contextualSpacing/>
              <w:jc w:val="center"/>
              <w:rPr>
                <w:bCs/>
                <w:sz w:val="22"/>
                <w:szCs w:val="22"/>
              </w:rPr>
            </w:pPr>
          </w:p>
        </w:tc>
        <w:tc>
          <w:tcPr>
            <w:tcW w:w="5315" w:type="dxa"/>
            <w:noWrap/>
            <w:hideMark/>
          </w:tcPr>
          <w:p w14:paraId="2136868E" w14:textId="4FBB712C" w:rsidR="00D7659F" w:rsidRPr="003A7D3C" w:rsidRDefault="00D7659F" w:rsidP="00D7659F">
            <w:pPr>
              <w:contextualSpacing/>
              <w:rPr>
                <w:bCs/>
                <w:sz w:val="22"/>
                <w:szCs w:val="22"/>
              </w:rPr>
            </w:pPr>
            <w:r w:rsidRPr="001972AB">
              <w:t>Walker, battery powered, wheeled, folding, adjustable or fixed height</w:t>
            </w:r>
          </w:p>
        </w:tc>
        <w:tc>
          <w:tcPr>
            <w:tcW w:w="1345" w:type="dxa"/>
            <w:noWrap/>
            <w:hideMark/>
          </w:tcPr>
          <w:p w14:paraId="43D4B8F2" w14:textId="4DF36CE2" w:rsidR="00D7659F" w:rsidRPr="003A7D3C" w:rsidRDefault="00D7659F" w:rsidP="00D7659F">
            <w:pPr>
              <w:contextualSpacing/>
              <w:jc w:val="center"/>
              <w:rPr>
                <w:bCs/>
                <w:sz w:val="22"/>
                <w:szCs w:val="22"/>
              </w:rPr>
            </w:pPr>
            <w:r w:rsidRPr="001972AB">
              <w:t>AAC+ 30%</w:t>
            </w:r>
          </w:p>
        </w:tc>
      </w:tr>
      <w:tr w:rsidR="00D7659F" w:rsidRPr="00736A84" w14:paraId="1773AB8E" w14:textId="77777777" w:rsidTr="003A7D3C">
        <w:trPr>
          <w:trHeight w:val="290"/>
        </w:trPr>
        <w:tc>
          <w:tcPr>
            <w:tcW w:w="1481" w:type="dxa"/>
            <w:noWrap/>
            <w:hideMark/>
          </w:tcPr>
          <w:p w14:paraId="5DDDCB41" w14:textId="5DC1F570" w:rsidR="00D7659F" w:rsidRPr="003A7D3C" w:rsidRDefault="00D7659F" w:rsidP="00D7659F">
            <w:pPr>
              <w:contextualSpacing/>
              <w:jc w:val="center"/>
              <w:rPr>
                <w:bCs/>
                <w:sz w:val="22"/>
                <w:szCs w:val="22"/>
              </w:rPr>
            </w:pPr>
            <w:r w:rsidRPr="001972AB">
              <w:t>E0468</w:t>
            </w:r>
          </w:p>
        </w:tc>
        <w:tc>
          <w:tcPr>
            <w:tcW w:w="1209" w:type="dxa"/>
            <w:noWrap/>
            <w:hideMark/>
          </w:tcPr>
          <w:p w14:paraId="20CB73E7" w14:textId="74F1C158" w:rsidR="00D7659F" w:rsidRPr="003A7D3C" w:rsidRDefault="00D7659F" w:rsidP="00D7659F">
            <w:pPr>
              <w:contextualSpacing/>
              <w:jc w:val="center"/>
              <w:rPr>
                <w:bCs/>
                <w:sz w:val="22"/>
                <w:szCs w:val="22"/>
              </w:rPr>
            </w:pPr>
            <w:r w:rsidRPr="001972AB">
              <w:t>RR</w:t>
            </w:r>
          </w:p>
        </w:tc>
        <w:tc>
          <w:tcPr>
            <w:tcW w:w="5315" w:type="dxa"/>
            <w:hideMark/>
          </w:tcPr>
          <w:p w14:paraId="382A1EFD" w14:textId="7C733C99" w:rsidR="00D7659F" w:rsidRPr="003A7D3C" w:rsidRDefault="00D7659F" w:rsidP="00D7659F">
            <w:pPr>
              <w:contextualSpacing/>
              <w:rPr>
                <w:bCs/>
                <w:sz w:val="22"/>
                <w:szCs w:val="22"/>
              </w:rPr>
            </w:pPr>
            <w:r w:rsidRPr="001972AB">
              <w:t>Home ventilator, dual-function respiratory device, also performs additional function of cough stimulation, includes all accessories, components and supplies for all functions</w:t>
            </w:r>
            <w:r w:rsidR="007C6320" w:rsidRPr="001972AB">
              <w:t xml:space="preserve"> (rental, month seven and beyond)</w:t>
            </w:r>
          </w:p>
        </w:tc>
        <w:tc>
          <w:tcPr>
            <w:tcW w:w="1345" w:type="dxa"/>
            <w:noWrap/>
            <w:hideMark/>
          </w:tcPr>
          <w:p w14:paraId="42F3A0FC" w14:textId="67BF46C6" w:rsidR="00D7659F" w:rsidRPr="003A7D3C" w:rsidRDefault="00D7659F" w:rsidP="00D7659F">
            <w:pPr>
              <w:contextualSpacing/>
              <w:jc w:val="center"/>
              <w:rPr>
                <w:bCs/>
                <w:sz w:val="22"/>
                <w:szCs w:val="22"/>
              </w:rPr>
            </w:pPr>
            <w:r w:rsidRPr="001972AB">
              <w:t xml:space="preserve"> $1,190.16 </w:t>
            </w:r>
          </w:p>
        </w:tc>
      </w:tr>
      <w:tr w:rsidR="00D7659F" w:rsidRPr="00736A84" w14:paraId="1FCEC9ED" w14:textId="77777777" w:rsidTr="003A7D3C">
        <w:trPr>
          <w:trHeight w:val="290"/>
        </w:trPr>
        <w:tc>
          <w:tcPr>
            <w:tcW w:w="1481" w:type="dxa"/>
            <w:noWrap/>
            <w:hideMark/>
          </w:tcPr>
          <w:p w14:paraId="4B892F6A" w14:textId="237A3D5B" w:rsidR="00D7659F" w:rsidRPr="003A7D3C" w:rsidRDefault="00D7659F" w:rsidP="00D7659F">
            <w:pPr>
              <w:contextualSpacing/>
              <w:jc w:val="center"/>
              <w:rPr>
                <w:bCs/>
                <w:sz w:val="22"/>
                <w:szCs w:val="22"/>
              </w:rPr>
            </w:pPr>
            <w:r w:rsidRPr="001972AB">
              <w:t>E0468</w:t>
            </w:r>
          </w:p>
        </w:tc>
        <w:tc>
          <w:tcPr>
            <w:tcW w:w="1209" w:type="dxa"/>
            <w:noWrap/>
            <w:hideMark/>
          </w:tcPr>
          <w:p w14:paraId="68ECE4A0" w14:textId="773ABCB7" w:rsidR="00D7659F" w:rsidRPr="003A7D3C" w:rsidRDefault="00D7659F" w:rsidP="00363517">
            <w:pPr>
              <w:contextualSpacing/>
              <w:jc w:val="center"/>
              <w:rPr>
                <w:bCs/>
                <w:sz w:val="22"/>
                <w:szCs w:val="22"/>
              </w:rPr>
            </w:pPr>
            <w:r w:rsidRPr="001972AB">
              <w:t>U</w:t>
            </w:r>
            <w:r w:rsidR="00FB0D39" w:rsidRPr="003A7D3C">
              <w:rPr>
                <w:sz w:val="22"/>
                <w:szCs w:val="22"/>
              </w:rPr>
              <w:t>2</w:t>
            </w:r>
          </w:p>
        </w:tc>
        <w:tc>
          <w:tcPr>
            <w:tcW w:w="5315" w:type="dxa"/>
            <w:hideMark/>
          </w:tcPr>
          <w:p w14:paraId="630BB646" w14:textId="357C52FB" w:rsidR="00D7659F" w:rsidRPr="003A7D3C" w:rsidRDefault="007C6320" w:rsidP="00D7659F">
            <w:pPr>
              <w:contextualSpacing/>
              <w:rPr>
                <w:bCs/>
                <w:sz w:val="22"/>
                <w:szCs w:val="22"/>
              </w:rPr>
            </w:pPr>
            <w:r w:rsidRPr="003A7D3C">
              <w:rPr>
                <w:bCs/>
              </w:rPr>
              <w:t>Home ventilator, dual-function respiratory device, also performs additional function of cough stimulation, includes all accessories, components and supplies for all functions. (rental, first six months)</w:t>
            </w:r>
          </w:p>
        </w:tc>
        <w:tc>
          <w:tcPr>
            <w:tcW w:w="1345" w:type="dxa"/>
            <w:noWrap/>
            <w:hideMark/>
          </w:tcPr>
          <w:p w14:paraId="535C87B3" w14:textId="33752D5B" w:rsidR="00D7659F" w:rsidRPr="003A7D3C" w:rsidRDefault="00D7659F" w:rsidP="00D7659F">
            <w:pPr>
              <w:contextualSpacing/>
              <w:jc w:val="center"/>
              <w:rPr>
                <w:bCs/>
                <w:sz w:val="22"/>
                <w:szCs w:val="22"/>
              </w:rPr>
            </w:pPr>
            <w:r w:rsidRPr="001972AB">
              <w:t xml:space="preserve"> $1,400.19 </w:t>
            </w:r>
          </w:p>
        </w:tc>
      </w:tr>
      <w:tr w:rsidR="00D7659F" w:rsidRPr="00736A84" w14:paraId="1DEC31FC" w14:textId="77777777" w:rsidTr="003A7D3C">
        <w:trPr>
          <w:trHeight w:val="290"/>
        </w:trPr>
        <w:tc>
          <w:tcPr>
            <w:tcW w:w="1481" w:type="dxa"/>
            <w:noWrap/>
            <w:hideMark/>
          </w:tcPr>
          <w:p w14:paraId="5B255227" w14:textId="7F2BEBA3" w:rsidR="00D7659F" w:rsidRPr="003A7D3C" w:rsidRDefault="00D7659F" w:rsidP="00D7659F">
            <w:pPr>
              <w:contextualSpacing/>
              <w:jc w:val="center"/>
              <w:rPr>
                <w:bCs/>
                <w:sz w:val="22"/>
                <w:szCs w:val="22"/>
              </w:rPr>
            </w:pPr>
            <w:r w:rsidRPr="001972AB">
              <w:t>E0736</w:t>
            </w:r>
          </w:p>
        </w:tc>
        <w:tc>
          <w:tcPr>
            <w:tcW w:w="1209" w:type="dxa"/>
            <w:noWrap/>
            <w:hideMark/>
          </w:tcPr>
          <w:p w14:paraId="41CD7FD4" w14:textId="77777777" w:rsidR="00D7659F" w:rsidRPr="003A7D3C" w:rsidRDefault="00D7659F" w:rsidP="00D7659F">
            <w:pPr>
              <w:contextualSpacing/>
              <w:jc w:val="center"/>
              <w:rPr>
                <w:bCs/>
                <w:sz w:val="22"/>
                <w:szCs w:val="22"/>
              </w:rPr>
            </w:pPr>
          </w:p>
        </w:tc>
        <w:tc>
          <w:tcPr>
            <w:tcW w:w="5315" w:type="dxa"/>
            <w:hideMark/>
          </w:tcPr>
          <w:p w14:paraId="03ADC3CF" w14:textId="4ED965B5" w:rsidR="00D7659F" w:rsidRPr="003A7D3C" w:rsidRDefault="00D7659F" w:rsidP="00D7659F">
            <w:pPr>
              <w:contextualSpacing/>
              <w:rPr>
                <w:bCs/>
                <w:sz w:val="22"/>
                <w:szCs w:val="22"/>
              </w:rPr>
            </w:pPr>
            <w:r w:rsidRPr="001972AB">
              <w:t>Transcutaneous tibial nerve stimulator</w:t>
            </w:r>
          </w:p>
        </w:tc>
        <w:tc>
          <w:tcPr>
            <w:tcW w:w="1345" w:type="dxa"/>
            <w:noWrap/>
            <w:hideMark/>
          </w:tcPr>
          <w:p w14:paraId="3C3D7CDE" w14:textId="5AE35318" w:rsidR="00D7659F" w:rsidRPr="003A7D3C" w:rsidRDefault="00D7659F" w:rsidP="00D7659F">
            <w:pPr>
              <w:contextualSpacing/>
              <w:jc w:val="center"/>
              <w:rPr>
                <w:bCs/>
                <w:sz w:val="22"/>
                <w:szCs w:val="22"/>
              </w:rPr>
            </w:pPr>
            <w:r w:rsidRPr="001972AB">
              <w:t>AAC+ 30%</w:t>
            </w:r>
          </w:p>
        </w:tc>
      </w:tr>
      <w:tr w:rsidR="00D7659F" w:rsidRPr="00736A84" w14:paraId="661B395F" w14:textId="77777777" w:rsidTr="003A7D3C">
        <w:trPr>
          <w:trHeight w:val="290"/>
        </w:trPr>
        <w:tc>
          <w:tcPr>
            <w:tcW w:w="1481" w:type="dxa"/>
            <w:noWrap/>
            <w:hideMark/>
          </w:tcPr>
          <w:p w14:paraId="09464227" w14:textId="1EBBCF31" w:rsidR="00D7659F" w:rsidRPr="003A7D3C" w:rsidRDefault="00D7659F" w:rsidP="00D7659F">
            <w:pPr>
              <w:contextualSpacing/>
              <w:jc w:val="center"/>
              <w:rPr>
                <w:bCs/>
                <w:sz w:val="22"/>
                <w:szCs w:val="22"/>
              </w:rPr>
            </w:pPr>
            <w:r w:rsidRPr="001972AB">
              <w:t>E0738</w:t>
            </w:r>
          </w:p>
        </w:tc>
        <w:tc>
          <w:tcPr>
            <w:tcW w:w="1209" w:type="dxa"/>
            <w:noWrap/>
            <w:hideMark/>
          </w:tcPr>
          <w:p w14:paraId="67648F15" w14:textId="77777777" w:rsidR="00D7659F" w:rsidRPr="003A7D3C" w:rsidRDefault="00D7659F" w:rsidP="00D7659F">
            <w:pPr>
              <w:contextualSpacing/>
              <w:jc w:val="center"/>
              <w:rPr>
                <w:bCs/>
                <w:sz w:val="22"/>
                <w:szCs w:val="22"/>
              </w:rPr>
            </w:pPr>
          </w:p>
        </w:tc>
        <w:tc>
          <w:tcPr>
            <w:tcW w:w="5315" w:type="dxa"/>
            <w:hideMark/>
          </w:tcPr>
          <w:p w14:paraId="17D20C52" w14:textId="29BE07F4" w:rsidR="00D7659F" w:rsidRPr="003A7D3C" w:rsidRDefault="00D7659F" w:rsidP="00D7659F">
            <w:pPr>
              <w:contextualSpacing/>
              <w:rPr>
                <w:bCs/>
                <w:sz w:val="22"/>
                <w:szCs w:val="22"/>
              </w:rPr>
            </w:pPr>
            <w:r w:rsidRPr="001972AB">
              <w:t>Upper extremity rehabilitation system providing active assistance to facilitate muscle re-education, include microprocessor, all components and accessories</w:t>
            </w:r>
          </w:p>
        </w:tc>
        <w:tc>
          <w:tcPr>
            <w:tcW w:w="1345" w:type="dxa"/>
            <w:noWrap/>
            <w:hideMark/>
          </w:tcPr>
          <w:p w14:paraId="702F6AA5" w14:textId="7E691904" w:rsidR="00D7659F" w:rsidRPr="003A7D3C" w:rsidRDefault="00D7659F" w:rsidP="00D7659F">
            <w:pPr>
              <w:contextualSpacing/>
              <w:jc w:val="center"/>
              <w:rPr>
                <w:bCs/>
                <w:sz w:val="22"/>
                <w:szCs w:val="22"/>
              </w:rPr>
            </w:pPr>
            <w:r w:rsidRPr="001972AB">
              <w:t>AAC+ 30%</w:t>
            </w:r>
          </w:p>
        </w:tc>
      </w:tr>
      <w:tr w:rsidR="00D7659F" w:rsidRPr="00736A84" w14:paraId="415DD275" w14:textId="77777777" w:rsidTr="003A7D3C">
        <w:trPr>
          <w:trHeight w:val="290"/>
        </w:trPr>
        <w:tc>
          <w:tcPr>
            <w:tcW w:w="1481" w:type="dxa"/>
            <w:noWrap/>
            <w:hideMark/>
          </w:tcPr>
          <w:p w14:paraId="3D74CE0C" w14:textId="289FB50F" w:rsidR="00D7659F" w:rsidRPr="003A7D3C" w:rsidRDefault="00D7659F" w:rsidP="00D7659F">
            <w:pPr>
              <w:contextualSpacing/>
              <w:jc w:val="center"/>
              <w:rPr>
                <w:bCs/>
                <w:sz w:val="22"/>
                <w:szCs w:val="22"/>
              </w:rPr>
            </w:pPr>
            <w:r w:rsidRPr="001972AB">
              <w:t>E0739</w:t>
            </w:r>
          </w:p>
        </w:tc>
        <w:tc>
          <w:tcPr>
            <w:tcW w:w="1209" w:type="dxa"/>
            <w:noWrap/>
            <w:hideMark/>
          </w:tcPr>
          <w:p w14:paraId="451188B6" w14:textId="77777777" w:rsidR="00D7659F" w:rsidRPr="003A7D3C" w:rsidRDefault="00D7659F" w:rsidP="00D7659F">
            <w:pPr>
              <w:contextualSpacing/>
              <w:jc w:val="center"/>
              <w:rPr>
                <w:bCs/>
                <w:sz w:val="22"/>
                <w:szCs w:val="22"/>
              </w:rPr>
            </w:pPr>
          </w:p>
        </w:tc>
        <w:tc>
          <w:tcPr>
            <w:tcW w:w="5315" w:type="dxa"/>
            <w:hideMark/>
          </w:tcPr>
          <w:p w14:paraId="4CB68C9A" w14:textId="1B3EAC18" w:rsidR="00D7659F" w:rsidRPr="003A7D3C" w:rsidRDefault="00D7659F" w:rsidP="00D7659F">
            <w:pPr>
              <w:contextualSpacing/>
              <w:rPr>
                <w:bCs/>
                <w:sz w:val="22"/>
                <w:szCs w:val="22"/>
              </w:rPr>
            </w:pPr>
            <w:r w:rsidRPr="001972AB">
              <w:t>Rehab system with interactive interface providing active assistance in rehabilitation therapy, includes all components and accessories, motors, microprocessors, sensors</w:t>
            </w:r>
          </w:p>
        </w:tc>
        <w:tc>
          <w:tcPr>
            <w:tcW w:w="1345" w:type="dxa"/>
            <w:noWrap/>
            <w:hideMark/>
          </w:tcPr>
          <w:p w14:paraId="123CCBA9" w14:textId="70B54C92" w:rsidR="00D7659F" w:rsidRPr="003A7D3C" w:rsidRDefault="00D7659F" w:rsidP="00D7659F">
            <w:pPr>
              <w:contextualSpacing/>
              <w:jc w:val="center"/>
              <w:rPr>
                <w:bCs/>
                <w:sz w:val="22"/>
                <w:szCs w:val="22"/>
              </w:rPr>
            </w:pPr>
            <w:r w:rsidRPr="001972AB">
              <w:t>AAC+ 30%</w:t>
            </w:r>
          </w:p>
        </w:tc>
      </w:tr>
      <w:tr w:rsidR="00D7659F" w:rsidRPr="00736A84" w14:paraId="5E29D0BC" w14:textId="77777777" w:rsidTr="003A7D3C">
        <w:trPr>
          <w:trHeight w:val="290"/>
        </w:trPr>
        <w:tc>
          <w:tcPr>
            <w:tcW w:w="1481" w:type="dxa"/>
            <w:noWrap/>
            <w:hideMark/>
          </w:tcPr>
          <w:p w14:paraId="475FB7F5" w14:textId="010BF736" w:rsidR="00D7659F" w:rsidRPr="003A7D3C" w:rsidRDefault="00D7659F" w:rsidP="00D7659F">
            <w:pPr>
              <w:contextualSpacing/>
              <w:jc w:val="center"/>
              <w:rPr>
                <w:bCs/>
                <w:sz w:val="22"/>
                <w:szCs w:val="22"/>
              </w:rPr>
            </w:pPr>
            <w:r w:rsidRPr="001972AB">
              <w:t>E2104</w:t>
            </w:r>
          </w:p>
        </w:tc>
        <w:tc>
          <w:tcPr>
            <w:tcW w:w="1209" w:type="dxa"/>
            <w:noWrap/>
            <w:hideMark/>
          </w:tcPr>
          <w:p w14:paraId="3E210998" w14:textId="7A9F5FF2" w:rsidR="00D7659F" w:rsidRPr="003A7D3C" w:rsidRDefault="00D7659F" w:rsidP="00D7659F">
            <w:pPr>
              <w:contextualSpacing/>
              <w:jc w:val="center"/>
              <w:rPr>
                <w:bCs/>
                <w:sz w:val="22"/>
                <w:szCs w:val="22"/>
              </w:rPr>
            </w:pPr>
            <w:r w:rsidRPr="001972AB">
              <w:t>NU</w:t>
            </w:r>
          </w:p>
        </w:tc>
        <w:tc>
          <w:tcPr>
            <w:tcW w:w="5315" w:type="dxa"/>
            <w:hideMark/>
          </w:tcPr>
          <w:p w14:paraId="1479F306" w14:textId="57EEFE0B" w:rsidR="00D7659F" w:rsidRPr="003A7D3C" w:rsidRDefault="00D7659F" w:rsidP="00D7659F">
            <w:pPr>
              <w:contextualSpacing/>
              <w:rPr>
                <w:bCs/>
                <w:sz w:val="22"/>
                <w:szCs w:val="22"/>
              </w:rPr>
            </w:pPr>
            <w:r w:rsidRPr="001972AB">
              <w:t>Home blood glucose monitor for use with integrated lancing/blood sample testing cartridge</w:t>
            </w:r>
          </w:p>
        </w:tc>
        <w:tc>
          <w:tcPr>
            <w:tcW w:w="1345" w:type="dxa"/>
            <w:noWrap/>
            <w:hideMark/>
          </w:tcPr>
          <w:p w14:paraId="256CE8C0" w14:textId="2F3DA99D" w:rsidR="00D7659F" w:rsidRPr="003A7D3C" w:rsidRDefault="00D7659F" w:rsidP="00D7659F">
            <w:pPr>
              <w:contextualSpacing/>
              <w:jc w:val="center"/>
              <w:rPr>
                <w:bCs/>
                <w:sz w:val="22"/>
                <w:szCs w:val="22"/>
              </w:rPr>
            </w:pPr>
            <w:r w:rsidRPr="001972AB">
              <w:t xml:space="preserve"> $52.20 </w:t>
            </w:r>
          </w:p>
        </w:tc>
      </w:tr>
      <w:tr w:rsidR="00D7659F" w:rsidRPr="00736A84" w14:paraId="4E06897C" w14:textId="77777777" w:rsidTr="003A7D3C">
        <w:trPr>
          <w:trHeight w:val="290"/>
        </w:trPr>
        <w:tc>
          <w:tcPr>
            <w:tcW w:w="1481" w:type="dxa"/>
            <w:noWrap/>
            <w:hideMark/>
          </w:tcPr>
          <w:p w14:paraId="0539A4FA" w14:textId="1D3C9CAF" w:rsidR="00D7659F" w:rsidRPr="003A7D3C" w:rsidRDefault="00D7659F" w:rsidP="00D7659F">
            <w:pPr>
              <w:contextualSpacing/>
              <w:jc w:val="center"/>
              <w:rPr>
                <w:bCs/>
                <w:sz w:val="22"/>
                <w:szCs w:val="22"/>
              </w:rPr>
            </w:pPr>
            <w:r w:rsidRPr="001972AB">
              <w:t>E2104</w:t>
            </w:r>
          </w:p>
        </w:tc>
        <w:tc>
          <w:tcPr>
            <w:tcW w:w="1209" w:type="dxa"/>
            <w:noWrap/>
            <w:hideMark/>
          </w:tcPr>
          <w:p w14:paraId="0F7AB4C9" w14:textId="574E7774" w:rsidR="00D7659F" w:rsidRPr="003A7D3C" w:rsidRDefault="00D7659F" w:rsidP="00D7659F">
            <w:pPr>
              <w:contextualSpacing/>
              <w:jc w:val="center"/>
              <w:rPr>
                <w:bCs/>
                <w:sz w:val="22"/>
                <w:szCs w:val="22"/>
              </w:rPr>
            </w:pPr>
            <w:r w:rsidRPr="001972AB">
              <w:t>RR</w:t>
            </w:r>
          </w:p>
        </w:tc>
        <w:tc>
          <w:tcPr>
            <w:tcW w:w="5315" w:type="dxa"/>
            <w:hideMark/>
          </w:tcPr>
          <w:p w14:paraId="71762BB4" w14:textId="154B2AD9" w:rsidR="00D7659F" w:rsidRPr="003A7D3C" w:rsidRDefault="00D7659F" w:rsidP="00D7659F">
            <w:pPr>
              <w:contextualSpacing/>
              <w:rPr>
                <w:bCs/>
                <w:sz w:val="22"/>
                <w:szCs w:val="22"/>
              </w:rPr>
            </w:pPr>
            <w:r w:rsidRPr="001972AB">
              <w:t>Home blood glucose monitor for use with integrated lancing/blood sample testing cartridge</w:t>
            </w:r>
          </w:p>
        </w:tc>
        <w:tc>
          <w:tcPr>
            <w:tcW w:w="1345" w:type="dxa"/>
            <w:noWrap/>
            <w:hideMark/>
          </w:tcPr>
          <w:p w14:paraId="5D778A6E" w14:textId="113E7AC6" w:rsidR="00D7659F" w:rsidRPr="003A7D3C" w:rsidRDefault="00D7659F" w:rsidP="00D7659F">
            <w:pPr>
              <w:contextualSpacing/>
              <w:jc w:val="center"/>
              <w:rPr>
                <w:bCs/>
                <w:sz w:val="22"/>
                <w:szCs w:val="22"/>
              </w:rPr>
            </w:pPr>
            <w:r w:rsidRPr="001972AB">
              <w:t xml:space="preserve"> $5.23 </w:t>
            </w:r>
          </w:p>
        </w:tc>
      </w:tr>
      <w:tr w:rsidR="00D7659F" w:rsidRPr="00736A84" w14:paraId="0038617A" w14:textId="77777777" w:rsidTr="003A7D3C">
        <w:trPr>
          <w:trHeight w:val="290"/>
        </w:trPr>
        <w:tc>
          <w:tcPr>
            <w:tcW w:w="1481" w:type="dxa"/>
            <w:noWrap/>
            <w:hideMark/>
          </w:tcPr>
          <w:p w14:paraId="6BD5269F" w14:textId="379113E5" w:rsidR="00D7659F" w:rsidRPr="003A7D3C" w:rsidRDefault="00D7659F" w:rsidP="00D7659F">
            <w:pPr>
              <w:contextualSpacing/>
              <w:jc w:val="center"/>
              <w:rPr>
                <w:bCs/>
                <w:sz w:val="22"/>
                <w:szCs w:val="22"/>
              </w:rPr>
            </w:pPr>
            <w:r w:rsidRPr="001972AB">
              <w:t>E2104</w:t>
            </w:r>
          </w:p>
        </w:tc>
        <w:tc>
          <w:tcPr>
            <w:tcW w:w="1209" w:type="dxa"/>
            <w:noWrap/>
            <w:hideMark/>
          </w:tcPr>
          <w:p w14:paraId="6B379406" w14:textId="65FCFD81" w:rsidR="00D7659F" w:rsidRPr="003A7D3C" w:rsidRDefault="00D7659F" w:rsidP="00D7659F">
            <w:pPr>
              <w:contextualSpacing/>
              <w:jc w:val="center"/>
              <w:rPr>
                <w:bCs/>
                <w:sz w:val="22"/>
                <w:szCs w:val="22"/>
              </w:rPr>
            </w:pPr>
            <w:r w:rsidRPr="001972AB">
              <w:t>UE</w:t>
            </w:r>
          </w:p>
        </w:tc>
        <w:tc>
          <w:tcPr>
            <w:tcW w:w="5315" w:type="dxa"/>
            <w:noWrap/>
            <w:hideMark/>
          </w:tcPr>
          <w:p w14:paraId="4E36AA88" w14:textId="3D1577C9" w:rsidR="00D7659F" w:rsidRPr="003A7D3C" w:rsidRDefault="00D7659F" w:rsidP="00D7659F">
            <w:pPr>
              <w:contextualSpacing/>
              <w:rPr>
                <w:bCs/>
                <w:sz w:val="22"/>
                <w:szCs w:val="22"/>
              </w:rPr>
            </w:pPr>
            <w:r w:rsidRPr="001972AB">
              <w:t>Home blood glucose monitor for use with integrated lancing/blood sample testing cartridge</w:t>
            </w:r>
          </w:p>
        </w:tc>
        <w:tc>
          <w:tcPr>
            <w:tcW w:w="1345" w:type="dxa"/>
            <w:noWrap/>
            <w:hideMark/>
          </w:tcPr>
          <w:p w14:paraId="22390318" w14:textId="770D8E2B" w:rsidR="00D7659F" w:rsidRPr="003A7D3C" w:rsidRDefault="00D7659F" w:rsidP="00D7659F">
            <w:pPr>
              <w:contextualSpacing/>
              <w:jc w:val="center"/>
              <w:rPr>
                <w:bCs/>
                <w:sz w:val="22"/>
                <w:szCs w:val="22"/>
              </w:rPr>
            </w:pPr>
            <w:r w:rsidRPr="001972AB">
              <w:t xml:space="preserve"> $39.18 </w:t>
            </w:r>
          </w:p>
        </w:tc>
      </w:tr>
      <w:tr w:rsidR="00D7659F" w:rsidRPr="00736A84" w14:paraId="307307F3" w14:textId="77777777" w:rsidTr="003A7D3C">
        <w:trPr>
          <w:trHeight w:val="290"/>
        </w:trPr>
        <w:tc>
          <w:tcPr>
            <w:tcW w:w="1481" w:type="dxa"/>
            <w:noWrap/>
            <w:hideMark/>
          </w:tcPr>
          <w:p w14:paraId="0E0029D0" w14:textId="5EBE3085" w:rsidR="00D7659F" w:rsidRPr="003A7D3C" w:rsidRDefault="00D7659F" w:rsidP="00D7659F">
            <w:pPr>
              <w:contextualSpacing/>
              <w:jc w:val="center"/>
              <w:rPr>
                <w:bCs/>
                <w:sz w:val="22"/>
                <w:szCs w:val="22"/>
              </w:rPr>
            </w:pPr>
            <w:r w:rsidRPr="001972AB">
              <w:t>E2298</w:t>
            </w:r>
          </w:p>
        </w:tc>
        <w:tc>
          <w:tcPr>
            <w:tcW w:w="1209" w:type="dxa"/>
            <w:noWrap/>
            <w:hideMark/>
          </w:tcPr>
          <w:p w14:paraId="3750D5A6" w14:textId="7366060F" w:rsidR="00D7659F" w:rsidRPr="003A7D3C" w:rsidRDefault="00D7659F" w:rsidP="00D7659F">
            <w:pPr>
              <w:contextualSpacing/>
              <w:jc w:val="center"/>
              <w:rPr>
                <w:bCs/>
                <w:sz w:val="22"/>
                <w:szCs w:val="22"/>
              </w:rPr>
            </w:pPr>
            <w:r w:rsidRPr="001972AB">
              <w:t>NU</w:t>
            </w:r>
          </w:p>
        </w:tc>
        <w:tc>
          <w:tcPr>
            <w:tcW w:w="5315" w:type="dxa"/>
            <w:noWrap/>
            <w:hideMark/>
          </w:tcPr>
          <w:p w14:paraId="33211548" w14:textId="71695AF0" w:rsidR="00D7659F" w:rsidRPr="003A7D3C" w:rsidRDefault="00D7659F" w:rsidP="00D7659F">
            <w:pPr>
              <w:contextualSpacing/>
              <w:rPr>
                <w:bCs/>
                <w:sz w:val="22"/>
                <w:szCs w:val="22"/>
              </w:rPr>
            </w:pPr>
            <w:r w:rsidRPr="001972AB">
              <w:t>Complex rehabilitative power wheelchair accessory, power seat elevation system, any type</w:t>
            </w:r>
          </w:p>
        </w:tc>
        <w:tc>
          <w:tcPr>
            <w:tcW w:w="1345" w:type="dxa"/>
            <w:noWrap/>
            <w:hideMark/>
          </w:tcPr>
          <w:p w14:paraId="173A3E41" w14:textId="4296AEBA" w:rsidR="00D7659F" w:rsidRPr="003A7D3C" w:rsidRDefault="00D7659F" w:rsidP="00D7659F">
            <w:pPr>
              <w:contextualSpacing/>
              <w:jc w:val="center"/>
              <w:rPr>
                <w:bCs/>
                <w:sz w:val="22"/>
                <w:szCs w:val="22"/>
              </w:rPr>
            </w:pPr>
            <w:r w:rsidRPr="001972AB">
              <w:t xml:space="preserve"> $2,000.30 </w:t>
            </w:r>
          </w:p>
        </w:tc>
      </w:tr>
      <w:tr w:rsidR="00D7659F" w:rsidRPr="00736A84" w14:paraId="0FC5471F" w14:textId="77777777" w:rsidTr="003A7D3C">
        <w:trPr>
          <w:trHeight w:val="290"/>
        </w:trPr>
        <w:tc>
          <w:tcPr>
            <w:tcW w:w="1481" w:type="dxa"/>
            <w:noWrap/>
            <w:hideMark/>
          </w:tcPr>
          <w:p w14:paraId="4804C1EE" w14:textId="187049FD" w:rsidR="00D7659F" w:rsidRPr="003A7D3C" w:rsidRDefault="00D7659F" w:rsidP="00D7659F">
            <w:pPr>
              <w:contextualSpacing/>
              <w:jc w:val="center"/>
              <w:rPr>
                <w:bCs/>
                <w:sz w:val="22"/>
                <w:szCs w:val="22"/>
              </w:rPr>
            </w:pPr>
            <w:r w:rsidRPr="001972AB">
              <w:t>E2298</w:t>
            </w:r>
          </w:p>
        </w:tc>
        <w:tc>
          <w:tcPr>
            <w:tcW w:w="1209" w:type="dxa"/>
            <w:noWrap/>
            <w:hideMark/>
          </w:tcPr>
          <w:p w14:paraId="79909A54" w14:textId="1030BB3B" w:rsidR="00D7659F" w:rsidRPr="003A7D3C" w:rsidRDefault="00D7659F" w:rsidP="00D7659F">
            <w:pPr>
              <w:contextualSpacing/>
              <w:jc w:val="center"/>
              <w:rPr>
                <w:bCs/>
                <w:sz w:val="22"/>
                <w:szCs w:val="22"/>
              </w:rPr>
            </w:pPr>
            <w:r w:rsidRPr="001972AB">
              <w:t>UE</w:t>
            </w:r>
          </w:p>
        </w:tc>
        <w:tc>
          <w:tcPr>
            <w:tcW w:w="5315" w:type="dxa"/>
            <w:noWrap/>
            <w:hideMark/>
          </w:tcPr>
          <w:p w14:paraId="3B7D84AC" w14:textId="3757CE7E" w:rsidR="00D7659F" w:rsidRPr="003A7D3C" w:rsidRDefault="00D7659F" w:rsidP="00D7659F">
            <w:pPr>
              <w:contextualSpacing/>
              <w:rPr>
                <w:bCs/>
                <w:sz w:val="22"/>
                <w:szCs w:val="22"/>
              </w:rPr>
            </w:pPr>
            <w:r w:rsidRPr="001972AB">
              <w:t>Complex rehabilitative power wheelchair accessory, power seat elevation system, any type</w:t>
            </w:r>
          </w:p>
        </w:tc>
        <w:tc>
          <w:tcPr>
            <w:tcW w:w="1345" w:type="dxa"/>
            <w:noWrap/>
            <w:hideMark/>
          </w:tcPr>
          <w:p w14:paraId="59579393" w14:textId="5B14587B" w:rsidR="00D7659F" w:rsidRPr="003A7D3C" w:rsidRDefault="00D7659F" w:rsidP="00D7659F">
            <w:pPr>
              <w:contextualSpacing/>
              <w:jc w:val="center"/>
              <w:rPr>
                <w:bCs/>
                <w:sz w:val="22"/>
                <w:szCs w:val="22"/>
              </w:rPr>
            </w:pPr>
            <w:r w:rsidRPr="001972AB">
              <w:t xml:space="preserve"> $1,500.23 </w:t>
            </w:r>
          </w:p>
        </w:tc>
      </w:tr>
      <w:tr w:rsidR="00D7659F" w:rsidRPr="00736A84" w14:paraId="723372CE" w14:textId="77777777" w:rsidTr="003A7D3C">
        <w:trPr>
          <w:trHeight w:val="290"/>
        </w:trPr>
        <w:tc>
          <w:tcPr>
            <w:tcW w:w="1481" w:type="dxa"/>
            <w:noWrap/>
            <w:hideMark/>
          </w:tcPr>
          <w:p w14:paraId="1E462623" w14:textId="5A4C4BC1" w:rsidR="00D7659F" w:rsidRPr="003A7D3C" w:rsidRDefault="00D7659F" w:rsidP="00D7659F">
            <w:pPr>
              <w:contextualSpacing/>
              <w:jc w:val="center"/>
              <w:rPr>
                <w:bCs/>
                <w:sz w:val="22"/>
                <w:szCs w:val="22"/>
              </w:rPr>
            </w:pPr>
            <w:r w:rsidRPr="001972AB">
              <w:t>E2298</w:t>
            </w:r>
          </w:p>
        </w:tc>
        <w:tc>
          <w:tcPr>
            <w:tcW w:w="1209" w:type="dxa"/>
            <w:noWrap/>
            <w:hideMark/>
          </w:tcPr>
          <w:p w14:paraId="0431D733" w14:textId="5D011DDE" w:rsidR="00D7659F" w:rsidRPr="003A7D3C" w:rsidRDefault="00D7659F" w:rsidP="00D7659F">
            <w:pPr>
              <w:contextualSpacing/>
              <w:jc w:val="center"/>
              <w:rPr>
                <w:bCs/>
                <w:sz w:val="22"/>
                <w:szCs w:val="22"/>
              </w:rPr>
            </w:pPr>
            <w:r w:rsidRPr="001972AB">
              <w:t>KH</w:t>
            </w:r>
          </w:p>
        </w:tc>
        <w:tc>
          <w:tcPr>
            <w:tcW w:w="5315" w:type="dxa"/>
            <w:noWrap/>
            <w:hideMark/>
          </w:tcPr>
          <w:p w14:paraId="071961C6" w14:textId="24238955" w:rsidR="00D7659F" w:rsidRPr="003A7D3C" w:rsidRDefault="00D7659F" w:rsidP="00D7659F">
            <w:pPr>
              <w:contextualSpacing/>
              <w:rPr>
                <w:bCs/>
                <w:sz w:val="22"/>
                <w:szCs w:val="22"/>
              </w:rPr>
            </w:pPr>
            <w:r w:rsidRPr="001972AB">
              <w:t>Complex rehabilitative power wheelchair accessory, power seat elevation system, any type</w:t>
            </w:r>
          </w:p>
        </w:tc>
        <w:tc>
          <w:tcPr>
            <w:tcW w:w="1345" w:type="dxa"/>
            <w:noWrap/>
            <w:hideMark/>
          </w:tcPr>
          <w:p w14:paraId="73C89CC7" w14:textId="4DD69B8B" w:rsidR="00D7659F" w:rsidRPr="003A7D3C" w:rsidRDefault="00D7659F" w:rsidP="00D7659F">
            <w:pPr>
              <w:contextualSpacing/>
              <w:jc w:val="center"/>
              <w:rPr>
                <w:bCs/>
                <w:sz w:val="22"/>
                <w:szCs w:val="22"/>
              </w:rPr>
            </w:pPr>
            <w:r w:rsidRPr="001972AB">
              <w:t xml:space="preserve"> $200.03 </w:t>
            </w:r>
          </w:p>
        </w:tc>
      </w:tr>
      <w:tr w:rsidR="00D7659F" w:rsidRPr="00736A84" w14:paraId="0CDBB6D3" w14:textId="77777777" w:rsidTr="003A7D3C">
        <w:trPr>
          <w:trHeight w:val="290"/>
        </w:trPr>
        <w:tc>
          <w:tcPr>
            <w:tcW w:w="1481" w:type="dxa"/>
            <w:noWrap/>
            <w:hideMark/>
          </w:tcPr>
          <w:p w14:paraId="3AC8340F" w14:textId="528E2AB0" w:rsidR="00D7659F" w:rsidRPr="003A7D3C" w:rsidRDefault="00D7659F" w:rsidP="00D7659F">
            <w:pPr>
              <w:contextualSpacing/>
              <w:jc w:val="center"/>
              <w:rPr>
                <w:bCs/>
                <w:sz w:val="22"/>
                <w:szCs w:val="22"/>
              </w:rPr>
            </w:pPr>
            <w:r w:rsidRPr="001972AB">
              <w:t>E2298</w:t>
            </w:r>
          </w:p>
        </w:tc>
        <w:tc>
          <w:tcPr>
            <w:tcW w:w="1209" w:type="dxa"/>
            <w:noWrap/>
            <w:hideMark/>
          </w:tcPr>
          <w:p w14:paraId="2D81FA98" w14:textId="69222036" w:rsidR="00D7659F" w:rsidRPr="003A7D3C" w:rsidRDefault="00D7659F" w:rsidP="00D7659F">
            <w:pPr>
              <w:contextualSpacing/>
              <w:jc w:val="center"/>
              <w:rPr>
                <w:bCs/>
                <w:sz w:val="22"/>
                <w:szCs w:val="22"/>
              </w:rPr>
            </w:pPr>
            <w:r w:rsidRPr="001972AB">
              <w:t>KI</w:t>
            </w:r>
          </w:p>
        </w:tc>
        <w:tc>
          <w:tcPr>
            <w:tcW w:w="5315" w:type="dxa"/>
            <w:noWrap/>
            <w:hideMark/>
          </w:tcPr>
          <w:p w14:paraId="6E775635" w14:textId="0CFDF5FE" w:rsidR="00D7659F" w:rsidRPr="003A7D3C" w:rsidRDefault="00D7659F" w:rsidP="00D7659F">
            <w:pPr>
              <w:contextualSpacing/>
              <w:rPr>
                <w:bCs/>
                <w:sz w:val="22"/>
                <w:szCs w:val="22"/>
              </w:rPr>
            </w:pPr>
            <w:r w:rsidRPr="001972AB">
              <w:t>Complex rehabilitative power wheelchair accessory, power seat elevation system, any type</w:t>
            </w:r>
          </w:p>
        </w:tc>
        <w:tc>
          <w:tcPr>
            <w:tcW w:w="1345" w:type="dxa"/>
            <w:noWrap/>
            <w:hideMark/>
          </w:tcPr>
          <w:p w14:paraId="733329E9" w14:textId="2B93E156" w:rsidR="00D7659F" w:rsidRPr="003A7D3C" w:rsidRDefault="00D7659F" w:rsidP="00D7659F">
            <w:pPr>
              <w:contextualSpacing/>
              <w:jc w:val="center"/>
              <w:rPr>
                <w:bCs/>
                <w:sz w:val="22"/>
                <w:szCs w:val="22"/>
              </w:rPr>
            </w:pPr>
            <w:r w:rsidRPr="001972AB">
              <w:t xml:space="preserve"> $200.03 </w:t>
            </w:r>
          </w:p>
        </w:tc>
      </w:tr>
      <w:tr w:rsidR="00D7659F" w:rsidRPr="00736A84" w14:paraId="213249AB" w14:textId="77777777" w:rsidTr="003A7D3C">
        <w:trPr>
          <w:trHeight w:val="290"/>
        </w:trPr>
        <w:tc>
          <w:tcPr>
            <w:tcW w:w="1481" w:type="dxa"/>
            <w:noWrap/>
            <w:hideMark/>
          </w:tcPr>
          <w:p w14:paraId="640174C6" w14:textId="2D498BE4" w:rsidR="00D7659F" w:rsidRPr="003A7D3C" w:rsidRDefault="00D7659F" w:rsidP="00D7659F">
            <w:pPr>
              <w:contextualSpacing/>
              <w:jc w:val="center"/>
              <w:rPr>
                <w:bCs/>
                <w:sz w:val="22"/>
                <w:szCs w:val="22"/>
              </w:rPr>
            </w:pPr>
            <w:r w:rsidRPr="001972AB">
              <w:t>E2298</w:t>
            </w:r>
          </w:p>
        </w:tc>
        <w:tc>
          <w:tcPr>
            <w:tcW w:w="1209" w:type="dxa"/>
            <w:noWrap/>
            <w:hideMark/>
          </w:tcPr>
          <w:p w14:paraId="26E9ABA5" w14:textId="014A95AC" w:rsidR="00D7659F" w:rsidRPr="003A7D3C" w:rsidRDefault="00D7659F" w:rsidP="00D7659F">
            <w:pPr>
              <w:contextualSpacing/>
              <w:jc w:val="center"/>
              <w:rPr>
                <w:bCs/>
                <w:sz w:val="22"/>
                <w:szCs w:val="22"/>
              </w:rPr>
            </w:pPr>
            <w:r w:rsidRPr="001972AB">
              <w:t>KJ</w:t>
            </w:r>
          </w:p>
        </w:tc>
        <w:tc>
          <w:tcPr>
            <w:tcW w:w="5315" w:type="dxa"/>
            <w:noWrap/>
            <w:hideMark/>
          </w:tcPr>
          <w:p w14:paraId="6D6A9901" w14:textId="02FDD4F8" w:rsidR="00D7659F" w:rsidRPr="003A7D3C" w:rsidRDefault="00D7659F" w:rsidP="00D7659F">
            <w:pPr>
              <w:contextualSpacing/>
              <w:rPr>
                <w:bCs/>
                <w:sz w:val="22"/>
                <w:szCs w:val="22"/>
              </w:rPr>
            </w:pPr>
            <w:r w:rsidRPr="001972AB">
              <w:t>Complex rehabilitative power wheelchair accessory, power seat elevation system, any type</w:t>
            </w:r>
          </w:p>
        </w:tc>
        <w:tc>
          <w:tcPr>
            <w:tcW w:w="1345" w:type="dxa"/>
            <w:noWrap/>
            <w:hideMark/>
          </w:tcPr>
          <w:p w14:paraId="2D7CA0D1" w14:textId="045D9B18" w:rsidR="00D7659F" w:rsidRPr="003A7D3C" w:rsidRDefault="00D7659F" w:rsidP="00D7659F">
            <w:pPr>
              <w:contextualSpacing/>
              <w:jc w:val="center"/>
              <w:rPr>
                <w:bCs/>
                <w:sz w:val="22"/>
                <w:szCs w:val="22"/>
              </w:rPr>
            </w:pPr>
            <w:r w:rsidRPr="001972AB">
              <w:t xml:space="preserve"> $150.02 </w:t>
            </w:r>
          </w:p>
        </w:tc>
      </w:tr>
      <w:tr w:rsidR="00D7659F" w:rsidRPr="00736A84" w14:paraId="6098B813" w14:textId="77777777" w:rsidTr="003A7D3C">
        <w:trPr>
          <w:trHeight w:val="290"/>
        </w:trPr>
        <w:tc>
          <w:tcPr>
            <w:tcW w:w="1481" w:type="dxa"/>
            <w:noWrap/>
            <w:hideMark/>
          </w:tcPr>
          <w:p w14:paraId="2140F380" w14:textId="6E388F73" w:rsidR="00D7659F" w:rsidRPr="003A7D3C" w:rsidRDefault="00D7659F" w:rsidP="00D7659F">
            <w:pPr>
              <w:contextualSpacing/>
              <w:jc w:val="center"/>
              <w:rPr>
                <w:bCs/>
                <w:sz w:val="22"/>
                <w:szCs w:val="22"/>
              </w:rPr>
            </w:pPr>
            <w:r w:rsidRPr="001972AB">
              <w:t>J2919</w:t>
            </w:r>
          </w:p>
        </w:tc>
        <w:tc>
          <w:tcPr>
            <w:tcW w:w="1209" w:type="dxa"/>
            <w:noWrap/>
            <w:hideMark/>
          </w:tcPr>
          <w:p w14:paraId="53CA28D3" w14:textId="0AE422A8" w:rsidR="00D7659F" w:rsidRPr="003A7D3C" w:rsidRDefault="00D7659F" w:rsidP="00D7659F">
            <w:pPr>
              <w:contextualSpacing/>
              <w:jc w:val="center"/>
              <w:rPr>
                <w:bCs/>
                <w:sz w:val="22"/>
                <w:szCs w:val="22"/>
              </w:rPr>
            </w:pPr>
          </w:p>
        </w:tc>
        <w:tc>
          <w:tcPr>
            <w:tcW w:w="5315" w:type="dxa"/>
            <w:hideMark/>
          </w:tcPr>
          <w:p w14:paraId="0D8D10C1" w14:textId="3DC31CE6" w:rsidR="00D7659F" w:rsidRPr="003A7D3C" w:rsidRDefault="00AA72BD" w:rsidP="00D7659F">
            <w:pPr>
              <w:contextualSpacing/>
              <w:rPr>
                <w:sz w:val="22"/>
                <w:szCs w:val="22"/>
              </w:rPr>
            </w:pPr>
            <w:r w:rsidRPr="001972AB">
              <w:t>Injection methylprednisolone sodium succinate, 5 mg</w:t>
            </w:r>
          </w:p>
        </w:tc>
        <w:tc>
          <w:tcPr>
            <w:tcW w:w="1345" w:type="dxa"/>
            <w:noWrap/>
            <w:hideMark/>
          </w:tcPr>
          <w:p w14:paraId="77C87761" w14:textId="0B3267F3" w:rsidR="00D7659F" w:rsidRPr="003A7D3C" w:rsidRDefault="00D7659F" w:rsidP="00D7659F">
            <w:pPr>
              <w:contextualSpacing/>
              <w:jc w:val="center"/>
              <w:rPr>
                <w:sz w:val="22"/>
                <w:szCs w:val="22"/>
              </w:rPr>
            </w:pPr>
            <w:r w:rsidRPr="001972AB">
              <w:t xml:space="preserve"> $0.23 </w:t>
            </w:r>
          </w:p>
        </w:tc>
      </w:tr>
      <w:tr w:rsidR="00D7659F" w:rsidRPr="00736A84" w14:paraId="14335CCC" w14:textId="77777777" w:rsidTr="003A7D3C">
        <w:trPr>
          <w:trHeight w:val="290"/>
        </w:trPr>
        <w:tc>
          <w:tcPr>
            <w:tcW w:w="1481" w:type="dxa"/>
            <w:noWrap/>
            <w:hideMark/>
          </w:tcPr>
          <w:p w14:paraId="5DDAAA36" w14:textId="71B703BD" w:rsidR="00D7659F" w:rsidRPr="003A7D3C" w:rsidRDefault="00D7659F" w:rsidP="00D7659F">
            <w:pPr>
              <w:contextualSpacing/>
              <w:jc w:val="center"/>
              <w:rPr>
                <w:bCs/>
                <w:sz w:val="22"/>
                <w:szCs w:val="22"/>
              </w:rPr>
            </w:pPr>
            <w:r w:rsidRPr="001972AB">
              <w:t>K1037</w:t>
            </w:r>
          </w:p>
        </w:tc>
        <w:tc>
          <w:tcPr>
            <w:tcW w:w="1209" w:type="dxa"/>
            <w:noWrap/>
            <w:hideMark/>
          </w:tcPr>
          <w:p w14:paraId="28C0B661" w14:textId="151753FD" w:rsidR="00D7659F" w:rsidRPr="003A7D3C" w:rsidRDefault="00D7659F" w:rsidP="00D7659F">
            <w:pPr>
              <w:contextualSpacing/>
              <w:jc w:val="center"/>
              <w:rPr>
                <w:bCs/>
                <w:sz w:val="22"/>
                <w:szCs w:val="22"/>
              </w:rPr>
            </w:pPr>
          </w:p>
        </w:tc>
        <w:tc>
          <w:tcPr>
            <w:tcW w:w="5315" w:type="dxa"/>
            <w:hideMark/>
          </w:tcPr>
          <w:p w14:paraId="04217C23" w14:textId="0383D8BC" w:rsidR="00D7659F" w:rsidRPr="003A7D3C" w:rsidRDefault="00D7659F" w:rsidP="00D7659F">
            <w:pPr>
              <w:contextualSpacing/>
              <w:rPr>
                <w:bCs/>
                <w:sz w:val="22"/>
                <w:szCs w:val="22"/>
              </w:rPr>
            </w:pPr>
            <w:r w:rsidRPr="001972AB">
              <w:t>Docking station for use with oral device/appliance used to reduce upper airway collapsibility</w:t>
            </w:r>
          </w:p>
        </w:tc>
        <w:tc>
          <w:tcPr>
            <w:tcW w:w="1345" w:type="dxa"/>
            <w:noWrap/>
            <w:hideMark/>
          </w:tcPr>
          <w:p w14:paraId="13A3F67A" w14:textId="1FC7C778" w:rsidR="00D7659F" w:rsidRPr="003A7D3C" w:rsidRDefault="00D7659F" w:rsidP="00D7659F">
            <w:pPr>
              <w:contextualSpacing/>
              <w:jc w:val="center"/>
              <w:rPr>
                <w:bCs/>
                <w:sz w:val="22"/>
                <w:szCs w:val="22"/>
              </w:rPr>
            </w:pPr>
            <w:r w:rsidRPr="001972AB">
              <w:t>AAC+ 30%</w:t>
            </w:r>
          </w:p>
        </w:tc>
      </w:tr>
    </w:tbl>
    <w:p w14:paraId="18337CB8" w14:textId="77777777" w:rsidR="00186DB2" w:rsidRDefault="00186DB2" w:rsidP="00186DB2"/>
    <w:p w14:paraId="018681E1" w14:textId="77777777" w:rsidR="00A91296" w:rsidRDefault="00A91296">
      <w:pPr>
        <w:rPr>
          <w:rFonts w:eastAsiaTheme="majorEastAsia" w:cstheme="majorBidi"/>
          <w:b/>
          <w:bCs/>
          <w:sz w:val="26"/>
          <w:szCs w:val="26"/>
        </w:rPr>
      </w:pPr>
      <w:r>
        <w:br w:type="page"/>
      </w:r>
    </w:p>
    <w:p w14:paraId="1F3CB6C3" w14:textId="6F99FCDC" w:rsidR="00533A3B" w:rsidRPr="00D00D88" w:rsidRDefault="00B8306B" w:rsidP="00AA72BD">
      <w:pPr>
        <w:pStyle w:val="Heading2"/>
      </w:pPr>
      <w:r w:rsidRPr="00D00D88">
        <w:lastRenderedPageBreak/>
        <w:t>Deleted Codes</w:t>
      </w:r>
    </w:p>
    <w:tbl>
      <w:tblPr>
        <w:tblStyle w:val="TableGrid"/>
        <w:tblW w:w="9355" w:type="dxa"/>
        <w:tblLook w:val="04A0" w:firstRow="1" w:lastRow="0" w:firstColumn="1" w:lastColumn="0" w:noHBand="0" w:noVBand="1"/>
      </w:tblPr>
      <w:tblGrid>
        <w:gridCol w:w="1482"/>
        <w:gridCol w:w="1202"/>
        <w:gridCol w:w="6671"/>
      </w:tblGrid>
      <w:tr w:rsidR="00B8306B" w:rsidRPr="00736A84" w14:paraId="55ECBE39" w14:textId="77777777" w:rsidTr="00B8306B">
        <w:trPr>
          <w:trHeight w:val="290"/>
          <w:tblHeader/>
        </w:trPr>
        <w:tc>
          <w:tcPr>
            <w:tcW w:w="1482" w:type="dxa"/>
            <w:noWrap/>
            <w:vAlign w:val="center"/>
            <w:hideMark/>
          </w:tcPr>
          <w:p w14:paraId="773C0D03" w14:textId="77777777" w:rsidR="00B8306B" w:rsidRPr="003A7D3C" w:rsidRDefault="00B8306B" w:rsidP="00DC4C73">
            <w:pPr>
              <w:contextualSpacing/>
              <w:jc w:val="center"/>
              <w:rPr>
                <w:b/>
                <w:bCs/>
                <w:sz w:val="22"/>
                <w:szCs w:val="22"/>
              </w:rPr>
            </w:pPr>
            <w:r w:rsidRPr="003A7D3C">
              <w:rPr>
                <w:b/>
                <w:bCs/>
              </w:rPr>
              <w:t>Code</w:t>
            </w:r>
          </w:p>
        </w:tc>
        <w:tc>
          <w:tcPr>
            <w:tcW w:w="1202" w:type="dxa"/>
            <w:noWrap/>
            <w:vAlign w:val="center"/>
            <w:hideMark/>
          </w:tcPr>
          <w:p w14:paraId="55CC1271" w14:textId="77777777" w:rsidR="00B8306B" w:rsidRPr="003A7D3C" w:rsidRDefault="00B8306B" w:rsidP="00DC4C73">
            <w:pPr>
              <w:contextualSpacing/>
              <w:jc w:val="center"/>
              <w:rPr>
                <w:b/>
                <w:bCs/>
                <w:sz w:val="22"/>
                <w:szCs w:val="22"/>
              </w:rPr>
            </w:pPr>
            <w:r w:rsidRPr="003A7D3C">
              <w:rPr>
                <w:b/>
                <w:bCs/>
              </w:rPr>
              <w:t>Modifier</w:t>
            </w:r>
          </w:p>
        </w:tc>
        <w:tc>
          <w:tcPr>
            <w:tcW w:w="6671" w:type="dxa"/>
            <w:noWrap/>
            <w:vAlign w:val="center"/>
            <w:hideMark/>
          </w:tcPr>
          <w:p w14:paraId="10EC57B0" w14:textId="77777777" w:rsidR="00B8306B" w:rsidRPr="003A7D3C" w:rsidRDefault="00B8306B" w:rsidP="00DC4C73">
            <w:pPr>
              <w:contextualSpacing/>
              <w:jc w:val="center"/>
              <w:rPr>
                <w:b/>
                <w:bCs/>
                <w:sz w:val="22"/>
                <w:szCs w:val="22"/>
              </w:rPr>
            </w:pPr>
            <w:r w:rsidRPr="003A7D3C">
              <w:rPr>
                <w:b/>
                <w:bCs/>
              </w:rPr>
              <w:t>Description</w:t>
            </w:r>
          </w:p>
        </w:tc>
      </w:tr>
      <w:tr w:rsidR="00D7659F" w:rsidRPr="00736A84" w14:paraId="698CDC18" w14:textId="77777777" w:rsidTr="001E63B5">
        <w:trPr>
          <w:trHeight w:val="290"/>
        </w:trPr>
        <w:tc>
          <w:tcPr>
            <w:tcW w:w="1482" w:type="dxa"/>
            <w:noWrap/>
            <w:hideMark/>
          </w:tcPr>
          <w:p w14:paraId="764A6EE4" w14:textId="2F3B0C80" w:rsidR="00D7659F" w:rsidRPr="003A7D3C" w:rsidRDefault="00D7659F" w:rsidP="00D7659F">
            <w:pPr>
              <w:contextualSpacing/>
              <w:jc w:val="center"/>
              <w:rPr>
                <w:bCs/>
                <w:sz w:val="22"/>
                <w:szCs w:val="22"/>
              </w:rPr>
            </w:pPr>
            <w:r w:rsidRPr="001972AB">
              <w:t>E2300</w:t>
            </w:r>
          </w:p>
        </w:tc>
        <w:tc>
          <w:tcPr>
            <w:tcW w:w="1202" w:type="dxa"/>
            <w:noWrap/>
            <w:hideMark/>
          </w:tcPr>
          <w:p w14:paraId="208D0708" w14:textId="77777777" w:rsidR="00D7659F" w:rsidRPr="003A7D3C" w:rsidRDefault="00D7659F" w:rsidP="00D7659F">
            <w:pPr>
              <w:contextualSpacing/>
              <w:jc w:val="center"/>
              <w:rPr>
                <w:bCs/>
                <w:sz w:val="22"/>
                <w:szCs w:val="22"/>
              </w:rPr>
            </w:pPr>
          </w:p>
        </w:tc>
        <w:tc>
          <w:tcPr>
            <w:tcW w:w="6671" w:type="dxa"/>
            <w:tcBorders>
              <w:top w:val="single" w:sz="4" w:space="0" w:color="auto"/>
              <w:left w:val="single" w:sz="4" w:space="0" w:color="auto"/>
              <w:bottom w:val="single" w:sz="4" w:space="0" w:color="auto"/>
              <w:right w:val="single" w:sz="4" w:space="0" w:color="auto"/>
            </w:tcBorders>
            <w:shd w:val="clear" w:color="auto" w:fill="auto"/>
            <w:hideMark/>
          </w:tcPr>
          <w:p w14:paraId="5D538E74" w14:textId="03550F7D" w:rsidR="00D7659F" w:rsidRPr="003A7D3C" w:rsidRDefault="00D7659F" w:rsidP="00D7659F">
            <w:pPr>
              <w:contextualSpacing/>
              <w:rPr>
                <w:bCs/>
                <w:sz w:val="22"/>
                <w:szCs w:val="22"/>
              </w:rPr>
            </w:pPr>
            <w:r w:rsidRPr="001972AB">
              <w:t>Wheelchair accessory, power seat elevation system, any type</w:t>
            </w:r>
          </w:p>
        </w:tc>
      </w:tr>
      <w:tr w:rsidR="00D7659F" w:rsidRPr="00736A84" w14:paraId="38794C6E" w14:textId="77777777" w:rsidTr="001E63B5">
        <w:trPr>
          <w:trHeight w:val="290"/>
        </w:trPr>
        <w:tc>
          <w:tcPr>
            <w:tcW w:w="1482" w:type="dxa"/>
            <w:noWrap/>
            <w:hideMark/>
          </w:tcPr>
          <w:p w14:paraId="5BE46A65" w14:textId="53E6A029" w:rsidR="00D7659F" w:rsidRPr="003A7D3C" w:rsidRDefault="00D7659F" w:rsidP="00D7659F">
            <w:pPr>
              <w:contextualSpacing/>
              <w:jc w:val="center"/>
              <w:rPr>
                <w:bCs/>
                <w:sz w:val="22"/>
                <w:szCs w:val="22"/>
              </w:rPr>
            </w:pPr>
            <w:r w:rsidRPr="001972AB">
              <w:t>J2920</w:t>
            </w:r>
          </w:p>
        </w:tc>
        <w:tc>
          <w:tcPr>
            <w:tcW w:w="1202" w:type="dxa"/>
            <w:noWrap/>
            <w:hideMark/>
          </w:tcPr>
          <w:p w14:paraId="64D29130" w14:textId="77777777" w:rsidR="00D7659F" w:rsidRPr="003A7D3C" w:rsidRDefault="00D7659F" w:rsidP="00D7659F">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noWrap/>
            <w:hideMark/>
          </w:tcPr>
          <w:p w14:paraId="7D18B8DF" w14:textId="7E8F4CC5" w:rsidR="00D7659F" w:rsidRPr="003A7D3C" w:rsidRDefault="00D7659F" w:rsidP="00D7659F">
            <w:pPr>
              <w:contextualSpacing/>
              <w:rPr>
                <w:bCs/>
                <w:sz w:val="22"/>
                <w:szCs w:val="22"/>
              </w:rPr>
            </w:pPr>
            <w:r w:rsidRPr="001972AB">
              <w:t>Injection, methylprednisolone sodium succinate, up to 40 mg</w:t>
            </w:r>
          </w:p>
        </w:tc>
      </w:tr>
      <w:tr w:rsidR="00D7659F" w:rsidRPr="00736A84" w14:paraId="659F6A64" w14:textId="77777777" w:rsidTr="001E63B5">
        <w:trPr>
          <w:trHeight w:val="290"/>
        </w:trPr>
        <w:tc>
          <w:tcPr>
            <w:tcW w:w="1482" w:type="dxa"/>
            <w:noWrap/>
            <w:hideMark/>
          </w:tcPr>
          <w:p w14:paraId="2075F6E6" w14:textId="4A60BCA7" w:rsidR="00D7659F" w:rsidRPr="003A7D3C" w:rsidRDefault="00D7659F" w:rsidP="00D7659F">
            <w:pPr>
              <w:contextualSpacing/>
              <w:jc w:val="center"/>
              <w:rPr>
                <w:bCs/>
                <w:sz w:val="22"/>
                <w:szCs w:val="22"/>
              </w:rPr>
            </w:pPr>
            <w:r w:rsidRPr="001972AB">
              <w:t>J2930</w:t>
            </w:r>
          </w:p>
        </w:tc>
        <w:tc>
          <w:tcPr>
            <w:tcW w:w="1202" w:type="dxa"/>
            <w:noWrap/>
            <w:hideMark/>
          </w:tcPr>
          <w:p w14:paraId="688D8E59" w14:textId="77777777" w:rsidR="00D7659F" w:rsidRPr="003A7D3C" w:rsidRDefault="00D7659F" w:rsidP="00D7659F">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noWrap/>
            <w:hideMark/>
          </w:tcPr>
          <w:p w14:paraId="199AE066" w14:textId="24757149" w:rsidR="00D7659F" w:rsidRPr="003A7D3C" w:rsidRDefault="00D7659F" w:rsidP="00D7659F">
            <w:pPr>
              <w:contextualSpacing/>
              <w:rPr>
                <w:bCs/>
                <w:sz w:val="22"/>
                <w:szCs w:val="22"/>
              </w:rPr>
            </w:pPr>
            <w:r w:rsidRPr="001972AB">
              <w:t>Injection, methylprednisolone sodium succinate, up to 125 mg</w:t>
            </w:r>
          </w:p>
        </w:tc>
      </w:tr>
    </w:tbl>
    <w:p w14:paraId="6D8A1E1D" w14:textId="77777777" w:rsidR="00F03EC6" w:rsidRDefault="00F03EC6" w:rsidP="00AA72BD"/>
    <w:p w14:paraId="28276CC8" w14:textId="4E8AAB95" w:rsidR="00F03EC6" w:rsidRPr="00D00D88" w:rsidRDefault="00F03EC6" w:rsidP="00AA72BD">
      <w:pPr>
        <w:pStyle w:val="Heading2"/>
      </w:pPr>
      <w:r>
        <w:t>Updated Rates</w:t>
      </w:r>
    </w:p>
    <w:tbl>
      <w:tblPr>
        <w:tblpPr w:leftFromText="180" w:rightFromText="180" w:vertAnchor="text" w:horzAnchor="margin" w:tblpY="40"/>
        <w:tblW w:w="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890"/>
        <w:gridCol w:w="1890"/>
      </w:tblGrid>
      <w:tr w:rsidR="00470AB9" w:rsidRPr="00736A84" w14:paraId="370A3065" w14:textId="77777777" w:rsidTr="00373D08">
        <w:trPr>
          <w:trHeight w:val="301"/>
          <w:tblHeader/>
        </w:trPr>
        <w:tc>
          <w:tcPr>
            <w:tcW w:w="1435" w:type="dxa"/>
          </w:tcPr>
          <w:p w14:paraId="650983A8" w14:textId="77777777" w:rsidR="00470AB9" w:rsidRPr="003A7D3C" w:rsidRDefault="00470AB9" w:rsidP="00470AB9">
            <w:pPr>
              <w:autoSpaceDE w:val="0"/>
              <w:autoSpaceDN w:val="0"/>
              <w:adjustRightInd w:val="0"/>
              <w:jc w:val="center"/>
              <w:rPr>
                <w:rFonts w:cs="Times New Roman"/>
                <w:b/>
                <w:bCs/>
              </w:rPr>
            </w:pPr>
            <w:r w:rsidRPr="003A7D3C">
              <w:rPr>
                <w:rFonts w:cs="Times New Roman"/>
                <w:b/>
                <w:bCs/>
              </w:rPr>
              <w:t>Code</w:t>
            </w:r>
          </w:p>
        </w:tc>
        <w:tc>
          <w:tcPr>
            <w:tcW w:w="1890" w:type="dxa"/>
          </w:tcPr>
          <w:p w14:paraId="390CA254" w14:textId="77777777" w:rsidR="00470AB9" w:rsidRPr="003A7D3C" w:rsidRDefault="00470AB9" w:rsidP="00470AB9">
            <w:pPr>
              <w:autoSpaceDE w:val="0"/>
              <w:autoSpaceDN w:val="0"/>
              <w:adjustRightInd w:val="0"/>
              <w:jc w:val="center"/>
              <w:rPr>
                <w:rFonts w:cs="Times New Roman"/>
                <w:b/>
                <w:bCs/>
              </w:rPr>
            </w:pPr>
            <w:r w:rsidRPr="003A7D3C">
              <w:rPr>
                <w:rFonts w:cs="Times New Roman"/>
                <w:b/>
                <w:bCs/>
              </w:rPr>
              <w:t>Current Rate</w:t>
            </w:r>
          </w:p>
        </w:tc>
        <w:tc>
          <w:tcPr>
            <w:tcW w:w="1890" w:type="dxa"/>
          </w:tcPr>
          <w:p w14:paraId="34BC4E07" w14:textId="5CC9E0D9" w:rsidR="00470AB9" w:rsidRPr="003A7D3C" w:rsidRDefault="00373D08" w:rsidP="00470AB9">
            <w:pPr>
              <w:autoSpaceDE w:val="0"/>
              <w:autoSpaceDN w:val="0"/>
              <w:adjustRightInd w:val="0"/>
              <w:jc w:val="center"/>
              <w:rPr>
                <w:rFonts w:cs="Times New Roman"/>
                <w:b/>
                <w:bCs/>
              </w:rPr>
            </w:pPr>
            <w:r w:rsidRPr="003A7D3C">
              <w:rPr>
                <w:rFonts w:cs="Times New Roman"/>
                <w:b/>
                <w:bCs/>
              </w:rPr>
              <w:t>Proposed Rate</w:t>
            </w:r>
          </w:p>
        </w:tc>
      </w:tr>
      <w:tr w:rsidR="00373D08" w:rsidRPr="00736A84" w14:paraId="76B46DAA" w14:textId="77777777" w:rsidTr="00373D08">
        <w:trPr>
          <w:trHeight w:val="331"/>
          <w:tblHeader/>
        </w:trPr>
        <w:tc>
          <w:tcPr>
            <w:tcW w:w="1435" w:type="dxa"/>
          </w:tcPr>
          <w:p w14:paraId="1CEF61F8" w14:textId="77777777" w:rsidR="00373D08" w:rsidRPr="003A7D3C" w:rsidRDefault="00373D08" w:rsidP="00373D08">
            <w:pPr>
              <w:autoSpaceDE w:val="0"/>
              <w:autoSpaceDN w:val="0"/>
              <w:adjustRightInd w:val="0"/>
              <w:jc w:val="center"/>
              <w:rPr>
                <w:rFonts w:eastAsiaTheme="minorEastAsia" w:cs="Times New Roman"/>
              </w:rPr>
            </w:pPr>
            <w:r w:rsidRPr="003A7D3C">
              <w:t>E0300NU</w:t>
            </w:r>
          </w:p>
        </w:tc>
        <w:tc>
          <w:tcPr>
            <w:tcW w:w="1890" w:type="dxa"/>
          </w:tcPr>
          <w:p w14:paraId="268E2151" w14:textId="2CD04CA1" w:rsidR="00373D08" w:rsidRPr="003A7D3C" w:rsidRDefault="00373D08" w:rsidP="00373D08">
            <w:pPr>
              <w:autoSpaceDE w:val="0"/>
              <w:autoSpaceDN w:val="0"/>
              <w:adjustRightInd w:val="0"/>
              <w:jc w:val="center"/>
              <w:rPr>
                <w:rFonts w:cs="Times New Roman"/>
              </w:rPr>
            </w:pPr>
            <w:r w:rsidRPr="003A7D3C">
              <w:rPr>
                <w:rFonts w:cs="Times New Roman"/>
              </w:rPr>
              <w:t>IC</w:t>
            </w:r>
          </w:p>
        </w:tc>
        <w:tc>
          <w:tcPr>
            <w:tcW w:w="1890" w:type="dxa"/>
          </w:tcPr>
          <w:p w14:paraId="35A0D913" w14:textId="7977BC32" w:rsidR="00373D08" w:rsidRPr="003A7D3C" w:rsidRDefault="00373D08" w:rsidP="00373D08">
            <w:pPr>
              <w:autoSpaceDE w:val="0"/>
              <w:autoSpaceDN w:val="0"/>
              <w:adjustRightInd w:val="0"/>
              <w:jc w:val="center"/>
              <w:rPr>
                <w:rFonts w:cs="Times New Roman"/>
              </w:rPr>
            </w:pPr>
            <w:r w:rsidRPr="00F26C36">
              <w:t>AAC+ 30%</w:t>
            </w:r>
          </w:p>
        </w:tc>
      </w:tr>
      <w:tr w:rsidR="00373D08" w:rsidRPr="00736A84" w14:paraId="2CFCB931" w14:textId="77777777" w:rsidTr="00373D08">
        <w:trPr>
          <w:trHeight w:val="434"/>
          <w:tblHeader/>
        </w:trPr>
        <w:tc>
          <w:tcPr>
            <w:tcW w:w="1435" w:type="dxa"/>
          </w:tcPr>
          <w:p w14:paraId="02E002B4" w14:textId="77777777" w:rsidR="00373D08" w:rsidRPr="003A7D3C" w:rsidRDefault="00373D08" w:rsidP="00373D08">
            <w:pPr>
              <w:autoSpaceDE w:val="0"/>
              <w:autoSpaceDN w:val="0"/>
              <w:adjustRightInd w:val="0"/>
              <w:jc w:val="center"/>
              <w:rPr>
                <w:rFonts w:eastAsiaTheme="minorEastAsia" w:cs="Times New Roman"/>
              </w:rPr>
            </w:pPr>
            <w:r w:rsidRPr="003A7D3C">
              <w:t>E0300RB</w:t>
            </w:r>
          </w:p>
        </w:tc>
        <w:tc>
          <w:tcPr>
            <w:tcW w:w="1890" w:type="dxa"/>
          </w:tcPr>
          <w:p w14:paraId="66D47540" w14:textId="1D048BF4" w:rsidR="00373D08" w:rsidRPr="003A7D3C" w:rsidRDefault="00373D08" w:rsidP="00373D08">
            <w:pPr>
              <w:autoSpaceDE w:val="0"/>
              <w:autoSpaceDN w:val="0"/>
              <w:adjustRightInd w:val="0"/>
              <w:jc w:val="center"/>
              <w:rPr>
                <w:rFonts w:cs="Times New Roman"/>
              </w:rPr>
            </w:pPr>
            <w:r w:rsidRPr="003A7D3C">
              <w:rPr>
                <w:rFonts w:cs="Times New Roman"/>
              </w:rPr>
              <w:t>IC</w:t>
            </w:r>
          </w:p>
        </w:tc>
        <w:tc>
          <w:tcPr>
            <w:tcW w:w="1890" w:type="dxa"/>
          </w:tcPr>
          <w:p w14:paraId="7FA30B7D" w14:textId="017BBEC2" w:rsidR="00373D08" w:rsidRPr="003A7D3C" w:rsidRDefault="00373D08" w:rsidP="00373D08">
            <w:pPr>
              <w:autoSpaceDE w:val="0"/>
              <w:autoSpaceDN w:val="0"/>
              <w:adjustRightInd w:val="0"/>
              <w:jc w:val="center"/>
              <w:rPr>
                <w:rFonts w:cs="Times New Roman"/>
              </w:rPr>
            </w:pPr>
            <w:r w:rsidRPr="00F26C36">
              <w:t>AAC+ 30%</w:t>
            </w:r>
          </w:p>
        </w:tc>
      </w:tr>
      <w:tr w:rsidR="00373D08" w:rsidRPr="00736A84" w14:paraId="65F3979A" w14:textId="77777777" w:rsidTr="00373D08">
        <w:trPr>
          <w:trHeight w:val="434"/>
          <w:tblHeader/>
        </w:trPr>
        <w:tc>
          <w:tcPr>
            <w:tcW w:w="1435" w:type="dxa"/>
          </w:tcPr>
          <w:p w14:paraId="76594D29" w14:textId="77777777" w:rsidR="00373D08" w:rsidRPr="003A7D3C" w:rsidRDefault="00373D08" w:rsidP="00373D08">
            <w:pPr>
              <w:autoSpaceDE w:val="0"/>
              <w:autoSpaceDN w:val="0"/>
              <w:adjustRightInd w:val="0"/>
              <w:jc w:val="center"/>
            </w:pPr>
            <w:r w:rsidRPr="003A7D3C">
              <w:t>E0300KH</w:t>
            </w:r>
          </w:p>
        </w:tc>
        <w:tc>
          <w:tcPr>
            <w:tcW w:w="1890" w:type="dxa"/>
          </w:tcPr>
          <w:p w14:paraId="5AF21F38" w14:textId="264A5009" w:rsidR="00373D08" w:rsidRPr="003A7D3C" w:rsidRDefault="00373D08" w:rsidP="00373D08">
            <w:pPr>
              <w:autoSpaceDE w:val="0"/>
              <w:autoSpaceDN w:val="0"/>
              <w:adjustRightInd w:val="0"/>
              <w:jc w:val="center"/>
            </w:pPr>
            <w:r w:rsidRPr="003A7D3C">
              <w:rPr>
                <w:rFonts w:cs="Times New Roman"/>
              </w:rPr>
              <w:t>IC</w:t>
            </w:r>
          </w:p>
        </w:tc>
        <w:tc>
          <w:tcPr>
            <w:tcW w:w="1890" w:type="dxa"/>
          </w:tcPr>
          <w:p w14:paraId="15A494F7" w14:textId="2111BE15" w:rsidR="00373D08" w:rsidRPr="003A7D3C" w:rsidRDefault="00373D08" w:rsidP="00373D08">
            <w:pPr>
              <w:autoSpaceDE w:val="0"/>
              <w:autoSpaceDN w:val="0"/>
              <w:adjustRightInd w:val="0"/>
              <w:jc w:val="center"/>
            </w:pPr>
            <w:r w:rsidRPr="00F26C36">
              <w:t>$257.07</w:t>
            </w:r>
          </w:p>
        </w:tc>
      </w:tr>
      <w:tr w:rsidR="00373D08" w:rsidRPr="00736A84" w14:paraId="1BED10D2" w14:textId="77777777" w:rsidTr="00373D08">
        <w:trPr>
          <w:trHeight w:val="434"/>
          <w:tblHeader/>
        </w:trPr>
        <w:tc>
          <w:tcPr>
            <w:tcW w:w="1435" w:type="dxa"/>
          </w:tcPr>
          <w:p w14:paraId="4D0BE0E9" w14:textId="77777777" w:rsidR="00373D08" w:rsidRPr="003A7D3C" w:rsidRDefault="00373D08" w:rsidP="00373D08">
            <w:pPr>
              <w:autoSpaceDE w:val="0"/>
              <w:autoSpaceDN w:val="0"/>
              <w:adjustRightInd w:val="0"/>
              <w:jc w:val="center"/>
            </w:pPr>
            <w:r w:rsidRPr="003A7D3C">
              <w:t>E0300KI</w:t>
            </w:r>
          </w:p>
        </w:tc>
        <w:tc>
          <w:tcPr>
            <w:tcW w:w="1890" w:type="dxa"/>
          </w:tcPr>
          <w:p w14:paraId="5BC02F0C" w14:textId="24F88017" w:rsidR="00373D08" w:rsidRPr="003A7D3C" w:rsidRDefault="00373D08" w:rsidP="00373D08">
            <w:pPr>
              <w:autoSpaceDE w:val="0"/>
              <w:autoSpaceDN w:val="0"/>
              <w:adjustRightInd w:val="0"/>
              <w:jc w:val="center"/>
            </w:pPr>
            <w:r w:rsidRPr="003A7D3C">
              <w:rPr>
                <w:rFonts w:cs="Times New Roman"/>
              </w:rPr>
              <w:t>IC</w:t>
            </w:r>
          </w:p>
        </w:tc>
        <w:tc>
          <w:tcPr>
            <w:tcW w:w="1890" w:type="dxa"/>
          </w:tcPr>
          <w:p w14:paraId="76D9C87B" w14:textId="1C0642F1" w:rsidR="00373D08" w:rsidRPr="003A7D3C" w:rsidRDefault="00373D08" w:rsidP="00373D08">
            <w:pPr>
              <w:autoSpaceDE w:val="0"/>
              <w:autoSpaceDN w:val="0"/>
              <w:adjustRightInd w:val="0"/>
              <w:jc w:val="center"/>
            </w:pPr>
            <w:r w:rsidRPr="00F26C36">
              <w:t>$257.07</w:t>
            </w:r>
          </w:p>
        </w:tc>
      </w:tr>
      <w:tr w:rsidR="00373D08" w:rsidRPr="00736A84" w14:paraId="54B38E5B" w14:textId="77777777" w:rsidTr="00373D08">
        <w:trPr>
          <w:trHeight w:val="434"/>
          <w:tblHeader/>
        </w:trPr>
        <w:tc>
          <w:tcPr>
            <w:tcW w:w="1435" w:type="dxa"/>
          </w:tcPr>
          <w:p w14:paraId="70AAFEC2" w14:textId="77777777" w:rsidR="00373D08" w:rsidRPr="003A7D3C" w:rsidRDefault="00373D08" w:rsidP="00373D08">
            <w:pPr>
              <w:autoSpaceDE w:val="0"/>
              <w:autoSpaceDN w:val="0"/>
              <w:adjustRightInd w:val="0"/>
              <w:jc w:val="center"/>
            </w:pPr>
            <w:r w:rsidRPr="003A7D3C">
              <w:t>E0300KJ</w:t>
            </w:r>
          </w:p>
        </w:tc>
        <w:tc>
          <w:tcPr>
            <w:tcW w:w="1890" w:type="dxa"/>
          </w:tcPr>
          <w:p w14:paraId="6AFC5AB3" w14:textId="587730C0" w:rsidR="00373D08" w:rsidRPr="003A7D3C" w:rsidRDefault="00373D08" w:rsidP="00373D08">
            <w:pPr>
              <w:autoSpaceDE w:val="0"/>
              <w:autoSpaceDN w:val="0"/>
              <w:adjustRightInd w:val="0"/>
              <w:jc w:val="center"/>
            </w:pPr>
            <w:r w:rsidRPr="003A7D3C">
              <w:rPr>
                <w:rFonts w:cs="Times New Roman"/>
              </w:rPr>
              <w:t>IC</w:t>
            </w:r>
          </w:p>
        </w:tc>
        <w:tc>
          <w:tcPr>
            <w:tcW w:w="1890" w:type="dxa"/>
          </w:tcPr>
          <w:p w14:paraId="6E30798A" w14:textId="189EBB47" w:rsidR="00373D08" w:rsidRPr="003A7D3C" w:rsidRDefault="00373D08" w:rsidP="00373D08">
            <w:pPr>
              <w:autoSpaceDE w:val="0"/>
              <w:autoSpaceDN w:val="0"/>
              <w:adjustRightInd w:val="0"/>
              <w:jc w:val="center"/>
            </w:pPr>
            <w:r w:rsidRPr="00F26C36">
              <w:t>$192.80</w:t>
            </w:r>
          </w:p>
        </w:tc>
      </w:tr>
    </w:tbl>
    <w:p w14:paraId="68E4AF56" w14:textId="77777777" w:rsidR="00F03EC6" w:rsidRDefault="00F03EC6" w:rsidP="00AA72BD"/>
    <w:p w14:paraId="6343EFE1" w14:textId="77777777" w:rsidR="00373D08" w:rsidRDefault="00373D08" w:rsidP="004C0FC9">
      <w:pPr>
        <w:pStyle w:val="Heading3"/>
        <w:rPr>
          <w:rFonts w:ascii="Times New Roman" w:hAnsi="Times New Roman" w:cs="Times New Roman"/>
          <w:sz w:val="22"/>
          <w:szCs w:val="22"/>
        </w:rPr>
      </w:pPr>
    </w:p>
    <w:p w14:paraId="4D4094BB" w14:textId="77777777" w:rsidR="00373D08" w:rsidRDefault="00373D08" w:rsidP="004C0FC9">
      <w:pPr>
        <w:pStyle w:val="Heading3"/>
        <w:rPr>
          <w:rFonts w:ascii="Times New Roman" w:hAnsi="Times New Roman" w:cs="Times New Roman"/>
          <w:sz w:val="22"/>
          <w:szCs w:val="22"/>
        </w:rPr>
      </w:pPr>
    </w:p>
    <w:p w14:paraId="4B71B076" w14:textId="77777777" w:rsidR="00373D08" w:rsidRDefault="00373D08" w:rsidP="00AA72BD"/>
    <w:p w14:paraId="7BCD24F4" w14:textId="77777777" w:rsidR="00373D08" w:rsidRDefault="00373D08" w:rsidP="004C0FC9">
      <w:pPr>
        <w:pStyle w:val="Heading3"/>
        <w:rPr>
          <w:rFonts w:ascii="Times New Roman" w:hAnsi="Times New Roman" w:cs="Times New Roman"/>
          <w:sz w:val="22"/>
          <w:szCs w:val="22"/>
        </w:rPr>
      </w:pPr>
    </w:p>
    <w:p w14:paraId="59735864" w14:textId="77777777" w:rsidR="00373D08" w:rsidRDefault="00373D08" w:rsidP="00AA72BD"/>
    <w:p w14:paraId="52CBC902" w14:textId="38E551D7" w:rsidR="004C0FC9" w:rsidRPr="00D00D88" w:rsidRDefault="004C0FC9" w:rsidP="00AA72BD">
      <w:pPr>
        <w:pStyle w:val="Heading2"/>
      </w:pPr>
      <w:r w:rsidRPr="00D00D88">
        <w:t>Revised Code Descriptions</w:t>
      </w:r>
    </w:p>
    <w:tbl>
      <w:tblPr>
        <w:tblW w:w="947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8530"/>
      </w:tblGrid>
      <w:tr w:rsidR="004C0FC9" w:rsidRPr="00736A84" w14:paraId="017832D1" w14:textId="77777777" w:rsidTr="00AA72BD">
        <w:trPr>
          <w:trHeight w:val="368"/>
          <w:tblHeader/>
        </w:trPr>
        <w:tc>
          <w:tcPr>
            <w:tcW w:w="945" w:type="dxa"/>
          </w:tcPr>
          <w:p w14:paraId="6EEB2605" w14:textId="77777777" w:rsidR="004C0FC9" w:rsidRPr="003A7D3C" w:rsidRDefault="004C0FC9" w:rsidP="00DC4C73">
            <w:pPr>
              <w:autoSpaceDE w:val="0"/>
              <w:autoSpaceDN w:val="0"/>
              <w:adjustRightInd w:val="0"/>
              <w:jc w:val="center"/>
              <w:rPr>
                <w:rFonts w:cs="Times New Roman"/>
                <w:b/>
                <w:bCs/>
              </w:rPr>
            </w:pPr>
            <w:r w:rsidRPr="003A7D3C">
              <w:rPr>
                <w:rFonts w:cs="Times New Roman"/>
                <w:b/>
                <w:bCs/>
              </w:rPr>
              <w:t>Code</w:t>
            </w:r>
          </w:p>
        </w:tc>
        <w:tc>
          <w:tcPr>
            <w:tcW w:w="8530" w:type="dxa"/>
          </w:tcPr>
          <w:p w14:paraId="4E1E74EB" w14:textId="77777777" w:rsidR="004C0FC9" w:rsidRPr="003A7D3C" w:rsidRDefault="004C0FC9" w:rsidP="00DC4C73">
            <w:pPr>
              <w:autoSpaceDE w:val="0"/>
              <w:autoSpaceDN w:val="0"/>
              <w:adjustRightInd w:val="0"/>
              <w:jc w:val="center"/>
              <w:rPr>
                <w:rFonts w:cs="Times New Roman"/>
                <w:b/>
                <w:bCs/>
              </w:rPr>
            </w:pPr>
            <w:r w:rsidRPr="003A7D3C">
              <w:rPr>
                <w:rFonts w:cs="Times New Roman"/>
                <w:b/>
                <w:bCs/>
              </w:rPr>
              <w:t>Revised Code Description</w:t>
            </w:r>
          </w:p>
        </w:tc>
      </w:tr>
      <w:tr w:rsidR="00D7659F" w:rsidRPr="00736A84" w14:paraId="41107AC8" w14:textId="77777777" w:rsidTr="00AA72BD">
        <w:trPr>
          <w:trHeight w:val="404"/>
          <w:tblHeader/>
        </w:trPr>
        <w:tc>
          <w:tcPr>
            <w:tcW w:w="945" w:type="dxa"/>
          </w:tcPr>
          <w:p w14:paraId="7B422E6D" w14:textId="1E72AE8E" w:rsidR="00D7659F" w:rsidRPr="003A7D3C" w:rsidRDefault="00D7659F" w:rsidP="00D7659F">
            <w:pPr>
              <w:autoSpaceDE w:val="0"/>
              <w:autoSpaceDN w:val="0"/>
              <w:adjustRightInd w:val="0"/>
              <w:jc w:val="center"/>
              <w:rPr>
                <w:rFonts w:eastAsiaTheme="minorEastAsia" w:cs="Times New Roman"/>
              </w:rPr>
            </w:pPr>
            <w:r w:rsidRPr="003A7D3C">
              <w:t>J7516</w:t>
            </w:r>
          </w:p>
        </w:tc>
        <w:tc>
          <w:tcPr>
            <w:tcW w:w="8530" w:type="dxa"/>
          </w:tcPr>
          <w:p w14:paraId="34FBF5C6" w14:textId="4CDC148F" w:rsidR="00D7659F" w:rsidRPr="003A7D3C" w:rsidRDefault="00D7659F" w:rsidP="00D7659F">
            <w:pPr>
              <w:autoSpaceDE w:val="0"/>
              <w:autoSpaceDN w:val="0"/>
              <w:adjustRightInd w:val="0"/>
              <w:rPr>
                <w:rFonts w:cs="Times New Roman"/>
              </w:rPr>
            </w:pPr>
            <w:r w:rsidRPr="003A7D3C">
              <w:t>Injection, cyclosporine, 250 mg</w:t>
            </w:r>
          </w:p>
        </w:tc>
      </w:tr>
      <w:tr w:rsidR="00D7659F" w:rsidRPr="00736A84" w14:paraId="6002D387" w14:textId="77777777" w:rsidTr="00AA72BD">
        <w:trPr>
          <w:trHeight w:val="530"/>
          <w:tblHeader/>
        </w:trPr>
        <w:tc>
          <w:tcPr>
            <w:tcW w:w="945" w:type="dxa"/>
          </w:tcPr>
          <w:p w14:paraId="0B7684CC" w14:textId="309F4AB0" w:rsidR="00D7659F" w:rsidRPr="003A7D3C" w:rsidRDefault="00D7659F" w:rsidP="00D7659F">
            <w:pPr>
              <w:autoSpaceDE w:val="0"/>
              <w:autoSpaceDN w:val="0"/>
              <w:adjustRightInd w:val="0"/>
              <w:jc w:val="center"/>
              <w:rPr>
                <w:rFonts w:eastAsiaTheme="minorEastAsia" w:cs="Times New Roman"/>
              </w:rPr>
            </w:pPr>
            <w:r w:rsidRPr="003A7D3C">
              <w:t>E2001</w:t>
            </w:r>
          </w:p>
        </w:tc>
        <w:tc>
          <w:tcPr>
            <w:tcW w:w="8530" w:type="dxa"/>
          </w:tcPr>
          <w:p w14:paraId="5CD12EF2" w14:textId="4DC9A9C5" w:rsidR="00D7659F" w:rsidRPr="003A7D3C" w:rsidRDefault="00D7659F" w:rsidP="00D7659F">
            <w:pPr>
              <w:autoSpaceDE w:val="0"/>
              <w:autoSpaceDN w:val="0"/>
              <w:adjustRightInd w:val="0"/>
              <w:rPr>
                <w:rFonts w:cs="Times New Roman"/>
              </w:rPr>
            </w:pPr>
            <w:r w:rsidRPr="003A7D3C">
              <w:t>Suction pump, home model, portable or stationary, electric, any type, for use with external urine and/or fecal management system</w:t>
            </w:r>
          </w:p>
        </w:tc>
      </w:tr>
    </w:tbl>
    <w:p w14:paraId="304319EF" w14:textId="77777777" w:rsidR="004C0FC9" w:rsidRDefault="00D56141" w:rsidP="00D56141">
      <w:pPr>
        <w:tabs>
          <w:tab w:val="left" w:pos="7110"/>
        </w:tabs>
      </w:pPr>
      <w:r>
        <w:tab/>
      </w:r>
    </w:p>
    <w:p w14:paraId="1946A00C" w14:textId="77777777" w:rsidR="00D56141" w:rsidRDefault="00D56141" w:rsidP="00D56141">
      <w:pPr>
        <w:tabs>
          <w:tab w:val="left" w:pos="7110"/>
        </w:tabs>
      </w:pPr>
    </w:p>
    <w:p w14:paraId="4576A501" w14:textId="77777777" w:rsidR="00D56141" w:rsidRDefault="00D56141" w:rsidP="00D56141">
      <w:pPr>
        <w:tabs>
          <w:tab w:val="left" w:pos="7110"/>
        </w:tabs>
      </w:pPr>
    </w:p>
    <w:p w14:paraId="73A4FD7D" w14:textId="77777777" w:rsidR="009A03F3" w:rsidRDefault="009A03F3" w:rsidP="00D56141">
      <w:pPr>
        <w:tabs>
          <w:tab w:val="left" w:pos="7110"/>
        </w:tabs>
      </w:pPr>
    </w:p>
    <w:p w14:paraId="1B9D945B" w14:textId="77777777" w:rsidR="00D56141" w:rsidRDefault="00D56141" w:rsidP="00D56141">
      <w:pPr>
        <w:tabs>
          <w:tab w:val="left" w:pos="7110"/>
        </w:tabs>
      </w:pPr>
    </w:p>
    <w:p w14:paraId="075128ED" w14:textId="77777777" w:rsidR="00D56141" w:rsidRPr="004C0FC9" w:rsidRDefault="00D56141" w:rsidP="00D56141">
      <w:pPr>
        <w:tabs>
          <w:tab w:val="left" w:pos="7110"/>
        </w:tabs>
      </w:pPr>
    </w:p>
    <w:p w14:paraId="4F9BB29C" w14:textId="77777777" w:rsidR="00B05E0C" w:rsidRPr="00AC798F" w:rsidRDefault="00B05E0C" w:rsidP="009A03F3">
      <w:pPr>
        <w:spacing w:before="960"/>
      </w:pPr>
      <w:r>
        <w:rPr>
          <w:noProof/>
        </w:rPr>
        <w:drawing>
          <wp:inline distT="0" distB="0" distL="0" distR="0" wp14:anchorId="1BA4EF36" wp14:editId="2562549B">
            <wp:extent cx="219438" cy="219438"/>
            <wp:effectExtent l="0" t="0" r="0" b="9525"/>
            <wp:docPr id="186518985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icon"/>
                    <pic:cNvPicPr/>
                  </pic:nvPicPr>
                  <pic:blipFill>
                    <a:blip r:embed="rId1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2" w:history="1">
        <w:r w:rsidRPr="008B1B7F">
          <w:rPr>
            <w:rStyle w:val="Hyperlink"/>
            <w:position w:val="10"/>
          </w:rPr>
          <w:t>MassHealth on Facebook</w:t>
        </w:r>
      </w:hyperlink>
      <w:r>
        <w:rPr>
          <w:position w:val="10"/>
        </w:rPr>
        <w:t xml:space="preserve">     </w:t>
      </w:r>
      <w:r>
        <w:rPr>
          <w:noProof/>
        </w:rPr>
        <w:drawing>
          <wp:inline distT="0" distB="0" distL="0" distR="0" wp14:anchorId="51BE4FDF" wp14:editId="4F336359">
            <wp:extent cx="219438" cy="219438"/>
            <wp:effectExtent l="0" t="0" r="9525" b="9525"/>
            <wp:docPr id="610088090" name="Picture 610088090"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icon"/>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sidR="008C7C8A">
          <w:rPr>
            <w:rStyle w:val="Hyperlink"/>
            <w:position w:val="10"/>
          </w:rPr>
          <w:t>MassHealth on X (Twitter)</w:t>
        </w:r>
      </w:hyperlink>
      <w:r>
        <w:rPr>
          <w:position w:val="10"/>
        </w:rPr>
        <w:t xml:space="preserve">     </w:t>
      </w:r>
      <w:r>
        <w:rPr>
          <w:noProof/>
        </w:rPr>
        <w:drawing>
          <wp:inline distT="0" distB="0" distL="0" distR="0" wp14:anchorId="7C0952E0" wp14:editId="083AE65D">
            <wp:extent cx="219438" cy="219438"/>
            <wp:effectExtent l="0" t="0" r="9525" b="9525"/>
            <wp:docPr id="1407212517" name="Picture 140721251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icon"/>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8B1B7F">
          <w:rPr>
            <w:rStyle w:val="Hyperlink"/>
            <w:position w:val="10"/>
          </w:rPr>
          <w:t>MassHealth on YouTube</w:t>
        </w:r>
      </w:hyperlink>
    </w:p>
    <w:p w14:paraId="231FF273" w14:textId="77777777" w:rsidR="0041466F" w:rsidRPr="0041466F" w:rsidRDefault="0041466F" w:rsidP="00AC798F"/>
    <w:sectPr w:rsidR="0041466F" w:rsidRPr="0041466F" w:rsidSect="00141EFC">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F471C" w14:textId="77777777" w:rsidR="003720A2" w:rsidRDefault="003720A2" w:rsidP="00AC798F">
      <w:r>
        <w:separator/>
      </w:r>
    </w:p>
  </w:endnote>
  <w:endnote w:type="continuationSeparator" w:id="0">
    <w:p w14:paraId="206BC44A" w14:textId="77777777" w:rsidR="003720A2" w:rsidRDefault="003720A2" w:rsidP="00AC798F">
      <w:r>
        <w:continuationSeparator/>
      </w:r>
    </w:p>
  </w:endnote>
  <w:endnote w:type="continuationNotice" w:id="1">
    <w:p w14:paraId="3F58CF90" w14:textId="77777777" w:rsidR="003720A2" w:rsidRDefault="00372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675BF" w14:textId="7DF15D2F" w:rsidR="00D56141" w:rsidRDefault="00141911">
    <w:pPr>
      <w:pStyle w:val="Footer"/>
      <w:jc w:val="center"/>
    </w:pPr>
    <w:r>
      <w:t xml:space="preserve">Page </w:t>
    </w:r>
    <w:sdt>
      <w:sdtPr>
        <w:id w:val="-498045026"/>
        <w:docPartObj>
          <w:docPartGallery w:val="Page Numbers (Bottom of Page)"/>
          <w:docPartUnique/>
        </w:docPartObj>
      </w:sdtPr>
      <w:sdtEndPr>
        <w:rPr>
          <w:noProof/>
        </w:rPr>
      </w:sdtEndPr>
      <w:sdtContent>
        <w:r w:rsidR="00D56141">
          <w:fldChar w:fldCharType="begin"/>
        </w:r>
        <w:r w:rsidR="00D56141">
          <w:instrText xml:space="preserve"> PAGE   \* MERGEFORMAT </w:instrText>
        </w:r>
        <w:r w:rsidR="00D56141">
          <w:fldChar w:fldCharType="separate"/>
        </w:r>
        <w:r w:rsidR="00D56141">
          <w:rPr>
            <w:noProof/>
          </w:rPr>
          <w:t>2</w:t>
        </w:r>
        <w:r w:rsidR="00D56141">
          <w:rPr>
            <w:noProof/>
          </w:rPr>
          <w:fldChar w:fldCharType="end"/>
        </w:r>
        <w:r w:rsidR="00C024EB">
          <w:rPr>
            <w:noProof/>
          </w:rPr>
          <w:t xml:space="preserve"> of 3</w:t>
        </w:r>
      </w:sdtContent>
    </w:sdt>
  </w:p>
  <w:p w14:paraId="55801726" w14:textId="77777777" w:rsidR="00D56141" w:rsidRDefault="00D56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137198"/>
      <w:docPartObj>
        <w:docPartGallery w:val="Page Numbers (Bottom of Page)"/>
        <w:docPartUnique/>
      </w:docPartObj>
    </w:sdtPr>
    <w:sdtEndPr>
      <w:rPr>
        <w:noProof/>
      </w:rPr>
    </w:sdtEndPr>
    <w:sdtContent>
      <w:p w14:paraId="74696839" w14:textId="43F9B191" w:rsidR="00D56141" w:rsidRDefault="00141911">
        <w:pPr>
          <w:pStyle w:val="Footer"/>
          <w:jc w:val="center"/>
        </w:pPr>
        <w:r>
          <w:t xml:space="preserve">Page </w:t>
        </w:r>
        <w:r w:rsidR="00D56141">
          <w:fldChar w:fldCharType="begin"/>
        </w:r>
        <w:r w:rsidR="00D56141">
          <w:instrText xml:space="preserve"> PAGE   \* MERGEFORMAT </w:instrText>
        </w:r>
        <w:r w:rsidR="00D56141">
          <w:fldChar w:fldCharType="separate"/>
        </w:r>
        <w:r w:rsidR="00D56141">
          <w:rPr>
            <w:noProof/>
          </w:rPr>
          <w:t>2</w:t>
        </w:r>
        <w:r w:rsidR="00D56141">
          <w:rPr>
            <w:noProof/>
          </w:rPr>
          <w:fldChar w:fldCharType="end"/>
        </w:r>
        <w:r w:rsidR="00C024EB">
          <w:rPr>
            <w:noProof/>
          </w:rPr>
          <w:t xml:space="preserve"> of 3</w:t>
        </w:r>
      </w:p>
    </w:sdtContent>
  </w:sdt>
  <w:p w14:paraId="0AD03BD6" w14:textId="77777777" w:rsidR="00D56141" w:rsidRDefault="00D5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FFF40" w14:textId="77777777" w:rsidR="003720A2" w:rsidRDefault="003720A2" w:rsidP="00AC798F">
      <w:r>
        <w:separator/>
      </w:r>
    </w:p>
  </w:footnote>
  <w:footnote w:type="continuationSeparator" w:id="0">
    <w:p w14:paraId="2C49BDE3" w14:textId="77777777" w:rsidR="003720A2" w:rsidRDefault="003720A2" w:rsidP="00AC798F">
      <w:r>
        <w:continuationSeparator/>
      </w:r>
    </w:p>
  </w:footnote>
  <w:footnote w:type="continuationNotice" w:id="1">
    <w:p w14:paraId="2493A5C9" w14:textId="77777777" w:rsidR="003720A2" w:rsidRDefault="00372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58396" w14:textId="77777777" w:rsidR="00427536" w:rsidRPr="00AC798F" w:rsidRDefault="00427536" w:rsidP="00427536">
    <w:pPr>
      <w:jc w:val="right"/>
    </w:pPr>
    <w:r w:rsidRPr="00AC798F">
      <w:t>EOHHS</w:t>
    </w:r>
  </w:p>
  <w:p w14:paraId="33F5EAE2" w14:textId="3AFC45FA" w:rsidR="00427536" w:rsidRPr="00AC798F" w:rsidRDefault="00427536" w:rsidP="00427536">
    <w:pPr>
      <w:jc w:val="right"/>
    </w:pPr>
    <w:r w:rsidRPr="00AC798F">
      <w:t xml:space="preserve">Administrative Bulletin </w:t>
    </w:r>
    <w:r>
      <w:t>24</w:t>
    </w:r>
    <w:r w:rsidR="00775504">
      <w:t>-17</w:t>
    </w:r>
  </w:p>
  <w:p w14:paraId="7C40AE53" w14:textId="5191C159" w:rsidR="00427536" w:rsidRPr="00AC798F" w:rsidRDefault="00427536" w:rsidP="00427536">
    <w:pPr>
      <w:jc w:val="right"/>
    </w:pPr>
    <w:r w:rsidRPr="00AC798F">
      <w:t xml:space="preserve">Effective </w:t>
    </w:r>
    <w:r w:rsidR="00D7659F">
      <w:t>April</w:t>
    </w:r>
    <w:r>
      <w:t xml:space="preserve"> 1, 2024</w:t>
    </w:r>
  </w:p>
  <w:p w14:paraId="586C9844" w14:textId="77777777" w:rsidR="00427536" w:rsidRDefault="0042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E8036" w14:textId="77777777" w:rsidR="00B1781F" w:rsidRPr="006E5DED" w:rsidRDefault="00B1781F" w:rsidP="00B1781F">
    <w:pPr>
      <w:pStyle w:val="Header"/>
      <w:rPr>
        <w:noProof/>
      </w:rPr>
    </w:pPr>
    <w:r>
      <w:rPr>
        <w:noProof/>
        <w:color w:val="1F497D" w:themeColor="text2"/>
      </w:rPr>
      <w:drawing>
        <wp:anchor distT="0" distB="0" distL="114300" distR="114300" simplePos="0" relativeHeight="251658241" behindDoc="0" locked="0" layoutInCell="1" allowOverlap="1" wp14:anchorId="0585CDBE" wp14:editId="3E27F88B">
          <wp:simplePos x="0" y="0"/>
          <wp:positionH relativeFrom="column">
            <wp:posOffset>4798695</wp:posOffset>
          </wp:positionH>
          <wp:positionV relativeFrom="paragraph">
            <wp:posOffset>123825</wp:posOffset>
          </wp:positionV>
          <wp:extent cx="1174115" cy="621665"/>
          <wp:effectExtent l="0" t="0" r="6985" b="6985"/>
          <wp:wrapNone/>
          <wp:docPr id="3" name="Picture 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8240" behindDoc="0" locked="0" layoutInCell="1" allowOverlap="1" wp14:anchorId="289EFEAE" wp14:editId="769D24D0">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434DC54" w14:textId="77777777" w:rsidR="00B1781F" w:rsidRPr="00AC798F" w:rsidRDefault="00B1781F" w:rsidP="00B1781F">
                          <w:pPr>
                            <w:pStyle w:val="Header"/>
                            <w:jc w:val="center"/>
                            <w:rPr>
                              <w:color w:val="4F81BD" w:themeColor="accent1"/>
                              <w:sz w:val="20"/>
                            </w:rPr>
                          </w:pPr>
                          <w:r w:rsidRPr="00AC798F">
                            <w:rPr>
                              <w:color w:val="4F81BD" w:themeColor="accent1"/>
                            </w:rPr>
                            <w:t>EXECUTIVE OFFICE OF HEALTH AND HUMAN SERVICES</w:t>
                          </w:r>
                        </w:p>
                        <w:p w14:paraId="6AF55F33" w14:textId="77777777" w:rsidR="00B1781F" w:rsidRPr="00AC798F" w:rsidRDefault="00B1781F" w:rsidP="00B1781F">
                          <w:pPr>
                            <w:pStyle w:val="Header"/>
                            <w:jc w:val="center"/>
                            <w:rPr>
                              <w:b/>
                              <w:bCs/>
                              <w:color w:val="4F81BD" w:themeColor="accent1"/>
                            </w:rPr>
                          </w:pPr>
                          <w:r w:rsidRPr="00AC798F">
                            <w:rPr>
                              <w:b/>
                              <w:bCs/>
                              <w:color w:val="4F81BD" w:themeColor="accent1"/>
                            </w:rPr>
                            <w:t>COMMONWEALTH OF MASSACHUSETTS</w:t>
                          </w:r>
                        </w:p>
                        <w:p w14:paraId="62521BD0" w14:textId="77777777" w:rsidR="00B1781F" w:rsidRDefault="00B1781F" w:rsidP="00B1781F">
                          <w:pPr>
                            <w:pStyle w:val="Header"/>
                            <w:jc w:val="center"/>
                            <w:rPr>
                              <w:color w:val="4F81BD" w:themeColor="accent1"/>
                            </w:rPr>
                          </w:pPr>
                          <w:r w:rsidRPr="00AC798F">
                            <w:rPr>
                              <w:color w:val="4F81BD" w:themeColor="accent1"/>
                            </w:rPr>
                            <w:t>ONE ASHBURTON PLACE, BOSTON, MA 02108</w:t>
                          </w:r>
                        </w:p>
                        <w:p w14:paraId="0301F72C" w14:textId="77777777" w:rsidR="00B1781F" w:rsidRPr="00AC798F" w:rsidRDefault="00B1781F" w:rsidP="00B1781F">
                          <w:pPr>
                            <w:pStyle w:val="Header"/>
                            <w:jc w:val="center"/>
                            <w:rPr>
                              <w:color w:val="4F81BD" w:themeColor="accent1"/>
                            </w:rPr>
                          </w:pPr>
                          <w:r>
                            <w:rPr>
                              <w:color w:val="4F81BD" w:themeColor="accent1"/>
                            </w:rPr>
                            <w:t>(617) 573-1600</w:t>
                          </w:r>
                        </w:p>
                        <w:p w14:paraId="7D740914" w14:textId="77777777" w:rsidR="00B1781F" w:rsidRDefault="00B1781F" w:rsidP="00B178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EFEAE"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434DC54" w14:textId="77777777" w:rsidR="00B1781F" w:rsidRPr="00AC798F" w:rsidRDefault="00B1781F" w:rsidP="00B1781F">
                    <w:pPr>
                      <w:pStyle w:val="Header"/>
                      <w:jc w:val="center"/>
                      <w:rPr>
                        <w:color w:val="4F81BD" w:themeColor="accent1"/>
                        <w:sz w:val="20"/>
                      </w:rPr>
                    </w:pPr>
                    <w:r w:rsidRPr="00AC798F">
                      <w:rPr>
                        <w:color w:val="4F81BD" w:themeColor="accent1"/>
                      </w:rPr>
                      <w:t>EXECUTIVE OFFICE OF HEALTH AND HUMAN SERVICES</w:t>
                    </w:r>
                  </w:p>
                  <w:p w14:paraId="6AF55F33" w14:textId="77777777" w:rsidR="00B1781F" w:rsidRPr="00AC798F" w:rsidRDefault="00B1781F" w:rsidP="00B1781F">
                    <w:pPr>
                      <w:pStyle w:val="Header"/>
                      <w:jc w:val="center"/>
                      <w:rPr>
                        <w:b/>
                        <w:bCs/>
                        <w:color w:val="4F81BD" w:themeColor="accent1"/>
                      </w:rPr>
                    </w:pPr>
                    <w:r w:rsidRPr="00AC798F">
                      <w:rPr>
                        <w:b/>
                        <w:bCs/>
                        <w:color w:val="4F81BD" w:themeColor="accent1"/>
                      </w:rPr>
                      <w:t>COMMONWEALTH OF MASSACHUSETTS</w:t>
                    </w:r>
                  </w:p>
                  <w:p w14:paraId="62521BD0" w14:textId="77777777" w:rsidR="00B1781F" w:rsidRDefault="00B1781F" w:rsidP="00B1781F">
                    <w:pPr>
                      <w:pStyle w:val="Header"/>
                      <w:jc w:val="center"/>
                      <w:rPr>
                        <w:color w:val="4F81BD" w:themeColor="accent1"/>
                      </w:rPr>
                    </w:pPr>
                    <w:r w:rsidRPr="00AC798F">
                      <w:rPr>
                        <w:color w:val="4F81BD" w:themeColor="accent1"/>
                      </w:rPr>
                      <w:t>ONE ASHBURTON PLACE, BOSTON, MA 02108</w:t>
                    </w:r>
                  </w:p>
                  <w:p w14:paraId="0301F72C" w14:textId="77777777" w:rsidR="00B1781F" w:rsidRPr="00AC798F" w:rsidRDefault="00B1781F" w:rsidP="00B1781F">
                    <w:pPr>
                      <w:pStyle w:val="Header"/>
                      <w:jc w:val="center"/>
                      <w:rPr>
                        <w:color w:val="4F81BD" w:themeColor="accent1"/>
                      </w:rPr>
                    </w:pPr>
                    <w:r>
                      <w:rPr>
                        <w:color w:val="4F81BD" w:themeColor="accent1"/>
                      </w:rPr>
                      <w:t>(617) 573-1600</w:t>
                    </w:r>
                  </w:p>
                  <w:p w14:paraId="7D740914" w14:textId="77777777" w:rsidR="00B1781F" w:rsidRDefault="00B1781F" w:rsidP="00B1781F"/>
                </w:txbxContent>
              </v:textbox>
            </v:shape>
          </w:pict>
        </mc:Fallback>
      </mc:AlternateContent>
    </w:r>
    <w:r>
      <w:rPr>
        <w:noProof/>
      </w:rPr>
      <w:drawing>
        <wp:inline distT="0" distB="0" distL="0" distR="0" wp14:anchorId="059A23F8" wp14:editId="684ECA32">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6C095D00" w14:textId="77777777" w:rsidR="00B1781F" w:rsidRDefault="00B1781F" w:rsidP="00B1781F">
    <w:pPr>
      <w:pStyle w:val="Header"/>
    </w:pPr>
    <w:r>
      <w:ptab w:relativeTo="margin" w:alignment="right" w:leader="none"/>
    </w:r>
  </w:p>
  <w:p w14:paraId="3E41AA7B" w14:textId="77777777" w:rsidR="00B1781F" w:rsidRPr="00AC798F" w:rsidRDefault="00B1781F" w:rsidP="00B1781F">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783616A8" w14:textId="77777777" w:rsidR="00B1781F" w:rsidRPr="00AC798F" w:rsidRDefault="00B1781F" w:rsidP="00B1781F">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E103366" w14:textId="77777777" w:rsidR="00B1781F" w:rsidRPr="00AC798F" w:rsidRDefault="00B1781F" w:rsidP="00B1781F">
    <w:pPr>
      <w:pStyle w:val="Header"/>
      <w:rPr>
        <w:color w:val="1F497D" w:themeColor="text2"/>
      </w:rPr>
    </w:pPr>
  </w:p>
  <w:p w14:paraId="5E90C05F" w14:textId="77777777" w:rsidR="00B1781F" w:rsidRPr="00AC798F" w:rsidRDefault="00B1781F" w:rsidP="00B1781F">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230E110" w14:textId="77777777" w:rsidR="00B1781F" w:rsidRPr="00AC798F" w:rsidRDefault="00B1781F" w:rsidP="00B1781F">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583719DF" w14:textId="77777777" w:rsidR="00AC798F" w:rsidRPr="00B1781F" w:rsidRDefault="00B1781F" w:rsidP="00AC798F">
    <w:pPr>
      <w:pStyle w:val="Header"/>
      <w:rPr>
        <w:color w:val="1F497D" w:themeColor="text2"/>
      </w:rPr>
    </w:pPr>
    <w:r w:rsidRPr="00AC798F">
      <w:rPr>
        <w:color w:val="1F497D" w:themeColor="text2"/>
      </w:rPr>
      <w:tab/>
    </w:r>
    <w:r w:rsidRPr="00AC798F">
      <w:rPr>
        <w:color w:val="1F497D" w:themeColor="text2"/>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332C"/>
    <w:rsid w:val="00024809"/>
    <w:rsid w:val="0005024B"/>
    <w:rsid w:val="000545C7"/>
    <w:rsid w:val="000722C4"/>
    <w:rsid w:val="00094509"/>
    <w:rsid w:val="00097D87"/>
    <w:rsid w:val="000A5484"/>
    <w:rsid w:val="000B3478"/>
    <w:rsid w:val="000F4F14"/>
    <w:rsid w:val="00102CD0"/>
    <w:rsid w:val="00106E6F"/>
    <w:rsid w:val="00134730"/>
    <w:rsid w:val="00134791"/>
    <w:rsid w:val="001374B1"/>
    <w:rsid w:val="00141911"/>
    <w:rsid w:val="00141EFC"/>
    <w:rsid w:val="00146C2F"/>
    <w:rsid w:val="00151526"/>
    <w:rsid w:val="00153DCE"/>
    <w:rsid w:val="00154CA9"/>
    <w:rsid w:val="001574AC"/>
    <w:rsid w:val="00177443"/>
    <w:rsid w:val="00185152"/>
    <w:rsid w:val="00186DB2"/>
    <w:rsid w:val="00193348"/>
    <w:rsid w:val="00195C12"/>
    <w:rsid w:val="001972AB"/>
    <w:rsid w:val="001A4149"/>
    <w:rsid w:val="001A7742"/>
    <w:rsid w:val="001B68EE"/>
    <w:rsid w:val="001C15F8"/>
    <w:rsid w:val="001D628B"/>
    <w:rsid w:val="001F390D"/>
    <w:rsid w:val="0022152B"/>
    <w:rsid w:val="002439A3"/>
    <w:rsid w:val="002448DD"/>
    <w:rsid w:val="00264CCC"/>
    <w:rsid w:val="00266B97"/>
    <w:rsid w:val="00271D28"/>
    <w:rsid w:val="00284238"/>
    <w:rsid w:val="00296C52"/>
    <w:rsid w:val="002A779E"/>
    <w:rsid w:val="002B6E8B"/>
    <w:rsid w:val="002E7357"/>
    <w:rsid w:val="003113E4"/>
    <w:rsid w:val="00324B18"/>
    <w:rsid w:val="0033130A"/>
    <w:rsid w:val="00343502"/>
    <w:rsid w:val="00345836"/>
    <w:rsid w:val="00351564"/>
    <w:rsid w:val="00355EAD"/>
    <w:rsid w:val="00361C55"/>
    <w:rsid w:val="00363517"/>
    <w:rsid w:val="00370C8A"/>
    <w:rsid w:val="003720A2"/>
    <w:rsid w:val="00373D08"/>
    <w:rsid w:val="003A3882"/>
    <w:rsid w:val="003A7D3C"/>
    <w:rsid w:val="003D267E"/>
    <w:rsid w:val="003D3754"/>
    <w:rsid w:val="003D6C6E"/>
    <w:rsid w:val="003F6AAE"/>
    <w:rsid w:val="0041466F"/>
    <w:rsid w:val="00426EBB"/>
    <w:rsid w:val="00427536"/>
    <w:rsid w:val="004321FD"/>
    <w:rsid w:val="004361AB"/>
    <w:rsid w:val="00443CDB"/>
    <w:rsid w:val="00465E5A"/>
    <w:rsid w:val="00470AB9"/>
    <w:rsid w:val="004C0FC9"/>
    <w:rsid w:val="004C233C"/>
    <w:rsid w:val="004C3146"/>
    <w:rsid w:val="004C5805"/>
    <w:rsid w:val="004D48D7"/>
    <w:rsid w:val="005246D9"/>
    <w:rsid w:val="005324B8"/>
    <w:rsid w:val="00533A3B"/>
    <w:rsid w:val="0053555D"/>
    <w:rsid w:val="00554472"/>
    <w:rsid w:val="0056474D"/>
    <w:rsid w:val="005702E6"/>
    <w:rsid w:val="0057224E"/>
    <w:rsid w:val="00585302"/>
    <w:rsid w:val="00587420"/>
    <w:rsid w:val="005924F7"/>
    <w:rsid w:val="00596F12"/>
    <w:rsid w:val="00597C39"/>
    <w:rsid w:val="005A0F4C"/>
    <w:rsid w:val="005B5D35"/>
    <w:rsid w:val="005C39F9"/>
    <w:rsid w:val="005C5CE7"/>
    <w:rsid w:val="005E3593"/>
    <w:rsid w:val="005F20AC"/>
    <w:rsid w:val="005F66F1"/>
    <w:rsid w:val="00607406"/>
    <w:rsid w:val="006221BF"/>
    <w:rsid w:val="0064272D"/>
    <w:rsid w:val="00644D27"/>
    <w:rsid w:val="00656FFF"/>
    <w:rsid w:val="006718AB"/>
    <w:rsid w:val="00681147"/>
    <w:rsid w:val="006B1D87"/>
    <w:rsid w:val="006B6EE0"/>
    <w:rsid w:val="006C1463"/>
    <w:rsid w:val="006E3FF5"/>
    <w:rsid w:val="006E5DED"/>
    <w:rsid w:val="0070235D"/>
    <w:rsid w:val="00720C4F"/>
    <w:rsid w:val="00734039"/>
    <w:rsid w:val="00734B73"/>
    <w:rsid w:val="00736A84"/>
    <w:rsid w:val="00743AF4"/>
    <w:rsid w:val="0075692B"/>
    <w:rsid w:val="007708D9"/>
    <w:rsid w:val="00775504"/>
    <w:rsid w:val="00782360"/>
    <w:rsid w:val="00783706"/>
    <w:rsid w:val="00796A70"/>
    <w:rsid w:val="007B48C3"/>
    <w:rsid w:val="007C6320"/>
    <w:rsid w:val="007D0A02"/>
    <w:rsid w:val="007E3CBD"/>
    <w:rsid w:val="007F04B8"/>
    <w:rsid w:val="00800711"/>
    <w:rsid w:val="00805DC5"/>
    <w:rsid w:val="008170C0"/>
    <w:rsid w:val="00855F37"/>
    <w:rsid w:val="008732FB"/>
    <w:rsid w:val="00880FD8"/>
    <w:rsid w:val="008A50C9"/>
    <w:rsid w:val="008C2ADB"/>
    <w:rsid w:val="008C6C37"/>
    <w:rsid w:val="008C7C8A"/>
    <w:rsid w:val="0093305B"/>
    <w:rsid w:val="00964EDE"/>
    <w:rsid w:val="0096615D"/>
    <w:rsid w:val="009704EA"/>
    <w:rsid w:val="0098375C"/>
    <w:rsid w:val="00984786"/>
    <w:rsid w:val="009A03F3"/>
    <w:rsid w:val="009C59C1"/>
    <w:rsid w:val="009C7167"/>
    <w:rsid w:val="009E0B0D"/>
    <w:rsid w:val="00A06F80"/>
    <w:rsid w:val="00A12044"/>
    <w:rsid w:val="00A34C8D"/>
    <w:rsid w:val="00A40EE8"/>
    <w:rsid w:val="00A527CE"/>
    <w:rsid w:val="00A544AD"/>
    <w:rsid w:val="00A843FC"/>
    <w:rsid w:val="00A853A0"/>
    <w:rsid w:val="00A91296"/>
    <w:rsid w:val="00AA1D3B"/>
    <w:rsid w:val="00AA72BD"/>
    <w:rsid w:val="00AB32FF"/>
    <w:rsid w:val="00AB33D8"/>
    <w:rsid w:val="00AC2BAD"/>
    <w:rsid w:val="00AC798F"/>
    <w:rsid w:val="00AD0864"/>
    <w:rsid w:val="00B05E0C"/>
    <w:rsid w:val="00B06640"/>
    <w:rsid w:val="00B1781F"/>
    <w:rsid w:val="00B461B8"/>
    <w:rsid w:val="00B623EB"/>
    <w:rsid w:val="00B72599"/>
    <w:rsid w:val="00B8306B"/>
    <w:rsid w:val="00B94737"/>
    <w:rsid w:val="00BA6D03"/>
    <w:rsid w:val="00BC375D"/>
    <w:rsid w:val="00BD6D10"/>
    <w:rsid w:val="00BE1FB2"/>
    <w:rsid w:val="00BE7C3B"/>
    <w:rsid w:val="00C024EB"/>
    <w:rsid w:val="00C1076E"/>
    <w:rsid w:val="00C325E1"/>
    <w:rsid w:val="00C400D6"/>
    <w:rsid w:val="00C4194A"/>
    <w:rsid w:val="00C61EE5"/>
    <w:rsid w:val="00C87BF7"/>
    <w:rsid w:val="00C94911"/>
    <w:rsid w:val="00CC2277"/>
    <w:rsid w:val="00CE381C"/>
    <w:rsid w:val="00CE681D"/>
    <w:rsid w:val="00D00D88"/>
    <w:rsid w:val="00D02F04"/>
    <w:rsid w:val="00D160CC"/>
    <w:rsid w:val="00D41397"/>
    <w:rsid w:val="00D5182F"/>
    <w:rsid w:val="00D52141"/>
    <w:rsid w:val="00D56141"/>
    <w:rsid w:val="00D63172"/>
    <w:rsid w:val="00D761F6"/>
    <w:rsid w:val="00D7659F"/>
    <w:rsid w:val="00D84B12"/>
    <w:rsid w:val="00DB508B"/>
    <w:rsid w:val="00DB69B3"/>
    <w:rsid w:val="00DE1D3C"/>
    <w:rsid w:val="00E10A6E"/>
    <w:rsid w:val="00E11605"/>
    <w:rsid w:val="00E212B5"/>
    <w:rsid w:val="00E27559"/>
    <w:rsid w:val="00E320F9"/>
    <w:rsid w:val="00E40DFC"/>
    <w:rsid w:val="00E51E57"/>
    <w:rsid w:val="00E56BD5"/>
    <w:rsid w:val="00E620A3"/>
    <w:rsid w:val="00E74BC2"/>
    <w:rsid w:val="00E92AC9"/>
    <w:rsid w:val="00EA07B3"/>
    <w:rsid w:val="00EA2038"/>
    <w:rsid w:val="00EE4CAE"/>
    <w:rsid w:val="00EF1CA6"/>
    <w:rsid w:val="00F03EC6"/>
    <w:rsid w:val="00F03F34"/>
    <w:rsid w:val="00F12C5F"/>
    <w:rsid w:val="00F13E1B"/>
    <w:rsid w:val="00F23F67"/>
    <w:rsid w:val="00F26C36"/>
    <w:rsid w:val="00F44C98"/>
    <w:rsid w:val="00F65E52"/>
    <w:rsid w:val="00F7153B"/>
    <w:rsid w:val="00F77123"/>
    <w:rsid w:val="00F8470F"/>
    <w:rsid w:val="00F8728D"/>
    <w:rsid w:val="00F9180F"/>
    <w:rsid w:val="00FB0D39"/>
    <w:rsid w:val="00FB216E"/>
    <w:rsid w:val="00FB36D4"/>
    <w:rsid w:val="00FD4F34"/>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7D61"/>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296"/>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table" w:styleId="TableGrid">
    <w:name w:val="Table Grid"/>
    <w:basedOn w:val="TableNormal"/>
    <w:rsid w:val="00FB36D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6141"/>
    <w:rPr>
      <w:color w:val="800080" w:themeColor="followedHyperlink"/>
      <w:u w:val="single"/>
    </w:rPr>
  </w:style>
  <w:style w:type="character" w:styleId="CommentReference">
    <w:name w:val="annotation reference"/>
    <w:basedOn w:val="DefaultParagraphFont"/>
    <w:uiPriority w:val="99"/>
    <w:semiHidden/>
    <w:unhideWhenUsed/>
    <w:rsid w:val="00F7153B"/>
    <w:rPr>
      <w:sz w:val="16"/>
      <w:szCs w:val="16"/>
    </w:rPr>
  </w:style>
  <w:style w:type="paragraph" w:styleId="CommentText">
    <w:name w:val="annotation text"/>
    <w:basedOn w:val="Normal"/>
    <w:link w:val="CommentTextChar"/>
    <w:uiPriority w:val="99"/>
    <w:unhideWhenUsed/>
    <w:rsid w:val="00F7153B"/>
    <w:rPr>
      <w:sz w:val="20"/>
      <w:szCs w:val="20"/>
    </w:rPr>
  </w:style>
  <w:style w:type="character" w:customStyle="1" w:styleId="CommentTextChar">
    <w:name w:val="Comment Text Char"/>
    <w:basedOn w:val="DefaultParagraphFont"/>
    <w:link w:val="CommentText"/>
    <w:uiPriority w:val="99"/>
    <w:rsid w:val="00F7153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7153B"/>
    <w:rPr>
      <w:b/>
      <w:bCs/>
    </w:rPr>
  </w:style>
  <w:style w:type="character" w:customStyle="1" w:styleId="CommentSubjectChar">
    <w:name w:val="Comment Subject Char"/>
    <w:basedOn w:val="CommentTextChar"/>
    <w:link w:val="CommentSubject"/>
    <w:uiPriority w:val="99"/>
    <w:semiHidden/>
    <w:rsid w:val="00F7153B"/>
    <w:rPr>
      <w:rFonts w:ascii="Georgia" w:hAnsi="Georgia"/>
      <w:b/>
      <w:bCs/>
      <w:sz w:val="20"/>
      <w:szCs w:val="20"/>
    </w:rPr>
  </w:style>
  <w:style w:type="paragraph" w:styleId="Revision">
    <w:name w:val="Revision"/>
    <w:hidden/>
    <w:uiPriority w:val="99"/>
    <w:semiHidden/>
    <w:rsid w:val="00855F37"/>
    <w:rPr>
      <w:rFonts w:ascii="Georgia" w:hAnsi="Georgia"/>
    </w:rPr>
  </w:style>
  <w:style w:type="paragraph" w:customStyle="1" w:styleId="SubjectLine">
    <w:name w:val="Subject Line"/>
    <w:basedOn w:val="Normal"/>
    <w:qFormat/>
    <w:rsid w:val="00A91296"/>
    <w:pPr>
      <w:spacing w:before="120" w:after="240"/>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9974">
      <w:bodyDiv w:val="1"/>
      <w:marLeft w:val="0"/>
      <w:marRight w:val="0"/>
      <w:marTop w:val="0"/>
      <w:marBottom w:val="0"/>
      <w:divBdr>
        <w:top w:val="none" w:sz="0" w:space="0" w:color="auto"/>
        <w:left w:val="none" w:sz="0" w:space="0" w:color="auto"/>
        <w:bottom w:val="none" w:sz="0" w:space="0" w:color="auto"/>
        <w:right w:val="none" w:sz="0" w:space="0" w:color="auto"/>
      </w:divBdr>
    </w:div>
    <w:div w:id="394671756">
      <w:bodyDiv w:val="1"/>
      <w:marLeft w:val="0"/>
      <w:marRight w:val="0"/>
      <w:marTop w:val="0"/>
      <w:marBottom w:val="0"/>
      <w:divBdr>
        <w:top w:val="none" w:sz="0" w:space="0" w:color="auto"/>
        <w:left w:val="none" w:sz="0" w:space="0" w:color="auto"/>
        <w:bottom w:val="none" w:sz="0" w:space="0" w:color="auto"/>
        <w:right w:val="none" w:sz="0" w:space="0" w:color="auto"/>
      </w:divBdr>
    </w:div>
    <w:div w:id="799036756">
      <w:bodyDiv w:val="1"/>
      <w:marLeft w:val="0"/>
      <w:marRight w:val="0"/>
      <w:marTop w:val="0"/>
      <w:marBottom w:val="0"/>
      <w:divBdr>
        <w:top w:val="none" w:sz="0" w:space="0" w:color="auto"/>
        <w:left w:val="none" w:sz="0" w:space="0" w:color="auto"/>
        <w:bottom w:val="none" w:sz="0" w:space="0" w:color="auto"/>
        <w:right w:val="none" w:sz="0" w:space="0" w:color="auto"/>
      </w:divBdr>
    </w:div>
    <w:div w:id="1440486710">
      <w:bodyDiv w:val="1"/>
      <w:marLeft w:val="0"/>
      <w:marRight w:val="0"/>
      <w:marTop w:val="0"/>
      <w:marBottom w:val="0"/>
      <w:divBdr>
        <w:top w:val="none" w:sz="0" w:space="0" w:color="auto"/>
        <w:left w:val="none" w:sz="0" w:space="0" w:color="auto"/>
        <w:bottom w:val="none" w:sz="0" w:space="0" w:color="auto"/>
        <w:right w:val="none" w:sz="0" w:space="0" w:color="auto"/>
      </w:divBdr>
    </w:div>
    <w:div w:id="19828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MassHealt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1QQ61nTN7LNKkhjrjnY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MassHealt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30f2f647fb9fda524399fb7e0f51922">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f32553dbedb6e13c96979cbd847ae1f0"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SharedWithUsers xmlns="91f3e3b9-8052-4988-a4eb-24f16969dcab">
      <UserInfo>
        <DisplayName>Cassandra Martin</DisplayName>
        <AccountId>59</AccountId>
        <AccountType/>
      </UserInfo>
      <UserInfo>
        <DisplayName>Hyewon Lee</DisplayName>
        <AccountId>8</AccountId>
        <AccountType/>
      </UserInfo>
      <UserInfo>
        <DisplayName>Steven Freedman</DisplayName>
        <AccountId>6</AccountId>
        <AccountType/>
      </UserInfo>
    </SharedWithUsers>
    <TaxCatchAll xmlns="91f3e3b9-8052-4988-a4eb-24f16969dcab" xsi:nil="true"/>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A4DD8C3D-6E3D-440B-A408-1736BCACE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Martin</dc:creator>
  <cp:lastModifiedBy>Karen Kovach</cp:lastModifiedBy>
  <cp:revision>3</cp:revision>
  <cp:lastPrinted>2023-03-01T20:48:00Z</cp:lastPrinted>
  <dcterms:created xsi:type="dcterms:W3CDTF">2024-07-01T15:46:00Z</dcterms:created>
  <dcterms:modified xsi:type="dcterms:W3CDTF">2024-07-01T16:43:00Z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Order">
    <vt:r8>9600</vt:r8>
  </property>
  <property fmtid="{D5CDD505-2E9C-101B-9397-08002B2CF9AE}" pid="4" name="MediaServiceImageTags">
    <vt:lpwstr/>
  </property>
</Properties>
</file>