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07335" w14:textId="77777777" w:rsidR="00EE4CAE" w:rsidRDefault="00EE4CAE" w:rsidP="00AC798F"/>
    <w:p w14:paraId="2E10A7C0" w14:textId="382F2E74" w:rsidR="00533A3B" w:rsidRPr="00AC798F" w:rsidRDefault="00533A3B" w:rsidP="005702E6">
      <w:pPr>
        <w:pStyle w:val="Heading1"/>
        <w:spacing w:before="240"/>
      </w:pPr>
      <w:r w:rsidRPr="00AC798F">
        <w:t xml:space="preserve">Administrative Bulletin </w:t>
      </w:r>
      <w:r w:rsidR="00B85B72" w:rsidRPr="00B85B72">
        <w:t>24</w:t>
      </w:r>
      <w:r w:rsidRPr="00B85B72">
        <w:t>-</w:t>
      </w:r>
      <w:r w:rsidR="009A52B7">
        <w:t>18</w:t>
      </w:r>
      <w:r w:rsidRPr="00AC798F">
        <w:t xml:space="preserve"> </w:t>
      </w:r>
    </w:p>
    <w:p w14:paraId="50002F04" w14:textId="77777777" w:rsidR="00533A3B" w:rsidRPr="00533A3B" w:rsidRDefault="00533A3B" w:rsidP="00AC798F"/>
    <w:p w14:paraId="3218841F" w14:textId="77294045" w:rsidR="00533A3B" w:rsidRPr="00151EF5" w:rsidRDefault="00533A3B" w:rsidP="00AC798F">
      <w:pPr>
        <w:jc w:val="center"/>
        <w:rPr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151EF5">
        <w:rPr>
          <w:b/>
          <w:bCs/>
          <w:sz w:val="24"/>
          <w:szCs w:val="24"/>
        </w:rPr>
        <w:t>334</w:t>
      </w:r>
      <w:r w:rsidRPr="00796A70">
        <w:rPr>
          <w:b/>
          <w:bCs/>
          <w:sz w:val="24"/>
          <w:szCs w:val="24"/>
        </w:rPr>
        <w:t xml:space="preserve">.00: </w:t>
      </w:r>
      <w:r w:rsidR="00DA7151" w:rsidRPr="00DA7151">
        <w:rPr>
          <w:b/>
          <w:bCs/>
          <w:i/>
          <w:iCs/>
          <w:sz w:val="24"/>
          <w:szCs w:val="24"/>
        </w:rPr>
        <w:t xml:space="preserve">Rates for </w:t>
      </w:r>
      <w:r w:rsidR="00151EF5" w:rsidRPr="00DA7151">
        <w:rPr>
          <w:b/>
          <w:bCs/>
          <w:i/>
          <w:iCs/>
          <w:sz w:val="24"/>
          <w:szCs w:val="24"/>
        </w:rPr>
        <w:t>Prostheses</w:t>
      </w:r>
      <w:r w:rsidR="00151EF5">
        <w:rPr>
          <w:b/>
          <w:bCs/>
          <w:i/>
          <w:iCs/>
          <w:sz w:val="24"/>
          <w:szCs w:val="24"/>
        </w:rPr>
        <w:t>, Prosthetic Devices</w:t>
      </w:r>
      <w:r w:rsidR="005D7315">
        <w:rPr>
          <w:b/>
          <w:bCs/>
          <w:i/>
          <w:iCs/>
          <w:sz w:val="24"/>
          <w:szCs w:val="24"/>
        </w:rPr>
        <w:t>,</w:t>
      </w:r>
      <w:r w:rsidR="00151EF5">
        <w:rPr>
          <w:b/>
          <w:bCs/>
          <w:i/>
          <w:iCs/>
          <w:sz w:val="24"/>
          <w:szCs w:val="24"/>
        </w:rPr>
        <w:t xml:space="preserve"> and Orthotic Devices </w:t>
      </w:r>
    </w:p>
    <w:p w14:paraId="719160AA" w14:textId="77777777" w:rsidR="00533A3B" w:rsidRPr="00796A70" w:rsidRDefault="00533A3B" w:rsidP="00AC798F">
      <w:pPr>
        <w:rPr>
          <w:sz w:val="24"/>
          <w:szCs w:val="24"/>
        </w:rPr>
      </w:pPr>
    </w:p>
    <w:p w14:paraId="71365DEE" w14:textId="6F8D1EBD" w:rsidR="00533A3B" w:rsidRDefault="00533A3B" w:rsidP="0079790A">
      <w:pPr>
        <w:jc w:val="center"/>
        <w:rPr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DA7151">
        <w:rPr>
          <w:sz w:val="24"/>
          <w:szCs w:val="24"/>
        </w:rPr>
        <w:t>April</w:t>
      </w:r>
      <w:r w:rsidR="00B85B72" w:rsidRPr="00B85B72">
        <w:rPr>
          <w:sz w:val="24"/>
          <w:szCs w:val="24"/>
        </w:rPr>
        <w:t xml:space="preserve"> 1, 2024</w:t>
      </w:r>
    </w:p>
    <w:p w14:paraId="07D71231" w14:textId="77777777" w:rsidR="0079790A" w:rsidRDefault="0079790A" w:rsidP="006F58BE">
      <w:pPr>
        <w:jc w:val="center"/>
        <w:rPr>
          <w:sz w:val="24"/>
          <w:szCs w:val="24"/>
        </w:rPr>
      </w:pPr>
    </w:p>
    <w:p w14:paraId="4DBE5D2F" w14:textId="77777777" w:rsidR="009C649B" w:rsidRDefault="009C649B" w:rsidP="006F58BE">
      <w:pPr>
        <w:pStyle w:val="SubjectLine"/>
      </w:pPr>
      <w:r>
        <w:t xml:space="preserve">Code Updates for Certain </w:t>
      </w:r>
      <w:r w:rsidR="00F514A6">
        <w:t>Prostheses and Orthotic Devices</w:t>
      </w:r>
    </w:p>
    <w:p w14:paraId="3059C3E0" w14:textId="77777777" w:rsidR="0079790A" w:rsidRPr="00DC640F" w:rsidRDefault="0079790A" w:rsidP="006F58BE">
      <w:pPr>
        <w:jc w:val="center"/>
        <w:rPr>
          <w:b/>
          <w:bCs/>
          <w:sz w:val="24"/>
          <w:szCs w:val="24"/>
        </w:rPr>
      </w:pPr>
    </w:p>
    <w:p w14:paraId="1B09B94E" w14:textId="77777777" w:rsidR="003F7A86" w:rsidRDefault="003F7A86" w:rsidP="006F58BE">
      <w:pPr>
        <w:pStyle w:val="Heading2"/>
        <w:spacing w:before="240"/>
      </w:pPr>
      <w:r w:rsidRPr="00DC640F">
        <w:t>Summary</w:t>
      </w:r>
    </w:p>
    <w:p w14:paraId="326A0FFE" w14:textId="1E98ADFE" w:rsidR="00B85B72" w:rsidRPr="006F58BE" w:rsidRDefault="00B85B72" w:rsidP="006F58BE">
      <w:pPr>
        <w:spacing w:after="120" w:line="276" w:lineRule="auto"/>
        <w:rPr>
          <w:rFonts w:eastAsia="Times" w:cs="Times New Roman"/>
        </w:rPr>
      </w:pPr>
      <w:r w:rsidRPr="006F58BE">
        <w:rPr>
          <w:rFonts w:cs="Times New Roman"/>
        </w:rPr>
        <w:t>Under 101 CMR 334.01(</w:t>
      </w:r>
      <w:r w:rsidR="008A0890" w:rsidRPr="006F58BE">
        <w:rPr>
          <w:rFonts w:cs="Times New Roman"/>
        </w:rPr>
        <w:t>5</w:t>
      </w:r>
      <w:r w:rsidR="00332BC5" w:rsidRPr="006F58BE">
        <w:rPr>
          <w:rFonts w:cs="Times New Roman"/>
        </w:rPr>
        <w:t>)</w:t>
      </w:r>
      <w:r w:rsidRPr="006F58BE">
        <w:rPr>
          <w:rFonts w:cs="Times New Roman"/>
        </w:rPr>
        <w:t>, the Executive Office of Health and Human Services</w:t>
      </w:r>
      <w:r w:rsidR="00F54CC6" w:rsidRPr="006F58BE">
        <w:rPr>
          <w:rFonts w:cs="Times New Roman"/>
        </w:rPr>
        <w:t xml:space="preserve"> (EOHHS)</w:t>
      </w:r>
      <w:r w:rsidRPr="006F58BE">
        <w:rPr>
          <w:rFonts w:cs="Times New Roman"/>
        </w:rPr>
        <w:t xml:space="preserve"> is adding new service codes</w:t>
      </w:r>
      <w:r w:rsidR="00DA7151" w:rsidRPr="006F58BE">
        <w:rPr>
          <w:rFonts w:cs="Times New Roman"/>
        </w:rPr>
        <w:t xml:space="preserve"> </w:t>
      </w:r>
      <w:r w:rsidRPr="006F58BE">
        <w:rPr>
          <w:rFonts w:cs="Times New Roman"/>
        </w:rPr>
        <w:t xml:space="preserve">effective for dates of service on or after </w:t>
      </w:r>
      <w:r w:rsidR="00DA7151" w:rsidRPr="006F58BE">
        <w:rPr>
          <w:rFonts w:cs="Times New Roman"/>
        </w:rPr>
        <w:t>April</w:t>
      </w:r>
      <w:r w:rsidRPr="006F58BE">
        <w:rPr>
          <w:rFonts w:cs="Times New Roman"/>
        </w:rPr>
        <w:t xml:space="preserve"> 1, 2024.   </w:t>
      </w:r>
    </w:p>
    <w:p w14:paraId="29F450D4" w14:textId="018C5715" w:rsidR="00B85B72" w:rsidRPr="006F58BE" w:rsidRDefault="00F54CC6" w:rsidP="006F58BE">
      <w:pPr>
        <w:spacing w:after="120" w:line="276" w:lineRule="auto"/>
        <w:rPr>
          <w:rFonts w:cs="Times New Roman"/>
        </w:rPr>
      </w:pPr>
      <w:r w:rsidRPr="006F58BE">
        <w:rPr>
          <w:rFonts w:cs="Times New Roman"/>
        </w:rPr>
        <w:t>Following</w:t>
      </w:r>
      <w:r w:rsidR="00B85B72" w:rsidRPr="006F58BE">
        <w:rPr>
          <w:rFonts w:cs="Times New Roman"/>
        </w:rPr>
        <w:t xml:space="preserve"> 101 CMR 334.0</w:t>
      </w:r>
      <w:r w:rsidR="00F74285" w:rsidRPr="006F58BE">
        <w:rPr>
          <w:rFonts w:cs="Times New Roman"/>
        </w:rPr>
        <w:t>3(2)</w:t>
      </w:r>
      <w:r w:rsidR="00B85B72" w:rsidRPr="006F58BE">
        <w:rPr>
          <w:rFonts w:cs="Times New Roman"/>
        </w:rPr>
        <w:t xml:space="preserve">, for new codes </w:t>
      </w:r>
      <w:r w:rsidR="005D7315" w:rsidRPr="006F58BE">
        <w:rPr>
          <w:rFonts w:cs="Times New Roman"/>
        </w:rPr>
        <w:t>with</w:t>
      </w:r>
      <w:r w:rsidR="00B85B72" w:rsidRPr="006F58BE">
        <w:rPr>
          <w:rFonts w:cs="Times New Roman"/>
        </w:rPr>
        <w:t xml:space="preserve"> Medicare fees, payment rates will be set at a percentage of prevailing Medicare fees. For new codes </w:t>
      </w:r>
      <w:r w:rsidR="005D7315" w:rsidRPr="006F58BE">
        <w:rPr>
          <w:rFonts w:cs="Times New Roman"/>
        </w:rPr>
        <w:t>without associated</w:t>
      </w:r>
      <w:r w:rsidR="00B85B72" w:rsidRPr="006F58BE">
        <w:rPr>
          <w:rFonts w:cs="Times New Roman"/>
        </w:rPr>
        <w:t xml:space="preserve"> Medicare fees, rates are set at individual consideration</w:t>
      </w:r>
      <w:r w:rsidR="005D7315" w:rsidRPr="006F58BE">
        <w:rPr>
          <w:rFonts w:cs="Times New Roman"/>
        </w:rPr>
        <w:t xml:space="preserve"> (IC)</w:t>
      </w:r>
      <w:r w:rsidR="00B85B72" w:rsidRPr="006F58BE">
        <w:rPr>
          <w:rFonts w:cs="Times New Roman"/>
        </w:rPr>
        <w:t>, as defined in 101 CMR 334.02</w:t>
      </w:r>
      <w:r w:rsidR="00C2117E" w:rsidRPr="006F58BE">
        <w:rPr>
          <w:rFonts w:cs="Times New Roman"/>
        </w:rPr>
        <w:t xml:space="preserve">. When applicable, </w:t>
      </w:r>
      <w:r w:rsidRPr="006F58BE">
        <w:rPr>
          <w:rFonts w:cs="Times New Roman"/>
        </w:rPr>
        <w:t>under</w:t>
      </w:r>
      <w:r w:rsidR="00136C6E" w:rsidRPr="006F58BE">
        <w:rPr>
          <w:rFonts w:cs="Times New Roman"/>
        </w:rPr>
        <w:t>101 CMR 334.03(9)</w:t>
      </w:r>
      <w:r w:rsidR="007E1B9A" w:rsidRPr="006F58BE">
        <w:rPr>
          <w:rFonts w:cs="Times New Roman"/>
        </w:rPr>
        <w:t>(b)</w:t>
      </w:r>
      <w:r w:rsidR="009D588E" w:rsidRPr="006F58BE">
        <w:rPr>
          <w:rFonts w:cs="Times New Roman"/>
        </w:rPr>
        <w:t xml:space="preserve">, the </w:t>
      </w:r>
      <w:r w:rsidR="005D7315" w:rsidRPr="006F58BE">
        <w:rPr>
          <w:rFonts w:cs="Times New Roman"/>
        </w:rPr>
        <w:t>IC</w:t>
      </w:r>
      <w:r w:rsidR="009D588E" w:rsidRPr="006F58BE">
        <w:rPr>
          <w:rFonts w:cs="Times New Roman"/>
        </w:rPr>
        <w:t xml:space="preserve"> rate is calculated using the adjusted acquisition cost</w:t>
      </w:r>
      <w:r w:rsidR="00E53436" w:rsidRPr="006F58BE">
        <w:rPr>
          <w:rFonts w:cs="Times New Roman"/>
        </w:rPr>
        <w:t xml:space="preserve"> </w:t>
      </w:r>
      <w:r w:rsidR="009D588E" w:rsidRPr="006F58BE">
        <w:rPr>
          <w:rFonts w:cs="Times New Roman"/>
        </w:rPr>
        <w:t xml:space="preserve">methodology, </w:t>
      </w:r>
      <w:r w:rsidRPr="006F58BE">
        <w:rPr>
          <w:rFonts w:cs="Times New Roman"/>
        </w:rPr>
        <w:t>following</w:t>
      </w:r>
      <w:r w:rsidR="009D588E" w:rsidRPr="006F58BE">
        <w:rPr>
          <w:rFonts w:cs="Times New Roman"/>
        </w:rPr>
        <w:t xml:space="preserve"> 101 CMR 334.03(8)</w:t>
      </w:r>
      <w:r w:rsidR="00B85B72" w:rsidRPr="006F58BE">
        <w:rPr>
          <w:rFonts w:cs="Times New Roman"/>
        </w:rPr>
        <w:t>. Rates listed in this administrative bulletin are applicable until revised rates are issued by EOHHS.</w:t>
      </w:r>
    </w:p>
    <w:p w14:paraId="61815457" w14:textId="22E3D4B5" w:rsidR="000B507B" w:rsidRPr="0079790A" w:rsidRDefault="00B85B72" w:rsidP="006F58BE">
      <w:pPr>
        <w:spacing w:after="120" w:line="276" w:lineRule="auto"/>
      </w:pPr>
      <w:r w:rsidRPr="006F58BE">
        <w:rPr>
          <w:rFonts w:eastAsia="Times" w:cs="Times New Roman"/>
        </w:rPr>
        <w:t xml:space="preserve">The appearance of a code in the table below does not constitute authorization for, or approval of, the procedures or services for which rates are determined </w:t>
      </w:r>
      <w:r w:rsidR="005D7315" w:rsidRPr="006F58BE">
        <w:rPr>
          <w:rFonts w:eastAsia="Times" w:cs="Times New Roman"/>
        </w:rPr>
        <w:t>under</w:t>
      </w:r>
      <w:r w:rsidRPr="006F58BE">
        <w:rPr>
          <w:rFonts w:eastAsia="Times" w:cs="Times New Roman"/>
        </w:rPr>
        <w:t xml:space="preserve"> 101 CMR 334.00. Governmental units that purchase care are responsible for the definition, authorization, and approval of care to publicly aided individuals.</w:t>
      </w:r>
    </w:p>
    <w:p w14:paraId="75852B02" w14:textId="77777777" w:rsidR="006F58BE" w:rsidRDefault="006F58BE">
      <w:pPr>
        <w:rPr>
          <w:rFonts w:eastAsiaTheme="majorEastAsia" w:cstheme="majorBidi"/>
          <w:b/>
          <w:bCs/>
          <w:sz w:val="26"/>
          <w:szCs w:val="26"/>
        </w:rPr>
      </w:pPr>
      <w:r>
        <w:br w:type="page"/>
      </w:r>
    </w:p>
    <w:p w14:paraId="4D265059" w14:textId="1CFEC981" w:rsidR="00533A3B" w:rsidRPr="00DC640F" w:rsidRDefault="00B85B72" w:rsidP="00053427">
      <w:pPr>
        <w:pStyle w:val="Heading2"/>
      </w:pPr>
      <w:r w:rsidRPr="00DC640F">
        <w:lastRenderedPageBreak/>
        <w:t>Added Codes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895"/>
        <w:gridCol w:w="1210"/>
        <w:gridCol w:w="6350"/>
        <w:gridCol w:w="1327"/>
      </w:tblGrid>
      <w:tr w:rsidR="00DA7151" w:rsidRPr="00FC5124" w14:paraId="6B0F6BD0" w14:textId="77777777" w:rsidTr="006F58BE">
        <w:trPr>
          <w:trHeight w:val="3"/>
          <w:tblHeader/>
        </w:trPr>
        <w:tc>
          <w:tcPr>
            <w:tcW w:w="895" w:type="dxa"/>
            <w:noWrap/>
            <w:hideMark/>
          </w:tcPr>
          <w:p w14:paraId="51E5341B" w14:textId="77777777" w:rsidR="00DA7151" w:rsidRPr="006F58BE" w:rsidRDefault="00DA7151" w:rsidP="00F54CC6">
            <w:pPr>
              <w:spacing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6F58BE">
              <w:rPr>
                <w:rFonts w:cs="Times New Roman"/>
                <w:b/>
                <w:bCs/>
              </w:rPr>
              <w:t>Code</w:t>
            </w:r>
          </w:p>
        </w:tc>
        <w:tc>
          <w:tcPr>
            <w:tcW w:w="1210" w:type="dxa"/>
          </w:tcPr>
          <w:p w14:paraId="058207DB" w14:textId="188DB628" w:rsidR="00DA7151" w:rsidRPr="006F58BE" w:rsidRDefault="00DA7151" w:rsidP="00F54CC6">
            <w:pPr>
              <w:spacing w:after="120" w:line="276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F58BE">
              <w:rPr>
                <w:rFonts w:cs="Times New Roman"/>
                <w:b/>
                <w:bCs/>
                <w:color w:val="000000"/>
              </w:rPr>
              <w:t>Modifier</w:t>
            </w:r>
          </w:p>
        </w:tc>
        <w:tc>
          <w:tcPr>
            <w:tcW w:w="6350" w:type="dxa"/>
          </w:tcPr>
          <w:p w14:paraId="610CDE7A" w14:textId="25C4AF33" w:rsidR="00DA7151" w:rsidRPr="006F58BE" w:rsidRDefault="00DA7151" w:rsidP="00F54CC6">
            <w:pPr>
              <w:spacing w:after="120" w:line="276" w:lineRule="auto"/>
              <w:jc w:val="center"/>
              <w:rPr>
                <w:rFonts w:cs="Times New Roman"/>
                <w:b/>
                <w:bCs/>
              </w:rPr>
            </w:pPr>
            <w:r w:rsidRPr="006F58BE">
              <w:rPr>
                <w:rFonts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1327" w:type="dxa"/>
          </w:tcPr>
          <w:p w14:paraId="45BFD306" w14:textId="77777777" w:rsidR="00DA7151" w:rsidRPr="006F58BE" w:rsidRDefault="00DA7151" w:rsidP="00F54CC6">
            <w:pPr>
              <w:spacing w:after="120" w:line="276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6F58BE">
              <w:rPr>
                <w:rFonts w:cs="Times New Roman"/>
                <w:b/>
                <w:bCs/>
                <w:color w:val="000000"/>
              </w:rPr>
              <w:t>Rate</w:t>
            </w:r>
          </w:p>
        </w:tc>
      </w:tr>
      <w:tr w:rsidR="00DA7151" w:rsidRPr="00FC5124" w14:paraId="1A3D182E" w14:textId="77777777" w:rsidTr="006F58BE">
        <w:trPr>
          <w:trHeight w:val="3"/>
        </w:trPr>
        <w:tc>
          <w:tcPr>
            <w:tcW w:w="895" w:type="dxa"/>
            <w:noWrap/>
            <w:hideMark/>
          </w:tcPr>
          <w:p w14:paraId="49A7F436" w14:textId="06687C15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</w:rPr>
            </w:pPr>
            <w:r w:rsidRPr="0079790A">
              <w:t>L1320</w:t>
            </w:r>
          </w:p>
        </w:tc>
        <w:tc>
          <w:tcPr>
            <w:tcW w:w="1210" w:type="dxa"/>
          </w:tcPr>
          <w:p w14:paraId="45FA0D90" w14:textId="77777777" w:rsidR="00DA7151" w:rsidRPr="006F58BE" w:rsidRDefault="00DA7151" w:rsidP="00DA7151">
            <w:pPr>
              <w:spacing w:after="120" w:line="276" w:lineRule="auto"/>
              <w:rPr>
                <w:rFonts w:cs="Times New Roman"/>
                <w:color w:val="000000"/>
              </w:rPr>
            </w:pPr>
          </w:p>
        </w:tc>
        <w:tc>
          <w:tcPr>
            <w:tcW w:w="6350" w:type="dxa"/>
          </w:tcPr>
          <w:p w14:paraId="4B5099F4" w14:textId="52A26FC3" w:rsidR="00DA7151" w:rsidRPr="006F58BE" w:rsidRDefault="00DA7151" w:rsidP="00DA7151">
            <w:pPr>
              <w:spacing w:after="120" w:line="276" w:lineRule="auto"/>
              <w:rPr>
                <w:rFonts w:cs="Times New Roman"/>
              </w:rPr>
            </w:pPr>
            <w:r w:rsidRPr="0079790A">
              <w:t>Thoracic, pectus carinatum orthosis, sternal compression, rigid circumferential frame with anterior and posterior rigid pads, custom fabricated</w:t>
            </w:r>
          </w:p>
        </w:tc>
        <w:tc>
          <w:tcPr>
            <w:tcW w:w="1327" w:type="dxa"/>
          </w:tcPr>
          <w:p w14:paraId="6E2EF36A" w14:textId="5ED68E50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  <w:color w:val="000000"/>
              </w:rPr>
            </w:pPr>
            <w:r w:rsidRPr="0079790A">
              <w:t xml:space="preserve"> AAC+ 70% </w:t>
            </w:r>
          </w:p>
        </w:tc>
      </w:tr>
      <w:tr w:rsidR="00DA7151" w:rsidRPr="00FC5124" w14:paraId="3E130A38" w14:textId="77777777" w:rsidTr="006F58BE">
        <w:trPr>
          <w:trHeight w:val="3"/>
        </w:trPr>
        <w:tc>
          <w:tcPr>
            <w:tcW w:w="895" w:type="dxa"/>
            <w:noWrap/>
            <w:hideMark/>
          </w:tcPr>
          <w:p w14:paraId="34D55B21" w14:textId="7AAC4252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</w:rPr>
            </w:pPr>
            <w:r w:rsidRPr="0079790A">
              <w:t>L5783</w:t>
            </w:r>
          </w:p>
        </w:tc>
        <w:tc>
          <w:tcPr>
            <w:tcW w:w="1210" w:type="dxa"/>
          </w:tcPr>
          <w:p w14:paraId="55767694" w14:textId="78479498" w:rsidR="00DA7151" w:rsidRPr="006F58BE" w:rsidRDefault="00DA7151" w:rsidP="00DA7151">
            <w:pPr>
              <w:spacing w:after="120" w:line="276" w:lineRule="auto"/>
              <w:rPr>
                <w:rFonts w:cs="Times New Roman"/>
                <w:color w:val="000000"/>
              </w:rPr>
            </w:pPr>
            <w:r w:rsidRPr="006F58BE">
              <w:rPr>
                <w:rFonts w:cs="Times New Roman"/>
                <w:color w:val="000000"/>
              </w:rPr>
              <w:t>LT RT</w:t>
            </w:r>
          </w:p>
        </w:tc>
        <w:tc>
          <w:tcPr>
            <w:tcW w:w="6350" w:type="dxa"/>
          </w:tcPr>
          <w:p w14:paraId="7815C03A" w14:textId="574CADBC" w:rsidR="00DA7151" w:rsidRPr="006F58BE" w:rsidRDefault="00DA7151" w:rsidP="00FF7071">
            <w:pPr>
              <w:spacing w:after="120" w:line="276" w:lineRule="auto"/>
              <w:rPr>
                <w:rFonts w:cs="Times New Roman"/>
              </w:rPr>
            </w:pPr>
            <w:r w:rsidRPr="0079790A">
              <w:t>Addition to lower extremity, user adjustable, mechanical, residual limb volume management system</w:t>
            </w:r>
          </w:p>
        </w:tc>
        <w:tc>
          <w:tcPr>
            <w:tcW w:w="1327" w:type="dxa"/>
          </w:tcPr>
          <w:p w14:paraId="757C5698" w14:textId="450A58E3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  <w:color w:val="000000"/>
              </w:rPr>
            </w:pPr>
            <w:r w:rsidRPr="0079790A">
              <w:t xml:space="preserve">$2,834.96 </w:t>
            </w:r>
          </w:p>
        </w:tc>
      </w:tr>
      <w:tr w:rsidR="00DA7151" w:rsidRPr="00FC5124" w14:paraId="2412176E" w14:textId="77777777" w:rsidTr="006F58BE">
        <w:trPr>
          <w:trHeight w:val="3"/>
        </w:trPr>
        <w:tc>
          <w:tcPr>
            <w:tcW w:w="895" w:type="dxa"/>
            <w:noWrap/>
            <w:hideMark/>
          </w:tcPr>
          <w:p w14:paraId="7B7BC9B3" w14:textId="6F914043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</w:rPr>
            </w:pPr>
            <w:r w:rsidRPr="0079790A">
              <w:t>L5841</w:t>
            </w:r>
          </w:p>
        </w:tc>
        <w:tc>
          <w:tcPr>
            <w:tcW w:w="1210" w:type="dxa"/>
          </w:tcPr>
          <w:p w14:paraId="422DC6CF" w14:textId="2BC7D61A" w:rsidR="00DA7151" w:rsidRPr="006F58BE" w:rsidRDefault="00DA7151" w:rsidP="00DA7151">
            <w:pPr>
              <w:spacing w:after="120" w:line="276" w:lineRule="auto"/>
              <w:rPr>
                <w:rFonts w:cs="Times New Roman"/>
                <w:color w:val="000000"/>
              </w:rPr>
            </w:pPr>
            <w:r w:rsidRPr="006F58BE">
              <w:rPr>
                <w:rFonts w:cs="Times New Roman"/>
                <w:color w:val="000000"/>
              </w:rPr>
              <w:t>LT RT</w:t>
            </w:r>
          </w:p>
        </w:tc>
        <w:tc>
          <w:tcPr>
            <w:tcW w:w="6350" w:type="dxa"/>
          </w:tcPr>
          <w:p w14:paraId="56F5E38B" w14:textId="4B0EE4C6" w:rsidR="00DA7151" w:rsidRPr="006F58BE" w:rsidRDefault="00DA7151" w:rsidP="00DA7151">
            <w:pPr>
              <w:spacing w:after="120" w:line="276" w:lineRule="auto"/>
              <w:rPr>
                <w:rFonts w:cs="Times New Roman"/>
              </w:rPr>
            </w:pPr>
            <w:r w:rsidRPr="0079790A">
              <w:t>Addition, endoskeletal knee-shin system, polycentric, pneumatic swing, and stance phase control</w:t>
            </w:r>
          </w:p>
        </w:tc>
        <w:tc>
          <w:tcPr>
            <w:tcW w:w="1327" w:type="dxa"/>
          </w:tcPr>
          <w:p w14:paraId="32272DBA" w14:textId="505E5C5F" w:rsidR="00DA7151" w:rsidRPr="006F58BE" w:rsidRDefault="00DA7151" w:rsidP="00DA7151">
            <w:pPr>
              <w:spacing w:after="120" w:line="276" w:lineRule="auto"/>
              <w:jc w:val="center"/>
              <w:rPr>
                <w:rFonts w:cs="Times New Roman"/>
                <w:color w:val="000000"/>
              </w:rPr>
            </w:pPr>
            <w:r w:rsidRPr="0079790A">
              <w:t xml:space="preserve"> $3,178.01 </w:t>
            </w:r>
          </w:p>
        </w:tc>
      </w:tr>
    </w:tbl>
    <w:p w14:paraId="3D436168" w14:textId="77777777" w:rsidR="00D27F17" w:rsidRDefault="00D27F17" w:rsidP="00D27F17"/>
    <w:p w14:paraId="5CFC9757" w14:textId="77777777" w:rsidR="00B05E0C" w:rsidRPr="00AC798F" w:rsidRDefault="00B05E0C" w:rsidP="00AE2C8B">
      <w:pPr>
        <w:spacing w:before="960"/>
      </w:pPr>
      <w:r>
        <w:rPr>
          <w:noProof/>
        </w:rPr>
        <w:drawing>
          <wp:inline distT="0" distB="0" distL="0" distR="0" wp14:anchorId="732CFFC3" wp14:editId="7301CCC9">
            <wp:extent cx="219438" cy="219438"/>
            <wp:effectExtent l="0" t="0" r="0" b="9525"/>
            <wp:docPr id="1865189851" name="Picture 1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ico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2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250248B7" wp14:editId="25951BAB">
            <wp:extent cx="219438" cy="219438"/>
            <wp:effectExtent l="0" t="0" r="9525" b="9525"/>
            <wp:docPr id="610088090" name="Picture 610088090" descr="X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ico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4" w:history="1">
        <w:r w:rsidR="008C7C8A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6456E7E8" wp14:editId="0169DF24">
            <wp:extent cx="219438" cy="219438"/>
            <wp:effectExtent l="0" t="0" r="9525" b="9525"/>
            <wp:docPr id="1407212517" name="Picture 1407212517" descr="YouTub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icon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8B1B7F">
          <w:rPr>
            <w:rStyle w:val="Hyperlink"/>
            <w:position w:val="10"/>
          </w:rPr>
          <w:t>MassHealth on YouTube</w:t>
        </w:r>
      </w:hyperlink>
    </w:p>
    <w:p w14:paraId="6146C629" w14:textId="77777777" w:rsidR="0041466F" w:rsidRPr="0041466F" w:rsidRDefault="0041466F" w:rsidP="00AC798F"/>
    <w:sectPr w:rsidR="0041466F" w:rsidRPr="0041466F" w:rsidSect="00F843AE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D44CD" w14:textId="77777777" w:rsidR="000D7308" w:rsidRDefault="000D7308" w:rsidP="00AC798F">
      <w:r>
        <w:separator/>
      </w:r>
    </w:p>
  </w:endnote>
  <w:endnote w:type="continuationSeparator" w:id="0">
    <w:p w14:paraId="606D3263" w14:textId="77777777" w:rsidR="000D7308" w:rsidRDefault="000D7308" w:rsidP="00AC798F">
      <w:r>
        <w:continuationSeparator/>
      </w:r>
    </w:p>
  </w:endnote>
  <w:endnote w:type="continuationNotice" w:id="1">
    <w:p w14:paraId="341F36D9" w14:textId="77777777" w:rsidR="000D7308" w:rsidRDefault="000D7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1CCB6" w14:textId="73ABF853" w:rsidR="00D44DF0" w:rsidRDefault="002F1881">
    <w:pPr>
      <w:pStyle w:val="Footer"/>
      <w:jc w:val="center"/>
    </w:pPr>
    <w:r>
      <w:t xml:space="preserve">Page </w:t>
    </w:r>
    <w:sdt>
      <w:sdtPr>
        <w:id w:val="-18144785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44DF0">
          <w:fldChar w:fldCharType="begin"/>
        </w:r>
        <w:r w:rsidR="00D44DF0">
          <w:instrText xml:space="preserve"> PAGE   \* MERGEFORMAT </w:instrText>
        </w:r>
        <w:r w:rsidR="00D44DF0">
          <w:fldChar w:fldCharType="separate"/>
        </w:r>
        <w:r w:rsidR="00D44DF0">
          <w:rPr>
            <w:noProof/>
          </w:rPr>
          <w:t>2</w:t>
        </w:r>
        <w:r w:rsidR="00D44DF0">
          <w:rPr>
            <w:noProof/>
          </w:rPr>
          <w:fldChar w:fldCharType="end"/>
        </w:r>
        <w:r w:rsidR="00053427">
          <w:rPr>
            <w:noProof/>
          </w:rPr>
          <w:t xml:space="preserve"> of 2</w:t>
        </w:r>
      </w:sdtContent>
    </w:sdt>
  </w:p>
  <w:p w14:paraId="6F9747F1" w14:textId="77777777" w:rsidR="00D44DF0" w:rsidRDefault="00D44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9FD9" w14:textId="6F118FBD" w:rsidR="001470A3" w:rsidRDefault="002F1881">
    <w:pPr>
      <w:pStyle w:val="Footer"/>
      <w:jc w:val="center"/>
    </w:pPr>
    <w:r>
      <w:t xml:space="preserve">Page </w:t>
    </w:r>
    <w:sdt>
      <w:sdtPr>
        <w:id w:val="1698660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470A3">
          <w:fldChar w:fldCharType="begin"/>
        </w:r>
        <w:r w:rsidR="001470A3">
          <w:instrText xml:space="preserve"> PAGE   \* MERGEFORMAT </w:instrText>
        </w:r>
        <w:r w:rsidR="001470A3">
          <w:fldChar w:fldCharType="separate"/>
        </w:r>
        <w:r w:rsidR="001470A3">
          <w:rPr>
            <w:noProof/>
          </w:rPr>
          <w:t>2</w:t>
        </w:r>
        <w:r w:rsidR="001470A3">
          <w:rPr>
            <w:noProof/>
          </w:rPr>
          <w:fldChar w:fldCharType="end"/>
        </w:r>
        <w:r w:rsidR="00053427">
          <w:rPr>
            <w:noProof/>
          </w:rPr>
          <w:t xml:space="preserve"> of 2</w:t>
        </w:r>
      </w:sdtContent>
    </w:sdt>
  </w:p>
  <w:p w14:paraId="29FBF9BC" w14:textId="77777777" w:rsidR="00616CB3" w:rsidRDefault="0061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DF89" w14:textId="77777777" w:rsidR="000D7308" w:rsidRDefault="000D7308" w:rsidP="00AC798F">
      <w:r>
        <w:separator/>
      </w:r>
    </w:p>
  </w:footnote>
  <w:footnote w:type="continuationSeparator" w:id="0">
    <w:p w14:paraId="72DC0E1A" w14:textId="77777777" w:rsidR="000D7308" w:rsidRDefault="000D7308" w:rsidP="00AC798F">
      <w:r>
        <w:continuationSeparator/>
      </w:r>
    </w:p>
  </w:footnote>
  <w:footnote w:type="continuationNotice" w:id="1">
    <w:p w14:paraId="0622468F" w14:textId="77777777" w:rsidR="000D7308" w:rsidRDefault="000D7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F917" w14:textId="77777777" w:rsidR="00572791" w:rsidRPr="00AC798F" w:rsidRDefault="00572791" w:rsidP="00572791">
    <w:pPr>
      <w:jc w:val="right"/>
    </w:pPr>
    <w:r w:rsidRPr="00AC798F">
      <w:t>EOHHS</w:t>
    </w:r>
  </w:p>
  <w:p w14:paraId="48CBCDC8" w14:textId="3140B8B7" w:rsidR="00572791" w:rsidRPr="00AC798F" w:rsidRDefault="00572791" w:rsidP="00572791">
    <w:pPr>
      <w:jc w:val="right"/>
    </w:pPr>
    <w:r w:rsidRPr="00AC798F">
      <w:t xml:space="preserve">Administrative Bulletin </w:t>
    </w:r>
    <w:r>
      <w:t>24</w:t>
    </w:r>
    <w:r w:rsidR="009A52B7">
      <w:t>-18</w:t>
    </w:r>
  </w:p>
  <w:p w14:paraId="4DA2572F" w14:textId="085C8122" w:rsidR="00616CB3" w:rsidRDefault="00572791" w:rsidP="00572791">
    <w:pPr>
      <w:jc w:val="right"/>
    </w:pPr>
    <w:r w:rsidRPr="00AC798F">
      <w:t xml:space="preserve">Effective </w:t>
    </w:r>
    <w:r w:rsidR="00DA7151">
      <w:t>April</w:t>
    </w:r>
    <w:r>
      <w:t xml:space="preserve"> 1, 2024</w:t>
    </w:r>
  </w:p>
  <w:p w14:paraId="67F784A2" w14:textId="77777777" w:rsidR="00572791" w:rsidRPr="001470A3" w:rsidRDefault="00572791" w:rsidP="00572791">
    <w:pPr>
      <w:jc w:val="right"/>
      <w:rPr>
        <w:color w:val="1F497D" w:themeColor="tex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AFE6" w14:textId="77777777" w:rsidR="001470A3" w:rsidRPr="006E5DED" w:rsidRDefault="001470A3" w:rsidP="001470A3">
    <w:pPr>
      <w:pStyle w:val="Header"/>
      <w:rPr>
        <w:noProof/>
      </w:rPr>
    </w:pPr>
    <w:r>
      <w:rPr>
        <w:noProof/>
        <w:color w:val="1F497D" w:themeColor="text2"/>
      </w:rPr>
      <w:drawing>
        <wp:anchor distT="0" distB="0" distL="114300" distR="114300" simplePos="0" relativeHeight="251658241" behindDoc="0" locked="0" layoutInCell="1" allowOverlap="1" wp14:anchorId="154947E3" wp14:editId="6664B3D3">
          <wp:simplePos x="0" y="0"/>
          <wp:positionH relativeFrom="column">
            <wp:posOffset>4798695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1900183622" name="Picture 1900183622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183622" name="Picture 1900183622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D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0241B" wp14:editId="6CF5FFB7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3050386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F0C23" w14:textId="77777777" w:rsidR="001470A3" w:rsidRPr="00AC798F" w:rsidRDefault="001470A3" w:rsidP="001470A3">
                          <w:pPr>
                            <w:pStyle w:val="Header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2B817801" w14:textId="77777777" w:rsidR="001470A3" w:rsidRPr="00AC798F" w:rsidRDefault="001470A3" w:rsidP="001470A3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0E57750" w14:textId="77777777" w:rsidR="001470A3" w:rsidRDefault="001470A3" w:rsidP="001470A3">
                          <w:pPr>
                            <w:pStyle w:val="Header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1E1EED57" w14:textId="77777777" w:rsidR="001470A3" w:rsidRPr="00AC798F" w:rsidRDefault="001470A3" w:rsidP="001470A3">
                          <w:pPr>
                            <w:pStyle w:val="Header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  <w:p w14:paraId="2383DBB4" w14:textId="77777777" w:rsidR="001470A3" w:rsidRDefault="001470A3" w:rsidP="001470A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8024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7.5pt;width:282.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8FF0C23" w14:textId="77777777" w:rsidR="001470A3" w:rsidRPr="00AC798F" w:rsidRDefault="001470A3" w:rsidP="001470A3">
                    <w:pPr>
                      <w:pStyle w:val="Header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2B817801" w14:textId="77777777" w:rsidR="001470A3" w:rsidRPr="00AC798F" w:rsidRDefault="001470A3" w:rsidP="001470A3">
                    <w:pPr>
                      <w:pStyle w:val="Header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0E57750" w14:textId="77777777" w:rsidR="001470A3" w:rsidRDefault="001470A3" w:rsidP="001470A3">
                    <w:pPr>
                      <w:pStyle w:val="Header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1E1EED57" w14:textId="77777777" w:rsidR="001470A3" w:rsidRPr="00AC798F" w:rsidRDefault="001470A3" w:rsidP="001470A3">
                    <w:pPr>
                      <w:pStyle w:val="Header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  <w:p w14:paraId="2383DBB4" w14:textId="77777777" w:rsidR="001470A3" w:rsidRDefault="001470A3" w:rsidP="001470A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FFC81" wp14:editId="20DBEA6C">
          <wp:extent cx="1164590" cy="1377950"/>
          <wp:effectExtent l="0" t="0" r="0" b="0"/>
          <wp:docPr id="1298596055" name="Picture 1298596055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96055" name="Picture 1298596055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9FAF92" w14:textId="77777777" w:rsidR="001470A3" w:rsidRDefault="001470A3" w:rsidP="001470A3">
    <w:pPr>
      <w:pStyle w:val="Header"/>
    </w:pPr>
    <w:r>
      <w:ptab w:relativeTo="margin" w:alignment="right" w:leader="none"/>
    </w:r>
  </w:p>
  <w:p w14:paraId="061F438B" w14:textId="77777777" w:rsidR="001470A3" w:rsidRPr="00AC798F" w:rsidRDefault="001470A3" w:rsidP="001470A3">
    <w:pPr>
      <w:pStyle w:val="Header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786ED441" w14:textId="77777777" w:rsidR="001470A3" w:rsidRPr="00AC798F" w:rsidRDefault="001470A3" w:rsidP="001470A3">
    <w:pPr>
      <w:pStyle w:val="Header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4ED1BA9F" w14:textId="77777777" w:rsidR="001470A3" w:rsidRPr="00AC798F" w:rsidRDefault="001470A3" w:rsidP="001470A3">
    <w:pPr>
      <w:pStyle w:val="Header"/>
      <w:rPr>
        <w:color w:val="1F497D" w:themeColor="text2"/>
      </w:rPr>
    </w:pPr>
  </w:p>
  <w:p w14:paraId="5EF14D16" w14:textId="77777777" w:rsidR="001470A3" w:rsidRPr="00AC798F" w:rsidRDefault="001470A3" w:rsidP="001470A3">
    <w:pPr>
      <w:pStyle w:val="Header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6A273156" w14:textId="77777777" w:rsidR="001470A3" w:rsidRPr="00AC798F" w:rsidRDefault="001470A3" w:rsidP="001470A3">
    <w:pPr>
      <w:pStyle w:val="Header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7C9CA31B" w14:textId="77777777" w:rsidR="00AC798F" w:rsidRPr="001470A3" w:rsidRDefault="001470A3" w:rsidP="00AC798F">
    <w:pPr>
      <w:pStyle w:val="Header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0ACE"/>
    <w:rsid w:val="00007C23"/>
    <w:rsid w:val="00015233"/>
    <w:rsid w:val="00024809"/>
    <w:rsid w:val="00041CF3"/>
    <w:rsid w:val="00053427"/>
    <w:rsid w:val="000546A1"/>
    <w:rsid w:val="0005502C"/>
    <w:rsid w:val="00062966"/>
    <w:rsid w:val="000722C4"/>
    <w:rsid w:val="000A49CE"/>
    <w:rsid w:val="000A5484"/>
    <w:rsid w:val="000B3478"/>
    <w:rsid w:val="000B507B"/>
    <w:rsid w:val="000C3012"/>
    <w:rsid w:val="000D7308"/>
    <w:rsid w:val="000E2914"/>
    <w:rsid w:val="000E6BFE"/>
    <w:rsid w:val="00102CD0"/>
    <w:rsid w:val="00106E6F"/>
    <w:rsid w:val="00114758"/>
    <w:rsid w:val="00134791"/>
    <w:rsid w:val="00136C6E"/>
    <w:rsid w:val="00146C2F"/>
    <w:rsid w:val="001470A3"/>
    <w:rsid w:val="00151EF5"/>
    <w:rsid w:val="00153DCE"/>
    <w:rsid w:val="00154AEA"/>
    <w:rsid w:val="00154CA9"/>
    <w:rsid w:val="00154D19"/>
    <w:rsid w:val="00172896"/>
    <w:rsid w:val="00183478"/>
    <w:rsid w:val="00183F54"/>
    <w:rsid w:val="00193348"/>
    <w:rsid w:val="001A7742"/>
    <w:rsid w:val="001B68EE"/>
    <w:rsid w:val="001D4E55"/>
    <w:rsid w:val="001D628B"/>
    <w:rsid w:val="001E3227"/>
    <w:rsid w:val="002115C9"/>
    <w:rsid w:val="0022152B"/>
    <w:rsid w:val="0023551B"/>
    <w:rsid w:val="002448DD"/>
    <w:rsid w:val="0025050E"/>
    <w:rsid w:val="00266B97"/>
    <w:rsid w:val="00271D28"/>
    <w:rsid w:val="00275176"/>
    <w:rsid w:val="00284238"/>
    <w:rsid w:val="002A50AE"/>
    <w:rsid w:val="002A779E"/>
    <w:rsid w:val="002B4357"/>
    <w:rsid w:val="002E3CD6"/>
    <w:rsid w:val="002F1881"/>
    <w:rsid w:val="002F4A94"/>
    <w:rsid w:val="00303E55"/>
    <w:rsid w:val="003113E4"/>
    <w:rsid w:val="003160BA"/>
    <w:rsid w:val="00320549"/>
    <w:rsid w:val="0033130A"/>
    <w:rsid w:val="00332BC5"/>
    <w:rsid w:val="00343502"/>
    <w:rsid w:val="00351564"/>
    <w:rsid w:val="00352FF7"/>
    <w:rsid w:val="00373316"/>
    <w:rsid w:val="0037514C"/>
    <w:rsid w:val="0037564B"/>
    <w:rsid w:val="003A3882"/>
    <w:rsid w:val="003A4EAD"/>
    <w:rsid w:val="003C6192"/>
    <w:rsid w:val="003F2662"/>
    <w:rsid w:val="003F6AAE"/>
    <w:rsid w:val="003F7A86"/>
    <w:rsid w:val="00401825"/>
    <w:rsid w:val="0040296B"/>
    <w:rsid w:val="00412B1A"/>
    <w:rsid w:val="0041466F"/>
    <w:rsid w:val="004321FD"/>
    <w:rsid w:val="00437AD9"/>
    <w:rsid w:val="00443CDB"/>
    <w:rsid w:val="00465E5A"/>
    <w:rsid w:val="00466DE1"/>
    <w:rsid w:val="00474C5D"/>
    <w:rsid w:val="004B54C0"/>
    <w:rsid w:val="004D48D7"/>
    <w:rsid w:val="004D794F"/>
    <w:rsid w:val="004F614D"/>
    <w:rsid w:val="005246D9"/>
    <w:rsid w:val="0053013E"/>
    <w:rsid w:val="00531A84"/>
    <w:rsid w:val="00533A3B"/>
    <w:rsid w:val="005341DD"/>
    <w:rsid w:val="0053555D"/>
    <w:rsid w:val="005371D8"/>
    <w:rsid w:val="00556F79"/>
    <w:rsid w:val="0056474D"/>
    <w:rsid w:val="005702E6"/>
    <w:rsid w:val="0057224E"/>
    <w:rsid w:val="00572791"/>
    <w:rsid w:val="00585302"/>
    <w:rsid w:val="00587420"/>
    <w:rsid w:val="00597C39"/>
    <w:rsid w:val="00597FD6"/>
    <w:rsid w:val="005A3B72"/>
    <w:rsid w:val="005B2A11"/>
    <w:rsid w:val="005B5D35"/>
    <w:rsid w:val="005C5B81"/>
    <w:rsid w:val="005C7362"/>
    <w:rsid w:val="005D6AEA"/>
    <w:rsid w:val="005D7315"/>
    <w:rsid w:val="005F20AC"/>
    <w:rsid w:val="005F66F1"/>
    <w:rsid w:val="00607406"/>
    <w:rsid w:val="00615458"/>
    <w:rsid w:val="00616CB3"/>
    <w:rsid w:val="00625B9B"/>
    <w:rsid w:val="00626E3D"/>
    <w:rsid w:val="0064272D"/>
    <w:rsid w:val="00656FFF"/>
    <w:rsid w:val="006718AB"/>
    <w:rsid w:val="00685BCD"/>
    <w:rsid w:val="006B1D87"/>
    <w:rsid w:val="006B33C9"/>
    <w:rsid w:val="006B3CA6"/>
    <w:rsid w:val="006B555C"/>
    <w:rsid w:val="006B6EE0"/>
    <w:rsid w:val="006C53B3"/>
    <w:rsid w:val="006D4B82"/>
    <w:rsid w:val="006E2954"/>
    <w:rsid w:val="006E5DED"/>
    <w:rsid w:val="006F58BE"/>
    <w:rsid w:val="0070235D"/>
    <w:rsid w:val="00706276"/>
    <w:rsid w:val="00720C4F"/>
    <w:rsid w:val="00734039"/>
    <w:rsid w:val="00736219"/>
    <w:rsid w:val="007577A5"/>
    <w:rsid w:val="007720D1"/>
    <w:rsid w:val="00782360"/>
    <w:rsid w:val="00796A70"/>
    <w:rsid w:val="0079790A"/>
    <w:rsid w:val="007B0011"/>
    <w:rsid w:val="007B1832"/>
    <w:rsid w:val="007B48C3"/>
    <w:rsid w:val="007E0102"/>
    <w:rsid w:val="007E1B9A"/>
    <w:rsid w:val="007E2F53"/>
    <w:rsid w:val="007E3CBD"/>
    <w:rsid w:val="007F04B8"/>
    <w:rsid w:val="007F6FCD"/>
    <w:rsid w:val="00800711"/>
    <w:rsid w:val="00851E88"/>
    <w:rsid w:val="008666B0"/>
    <w:rsid w:val="008A0890"/>
    <w:rsid w:val="008A50C9"/>
    <w:rsid w:val="008C7C8A"/>
    <w:rsid w:val="008D68E8"/>
    <w:rsid w:val="009223D6"/>
    <w:rsid w:val="009500B4"/>
    <w:rsid w:val="00964EDE"/>
    <w:rsid w:val="009665F5"/>
    <w:rsid w:val="00981D4E"/>
    <w:rsid w:val="00984786"/>
    <w:rsid w:val="00990DC9"/>
    <w:rsid w:val="009A4A69"/>
    <w:rsid w:val="009A52B7"/>
    <w:rsid w:val="009C649B"/>
    <w:rsid w:val="009D588E"/>
    <w:rsid w:val="009E3AB6"/>
    <w:rsid w:val="00A00A6C"/>
    <w:rsid w:val="00A021AA"/>
    <w:rsid w:val="00A0318F"/>
    <w:rsid w:val="00A05095"/>
    <w:rsid w:val="00A06F80"/>
    <w:rsid w:val="00A34C8D"/>
    <w:rsid w:val="00A45A71"/>
    <w:rsid w:val="00A4762D"/>
    <w:rsid w:val="00AA1D3B"/>
    <w:rsid w:val="00AA3F0F"/>
    <w:rsid w:val="00AA6752"/>
    <w:rsid w:val="00AB33D8"/>
    <w:rsid w:val="00AC798F"/>
    <w:rsid w:val="00AE2C8B"/>
    <w:rsid w:val="00B0005F"/>
    <w:rsid w:val="00B05E0C"/>
    <w:rsid w:val="00B623EB"/>
    <w:rsid w:val="00B656BC"/>
    <w:rsid w:val="00B83797"/>
    <w:rsid w:val="00B8496C"/>
    <w:rsid w:val="00B85B72"/>
    <w:rsid w:val="00B90291"/>
    <w:rsid w:val="00BA6D03"/>
    <w:rsid w:val="00BB55E0"/>
    <w:rsid w:val="00BC2FC7"/>
    <w:rsid w:val="00BC46B3"/>
    <w:rsid w:val="00BE1FB2"/>
    <w:rsid w:val="00C1076E"/>
    <w:rsid w:val="00C16AE0"/>
    <w:rsid w:val="00C2117E"/>
    <w:rsid w:val="00C24F38"/>
    <w:rsid w:val="00C400D6"/>
    <w:rsid w:val="00C4194A"/>
    <w:rsid w:val="00C52F21"/>
    <w:rsid w:val="00C87BF7"/>
    <w:rsid w:val="00CA0EC0"/>
    <w:rsid w:val="00CA37F2"/>
    <w:rsid w:val="00CC4EA8"/>
    <w:rsid w:val="00CD4E65"/>
    <w:rsid w:val="00CF18CF"/>
    <w:rsid w:val="00D01508"/>
    <w:rsid w:val="00D020C6"/>
    <w:rsid w:val="00D040C7"/>
    <w:rsid w:val="00D160CC"/>
    <w:rsid w:val="00D27F17"/>
    <w:rsid w:val="00D34669"/>
    <w:rsid w:val="00D44DF0"/>
    <w:rsid w:val="00D5182F"/>
    <w:rsid w:val="00D63172"/>
    <w:rsid w:val="00D761F6"/>
    <w:rsid w:val="00D84B12"/>
    <w:rsid w:val="00D87A13"/>
    <w:rsid w:val="00D92B26"/>
    <w:rsid w:val="00DA5D68"/>
    <w:rsid w:val="00DA7151"/>
    <w:rsid w:val="00DB13DB"/>
    <w:rsid w:val="00DB1F1C"/>
    <w:rsid w:val="00DB28FF"/>
    <w:rsid w:val="00DC640F"/>
    <w:rsid w:val="00DF17CC"/>
    <w:rsid w:val="00DF1A5D"/>
    <w:rsid w:val="00E10A6E"/>
    <w:rsid w:val="00E16D50"/>
    <w:rsid w:val="00E2009D"/>
    <w:rsid w:val="00E212E2"/>
    <w:rsid w:val="00E27559"/>
    <w:rsid w:val="00E320F9"/>
    <w:rsid w:val="00E335C6"/>
    <w:rsid w:val="00E4729F"/>
    <w:rsid w:val="00E53436"/>
    <w:rsid w:val="00E56695"/>
    <w:rsid w:val="00E56BD5"/>
    <w:rsid w:val="00E620A3"/>
    <w:rsid w:val="00E74BC2"/>
    <w:rsid w:val="00E92AC9"/>
    <w:rsid w:val="00EA1941"/>
    <w:rsid w:val="00EB7F7E"/>
    <w:rsid w:val="00ED1691"/>
    <w:rsid w:val="00ED31F2"/>
    <w:rsid w:val="00ED53A2"/>
    <w:rsid w:val="00EE0CEA"/>
    <w:rsid w:val="00EE456B"/>
    <w:rsid w:val="00EE4CAE"/>
    <w:rsid w:val="00EE5BFC"/>
    <w:rsid w:val="00F03F34"/>
    <w:rsid w:val="00F070AD"/>
    <w:rsid w:val="00F1266B"/>
    <w:rsid w:val="00F12C5F"/>
    <w:rsid w:val="00F25616"/>
    <w:rsid w:val="00F432EC"/>
    <w:rsid w:val="00F44C98"/>
    <w:rsid w:val="00F514A6"/>
    <w:rsid w:val="00F54CC6"/>
    <w:rsid w:val="00F65E52"/>
    <w:rsid w:val="00F73E65"/>
    <w:rsid w:val="00F74285"/>
    <w:rsid w:val="00F843AE"/>
    <w:rsid w:val="00F8470F"/>
    <w:rsid w:val="00F8728D"/>
    <w:rsid w:val="00FB216E"/>
    <w:rsid w:val="00FC5124"/>
    <w:rsid w:val="00FD259A"/>
    <w:rsid w:val="00FD599B"/>
    <w:rsid w:val="00FE3B4C"/>
    <w:rsid w:val="00FE4AA0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7A197"/>
  <w15:docId w15:val="{0ABCE7F6-1CF5-45E9-BE64-6647EEBE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17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AC798F"/>
    <w:pPr>
      <w:tabs>
        <w:tab w:val="left" w:pos="3165"/>
      </w:tabs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52B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FFF"/>
    <w:pPr>
      <w:spacing w:before="240" w:after="120" w:line="276" w:lineRule="auto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C798F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52B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6FFF"/>
    <w:rPr>
      <w:rFonts w:ascii="Georgia" w:hAnsi="Georg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85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4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A6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A69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F1C"/>
    <w:rPr>
      <w:rFonts w:ascii="Georgia" w:hAnsi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5D7315"/>
    <w:rPr>
      <w:color w:val="605E5C"/>
      <w:shd w:val="clear" w:color="auto" w:fill="E1DFDD"/>
    </w:rPr>
  </w:style>
  <w:style w:type="paragraph" w:customStyle="1" w:styleId="SubjectLine">
    <w:name w:val="Subject Line"/>
    <w:basedOn w:val="Normal"/>
    <w:qFormat/>
    <w:rsid w:val="006F58BE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assHealth1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1QQ61nTN7LNKkhjrjnYOU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witter.com/MassHealth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SharedWithUsers xmlns="91f3e3b9-8052-4988-a4eb-24f16969dcab">
      <UserInfo>
        <DisplayName>Cassandra Martin</DisplayName>
        <AccountId>59</AccountId>
        <AccountType/>
      </UserInfo>
      <UserInfo>
        <DisplayName>Hyewon Lee</DisplayName>
        <AccountId>8</AccountId>
        <AccountType/>
      </UserInfo>
      <UserInfo>
        <DisplayName>Steven Freedman</DisplayName>
        <AccountId>6</AccountId>
        <AccountType/>
      </UserInfo>
    </SharedWithUsers>
    <TaxCatchAll xmlns="91f3e3b9-8052-4988-a4eb-24f16969dc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730f2f647fb9fda524399fb7e0f51922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f32553dbedb6e13c96979cbd847ae1f0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d8ecd2c7-f42d-412b-950c-7056a0e524ed"/>
    <ds:schemaRef ds:uri="91f3e3b9-8052-4988-a4eb-24f16969dcab"/>
  </ds:schemaRefs>
</ds:datastoreItem>
</file>

<file path=customXml/itemProps3.xml><?xml version="1.0" encoding="utf-8"?>
<ds:datastoreItem xmlns:ds="http://schemas.openxmlformats.org/officeDocument/2006/customXml" ds:itemID="{F82C1142-3177-496A-B312-51EC60F8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Martin</dc:creator>
  <cp:keywords/>
  <cp:lastModifiedBy>Karen Kovach</cp:lastModifiedBy>
  <cp:revision>4</cp:revision>
  <cp:lastPrinted>2023-03-02T02:48:00Z</cp:lastPrinted>
  <dcterms:created xsi:type="dcterms:W3CDTF">2024-07-01T15:47:00Z</dcterms:created>
  <dcterms:modified xsi:type="dcterms:W3CDTF">2024-07-01T16:49:00Z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Order">
    <vt:r8>9600</vt:r8>
  </property>
  <property fmtid="{D5CDD505-2E9C-101B-9397-08002B2CF9AE}" pid="4" name="MediaServiceImageTags">
    <vt:lpwstr/>
  </property>
</Properties>
</file>