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7EAB" w14:textId="450E787A" w:rsidR="00533A3B" w:rsidRDefault="00533A3B" w:rsidP="00A72FAD">
      <w:pPr>
        <w:pStyle w:val="Heading1"/>
        <w:spacing w:before="120" w:after="0"/>
      </w:pPr>
      <w:r w:rsidRPr="00A11317">
        <w:t xml:space="preserve">Administrative Bulletin </w:t>
      </w:r>
      <w:r w:rsidR="0054222D" w:rsidRPr="00A11317">
        <w:t>24-</w:t>
      </w:r>
      <w:r w:rsidR="00A11317" w:rsidRPr="00A11317">
        <w:t>19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122F8E7E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254BBD">
        <w:rPr>
          <w:b/>
          <w:bCs/>
          <w:sz w:val="24"/>
          <w:szCs w:val="24"/>
        </w:rPr>
        <w:t>320</w:t>
      </w:r>
      <w:r w:rsidR="008D1B58">
        <w:rPr>
          <w:b/>
          <w:bCs/>
          <w:sz w:val="24"/>
          <w:szCs w:val="24"/>
        </w:rPr>
        <w:t>.00</w:t>
      </w:r>
      <w:r w:rsidR="00254BBD">
        <w:rPr>
          <w:b/>
          <w:bCs/>
          <w:sz w:val="24"/>
          <w:szCs w:val="24"/>
        </w:rPr>
        <w:t xml:space="preserve">: Rates for Clinical Laboratory Services 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06AA4F82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>Effective</w:t>
      </w:r>
      <w:r w:rsidR="00254BBD">
        <w:rPr>
          <w:sz w:val="24"/>
          <w:szCs w:val="24"/>
        </w:rPr>
        <w:t xml:space="preserve"> January 1, 2024</w:t>
      </w:r>
      <w:r w:rsidRPr="00796A70">
        <w:rPr>
          <w:sz w:val="24"/>
          <w:szCs w:val="24"/>
        </w:rPr>
        <w:t xml:space="preserve"> 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6DC9AE43" w:rsidR="00F44E10" w:rsidRPr="00F44E10" w:rsidRDefault="00BE6F69" w:rsidP="00100E5C">
      <w:pPr>
        <w:pStyle w:val="SubjectLine"/>
        <w:spacing w:before="0" w:after="0" w:line="240" w:lineRule="auto"/>
      </w:pPr>
      <w:r>
        <w:t xml:space="preserve">2024 </w:t>
      </w:r>
      <w:r w:rsidR="00254BBD">
        <w:t>CPT Cod</w:t>
      </w:r>
      <w:r>
        <w:t>e</w:t>
      </w:r>
      <w:r w:rsidR="00254BBD">
        <w:t xml:space="preserve"> Updates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0CB0D701" w:rsidR="00852E4B" w:rsidRDefault="003575DF" w:rsidP="00DA095C">
      <w:pPr>
        <w:pStyle w:val="Heading2"/>
      </w:pPr>
      <w:r>
        <w:t xml:space="preserve">Summary </w:t>
      </w:r>
    </w:p>
    <w:p w14:paraId="49114634" w14:textId="2A797831" w:rsidR="003575DF" w:rsidRPr="003575DF" w:rsidRDefault="000254AF" w:rsidP="008C7CF5">
      <w:pPr>
        <w:spacing w:line="276" w:lineRule="auto"/>
      </w:pPr>
      <w:r w:rsidRPr="000254AF">
        <w:t xml:space="preserve">In accordance with 101 CMR 320.01(4)(c), the Executive Office of Health and Human Services (EOHHS) is adding new service codes effective for dates of service on and after January 1, 2024. </w:t>
      </w:r>
      <w:r w:rsidR="00CC1439">
        <w:t>Below are</w:t>
      </w:r>
      <w:r w:rsidRPr="000254AF">
        <w:t xml:space="preserve"> the codes that have been added. </w:t>
      </w:r>
      <w:r w:rsidR="00CC1439">
        <w:t>The r</w:t>
      </w:r>
      <w:r w:rsidRPr="000254AF">
        <w:t xml:space="preserve">ates in this administrative bulletin </w:t>
      </w:r>
      <w:r w:rsidR="00CC1439">
        <w:t xml:space="preserve">will </w:t>
      </w:r>
      <w:r w:rsidR="00897DD4">
        <w:t>apply</w:t>
      </w:r>
      <w:r w:rsidRPr="000254AF">
        <w:t xml:space="preserve"> until </w:t>
      </w:r>
      <w:r w:rsidR="00897DD4">
        <w:t xml:space="preserve">EOHHS issues </w:t>
      </w:r>
      <w:r w:rsidRPr="000254AF">
        <w:t>revised rates.</w:t>
      </w:r>
    </w:p>
    <w:p w14:paraId="74D9A0F8" w14:textId="1C66E5B6" w:rsidR="000254AF" w:rsidRDefault="000254AF" w:rsidP="00A72FAD">
      <w:pPr>
        <w:pStyle w:val="Heading3"/>
        <w:tabs>
          <w:tab w:val="left" w:pos="7905"/>
        </w:tabs>
      </w:pPr>
      <w:r>
        <w:t>Added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504"/>
        <w:gridCol w:w="6655"/>
      </w:tblGrid>
      <w:tr w:rsidR="00E91C4D" w:rsidRPr="00B00080" w14:paraId="501D3843" w14:textId="77777777" w:rsidTr="00DD5510">
        <w:trPr>
          <w:cantSplit/>
          <w:trHeight w:val="296"/>
          <w:tblHeader/>
        </w:trPr>
        <w:tc>
          <w:tcPr>
            <w:tcW w:w="1191" w:type="dxa"/>
            <w:noWrap/>
            <w:vAlign w:val="bottom"/>
            <w:hideMark/>
          </w:tcPr>
          <w:p w14:paraId="7E37B9F4" w14:textId="77777777" w:rsidR="00E91C4D" w:rsidRPr="00B00080" w:rsidRDefault="00E91C4D" w:rsidP="00821D57">
            <w:pPr>
              <w:spacing w:line="276" w:lineRule="auto"/>
              <w:jc w:val="center"/>
              <w:rPr>
                <w:b/>
                <w:bCs/>
              </w:rPr>
            </w:pPr>
            <w:r w:rsidRPr="00B00080">
              <w:rPr>
                <w:b/>
                <w:bCs/>
              </w:rPr>
              <w:t>Codes</w:t>
            </w:r>
          </w:p>
        </w:tc>
        <w:tc>
          <w:tcPr>
            <w:tcW w:w="1504" w:type="dxa"/>
            <w:vAlign w:val="bottom"/>
            <w:hideMark/>
          </w:tcPr>
          <w:p w14:paraId="3AE5D175" w14:textId="77777777" w:rsidR="00E91C4D" w:rsidRPr="00B00080" w:rsidRDefault="00E91C4D" w:rsidP="00821D57">
            <w:pPr>
              <w:spacing w:line="276" w:lineRule="auto"/>
              <w:jc w:val="center"/>
              <w:rPr>
                <w:b/>
                <w:bCs/>
              </w:rPr>
            </w:pPr>
            <w:r w:rsidRPr="00B00080">
              <w:rPr>
                <w:b/>
                <w:bCs/>
              </w:rPr>
              <w:t>Rate</w:t>
            </w:r>
          </w:p>
        </w:tc>
        <w:tc>
          <w:tcPr>
            <w:tcW w:w="6655" w:type="dxa"/>
            <w:noWrap/>
            <w:vAlign w:val="bottom"/>
            <w:hideMark/>
          </w:tcPr>
          <w:p w14:paraId="1DA14D3F" w14:textId="77777777" w:rsidR="00E91C4D" w:rsidRPr="00B00080" w:rsidRDefault="00E91C4D" w:rsidP="00821D57">
            <w:pPr>
              <w:spacing w:line="276" w:lineRule="auto"/>
              <w:jc w:val="center"/>
              <w:rPr>
                <w:b/>
                <w:bCs/>
              </w:rPr>
            </w:pPr>
            <w:r w:rsidRPr="00B00080">
              <w:rPr>
                <w:b/>
                <w:bCs/>
              </w:rPr>
              <w:t>Description</w:t>
            </w:r>
          </w:p>
        </w:tc>
      </w:tr>
      <w:tr w:rsidR="00E91C4D" w:rsidRPr="00B00080" w14:paraId="1C97B818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0C043C08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81457</w:t>
            </w:r>
          </w:p>
        </w:tc>
        <w:tc>
          <w:tcPr>
            <w:tcW w:w="1504" w:type="dxa"/>
            <w:noWrap/>
            <w:vAlign w:val="center"/>
            <w:hideMark/>
          </w:tcPr>
          <w:p w14:paraId="197FC2A5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555AEF35" w14:textId="77777777" w:rsidR="00E91C4D" w:rsidRPr="00B00080" w:rsidRDefault="00E91C4D" w:rsidP="00821D57">
            <w:pPr>
              <w:spacing w:line="276" w:lineRule="auto"/>
            </w:pPr>
            <w:r w:rsidRPr="00B00080">
              <w:t>Solid organ neoplasm, genomic sequence analysis panel, interrogation for sequence variants; DNA analysis, microsatellite instability</w:t>
            </w:r>
          </w:p>
        </w:tc>
      </w:tr>
      <w:tr w:rsidR="00E91C4D" w:rsidRPr="00B00080" w14:paraId="03BBF556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037E4385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81458</w:t>
            </w:r>
          </w:p>
        </w:tc>
        <w:tc>
          <w:tcPr>
            <w:tcW w:w="1504" w:type="dxa"/>
            <w:noWrap/>
            <w:vAlign w:val="center"/>
            <w:hideMark/>
          </w:tcPr>
          <w:p w14:paraId="1DF0EDC8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3EDEC86E" w14:textId="77777777" w:rsidR="00E91C4D" w:rsidRPr="00B00080" w:rsidRDefault="00E91C4D" w:rsidP="00821D57">
            <w:pPr>
              <w:spacing w:line="276" w:lineRule="auto"/>
            </w:pPr>
            <w:r w:rsidRPr="00B00080">
              <w:t>Solid organ neoplasm, genomic sequence analysis panel, interrogation for sequence variants; DNA analysis, copy number variants and microsatellite instability</w:t>
            </w:r>
          </w:p>
        </w:tc>
      </w:tr>
      <w:tr w:rsidR="00E91C4D" w:rsidRPr="00B00080" w14:paraId="3B0CED5D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5CBFA1C2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81459</w:t>
            </w:r>
          </w:p>
        </w:tc>
        <w:tc>
          <w:tcPr>
            <w:tcW w:w="1504" w:type="dxa"/>
            <w:noWrap/>
            <w:vAlign w:val="center"/>
            <w:hideMark/>
          </w:tcPr>
          <w:p w14:paraId="3EAD6E30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1E68F1B2" w14:textId="77777777" w:rsidR="00E91C4D" w:rsidRPr="00B00080" w:rsidRDefault="00E91C4D" w:rsidP="00821D57">
            <w:pPr>
              <w:spacing w:line="276" w:lineRule="auto"/>
            </w:pPr>
            <w:r w:rsidRPr="00B00080">
              <w:t>Solid organ neoplasm, genomic sequence analysis panel, interrogation for sequence variants; DNA analysis or combined DNA and RNA analysis, copy number variants, microsatellite instability, tumor mutation burden, and rearrangements</w:t>
            </w:r>
          </w:p>
        </w:tc>
      </w:tr>
      <w:tr w:rsidR="00E91C4D" w:rsidRPr="00B00080" w14:paraId="33ADEB32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79FAEF5C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lastRenderedPageBreak/>
              <w:t>81462</w:t>
            </w:r>
          </w:p>
        </w:tc>
        <w:tc>
          <w:tcPr>
            <w:tcW w:w="1504" w:type="dxa"/>
            <w:noWrap/>
            <w:vAlign w:val="center"/>
            <w:hideMark/>
          </w:tcPr>
          <w:p w14:paraId="2ABD8FD0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4542EDE9" w14:textId="4FAE8F8A" w:rsidR="00E91C4D" w:rsidRPr="00B00080" w:rsidRDefault="00E91C4D" w:rsidP="00821D57">
            <w:pPr>
              <w:spacing w:line="276" w:lineRule="auto"/>
            </w:pPr>
            <w:r w:rsidRPr="00B00080">
              <w:t>Solid organ neoplasm, genomic sequence analysis panel, cell-free nucleic acid (e</w:t>
            </w:r>
            <w:r w:rsidR="004F18B4">
              <w:t>.</w:t>
            </w:r>
            <w:r w:rsidRPr="00B00080">
              <w:t>g</w:t>
            </w:r>
            <w:r w:rsidR="004F18B4">
              <w:t>.</w:t>
            </w:r>
            <w:r w:rsidRPr="00B00080">
              <w:t>, plasma), interrogation for sequence variants; DNA analysis or combined DNA and RNA analysis, copy number variants and rearrangements</w:t>
            </w:r>
          </w:p>
        </w:tc>
      </w:tr>
      <w:tr w:rsidR="00E91C4D" w:rsidRPr="00B00080" w14:paraId="0FDCF976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3224B80E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81463</w:t>
            </w:r>
          </w:p>
        </w:tc>
        <w:tc>
          <w:tcPr>
            <w:tcW w:w="1504" w:type="dxa"/>
            <w:noWrap/>
            <w:vAlign w:val="center"/>
            <w:hideMark/>
          </w:tcPr>
          <w:p w14:paraId="45B5B139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665CC420" w14:textId="2248387C" w:rsidR="00E91C4D" w:rsidRPr="00B00080" w:rsidRDefault="00E91C4D" w:rsidP="00821D57">
            <w:pPr>
              <w:spacing w:line="276" w:lineRule="auto"/>
            </w:pPr>
            <w:r w:rsidRPr="00B00080">
              <w:t>Solid organ neoplasm, genomic sequence analysis panel, cell-free nucleic acid (e</w:t>
            </w:r>
            <w:r w:rsidR="004F18B4">
              <w:t>.</w:t>
            </w:r>
            <w:r w:rsidRPr="00B00080">
              <w:t>g</w:t>
            </w:r>
            <w:r w:rsidR="004F18B4">
              <w:t>.</w:t>
            </w:r>
            <w:r w:rsidRPr="00B00080">
              <w:t>, plasma), interrogation for sequence variants; DNA analysis, copy number variants, and microsatellite instability</w:t>
            </w:r>
          </w:p>
        </w:tc>
      </w:tr>
      <w:tr w:rsidR="00E91C4D" w:rsidRPr="00B00080" w14:paraId="0FC7F46A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2B5AE4AF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81464</w:t>
            </w:r>
          </w:p>
        </w:tc>
        <w:tc>
          <w:tcPr>
            <w:tcW w:w="1504" w:type="dxa"/>
            <w:noWrap/>
            <w:vAlign w:val="center"/>
            <w:hideMark/>
          </w:tcPr>
          <w:p w14:paraId="5903C59F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$0.00</w:t>
            </w:r>
          </w:p>
        </w:tc>
        <w:tc>
          <w:tcPr>
            <w:tcW w:w="6655" w:type="dxa"/>
            <w:noWrap/>
            <w:vAlign w:val="center"/>
            <w:hideMark/>
          </w:tcPr>
          <w:p w14:paraId="00C13983" w14:textId="597BCC15" w:rsidR="00E91C4D" w:rsidRPr="00B00080" w:rsidRDefault="00E91C4D" w:rsidP="00821D57">
            <w:pPr>
              <w:spacing w:line="276" w:lineRule="auto"/>
            </w:pPr>
            <w:r w:rsidRPr="00B00080">
              <w:t>Solid organ neoplasm, genomic sequence analysis panel, cell-free nucleic acid (e</w:t>
            </w:r>
            <w:r w:rsidR="004F18B4">
              <w:t>.</w:t>
            </w:r>
            <w:r w:rsidRPr="00B00080">
              <w:t>g</w:t>
            </w:r>
            <w:r w:rsidR="004F18B4">
              <w:t>.</w:t>
            </w:r>
            <w:r w:rsidRPr="00B00080">
              <w:t>, plasma), interrogation for sequence variants; DNA analysis or combined DNA and RNA analysis, copy number variants, microsatellite instability, tumor mutation burden, and rearrangements</w:t>
            </w:r>
          </w:p>
        </w:tc>
      </w:tr>
      <w:tr w:rsidR="00E91C4D" w:rsidRPr="00B00080" w14:paraId="04F6BA32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04F8453A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81517</w:t>
            </w:r>
          </w:p>
        </w:tc>
        <w:tc>
          <w:tcPr>
            <w:tcW w:w="1504" w:type="dxa"/>
            <w:noWrap/>
            <w:vAlign w:val="center"/>
            <w:hideMark/>
          </w:tcPr>
          <w:p w14:paraId="43848252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$155.40</w:t>
            </w:r>
          </w:p>
        </w:tc>
        <w:tc>
          <w:tcPr>
            <w:tcW w:w="6655" w:type="dxa"/>
            <w:noWrap/>
            <w:vAlign w:val="center"/>
            <w:hideMark/>
          </w:tcPr>
          <w:p w14:paraId="4D88677B" w14:textId="77777777" w:rsidR="00E91C4D" w:rsidRPr="00B00080" w:rsidRDefault="00E91C4D" w:rsidP="00821D57">
            <w:pPr>
              <w:spacing w:line="276" w:lineRule="auto"/>
            </w:pPr>
            <w:r w:rsidRPr="00B00080">
              <w:t>Liver disease, analysis of 3 biomarkers (hyaluronic acid [HA], procollagen III amino terminal peptide [PIIINP], tissue inhibitor of metalloproteinase 1 [TIMP-1]), using immunoassays, utilizing serum, prognostic algorithm reported as a risk score and risk of liver fibrosis and liver-related clinical events within 5 years</w:t>
            </w:r>
          </w:p>
        </w:tc>
      </w:tr>
      <w:tr w:rsidR="00E91C4D" w:rsidRPr="00B00080" w14:paraId="01A2A8F1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0851C1D8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82166</w:t>
            </w:r>
          </w:p>
        </w:tc>
        <w:tc>
          <w:tcPr>
            <w:tcW w:w="1504" w:type="dxa"/>
            <w:noWrap/>
            <w:vAlign w:val="center"/>
            <w:hideMark/>
          </w:tcPr>
          <w:p w14:paraId="43863F5B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$34.06</w:t>
            </w:r>
          </w:p>
        </w:tc>
        <w:tc>
          <w:tcPr>
            <w:tcW w:w="6655" w:type="dxa"/>
            <w:noWrap/>
            <w:vAlign w:val="center"/>
            <w:hideMark/>
          </w:tcPr>
          <w:p w14:paraId="10394F44" w14:textId="77777777" w:rsidR="00E91C4D" w:rsidRPr="00B00080" w:rsidRDefault="00E91C4D" w:rsidP="00821D57">
            <w:pPr>
              <w:spacing w:line="276" w:lineRule="auto"/>
            </w:pPr>
            <w:r w:rsidRPr="00B00080">
              <w:t>Anti-mullerian hormone (AMH)</w:t>
            </w:r>
          </w:p>
        </w:tc>
      </w:tr>
      <w:tr w:rsidR="00E91C4D" w:rsidRPr="00B00080" w14:paraId="52446C11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5837D2BB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86041</w:t>
            </w:r>
          </w:p>
        </w:tc>
        <w:tc>
          <w:tcPr>
            <w:tcW w:w="1504" w:type="dxa"/>
            <w:noWrap/>
            <w:vAlign w:val="center"/>
            <w:hideMark/>
          </w:tcPr>
          <w:p w14:paraId="709C3E14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$16.23</w:t>
            </w:r>
          </w:p>
        </w:tc>
        <w:tc>
          <w:tcPr>
            <w:tcW w:w="6655" w:type="dxa"/>
            <w:noWrap/>
            <w:vAlign w:val="center"/>
            <w:hideMark/>
          </w:tcPr>
          <w:p w14:paraId="35066B05" w14:textId="77777777" w:rsidR="00E91C4D" w:rsidRPr="00B00080" w:rsidRDefault="00E91C4D" w:rsidP="00821D57">
            <w:pPr>
              <w:spacing w:line="276" w:lineRule="auto"/>
            </w:pPr>
            <w:r w:rsidRPr="00B00080">
              <w:t>Acetylcholine receptor (</w:t>
            </w:r>
            <w:proofErr w:type="spellStart"/>
            <w:r w:rsidRPr="00B00080">
              <w:t>AChR</w:t>
            </w:r>
            <w:proofErr w:type="spellEnd"/>
            <w:r w:rsidRPr="00B00080">
              <w:t>); binding antibody</w:t>
            </w:r>
          </w:p>
        </w:tc>
      </w:tr>
      <w:tr w:rsidR="00E91C4D" w:rsidRPr="00B00080" w14:paraId="263911DD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25F2AC6F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86042</w:t>
            </w:r>
          </w:p>
        </w:tc>
        <w:tc>
          <w:tcPr>
            <w:tcW w:w="1504" w:type="dxa"/>
            <w:noWrap/>
            <w:vAlign w:val="center"/>
            <w:hideMark/>
          </w:tcPr>
          <w:p w14:paraId="69CDD325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$16.23</w:t>
            </w:r>
          </w:p>
        </w:tc>
        <w:tc>
          <w:tcPr>
            <w:tcW w:w="6655" w:type="dxa"/>
            <w:noWrap/>
            <w:vAlign w:val="center"/>
            <w:hideMark/>
          </w:tcPr>
          <w:p w14:paraId="182A34D2" w14:textId="77777777" w:rsidR="00E91C4D" w:rsidRPr="00B00080" w:rsidRDefault="00E91C4D" w:rsidP="00821D57">
            <w:pPr>
              <w:spacing w:line="276" w:lineRule="auto"/>
            </w:pPr>
            <w:r w:rsidRPr="00B00080">
              <w:t>Acetylcholine receptor (</w:t>
            </w:r>
            <w:proofErr w:type="spellStart"/>
            <w:r w:rsidRPr="00B00080">
              <w:t>AChR</w:t>
            </w:r>
            <w:proofErr w:type="spellEnd"/>
            <w:r w:rsidRPr="00B00080">
              <w:t>); blocking antibody</w:t>
            </w:r>
          </w:p>
        </w:tc>
      </w:tr>
      <w:tr w:rsidR="00E91C4D" w:rsidRPr="00B00080" w14:paraId="3E5C77EB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766F2040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86043</w:t>
            </w:r>
          </w:p>
        </w:tc>
        <w:tc>
          <w:tcPr>
            <w:tcW w:w="1504" w:type="dxa"/>
            <w:noWrap/>
            <w:vAlign w:val="center"/>
            <w:hideMark/>
          </w:tcPr>
          <w:p w14:paraId="203536B5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$10.63</w:t>
            </w:r>
          </w:p>
        </w:tc>
        <w:tc>
          <w:tcPr>
            <w:tcW w:w="6655" w:type="dxa"/>
            <w:noWrap/>
            <w:vAlign w:val="center"/>
            <w:hideMark/>
          </w:tcPr>
          <w:p w14:paraId="3480702F" w14:textId="77777777" w:rsidR="00E91C4D" w:rsidRPr="00B00080" w:rsidRDefault="00E91C4D" w:rsidP="00821D57">
            <w:pPr>
              <w:spacing w:line="276" w:lineRule="auto"/>
            </w:pPr>
            <w:r w:rsidRPr="00B00080">
              <w:t>Acetylcholine receptor (</w:t>
            </w:r>
            <w:proofErr w:type="spellStart"/>
            <w:r w:rsidRPr="00B00080">
              <w:t>AChR</w:t>
            </w:r>
            <w:proofErr w:type="spellEnd"/>
            <w:r w:rsidRPr="00B00080">
              <w:t>); modulating antibody</w:t>
            </w:r>
          </w:p>
        </w:tc>
      </w:tr>
      <w:tr w:rsidR="00E91C4D" w:rsidRPr="00B00080" w14:paraId="46F433AD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7C7138BA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86366</w:t>
            </w:r>
          </w:p>
        </w:tc>
        <w:tc>
          <w:tcPr>
            <w:tcW w:w="1504" w:type="dxa"/>
            <w:noWrap/>
            <w:vAlign w:val="center"/>
            <w:hideMark/>
          </w:tcPr>
          <w:p w14:paraId="1E9A26EB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$16.23</w:t>
            </w:r>
          </w:p>
        </w:tc>
        <w:tc>
          <w:tcPr>
            <w:tcW w:w="6655" w:type="dxa"/>
            <w:noWrap/>
            <w:vAlign w:val="center"/>
            <w:hideMark/>
          </w:tcPr>
          <w:p w14:paraId="1AD3B5DA" w14:textId="77777777" w:rsidR="00E91C4D" w:rsidRPr="00B00080" w:rsidRDefault="00E91C4D" w:rsidP="00821D57">
            <w:pPr>
              <w:spacing w:line="276" w:lineRule="auto"/>
            </w:pPr>
            <w:r w:rsidRPr="00B00080">
              <w:t>Muscle-specific kinase (</w:t>
            </w:r>
            <w:proofErr w:type="spellStart"/>
            <w:r w:rsidRPr="00B00080">
              <w:t>MuSK</w:t>
            </w:r>
            <w:proofErr w:type="spellEnd"/>
            <w:r w:rsidRPr="00B00080">
              <w:t>) antibody</w:t>
            </w:r>
          </w:p>
        </w:tc>
      </w:tr>
      <w:tr w:rsidR="00E91C4D" w:rsidRPr="00B00080" w14:paraId="1BA0FDA5" w14:textId="77777777" w:rsidTr="00DD5510">
        <w:trPr>
          <w:cantSplit/>
          <w:trHeight w:val="290"/>
        </w:trPr>
        <w:tc>
          <w:tcPr>
            <w:tcW w:w="1191" w:type="dxa"/>
            <w:noWrap/>
            <w:vAlign w:val="center"/>
            <w:hideMark/>
          </w:tcPr>
          <w:p w14:paraId="216F58A1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87523</w:t>
            </w:r>
          </w:p>
        </w:tc>
        <w:tc>
          <w:tcPr>
            <w:tcW w:w="1504" w:type="dxa"/>
            <w:noWrap/>
            <w:vAlign w:val="center"/>
            <w:hideMark/>
          </w:tcPr>
          <w:p w14:paraId="47A7D7BA" w14:textId="77777777" w:rsidR="00E91C4D" w:rsidRPr="00B00080" w:rsidRDefault="00E91C4D" w:rsidP="00821D57">
            <w:pPr>
              <w:spacing w:line="276" w:lineRule="auto"/>
              <w:jc w:val="center"/>
            </w:pPr>
            <w:r w:rsidRPr="00B00080">
              <w:t>$37.78</w:t>
            </w:r>
          </w:p>
        </w:tc>
        <w:tc>
          <w:tcPr>
            <w:tcW w:w="6655" w:type="dxa"/>
            <w:noWrap/>
            <w:vAlign w:val="center"/>
            <w:hideMark/>
          </w:tcPr>
          <w:p w14:paraId="0D0BE01A" w14:textId="77777777" w:rsidR="00E91C4D" w:rsidRPr="00B00080" w:rsidRDefault="00E91C4D" w:rsidP="00821D57">
            <w:pPr>
              <w:spacing w:line="276" w:lineRule="auto"/>
            </w:pPr>
            <w:r w:rsidRPr="00B00080">
              <w:t>Infectious agent detection by nucleic acid (DNA or RNA); hepatitis D (delta), quantification, including reverse transcription, when performed</w:t>
            </w:r>
          </w:p>
        </w:tc>
      </w:tr>
    </w:tbl>
    <w:p w14:paraId="788EAFC1" w14:textId="18DCFB7E" w:rsidR="00E964C3" w:rsidRDefault="00E964C3" w:rsidP="00656FFF">
      <w:pPr>
        <w:spacing w:line="276" w:lineRule="auto"/>
      </w:pPr>
    </w:p>
    <w:p w14:paraId="1D513142" w14:textId="05C5996A" w:rsidR="00B05E0C" w:rsidRDefault="00B05E0C" w:rsidP="008C7C8A">
      <w:pPr>
        <w:spacing w:before="960"/>
      </w:pPr>
      <w:r>
        <w:rPr>
          <w:noProof/>
        </w:rPr>
        <w:drawing>
          <wp:inline distT="0" distB="0" distL="0" distR="0" wp14:anchorId="4EDB8485" wp14:editId="4F2A4F16">
            <wp:extent cx="219438" cy="219438"/>
            <wp:effectExtent l="0" t="0" r="0" b="9525"/>
            <wp:docPr id="1865189851" name="Picture 1" descr="Faceb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k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4D851928" wp14:editId="0A1F9335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="008C7C8A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04440F56" wp14:editId="3865B0DF">
            <wp:extent cx="219438" cy="219438"/>
            <wp:effectExtent l="0" t="0" r="9525" b="9525"/>
            <wp:docPr id="1407212517" name="Picture 1407212517" descr="YouTube logo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 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YouTube</w:t>
        </w:r>
      </w:hyperlink>
    </w:p>
    <w:p w14:paraId="7CD89ECE" w14:textId="77777777" w:rsidR="00B05E0C" w:rsidRPr="00AC798F" w:rsidRDefault="00B05E0C" w:rsidP="00656FFF">
      <w:pPr>
        <w:spacing w:line="276" w:lineRule="auto"/>
      </w:pPr>
    </w:p>
    <w:p w14:paraId="12B7360E" w14:textId="2FC8295A" w:rsidR="0041466F" w:rsidRPr="0041466F" w:rsidRDefault="0041466F" w:rsidP="00AC798F"/>
    <w:sectPr w:rsidR="0041466F" w:rsidRPr="0041466F" w:rsidSect="00E964C3">
      <w:headerReference w:type="default" r:id="rId20"/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CC906" w14:textId="77777777" w:rsidR="00F12C5F" w:rsidRDefault="00F12C5F" w:rsidP="00AC798F">
      <w:r>
        <w:separator/>
      </w:r>
    </w:p>
    <w:p w14:paraId="3DA75D99" w14:textId="77777777" w:rsidR="00835677" w:rsidRDefault="00835677"/>
  </w:endnote>
  <w:endnote w:type="continuationSeparator" w:id="0">
    <w:p w14:paraId="771D7FD3" w14:textId="77777777" w:rsidR="00F12C5F" w:rsidRDefault="00F12C5F" w:rsidP="00AC798F">
      <w:r>
        <w:continuationSeparator/>
      </w:r>
    </w:p>
    <w:p w14:paraId="481DEE91" w14:textId="77777777" w:rsidR="00835677" w:rsidRDefault="0083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21C38" w14:textId="77777777" w:rsidR="00F12C5F" w:rsidRDefault="00F12C5F" w:rsidP="00AC798F">
      <w:r>
        <w:separator/>
      </w:r>
    </w:p>
    <w:p w14:paraId="05E52994" w14:textId="77777777" w:rsidR="00835677" w:rsidRDefault="00835677"/>
  </w:footnote>
  <w:footnote w:type="continuationSeparator" w:id="0">
    <w:p w14:paraId="1D823454" w14:textId="77777777" w:rsidR="00F12C5F" w:rsidRDefault="00F12C5F" w:rsidP="00AC798F">
      <w:r>
        <w:continuationSeparator/>
      </w:r>
    </w:p>
    <w:p w14:paraId="6618EAF1" w14:textId="77777777" w:rsidR="00835677" w:rsidRDefault="00835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4F95" w14:textId="77777777" w:rsidR="00E964C3" w:rsidRPr="00A11317" w:rsidRDefault="00E964C3" w:rsidP="0071737A">
    <w:pPr>
      <w:spacing w:after="0" w:line="276" w:lineRule="auto"/>
      <w:jc w:val="right"/>
    </w:pPr>
    <w:r w:rsidRPr="00A11317">
      <w:t>EOHHS</w:t>
    </w:r>
  </w:p>
  <w:p w14:paraId="035EBA9C" w14:textId="2F4641EE" w:rsidR="00E964C3" w:rsidRPr="00A11317" w:rsidRDefault="00E964C3" w:rsidP="0071737A">
    <w:pPr>
      <w:spacing w:after="0" w:line="276" w:lineRule="auto"/>
      <w:jc w:val="right"/>
    </w:pPr>
    <w:r w:rsidRPr="00A11317">
      <w:t xml:space="preserve">Administrative Bulletin </w:t>
    </w:r>
    <w:r w:rsidR="00D25E9F" w:rsidRPr="00A11317">
      <w:t>24-</w:t>
    </w:r>
    <w:r w:rsidR="00A11317" w:rsidRPr="00A11317">
      <w:t>19</w:t>
    </w:r>
  </w:p>
  <w:p w14:paraId="64299DFB" w14:textId="3B641703" w:rsidR="00E964C3" w:rsidRPr="00AC798F" w:rsidRDefault="00E964C3" w:rsidP="0071737A">
    <w:pPr>
      <w:spacing w:after="0" w:line="276" w:lineRule="auto"/>
      <w:jc w:val="right"/>
    </w:pPr>
    <w:r w:rsidRPr="00A11317">
      <w:t xml:space="preserve">Effective </w:t>
    </w:r>
    <w:r w:rsidR="009E3858" w:rsidRPr="00A11317">
      <w:t>January 1, 2024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254AF"/>
    <w:rsid w:val="000722C4"/>
    <w:rsid w:val="000B3478"/>
    <w:rsid w:val="00100E5C"/>
    <w:rsid w:val="00103746"/>
    <w:rsid w:val="001124C4"/>
    <w:rsid w:val="00130559"/>
    <w:rsid w:val="00134791"/>
    <w:rsid w:val="00146C2F"/>
    <w:rsid w:val="00153DCE"/>
    <w:rsid w:val="00154CA9"/>
    <w:rsid w:val="00193348"/>
    <w:rsid w:val="001A7742"/>
    <w:rsid w:val="001A7A68"/>
    <w:rsid w:val="001D628B"/>
    <w:rsid w:val="0022152B"/>
    <w:rsid w:val="002448DD"/>
    <w:rsid w:val="00251361"/>
    <w:rsid w:val="00254BBD"/>
    <w:rsid w:val="00266B97"/>
    <w:rsid w:val="00271D28"/>
    <w:rsid w:val="0027639F"/>
    <w:rsid w:val="00284238"/>
    <w:rsid w:val="00291039"/>
    <w:rsid w:val="002A779E"/>
    <w:rsid w:val="003113E4"/>
    <w:rsid w:val="0033130A"/>
    <w:rsid w:val="00351564"/>
    <w:rsid w:val="003575DF"/>
    <w:rsid w:val="003A3882"/>
    <w:rsid w:val="003B0112"/>
    <w:rsid w:val="003D04E7"/>
    <w:rsid w:val="003F6AAE"/>
    <w:rsid w:val="0041466F"/>
    <w:rsid w:val="00417159"/>
    <w:rsid w:val="0041715C"/>
    <w:rsid w:val="00421B27"/>
    <w:rsid w:val="004226F6"/>
    <w:rsid w:val="0043744D"/>
    <w:rsid w:val="00443CDB"/>
    <w:rsid w:val="00465E5A"/>
    <w:rsid w:val="00470F5A"/>
    <w:rsid w:val="004D48D7"/>
    <w:rsid w:val="004F18B4"/>
    <w:rsid w:val="005246D9"/>
    <w:rsid w:val="00533A3B"/>
    <w:rsid w:val="0053555D"/>
    <w:rsid w:val="0054222D"/>
    <w:rsid w:val="0056474D"/>
    <w:rsid w:val="005702E6"/>
    <w:rsid w:val="0057224E"/>
    <w:rsid w:val="00585302"/>
    <w:rsid w:val="00597C39"/>
    <w:rsid w:val="005B5D35"/>
    <w:rsid w:val="005F20AC"/>
    <w:rsid w:val="005F66F1"/>
    <w:rsid w:val="00607406"/>
    <w:rsid w:val="00637F9F"/>
    <w:rsid w:val="0064272D"/>
    <w:rsid w:val="00656FFF"/>
    <w:rsid w:val="006718AB"/>
    <w:rsid w:val="006B1D87"/>
    <w:rsid w:val="006B6EE0"/>
    <w:rsid w:val="006C4379"/>
    <w:rsid w:val="006D5209"/>
    <w:rsid w:val="006E5DED"/>
    <w:rsid w:val="006E64A6"/>
    <w:rsid w:val="0070235D"/>
    <w:rsid w:val="0071737A"/>
    <w:rsid w:val="00720C4F"/>
    <w:rsid w:val="00734039"/>
    <w:rsid w:val="00782360"/>
    <w:rsid w:val="00796A70"/>
    <w:rsid w:val="007B48C3"/>
    <w:rsid w:val="007F04B8"/>
    <w:rsid w:val="00800711"/>
    <w:rsid w:val="00835677"/>
    <w:rsid w:val="0085209F"/>
    <w:rsid w:val="00852E4B"/>
    <w:rsid w:val="008669CB"/>
    <w:rsid w:val="00897DD4"/>
    <w:rsid w:val="008A50C9"/>
    <w:rsid w:val="008C7C8A"/>
    <w:rsid w:val="008C7CF5"/>
    <w:rsid w:val="008D1B58"/>
    <w:rsid w:val="00964EDE"/>
    <w:rsid w:val="00984786"/>
    <w:rsid w:val="009A3538"/>
    <w:rsid w:val="009D73BE"/>
    <w:rsid w:val="009E3858"/>
    <w:rsid w:val="00A01D8C"/>
    <w:rsid w:val="00A03926"/>
    <w:rsid w:val="00A06F80"/>
    <w:rsid w:val="00A11317"/>
    <w:rsid w:val="00A1367C"/>
    <w:rsid w:val="00A34C8D"/>
    <w:rsid w:val="00A72FAD"/>
    <w:rsid w:val="00A75CD6"/>
    <w:rsid w:val="00AB33D8"/>
    <w:rsid w:val="00AC798F"/>
    <w:rsid w:val="00AD1945"/>
    <w:rsid w:val="00B0173B"/>
    <w:rsid w:val="00B05E0C"/>
    <w:rsid w:val="00B45016"/>
    <w:rsid w:val="00B623EB"/>
    <w:rsid w:val="00BA6D03"/>
    <w:rsid w:val="00BB4E8A"/>
    <w:rsid w:val="00BE1FB2"/>
    <w:rsid w:val="00BE6F69"/>
    <w:rsid w:val="00C1076E"/>
    <w:rsid w:val="00C400D6"/>
    <w:rsid w:val="00C4194A"/>
    <w:rsid w:val="00C773D1"/>
    <w:rsid w:val="00C861AE"/>
    <w:rsid w:val="00C87BF7"/>
    <w:rsid w:val="00CC1439"/>
    <w:rsid w:val="00CC665B"/>
    <w:rsid w:val="00CD0456"/>
    <w:rsid w:val="00D160CC"/>
    <w:rsid w:val="00D25E9F"/>
    <w:rsid w:val="00D35714"/>
    <w:rsid w:val="00D5182F"/>
    <w:rsid w:val="00D63172"/>
    <w:rsid w:val="00D761F6"/>
    <w:rsid w:val="00D934FF"/>
    <w:rsid w:val="00DA095C"/>
    <w:rsid w:val="00DD5510"/>
    <w:rsid w:val="00DF21B5"/>
    <w:rsid w:val="00E10A6E"/>
    <w:rsid w:val="00E27559"/>
    <w:rsid w:val="00E320F9"/>
    <w:rsid w:val="00E56BD5"/>
    <w:rsid w:val="00E620A3"/>
    <w:rsid w:val="00E74BC2"/>
    <w:rsid w:val="00E91C4D"/>
    <w:rsid w:val="00E92AC9"/>
    <w:rsid w:val="00E964C3"/>
    <w:rsid w:val="00EE4CAE"/>
    <w:rsid w:val="00F12C5F"/>
    <w:rsid w:val="00F247CB"/>
    <w:rsid w:val="00F30AF6"/>
    <w:rsid w:val="00F44C98"/>
    <w:rsid w:val="00F44E10"/>
    <w:rsid w:val="00F531D7"/>
    <w:rsid w:val="00F60649"/>
    <w:rsid w:val="00F65E52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E9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7DD4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ssHealth1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1QQ61nTN7LNKkhjrjnYOU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2452</Characters>
  <Application>Microsoft Office Word</Application>
  <DocSecurity>4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Bulletin 24-19</dc:title>
  <dc:subject>101 CMR 320 - 2024 CPT Code Updates</dc:subject>
  <dc:creator>Executive Office of Health and Human Services</dc:creator>
  <cp:lastModifiedBy>Philippa Durbin</cp:lastModifiedBy>
  <cp:revision>2</cp:revision>
  <cp:lastPrinted>2023-03-01T20:48:00Z</cp:lastPrinted>
  <dcterms:created xsi:type="dcterms:W3CDTF">2024-07-18T16:24:00Z</dcterms:created>
  <dcterms:modified xsi:type="dcterms:W3CDTF">2024-07-18T16:24:00Z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