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7EAB" w14:textId="56DA1857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6F5C04">
        <w:t>24-</w:t>
      </w:r>
      <w:r w:rsidR="000B7F07">
        <w:t>25</w:t>
      </w:r>
    </w:p>
    <w:p w14:paraId="2AD16DA2" w14:textId="77777777" w:rsidR="00A72FAD" w:rsidRPr="00A72FAD" w:rsidRDefault="00A72FAD" w:rsidP="00A72FAD">
      <w:pPr>
        <w:spacing w:after="0"/>
      </w:pPr>
    </w:p>
    <w:p w14:paraId="1D3755FA" w14:textId="2CBE1805" w:rsidR="00533A3B" w:rsidRDefault="00533A3B" w:rsidP="00A72FAD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6F5C04" w:rsidRPr="006F5C04">
        <w:rPr>
          <w:b/>
          <w:bCs/>
          <w:sz w:val="24"/>
          <w:szCs w:val="24"/>
        </w:rPr>
        <w:t xml:space="preserve">359.00: </w:t>
      </w:r>
      <w:r w:rsidR="006F5C04" w:rsidRPr="006F5C04">
        <w:rPr>
          <w:b/>
          <w:bCs/>
          <w:i/>
          <w:iCs/>
          <w:sz w:val="24"/>
          <w:szCs w:val="24"/>
        </w:rPr>
        <w:t xml:space="preserve">Rates for Home and </w:t>
      </w:r>
      <w:r w:rsidR="00123C8A" w:rsidRPr="006F5C04">
        <w:rPr>
          <w:b/>
          <w:bCs/>
          <w:i/>
          <w:iCs/>
          <w:sz w:val="24"/>
          <w:szCs w:val="24"/>
        </w:rPr>
        <w:t>Community</w:t>
      </w:r>
      <w:r w:rsidR="00CC5EAE">
        <w:rPr>
          <w:b/>
          <w:bCs/>
          <w:i/>
          <w:iCs/>
          <w:sz w:val="24"/>
          <w:szCs w:val="24"/>
        </w:rPr>
        <w:t xml:space="preserve"> </w:t>
      </w:r>
      <w:r w:rsidR="006F5C04" w:rsidRPr="006F5C04">
        <w:rPr>
          <w:b/>
          <w:bCs/>
          <w:i/>
          <w:iCs/>
          <w:sz w:val="24"/>
          <w:szCs w:val="24"/>
        </w:rPr>
        <w:t>Based</w:t>
      </w:r>
      <w:r w:rsidR="00CC5EAE">
        <w:rPr>
          <w:b/>
          <w:bCs/>
          <w:i/>
          <w:iCs/>
          <w:sz w:val="24"/>
          <w:szCs w:val="24"/>
        </w:rPr>
        <w:t xml:space="preserve"> </w:t>
      </w:r>
      <w:r w:rsidR="006F5C04" w:rsidRPr="006F5C04">
        <w:rPr>
          <w:b/>
          <w:bCs/>
          <w:i/>
          <w:iCs/>
          <w:sz w:val="24"/>
          <w:szCs w:val="24"/>
        </w:rPr>
        <w:t>Services</w:t>
      </w:r>
      <w:r w:rsidR="00123C8A">
        <w:rPr>
          <w:b/>
          <w:bCs/>
          <w:i/>
          <w:iCs/>
          <w:sz w:val="24"/>
          <w:szCs w:val="24"/>
        </w:rPr>
        <w:t xml:space="preserve"> Waivers</w:t>
      </w:r>
      <w:r w:rsidR="006F5C04" w:rsidRPr="006F5C04">
        <w:rPr>
          <w:b/>
          <w:bCs/>
          <w:sz w:val="24"/>
          <w:szCs w:val="24"/>
        </w:rPr>
        <w:t xml:space="preserve"> 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5F8B3FA6" w:rsidR="00533A3B" w:rsidRDefault="00533A3B" w:rsidP="00A72FAD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>Effective</w:t>
      </w:r>
      <w:r w:rsidR="006F5C04">
        <w:rPr>
          <w:sz w:val="24"/>
          <w:szCs w:val="24"/>
        </w:rPr>
        <w:t xml:space="preserve"> July 1, 2024</w:t>
      </w:r>
    </w:p>
    <w:p w14:paraId="02B0D633" w14:textId="77777777" w:rsidR="00A72FAD" w:rsidRPr="00A72FAD" w:rsidRDefault="00A72FAD" w:rsidP="00A72FAD">
      <w:pPr>
        <w:spacing w:after="0"/>
      </w:pPr>
    </w:p>
    <w:p w14:paraId="220D9338" w14:textId="1E5FFD45" w:rsidR="00533A3B" w:rsidRDefault="00123183" w:rsidP="0012318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eastAsiaTheme="majorEastAsia" w:hAnsi="Georgia" w:cs="Segoe UI"/>
          <w:b/>
          <w:bCs/>
        </w:rPr>
      </w:pPr>
      <w:r>
        <w:rPr>
          <w:rStyle w:val="normaltextrun"/>
          <w:rFonts w:ascii="Georgia" w:eastAsiaTheme="majorEastAsia" w:hAnsi="Georgia" w:cs="Segoe UI"/>
          <w:b/>
          <w:bCs/>
        </w:rPr>
        <w:t>Employer Expense Component Update to Self-directed Service Rates, Including Worker Rate Component and Employer Expense Component</w:t>
      </w:r>
    </w:p>
    <w:p w14:paraId="16606E41" w14:textId="77777777" w:rsidR="00123C8A" w:rsidRPr="00123183" w:rsidRDefault="00123C8A" w:rsidP="00123183">
      <w:pPr>
        <w:pStyle w:val="paragraph"/>
        <w:spacing w:before="0" w:beforeAutospacing="0" w:after="0" w:afterAutospacing="0"/>
        <w:jc w:val="center"/>
        <w:textAlignment w:val="baseline"/>
        <w:rPr>
          <w:rFonts w:ascii="Georgia" w:eastAsiaTheme="majorEastAsia" w:hAnsi="Georgia" w:cs="Segoe UI"/>
          <w:b/>
          <w:bCs/>
        </w:rPr>
      </w:pPr>
    </w:p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BFFC0B" w14:textId="66496204" w:rsidR="00852E4B" w:rsidRPr="00533A3B" w:rsidRDefault="00123C8A" w:rsidP="00123C8A">
      <w:pPr>
        <w:pStyle w:val="Heading2"/>
      </w:pPr>
      <w:r>
        <w:t>Background</w:t>
      </w:r>
    </w:p>
    <w:p w14:paraId="57C1D87F" w14:textId="2DEC9E84" w:rsidR="00123C8A" w:rsidRPr="00123C8A" w:rsidRDefault="00123C8A" w:rsidP="00123C8A">
      <w:pPr>
        <w:spacing w:line="276" w:lineRule="auto"/>
      </w:pPr>
      <w:r>
        <w:t>T</w:t>
      </w:r>
      <w:r w:rsidRPr="00123C8A">
        <w:t xml:space="preserve">his </w:t>
      </w:r>
      <w:r w:rsidR="005F39E8">
        <w:t>a</w:t>
      </w:r>
      <w:r w:rsidR="005F39E8" w:rsidRPr="00123C8A">
        <w:t xml:space="preserve">dministrative </w:t>
      </w:r>
      <w:r w:rsidR="005F39E8">
        <w:t>b</w:t>
      </w:r>
      <w:r w:rsidR="005F39E8" w:rsidRPr="00123C8A">
        <w:t xml:space="preserve">ulletin </w:t>
      </w:r>
      <w:r w:rsidRPr="00123C8A">
        <w:t>updates self-directed services rates</w:t>
      </w:r>
      <w:r w:rsidR="005F39E8">
        <w:t>.</w:t>
      </w:r>
      <w:r w:rsidRPr="00123C8A">
        <w:t xml:space="preserve"> </w:t>
      </w:r>
      <w:r w:rsidR="005F39E8">
        <w:t xml:space="preserve">These changes, allowed under 101 CMR 359.01(04), update </w:t>
      </w:r>
      <w:r w:rsidRPr="00123C8A">
        <w:t xml:space="preserve">the worker rate component and employer expense component (EEC) provided to participants of home and </w:t>
      </w:r>
      <w:r w:rsidR="00053C49" w:rsidRPr="00123C8A">
        <w:t>community</w:t>
      </w:r>
      <w:r w:rsidR="00053C49">
        <w:t>-</w:t>
      </w:r>
      <w:r w:rsidRPr="00123C8A">
        <w:t>based waiver services</w:t>
      </w:r>
      <w:r w:rsidR="00053C49">
        <w:t>,</w:t>
      </w:r>
      <w:r w:rsidRPr="00123C8A">
        <w:t xml:space="preserve"> as established in 101 CMR 359.03(5). These services include Individual Support and Community Habilitation (ISCH) Level G, Level H, and Level I services, as well as Adult Companion, Chore, Homemaker, and Peer Support services. </w:t>
      </w:r>
      <w:r w:rsidR="00053C49">
        <w:t>T</w:t>
      </w:r>
      <w:r w:rsidRPr="00123C8A">
        <w:t>he corresponding rate and components for personal care services are found in 101 CMR 359.00 and reference the rates for Personal Care Attendant (PCA) Services at 101 CMR 309.00</w:t>
      </w:r>
      <w:r w:rsidR="00053C49">
        <w:t xml:space="preserve">: </w:t>
      </w:r>
      <w:r w:rsidR="00053C49" w:rsidRPr="00053C49">
        <w:rPr>
          <w:i/>
          <w:iCs/>
        </w:rPr>
        <w:t>Rates for Certain Services for the Personal Care Attendant Program</w:t>
      </w:r>
      <w:r w:rsidRPr="00123C8A">
        <w:t>.</w:t>
      </w:r>
    </w:p>
    <w:p w14:paraId="601EF7BA" w14:textId="6989F967" w:rsidR="00123C8A" w:rsidRPr="00123C8A" w:rsidRDefault="002321D8" w:rsidP="00123C8A">
      <w:pPr>
        <w:spacing w:line="276" w:lineRule="auto"/>
        <w:rPr>
          <w:i/>
          <w:iCs/>
        </w:rPr>
      </w:pPr>
      <w:r>
        <w:t>Under</w:t>
      </w:r>
      <w:r w:rsidR="00123C8A" w:rsidRPr="00123C8A">
        <w:t xml:space="preserve"> 101 CMR 359.03(4), the rate for a self-directed ISCH service is 89.69% of the agency rate established in 101 CMR 423.00: </w:t>
      </w:r>
      <w:r w:rsidR="00123C8A" w:rsidRPr="00123C8A">
        <w:rPr>
          <w:i/>
          <w:iCs/>
        </w:rPr>
        <w:t xml:space="preserve">Rates for Certain In-Home Basic Living Supports. </w:t>
      </w:r>
    </w:p>
    <w:p w14:paraId="259AC8B1" w14:textId="6D31E13F" w:rsidR="00123C8A" w:rsidRPr="00123C8A" w:rsidRDefault="002321D8" w:rsidP="00123C8A">
      <w:pPr>
        <w:spacing w:line="276" w:lineRule="auto"/>
      </w:pPr>
      <w:r>
        <w:t>Under</w:t>
      </w:r>
      <w:r w:rsidR="00123C8A" w:rsidRPr="00123C8A">
        <w:t xml:space="preserve"> 101 CMR 359.03(4), the rate for Adult Companion, Chore, Homemaker, and Peer Support services, is 89.75% of the agency rate. The agency rate for Peer Support is established in 101 CMR 414.00: </w:t>
      </w:r>
      <w:r w:rsidR="00123C8A" w:rsidRPr="00123C8A">
        <w:rPr>
          <w:i/>
          <w:iCs/>
        </w:rPr>
        <w:t>Rates for Family Stabilization Services</w:t>
      </w:r>
      <w:r w:rsidR="00123C8A" w:rsidRPr="00123C8A">
        <w:t xml:space="preserve">. </w:t>
      </w:r>
    </w:p>
    <w:p w14:paraId="3E12018C" w14:textId="2D9B1F41" w:rsidR="00123C8A" w:rsidRPr="00123C8A" w:rsidRDefault="00123C8A" w:rsidP="00123C8A">
      <w:pPr>
        <w:spacing w:line="276" w:lineRule="auto"/>
      </w:pPr>
      <w:r w:rsidRPr="00123C8A">
        <w:t xml:space="preserve">The updated rates, </w:t>
      </w:r>
      <w:r w:rsidR="005F39E8">
        <w:t xml:space="preserve">which became </w:t>
      </w:r>
      <w:r w:rsidRPr="00123C8A">
        <w:t xml:space="preserve">effective July 1, 2024, are provided below. </w:t>
      </w:r>
    </w:p>
    <w:p w14:paraId="3A3502B2" w14:textId="53D22A21" w:rsidR="00852E4B" w:rsidRPr="00AC798F" w:rsidRDefault="00852E4B" w:rsidP="00852E4B">
      <w:pPr>
        <w:spacing w:line="276" w:lineRule="auto"/>
      </w:pPr>
    </w:p>
    <w:p w14:paraId="28535F3D" w14:textId="098BC9FD" w:rsidR="00852E4B" w:rsidRPr="00533A3B" w:rsidRDefault="00123C8A" w:rsidP="00123C8A">
      <w:pPr>
        <w:pStyle w:val="Heading3"/>
        <w:tabs>
          <w:tab w:val="left" w:pos="7905"/>
        </w:tabs>
      </w:pPr>
      <w:r>
        <w:lastRenderedPageBreak/>
        <w:t>Updated Rates</w:t>
      </w:r>
      <w:r w:rsidR="00A72FAD">
        <w:rPr>
          <w:color w:val="00B05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440"/>
        <w:gridCol w:w="1738"/>
        <w:gridCol w:w="1738"/>
        <w:gridCol w:w="1739"/>
      </w:tblGrid>
      <w:tr w:rsidR="00123C8A" w14:paraId="33800E72" w14:textId="77777777" w:rsidTr="00C64C92">
        <w:tc>
          <w:tcPr>
            <w:tcW w:w="2695" w:type="dxa"/>
          </w:tcPr>
          <w:p w14:paraId="5A8CC41B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23C8A">
              <w:rPr>
                <w:rFonts w:ascii="Georgia" w:hAnsi="Georgia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1440" w:type="dxa"/>
          </w:tcPr>
          <w:p w14:paraId="654C2FD3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23C8A">
              <w:rPr>
                <w:rFonts w:ascii="Georgia" w:hAnsi="Georgia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738" w:type="dxa"/>
          </w:tcPr>
          <w:p w14:paraId="36D3A0B2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23C8A">
              <w:rPr>
                <w:rFonts w:ascii="Georgia" w:hAnsi="Georgia"/>
                <w:b/>
                <w:bCs/>
                <w:sz w:val="22"/>
                <w:szCs w:val="22"/>
              </w:rPr>
              <w:t>Self-directed Worker Rate</w:t>
            </w:r>
          </w:p>
        </w:tc>
        <w:tc>
          <w:tcPr>
            <w:tcW w:w="1738" w:type="dxa"/>
          </w:tcPr>
          <w:p w14:paraId="6FC8ADD8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23C8A">
              <w:rPr>
                <w:rFonts w:ascii="Georgia" w:hAnsi="Georgia"/>
                <w:b/>
                <w:bCs/>
                <w:sz w:val="22"/>
                <w:szCs w:val="22"/>
              </w:rPr>
              <w:t>Employer Expense Component</w:t>
            </w:r>
          </w:p>
        </w:tc>
        <w:tc>
          <w:tcPr>
            <w:tcW w:w="1739" w:type="dxa"/>
          </w:tcPr>
          <w:p w14:paraId="00C227DE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23C8A">
              <w:rPr>
                <w:rFonts w:ascii="Georgia" w:hAnsi="Georgia"/>
                <w:b/>
                <w:bCs/>
                <w:sz w:val="22"/>
                <w:szCs w:val="22"/>
              </w:rPr>
              <w:t>Self-directed Service Rate</w:t>
            </w:r>
          </w:p>
        </w:tc>
      </w:tr>
      <w:tr w:rsidR="00123C8A" w14:paraId="183896FC" w14:textId="77777777" w:rsidTr="00833175">
        <w:trPr>
          <w:trHeight w:val="288"/>
        </w:trPr>
        <w:tc>
          <w:tcPr>
            <w:tcW w:w="2695" w:type="dxa"/>
          </w:tcPr>
          <w:p w14:paraId="52B6F7FE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Adult Companion</w:t>
            </w:r>
          </w:p>
        </w:tc>
        <w:tc>
          <w:tcPr>
            <w:tcW w:w="1440" w:type="dxa"/>
          </w:tcPr>
          <w:p w14:paraId="5054A2AD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59F1AF72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$5.28</w:t>
            </w:r>
          </w:p>
        </w:tc>
        <w:tc>
          <w:tcPr>
            <w:tcW w:w="1738" w:type="dxa"/>
          </w:tcPr>
          <w:p w14:paraId="27E49822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$0.55</w:t>
            </w:r>
          </w:p>
        </w:tc>
        <w:tc>
          <w:tcPr>
            <w:tcW w:w="1739" w:type="dxa"/>
          </w:tcPr>
          <w:p w14:paraId="07AD2387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$5.83</w:t>
            </w:r>
          </w:p>
        </w:tc>
      </w:tr>
      <w:tr w:rsidR="00123C8A" w14:paraId="4436A445" w14:textId="77777777" w:rsidTr="00833175">
        <w:trPr>
          <w:trHeight w:val="288"/>
        </w:trPr>
        <w:tc>
          <w:tcPr>
            <w:tcW w:w="2695" w:type="dxa"/>
          </w:tcPr>
          <w:p w14:paraId="4E050A14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Chore</w:t>
            </w:r>
          </w:p>
        </w:tc>
        <w:tc>
          <w:tcPr>
            <w:tcW w:w="1440" w:type="dxa"/>
          </w:tcPr>
          <w:p w14:paraId="32607483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396297DD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$8.23</w:t>
            </w:r>
          </w:p>
        </w:tc>
        <w:tc>
          <w:tcPr>
            <w:tcW w:w="1738" w:type="dxa"/>
          </w:tcPr>
          <w:p w14:paraId="1668BDB3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$0.86</w:t>
            </w:r>
          </w:p>
        </w:tc>
        <w:tc>
          <w:tcPr>
            <w:tcW w:w="1739" w:type="dxa"/>
          </w:tcPr>
          <w:p w14:paraId="4B422949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$9.09</w:t>
            </w:r>
          </w:p>
        </w:tc>
      </w:tr>
      <w:tr w:rsidR="00123C8A" w14:paraId="09BE2194" w14:textId="77777777" w:rsidTr="00833175">
        <w:trPr>
          <w:trHeight w:val="288"/>
        </w:trPr>
        <w:tc>
          <w:tcPr>
            <w:tcW w:w="2695" w:type="dxa"/>
          </w:tcPr>
          <w:p w14:paraId="7F48C13B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Homemaker</w:t>
            </w:r>
          </w:p>
        </w:tc>
        <w:tc>
          <w:tcPr>
            <w:tcW w:w="1440" w:type="dxa"/>
          </w:tcPr>
          <w:p w14:paraId="2529F04B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54F42A76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$6.68</w:t>
            </w:r>
          </w:p>
        </w:tc>
        <w:tc>
          <w:tcPr>
            <w:tcW w:w="1738" w:type="dxa"/>
          </w:tcPr>
          <w:p w14:paraId="360DDA11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$0.70</w:t>
            </w:r>
          </w:p>
        </w:tc>
        <w:tc>
          <w:tcPr>
            <w:tcW w:w="1739" w:type="dxa"/>
          </w:tcPr>
          <w:p w14:paraId="4C7398EA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$7.38</w:t>
            </w:r>
          </w:p>
        </w:tc>
      </w:tr>
      <w:tr w:rsidR="00123C8A" w14:paraId="7610FCCF" w14:textId="77777777" w:rsidTr="00833175">
        <w:trPr>
          <w:trHeight w:val="288"/>
        </w:trPr>
        <w:tc>
          <w:tcPr>
            <w:tcW w:w="2695" w:type="dxa"/>
          </w:tcPr>
          <w:p w14:paraId="5E1AD2B3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Individual Supports and Community Habilitation: Level G</w:t>
            </w:r>
          </w:p>
        </w:tc>
        <w:tc>
          <w:tcPr>
            <w:tcW w:w="1440" w:type="dxa"/>
          </w:tcPr>
          <w:p w14:paraId="4612161D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3EE71E64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$12.72</w:t>
            </w:r>
          </w:p>
        </w:tc>
        <w:tc>
          <w:tcPr>
            <w:tcW w:w="1738" w:type="dxa"/>
          </w:tcPr>
          <w:p w14:paraId="4385C396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$1.34</w:t>
            </w:r>
          </w:p>
        </w:tc>
        <w:tc>
          <w:tcPr>
            <w:tcW w:w="1739" w:type="dxa"/>
          </w:tcPr>
          <w:p w14:paraId="7DAD227C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$14.06</w:t>
            </w:r>
          </w:p>
        </w:tc>
      </w:tr>
      <w:tr w:rsidR="00123C8A" w14:paraId="7DA413A4" w14:textId="77777777" w:rsidTr="00833175">
        <w:trPr>
          <w:trHeight w:val="288"/>
        </w:trPr>
        <w:tc>
          <w:tcPr>
            <w:tcW w:w="2695" w:type="dxa"/>
          </w:tcPr>
          <w:p w14:paraId="04BF8485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Individual Supports and Community Habilitation: Level H</w:t>
            </w:r>
          </w:p>
        </w:tc>
        <w:tc>
          <w:tcPr>
            <w:tcW w:w="1440" w:type="dxa"/>
          </w:tcPr>
          <w:p w14:paraId="424B8469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66237C6B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$13.67</w:t>
            </w:r>
          </w:p>
        </w:tc>
        <w:tc>
          <w:tcPr>
            <w:tcW w:w="1738" w:type="dxa"/>
          </w:tcPr>
          <w:p w14:paraId="7A6911A0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$1.44</w:t>
            </w:r>
          </w:p>
          <w:p w14:paraId="2BD61186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39" w:type="dxa"/>
          </w:tcPr>
          <w:p w14:paraId="4E6B18D2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$15.11</w:t>
            </w:r>
          </w:p>
        </w:tc>
      </w:tr>
      <w:tr w:rsidR="00123C8A" w14:paraId="5E26E053" w14:textId="77777777" w:rsidTr="00833175">
        <w:trPr>
          <w:trHeight w:val="288"/>
        </w:trPr>
        <w:tc>
          <w:tcPr>
            <w:tcW w:w="2695" w:type="dxa"/>
          </w:tcPr>
          <w:p w14:paraId="1A92753D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Individual Supports and Community Habilitation: Level I</w:t>
            </w:r>
          </w:p>
        </w:tc>
        <w:tc>
          <w:tcPr>
            <w:tcW w:w="1440" w:type="dxa"/>
          </w:tcPr>
          <w:p w14:paraId="7FA865F8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7A5CDFDD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$16.98</w:t>
            </w:r>
          </w:p>
        </w:tc>
        <w:tc>
          <w:tcPr>
            <w:tcW w:w="1738" w:type="dxa"/>
          </w:tcPr>
          <w:p w14:paraId="58051C64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$1.78</w:t>
            </w:r>
          </w:p>
        </w:tc>
        <w:tc>
          <w:tcPr>
            <w:tcW w:w="1739" w:type="dxa"/>
          </w:tcPr>
          <w:p w14:paraId="571F12F3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$18.76</w:t>
            </w:r>
          </w:p>
        </w:tc>
      </w:tr>
      <w:tr w:rsidR="00123C8A" w14:paraId="25A4589A" w14:textId="77777777" w:rsidTr="00833175">
        <w:trPr>
          <w:trHeight w:val="288"/>
        </w:trPr>
        <w:tc>
          <w:tcPr>
            <w:tcW w:w="2695" w:type="dxa"/>
          </w:tcPr>
          <w:p w14:paraId="1478A726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Peer Support</w:t>
            </w:r>
          </w:p>
        </w:tc>
        <w:tc>
          <w:tcPr>
            <w:tcW w:w="1440" w:type="dxa"/>
          </w:tcPr>
          <w:p w14:paraId="73B10BDB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Per 15 Min.</w:t>
            </w:r>
          </w:p>
        </w:tc>
        <w:tc>
          <w:tcPr>
            <w:tcW w:w="1738" w:type="dxa"/>
          </w:tcPr>
          <w:p w14:paraId="6A20D375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$7.92</w:t>
            </w:r>
          </w:p>
        </w:tc>
        <w:tc>
          <w:tcPr>
            <w:tcW w:w="1738" w:type="dxa"/>
          </w:tcPr>
          <w:p w14:paraId="085D15EF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$0.83</w:t>
            </w:r>
          </w:p>
        </w:tc>
        <w:tc>
          <w:tcPr>
            <w:tcW w:w="1739" w:type="dxa"/>
          </w:tcPr>
          <w:p w14:paraId="761F30E9" w14:textId="77777777" w:rsidR="00123C8A" w:rsidRPr="00123C8A" w:rsidRDefault="00123C8A" w:rsidP="00C64C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eorgia" w:hAnsi="Georgia"/>
                <w:sz w:val="22"/>
                <w:szCs w:val="22"/>
              </w:rPr>
            </w:pPr>
            <w:r w:rsidRPr="00123C8A">
              <w:rPr>
                <w:rFonts w:ascii="Georgia" w:hAnsi="Georgia"/>
                <w:sz w:val="22"/>
                <w:szCs w:val="22"/>
              </w:rPr>
              <w:t>$8.75</w:t>
            </w:r>
          </w:p>
        </w:tc>
      </w:tr>
    </w:tbl>
    <w:p w14:paraId="6A57929E" w14:textId="77777777" w:rsidR="00B05E0C" w:rsidRDefault="00B05E0C" w:rsidP="00100E5C"/>
    <w:p w14:paraId="3A39AD6C" w14:textId="77777777" w:rsidR="00DD626A" w:rsidRDefault="00DD626A" w:rsidP="00100E5C"/>
    <w:sectPr w:rsidR="00DD626A" w:rsidSect="00E964C3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CC906" w14:textId="77777777" w:rsidR="00F12C5F" w:rsidRDefault="00F12C5F" w:rsidP="00AC798F">
      <w:r>
        <w:separator/>
      </w:r>
    </w:p>
    <w:p w14:paraId="3DA75D99" w14:textId="77777777" w:rsidR="00835677" w:rsidRDefault="00835677"/>
  </w:endnote>
  <w:endnote w:type="continuationSeparator" w:id="0">
    <w:p w14:paraId="771D7FD3" w14:textId="77777777" w:rsidR="00F12C5F" w:rsidRDefault="00F12C5F" w:rsidP="00AC798F">
      <w:r>
        <w:continuationSeparator/>
      </w:r>
    </w:p>
    <w:p w14:paraId="481DEE91" w14:textId="77777777" w:rsidR="00835677" w:rsidRDefault="0083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21C38" w14:textId="77777777" w:rsidR="00F12C5F" w:rsidRDefault="00F12C5F" w:rsidP="00AC798F">
      <w:r>
        <w:separator/>
      </w:r>
    </w:p>
    <w:p w14:paraId="05E52994" w14:textId="77777777" w:rsidR="00835677" w:rsidRDefault="00835677"/>
  </w:footnote>
  <w:footnote w:type="continuationSeparator" w:id="0">
    <w:p w14:paraId="1D823454" w14:textId="77777777" w:rsidR="00F12C5F" w:rsidRDefault="00F12C5F" w:rsidP="00AC798F">
      <w:r>
        <w:continuationSeparator/>
      </w:r>
    </w:p>
    <w:p w14:paraId="6618EAF1" w14:textId="77777777" w:rsidR="00835677" w:rsidRDefault="00835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515482B7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123C8A">
      <w:t>24-</w:t>
    </w:r>
    <w:r w:rsidR="000B7F07">
      <w:t>25</w:t>
    </w:r>
  </w:p>
  <w:p w14:paraId="64299DFB" w14:textId="5DC31464" w:rsidR="00E964C3" w:rsidRPr="00AC798F" w:rsidRDefault="00E964C3" w:rsidP="0071737A">
    <w:pPr>
      <w:spacing w:after="0" w:line="276" w:lineRule="auto"/>
      <w:jc w:val="right"/>
    </w:pPr>
    <w:r w:rsidRPr="00AC798F">
      <w:t xml:space="preserve">Effective </w:t>
    </w:r>
    <w:r w:rsidR="00123C8A">
      <w:t>July 1, 2024</w:t>
    </w:r>
  </w:p>
  <w:p w14:paraId="2B9E7F93" w14:textId="77777777" w:rsidR="00E964C3" w:rsidRDefault="00E96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095A"/>
    <w:rsid w:val="00024809"/>
    <w:rsid w:val="00053C49"/>
    <w:rsid w:val="000722C4"/>
    <w:rsid w:val="000B3478"/>
    <w:rsid w:val="000B7F07"/>
    <w:rsid w:val="00100E5C"/>
    <w:rsid w:val="00103746"/>
    <w:rsid w:val="00123183"/>
    <w:rsid w:val="00123C8A"/>
    <w:rsid w:val="00130559"/>
    <w:rsid w:val="00134791"/>
    <w:rsid w:val="00146C2F"/>
    <w:rsid w:val="00153DCE"/>
    <w:rsid w:val="00154CA9"/>
    <w:rsid w:val="00193348"/>
    <w:rsid w:val="001A7742"/>
    <w:rsid w:val="001A7A68"/>
    <w:rsid w:val="001D628B"/>
    <w:rsid w:val="0022152B"/>
    <w:rsid w:val="002321D8"/>
    <w:rsid w:val="002448DD"/>
    <w:rsid w:val="00266B97"/>
    <w:rsid w:val="00271D28"/>
    <w:rsid w:val="0027639F"/>
    <w:rsid w:val="00284238"/>
    <w:rsid w:val="002855F8"/>
    <w:rsid w:val="00291039"/>
    <w:rsid w:val="002A779E"/>
    <w:rsid w:val="002E0806"/>
    <w:rsid w:val="003113E4"/>
    <w:rsid w:val="0033130A"/>
    <w:rsid w:val="003358B5"/>
    <w:rsid w:val="00351564"/>
    <w:rsid w:val="003644F6"/>
    <w:rsid w:val="003A3882"/>
    <w:rsid w:val="003F2963"/>
    <w:rsid w:val="003F6AAE"/>
    <w:rsid w:val="0041466F"/>
    <w:rsid w:val="0041715C"/>
    <w:rsid w:val="00421B27"/>
    <w:rsid w:val="00443CDB"/>
    <w:rsid w:val="00465E5A"/>
    <w:rsid w:val="004B4E46"/>
    <w:rsid w:val="004D48D7"/>
    <w:rsid w:val="00514084"/>
    <w:rsid w:val="005246D9"/>
    <w:rsid w:val="00533A3B"/>
    <w:rsid w:val="00534560"/>
    <w:rsid w:val="0053555D"/>
    <w:rsid w:val="0056474D"/>
    <w:rsid w:val="005702E6"/>
    <w:rsid w:val="0057224E"/>
    <w:rsid w:val="00585302"/>
    <w:rsid w:val="00597C39"/>
    <w:rsid w:val="005B5D35"/>
    <w:rsid w:val="005E2329"/>
    <w:rsid w:val="005F20AC"/>
    <w:rsid w:val="005F39E8"/>
    <w:rsid w:val="005F66F1"/>
    <w:rsid w:val="00607406"/>
    <w:rsid w:val="0064129C"/>
    <w:rsid w:val="0064272D"/>
    <w:rsid w:val="00656FFF"/>
    <w:rsid w:val="00670D81"/>
    <w:rsid w:val="006718AB"/>
    <w:rsid w:val="006A6684"/>
    <w:rsid w:val="006B1D87"/>
    <w:rsid w:val="006B6EE0"/>
    <w:rsid w:val="006E5DED"/>
    <w:rsid w:val="006F115D"/>
    <w:rsid w:val="006F5C04"/>
    <w:rsid w:val="0070235D"/>
    <w:rsid w:val="0071737A"/>
    <w:rsid w:val="00720C4F"/>
    <w:rsid w:val="00721C69"/>
    <w:rsid w:val="00734039"/>
    <w:rsid w:val="00752392"/>
    <w:rsid w:val="00782360"/>
    <w:rsid w:val="00796A70"/>
    <w:rsid w:val="007B48C3"/>
    <w:rsid w:val="007F04B8"/>
    <w:rsid w:val="00800711"/>
    <w:rsid w:val="00833175"/>
    <w:rsid w:val="00835677"/>
    <w:rsid w:val="00852E4B"/>
    <w:rsid w:val="008669CB"/>
    <w:rsid w:val="008A50C9"/>
    <w:rsid w:val="008B13DF"/>
    <w:rsid w:val="008C7C8A"/>
    <w:rsid w:val="00964EDE"/>
    <w:rsid w:val="00984786"/>
    <w:rsid w:val="009A3538"/>
    <w:rsid w:val="009A6544"/>
    <w:rsid w:val="00A01D8C"/>
    <w:rsid w:val="00A06F80"/>
    <w:rsid w:val="00A07B39"/>
    <w:rsid w:val="00A13213"/>
    <w:rsid w:val="00A2440E"/>
    <w:rsid w:val="00A34C8D"/>
    <w:rsid w:val="00A40946"/>
    <w:rsid w:val="00A72FAD"/>
    <w:rsid w:val="00A75CD6"/>
    <w:rsid w:val="00AB33D8"/>
    <w:rsid w:val="00AC798F"/>
    <w:rsid w:val="00AD1945"/>
    <w:rsid w:val="00B0173B"/>
    <w:rsid w:val="00B05E0C"/>
    <w:rsid w:val="00B150C5"/>
    <w:rsid w:val="00B519FE"/>
    <w:rsid w:val="00B623EB"/>
    <w:rsid w:val="00BA6D03"/>
    <w:rsid w:val="00BE1FB2"/>
    <w:rsid w:val="00C1076E"/>
    <w:rsid w:val="00C400D6"/>
    <w:rsid w:val="00C4194A"/>
    <w:rsid w:val="00C773D1"/>
    <w:rsid w:val="00C87BF7"/>
    <w:rsid w:val="00CC5EAE"/>
    <w:rsid w:val="00CD0456"/>
    <w:rsid w:val="00CD6ECA"/>
    <w:rsid w:val="00D160CC"/>
    <w:rsid w:val="00D35714"/>
    <w:rsid w:val="00D407CF"/>
    <w:rsid w:val="00D45602"/>
    <w:rsid w:val="00D5182F"/>
    <w:rsid w:val="00D63172"/>
    <w:rsid w:val="00D761F6"/>
    <w:rsid w:val="00DA095C"/>
    <w:rsid w:val="00DD626A"/>
    <w:rsid w:val="00E06A5D"/>
    <w:rsid w:val="00E10A6E"/>
    <w:rsid w:val="00E27559"/>
    <w:rsid w:val="00E320F9"/>
    <w:rsid w:val="00E56BD5"/>
    <w:rsid w:val="00E620A3"/>
    <w:rsid w:val="00E71A6C"/>
    <w:rsid w:val="00E74BC2"/>
    <w:rsid w:val="00E92AC9"/>
    <w:rsid w:val="00E964C3"/>
    <w:rsid w:val="00EE4CAE"/>
    <w:rsid w:val="00F12C5F"/>
    <w:rsid w:val="00F247CB"/>
    <w:rsid w:val="00F30AF6"/>
    <w:rsid w:val="00F44C98"/>
    <w:rsid w:val="00F44E10"/>
    <w:rsid w:val="00F531D7"/>
    <w:rsid w:val="00F56D7C"/>
    <w:rsid w:val="00F60649"/>
    <w:rsid w:val="00F65E52"/>
    <w:rsid w:val="00F773B8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paragraph" w:customStyle="1" w:styleId="paragraph">
    <w:name w:val="paragraph"/>
    <w:basedOn w:val="Normal"/>
    <w:rsid w:val="001231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3183"/>
  </w:style>
  <w:style w:type="table" w:styleId="TableGrid">
    <w:name w:val="Table Grid"/>
    <w:basedOn w:val="TableNormal"/>
    <w:uiPriority w:val="39"/>
    <w:rsid w:val="00123C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3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C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C8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C8A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3C8A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purl.org/dc/elements/1.1/"/>
    <ds:schemaRef ds:uri="http://schemas.microsoft.com/office/2006/documentManagement/types"/>
    <ds:schemaRef ds:uri="http://purl.org/dc/terms/"/>
    <ds:schemaRef ds:uri="92d6340a-28f9-40f2-b67e-9117d40e80df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99dd02c-9c1e-437e-afaf-826568b6bf7d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Kovach, Karen E (EHS)</cp:lastModifiedBy>
  <cp:revision>4</cp:revision>
  <cp:lastPrinted>2024-10-17T16:07:00Z</cp:lastPrinted>
  <dcterms:created xsi:type="dcterms:W3CDTF">2024-10-17T16:06:00Z</dcterms:created>
  <dcterms:modified xsi:type="dcterms:W3CDTF">2024-10-17T16:12:00Z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