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8F599" w14:textId="77777777" w:rsidR="00EE4CAE" w:rsidRDefault="00EE4CAE" w:rsidP="00AC798F"/>
    <w:p w14:paraId="6722C7AB" w14:textId="4831A7A2" w:rsidR="00533A3B" w:rsidRPr="00AC798F" w:rsidRDefault="00533A3B" w:rsidP="004775D2">
      <w:pPr>
        <w:pStyle w:val="Heading1"/>
        <w:spacing w:before="240" w:after="0"/>
      </w:pPr>
      <w:r w:rsidRPr="00AC798F">
        <w:t xml:space="preserve">Administrative Bulletin </w:t>
      </w:r>
      <w:r w:rsidR="00FB36D4" w:rsidRPr="0096615D">
        <w:t>2</w:t>
      </w:r>
      <w:r w:rsidR="00FB36D4" w:rsidRPr="00C00265">
        <w:t>4</w:t>
      </w:r>
      <w:r w:rsidRPr="00C00265">
        <w:t>-</w:t>
      </w:r>
      <w:r w:rsidR="00C00265" w:rsidRPr="00C00265">
        <w:t>28</w:t>
      </w:r>
    </w:p>
    <w:p w14:paraId="3C52EA33" w14:textId="77777777" w:rsidR="00533A3B" w:rsidRPr="00533A3B" w:rsidRDefault="00533A3B" w:rsidP="00913ED3">
      <w:pPr>
        <w:spacing w:after="0"/>
      </w:pPr>
    </w:p>
    <w:p w14:paraId="53EF82C3" w14:textId="77777777" w:rsidR="00533A3B" w:rsidRPr="00796A70" w:rsidRDefault="00533A3B" w:rsidP="00913ED3">
      <w:pPr>
        <w:spacing w:after="0"/>
        <w:jc w:val="center"/>
        <w:rPr>
          <w:b/>
          <w:bCs/>
          <w:sz w:val="24"/>
          <w:szCs w:val="24"/>
        </w:rPr>
      </w:pPr>
      <w:r w:rsidRPr="00796A70">
        <w:rPr>
          <w:b/>
          <w:bCs/>
          <w:sz w:val="24"/>
          <w:szCs w:val="24"/>
        </w:rPr>
        <w:t xml:space="preserve">101 CMR </w:t>
      </w:r>
      <w:r w:rsidR="00FB36D4">
        <w:rPr>
          <w:b/>
          <w:bCs/>
          <w:sz w:val="24"/>
          <w:szCs w:val="24"/>
        </w:rPr>
        <w:t>322</w:t>
      </w:r>
      <w:r w:rsidRPr="00796A70">
        <w:rPr>
          <w:b/>
          <w:bCs/>
          <w:sz w:val="24"/>
          <w:szCs w:val="24"/>
        </w:rPr>
        <w:t xml:space="preserve">.00: </w:t>
      </w:r>
      <w:r w:rsidR="00FB36D4">
        <w:rPr>
          <w:b/>
          <w:bCs/>
          <w:i/>
          <w:iCs/>
          <w:sz w:val="24"/>
          <w:szCs w:val="24"/>
        </w:rPr>
        <w:t xml:space="preserve">Rates for </w:t>
      </w:r>
      <w:bookmarkStart w:id="0" w:name="_Hlk159410726"/>
      <w:r w:rsidR="00FB36D4">
        <w:rPr>
          <w:b/>
          <w:bCs/>
          <w:i/>
          <w:iCs/>
          <w:sz w:val="24"/>
          <w:szCs w:val="24"/>
        </w:rPr>
        <w:t>Durable Medical Equipment, Oxygen and Respiratory Therapy Equipment</w:t>
      </w:r>
      <w:bookmarkEnd w:id="0"/>
    </w:p>
    <w:p w14:paraId="267863AF" w14:textId="77777777" w:rsidR="00533A3B" w:rsidRPr="00913ED3" w:rsidRDefault="00533A3B" w:rsidP="00913ED3">
      <w:pPr>
        <w:spacing w:after="0"/>
      </w:pPr>
    </w:p>
    <w:p w14:paraId="7394F92D" w14:textId="5A1EA93A" w:rsidR="00533A3B" w:rsidRDefault="00533A3B" w:rsidP="00766875">
      <w:pPr>
        <w:tabs>
          <w:tab w:val="left" w:pos="7533"/>
        </w:tabs>
        <w:spacing w:after="0"/>
        <w:jc w:val="center"/>
        <w:rPr>
          <w:sz w:val="24"/>
          <w:szCs w:val="24"/>
        </w:rPr>
      </w:pPr>
      <w:r w:rsidRPr="00884C60">
        <w:rPr>
          <w:sz w:val="24"/>
          <w:szCs w:val="24"/>
        </w:rPr>
        <w:t xml:space="preserve">Effective </w:t>
      </w:r>
      <w:r w:rsidR="00D7659F" w:rsidRPr="00884C60">
        <w:rPr>
          <w:sz w:val="24"/>
          <w:szCs w:val="24"/>
        </w:rPr>
        <w:t>April</w:t>
      </w:r>
      <w:r w:rsidR="00FB36D4" w:rsidRPr="00884C60">
        <w:rPr>
          <w:sz w:val="24"/>
          <w:szCs w:val="24"/>
        </w:rPr>
        <w:t xml:space="preserve"> 1,</w:t>
      </w:r>
      <w:r w:rsidR="001A0A7B" w:rsidRPr="00884C60">
        <w:rPr>
          <w:sz w:val="24"/>
          <w:szCs w:val="24"/>
        </w:rPr>
        <w:t xml:space="preserve"> and July 1, 2024</w:t>
      </w:r>
    </w:p>
    <w:p w14:paraId="7B541254" w14:textId="77777777" w:rsidR="00766875" w:rsidRPr="00766875" w:rsidRDefault="00766875" w:rsidP="00766875">
      <w:pPr>
        <w:tabs>
          <w:tab w:val="left" w:pos="7533"/>
        </w:tabs>
        <w:spacing w:after="0"/>
      </w:pPr>
    </w:p>
    <w:p w14:paraId="1782C3A7" w14:textId="6D91DFEB" w:rsidR="00913ED3" w:rsidRDefault="005924F7" w:rsidP="00766875">
      <w:pPr>
        <w:spacing w:after="0"/>
        <w:jc w:val="center"/>
        <w:rPr>
          <w:b/>
          <w:bCs/>
          <w:sz w:val="24"/>
          <w:szCs w:val="24"/>
        </w:rPr>
      </w:pPr>
      <w:r w:rsidRPr="00D00D88">
        <w:rPr>
          <w:b/>
          <w:bCs/>
          <w:sz w:val="24"/>
          <w:szCs w:val="24"/>
        </w:rPr>
        <w:t>Coding Updates for Durable Medical Equipment, Oxygen and Respiratory Therapy Equipment</w:t>
      </w:r>
    </w:p>
    <w:p w14:paraId="11C58573" w14:textId="77777777" w:rsidR="00913ED3" w:rsidRPr="00766875" w:rsidRDefault="00913ED3" w:rsidP="00913ED3">
      <w:pPr>
        <w:spacing w:before="120" w:after="240"/>
        <w:rPr>
          <w:b/>
          <w:bCs/>
        </w:rPr>
      </w:pPr>
    </w:p>
    <w:p w14:paraId="26DF3A06" w14:textId="77777777" w:rsidR="00913ED3" w:rsidRDefault="00913ED3" w:rsidP="00913ED3">
      <w:pPr>
        <w:spacing w:before="120" w:after="240"/>
        <w:rPr>
          <w:b/>
          <w:bCs/>
          <w:sz w:val="24"/>
          <w:szCs w:val="24"/>
        </w:rPr>
        <w:sectPr w:rsidR="00913ED3" w:rsidSect="00913ED3">
          <w:headerReference w:type="default"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pPr>
    </w:p>
    <w:p w14:paraId="1F073109" w14:textId="77777777" w:rsidR="00264CCC" w:rsidRPr="00D00D88" w:rsidRDefault="00DB69B3" w:rsidP="00DC23B2">
      <w:pPr>
        <w:pStyle w:val="Heading2"/>
      </w:pPr>
      <w:r>
        <w:t>Summary</w:t>
      </w:r>
    </w:p>
    <w:p w14:paraId="701E8973" w14:textId="392B41DB" w:rsidR="00A7428F" w:rsidRDefault="00FB36D4" w:rsidP="00766875">
      <w:r w:rsidRPr="005B166F">
        <w:t xml:space="preserve">In accordance with 101 CMR 322.01(6): </w:t>
      </w:r>
      <w:r w:rsidRPr="005B166F">
        <w:rPr>
          <w:i/>
        </w:rPr>
        <w:t xml:space="preserve">Coding Updates and Corrections, </w:t>
      </w:r>
      <w:r w:rsidRPr="005B166F">
        <w:t xml:space="preserve">the Executive Office of Health and Human Services (EOHHS) is adding new procedure codes, deleting outdated codes, </w:t>
      </w:r>
      <w:r w:rsidR="001A0A7B">
        <w:t xml:space="preserve">and </w:t>
      </w:r>
      <w:r w:rsidR="006E3FF5">
        <w:t xml:space="preserve">updating certain rates, </w:t>
      </w:r>
      <w:r w:rsidRPr="005B166F">
        <w:t xml:space="preserve">effective for dates of service on or after </w:t>
      </w:r>
      <w:r w:rsidR="00D7659F">
        <w:t>April</w:t>
      </w:r>
      <w:r w:rsidRPr="005B166F">
        <w:t xml:space="preserve"> 1, </w:t>
      </w:r>
      <w:r w:rsidR="00EE0ABE" w:rsidRPr="005B166F">
        <w:t>202</w:t>
      </w:r>
      <w:r w:rsidR="00EE0ABE">
        <w:t>4,</w:t>
      </w:r>
      <w:r w:rsidR="007D4460">
        <w:t xml:space="preserve"> and July 1, 2024</w:t>
      </w:r>
      <w:r w:rsidR="00294A4D">
        <w:t>.</w:t>
      </w:r>
    </w:p>
    <w:p w14:paraId="7E36A7F0" w14:textId="11D5973B" w:rsidR="00766875" w:rsidRDefault="00360646" w:rsidP="00DC23B2">
      <w:hyperlink r:id="rId15" w:anchor="2024-eohhs-administrative-bulletins-" w:history="1">
        <w:r w:rsidRPr="006F3E9F">
          <w:rPr>
            <w:rStyle w:val="Hyperlink"/>
            <w:rFonts w:ascii="Times New Roman" w:hAnsi="Times New Roman" w:cs="Times New Roman"/>
          </w:rPr>
          <w:t>AB 24-17</w:t>
        </w:r>
      </w:hyperlink>
      <w:r w:rsidRPr="00360646">
        <w:t xml:space="preserve">, effective April 1, 2024, </w:t>
      </w:r>
      <w:r w:rsidR="00A01C0B">
        <w:t>listed</w:t>
      </w:r>
      <w:r w:rsidR="00A01C0B" w:rsidRPr="00360646">
        <w:t xml:space="preserve"> </w:t>
      </w:r>
      <w:r w:rsidRPr="00360646">
        <w:t>quarterly</w:t>
      </w:r>
      <w:r w:rsidR="00EB4C5E">
        <w:t xml:space="preserve"> coding</w:t>
      </w:r>
      <w:r w:rsidRPr="00360646">
        <w:t xml:space="preserve"> updates, including the then new code E2298 and its applicable modifiers. </w:t>
      </w:r>
      <w:r w:rsidR="007832A5">
        <w:t xml:space="preserve">The Centers </w:t>
      </w:r>
      <w:r w:rsidR="00882BAE">
        <w:t xml:space="preserve">for </w:t>
      </w:r>
      <w:r w:rsidR="007832A5">
        <w:t xml:space="preserve">Medicare </w:t>
      </w:r>
      <w:r w:rsidR="00882BAE">
        <w:t>&amp;</w:t>
      </w:r>
      <w:r w:rsidR="007832A5">
        <w:t xml:space="preserve"> Medicaid </w:t>
      </w:r>
      <w:r w:rsidR="00DD2F9A">
        <w:t xml:space="preserve">Services </w:t>
      </w:r>
      <w:r w:rsidR="00C540D0">
        <w:t xml:space="preserve">recently </w:t>
      </w:r>
      <w:r w:rsidR="00DD2F9A">
        <w:t>issued revised rates for these codes</w:t>
      </w:r>
      <w:r w:rsidR="00C540D0">
        <w:t xml:space="preserve">, effective April 1, 2024. </w:t>
      </w:r>
      <w:r w:rsidR="00EE0ABE">
        <w:t xml:space="preserve">Rates for these codes are </w:t>
      </w:r>
      <w:r w:rsidR="00882BAE">
        <w:t xml:space="preserve">determined by </w:t>
      </w:r>
      <w:r w:rsidR="00EE0ABE">
        <w:t>the methodology for capped rental items in 101 CMR 322.03(18).</w:t>
      </w:r>
    </w:p>
    <w:p w14:paraId="124B61CA" w14:textId="4A175B6B" w:rsidR="00FB36D4" w:rsidRDefault="00FB36D4" w:rsidP="00DC23B2">
      <w:r w:rsidRPr="005B166F">
        <w:t xml:space="preserve">For new codes with associated Medicare fees, payment rates are set at a percentage of Medicare fees as described in 101 CMR 322.03(16)(a). For new codes without associated Medicare fees, individual consideration (I.C.) is applied to establish payment as described in 101 CMR 322.03(16)(b). </w:t>
      </w:r>
      <w:r w:rsidR="00F9180F" w:rsidRPr="00F9180F">
        <w:t xml:space="preserve">Rates listed in this administrative bulletin </w:t>
      </w:r>
      <w:r w:rsidR="002105FF">
        <w:t xml:space="preserve">apply </w:t>
      </w:r>
      <w:r w:rsidR="00F9180F" w:rsidRPr="00F9180F">
        <w:t>until revised rates are issued by EOHHS.</w:t>
      </w:r>
    </w:p>
    <w:p w14:paraId="3EDAC7C2" w14:textId="6745A968" w:rsidR="00A7428F" w:rsidRDefault="004F026A" w:rsidP="00766875">
      <w:r w:rsidRPr="005B166F">
        <w:t>The following lists specify codes that have been added, deleted, or have revised</w:t>
      </w:r>
      <w:r>
        <w:t xml:space="preserve"> rates.</w:t>
      </w:r>
    </w:p>
    <w:p w14:paraId="0E7DA83D" w14:textId="73314569" w:rsidR="00C95535" w:rsidRDefault="00FB36D4" w:rsidP="00DC23B2">
      <w:r w:rsidRPr="005B166F">
        <w:t xml:space="preserve">The appearance of a code in the tables below does not constitute authorization for, or approval of, the procedures or services for which rates are determined </w:t>
      </w:r>
      <w:r w:rsidR="0031276F">
        <w:t>under</w:t>
      </w:r>
      <w:r w:rsidRPr="005B166F">
        <w:t xml:space="preserve"> 101 CMR 322.00.</w:t>
      </w:r>
      <w:r w:rsidR="00492013">
        <w:t xml:space="preserve"> </w:t>
      </w:r>
      <w:r w:rsidRPr="005B166F">
        <w:t>Governmental units that purchase care are responsible for the definition, authorization, and approval of care to publicly aided individuals.</w:t>
      </w:r>
    </w:p>
    <w:p w14:paraId="144B87D3" w14:textId="7BFB5A1E" w:rsidR="00DE2A5C" w:rsidRPr="00C95535" w:rsidRDefault="00502635" w:rsidP="00766875">
      <w:pPr>
        <w:pStyle w:val="Heading3"/>
        <w:rPr>
          <w:rFonts w:ascii="Times New Roman" w:hAnsi="Times New Roman" w:cs="Times New Roman"/>
        </w:rPr>
      </w:pPr>
      <w:r w:rsidRPr="00C95535">
        <w:rPr>
          <w:rFonts w:ascii="Times New Roman" w:hAnsi="Times New Roman" w:cs="Times New Roman"/>
        </w:rPr>
        <w:lastRenderedPageBreak/>
        <w:t>Effective April 1, 2024</w:t>
      </w:r>
    </w:p>
    <w:p w14:paraId="244548FB" w14:textId="672B9DC9" w:rsidR="00DE2A5C" w:rsidRPr="00C95535" w:rsidRDefault="005B44F8" w:rsidP="00766875">
      <w:pPr>
        <w:pStyle w:val="Heading3"/>
        <w:rPr>
          <w:rFonts w:ascii="Times New Roman" w:hAnsi="Times New Roman" w:cs="Times New Roman"/>
        </w:rPr>
      </w:pPr>
      <w:r>
        <w:rPr>
          <w:rFonts w:ascii="Times New Roman" w:hAnsi="Times New Roman" w:cs="Times New Roman"/>
        </w:rPr>
        <w:t>Revised</w:t>
      </w:r>
      <w:r w:rsidRPr="00C95535">
        <w:rPr>
          <w:rFonts w:ascii="Times New Roman" w:hAnsi="Times New Roman" w:cs="Times New Roman"/>
        </w:rPr>
        <w:t xml:space="preserve"> </w:t>
      </w:r>
      <w:r w:rsidR="00DE2A5C" w:rsidRPr="00C95535">
        <w:rPr>
          <w:rFonts w:ascii="Times New Roman" w:hAnsi="Times New Roman" w:cs="Times New Roman"/>
        </w:rPr>
        <w:t>Rates</w:t>
      </w:r>
    </w:p>
    <w:tbl>
      <w:tblPr>
        <w:tblpPr w:leftFromText="180" w:rightFromText="180" w:vertAnchor="text" w:horzAnchor="margin" w:tblpY="40"/>
        <w:tblW w:w="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890"/>
      </w:tblGrid>
      <w:tr w:rsidR="007E5F32" w:rsidRPr="00736A84" w14:paraId="4F7E5A17" w14:textId="77777777" w:rsidTr="00A7428F">
        <w:trPr>
          <w:trHeight w:val="349"/>
          <w:tblHeader/>
        </w:trPr>
        <w:tc>
          <w:tcPr>
            <w:tcW w:w="1435" w:type="dxa"/>
            <w:vAlign w:val="center"/>
          </w:tcPr>
          <w:p w14:paraId="110D889F" w14:textId="77777777" w:rsidR="007E5F32" w:rsidRPr="00736A84" w:rsidRDefault="007E5F32">
            <w:pPr>
              <w:autoSpaceDE w:val="0"/>
              <w:autoSpaceDN w:val="0"/>
              <w:adjustRightInd w:val="0"/>
              <w:jc w:val="center"/>
              <w:rPr>
                <w:rFonts w:ascii="Times New Roman" w:hAnsi="Times New Roman" w:cs="Times New Roman"/>
                <w:b/>
                <w:bCs/>
              </w:rPr>
            </w:pPr>
            <w:r w:rsidRPr="00736A84">
              <w:rPr>
                <w:rFonts w:ascii="Times New Roman" w:hAnsi="Times New Roman" w:cs="Times New Roman"/>
                <w:b/>
                <w:bCs/>
              </w:rPr>
              <w:t>Code</w:t>
            </w:r>
          </w:p>
        </w:tc>
        <w:tc>
          <w:tcPr>
            <w:tcW w:w="1890" w:type="dxa"/>
          </w:tcPr>
          <w:p w14:paraId="3F2A2947" w14:textId="4DB5C26B" w:rsidR="007E5F32" w:rsidRDefault="007E5F32">
            <w:pPr>
              <w:autoSpaceDE w:val="0"/>
              <w:autoSpaceDN w:val="0"/>
              <w:adjustRightInd w:val="0"/>
              <w:jc w:val="center"/>
              <w:rPr>
                <w:rFonts w:ascii="Times New Roman" w:hAnsi="Times New Roman" w:cs="Times New Roman"/>
                <w:b/>
                <w:bCs/>
              </w:rPr>
            </w:pPr>
            <w:r>
              <w:rPr>
                <w:rFonts w:ascii="Times New Roman" w:hAnsi="Times New Roman" w:cs="Times New Roman"/>
                <w:b/>
                <w:bCs/>
              </w:rPr>
              <w:t>Rate</w:t>
            </w:r>
          </w:p>
        </w:tc>
      </w:tr>
      <w:tr w:rsidR="007E5F32" w:rsidRPr="00736A84" w14:paraId="41D21AE4" w14:textId="77777777" w:rsidTr="00A7428F">
        <w:trPr>
          <w:trHeight w:val="331"/>
          <w:tblHeader/>
        </w:trPr>
        <w:tc>
          <w:tcPr>
            <w:tcW w:w="1435" w:type="dxa"/>
            <w:vAlign w:val="center"/>
          </w:tcPr>
          <w:p w14:paraId="3D530144" w14:textId="2F75442E" w:rsidR="007E5F32" w:rsidRPr="00502635" w:rsidRDefault="007E5F32" w:rsidP="00502635">
            <w:pPr>
              <w:autoSpaceDE w:val="0"/>
              <w:autoSpaceDN w:val="0"/>
              <w:adjustRightInd w:val="0"/>
              <w:jc w:val="center"/>
              <w:rPr>
                <w:rFonts w:ascii="Times New Roman" w:eastAsiaTheme="minorEastAsia" w:hAnsi="Times New Roman" w:cs="Times New Roman"/>
                <w:sz w:val="20"/>
                <w:szCs w:val="20"/>
              </w:rPr>
            </w:pPr>
            <w:r w:rsidRPr="00502635">
              <w:rPr>
                <w:sz w:val="20"/>
                <w:szCs w:val="20"/>
              </w:rPr>
              <w:t>E2298NU</w:t>
            </w:r>
          </w:p>
        </w:tc>
        <w:tc>
          <w:tcPr>
            <w:tcW w:w="1890" w:type="dxa"/>
            <w:vAlign w:val="center"/>
          </w:tcPr>
          <w:p w14:paraId="0C3E01A7" w14:textId="1F0BC968" w:rsidR="007E5F32" w:rsidRPr="00502635" w:rsidRDefault="007E5F32" w:rsidP="00502635">
            <w:pPr>
              <w:autoSpaceDE w:val="0"/>
              <w:autoSpaceDN w:val="0"/>
              <w:adjustRightInd w:val="0"/>
              <w:jc w:val="center"/>
              <w:rPr>
                <w:rFonts w:ascii="Times New Roman" w:hAnsi="Times New Roman" w:cs="Times New Roman"/>
                <w:sz w:val="20"/>
                <w:szCs w:val="20"/>
              </w:rPr>
            </w:pPr>
            <w:r w:rsidRPr="00502635">
              <w:rPr>
                <w:sz w:val="20"/>
                <w:szCs w:val="20"/>
              </w:rPr>
              <w:t xml:space="preserve">$2,013.90 </w:t>
            </w:r>
          </w:p>
        </w:tc>
      </w:tr>
      <w:tr w:rsidR="007E5F32" w:rsidRPr="00736A84" w14:paraId="1EB3275B" w14:textId="77777777" w:rsidTr="00A7428F">
        <w:trPr>
          <w:trHeight w:val="434"/>
          <w:tblHeader/>
        </w:trPr>
        <w:tc>
          <w:tcPr>
            <w:tcW w:w="1435" w:type="dxa"/>
            <w:vAlign w:val="center"/>
          </w:tcPr>
          <w:p w14:paraId="345E71A6" w14:textId="71F09B15" w:rsidR="007E5F32" w:rsidRPr="00502635" w:rsidRDefault="007E5F32" w:rsidP="00502635">
            <w:pPr>
              <w:autoSpaceDE w:val="0"/>
              <w:autoSpaceDN w:val="0"/>
              <w:adjustRightInd w:val="0"/>
              <w:jc w:val="center"/>
              <w:rPr>
                <w:rFonts w:ascii="Times New Roman" w:eastAsiaTheme="minorEastAsia" w:hAnsi="Times New Roman" w:cs="Times New Roman"/>
                <w:sz w:val="20"/>
                <w:szCs w:val="20"/>
              </w:rPr>
            </w:pPr>
            <w:r w:rsidRPr="00502635">
              <w:rPr>
                <w:sz w:val="20"/>
                <w:szCs w:val="20"/>
              </w:rPr>
              <w:t>E2298UE</w:t>
            </w:r>
          </w:p>
        </w:tc>
        <w:tc>
          <w:tcPr>
            <w:tcW w:w="1890" w:type="dxa"/>
            <w:vAlign w:val="center"/>
          </w:tcPr>
          <w:p w14:paraId="35C34176" w14:textId="34FDE770" w:rsidR="007E5F32" w:rsidRPr="00502635" w:rsidRDefault="007E5F32" w:rsidP="00502635">
            <w:pPr>
              <w:autoSpaceDE w:val="0"/>
              <w:autoSpaceDN w:val="0"/>
              <w:adjustRightInd w:val="0"/>
              <w:jc w:val="center"/>
              <w:rPr>
                <w:rFonts w:ascii="Times New Roman" w:hAnsi="Times New Roman" w:cs="Times New Roman"/>
                <w:sz w:val="20"/>
                <w:szCs w:val="20"/>
              </w:rPr>
            </w:pPr>
            <w:r w:rsidRPr="00502635">
              <w:rPr>
                <w:sz w:val="20"/>
                <w:szCs w:val="20"/>
              </w:rPr>
              <w:t xml:space="preserve">$1,510.43 </w:t>
            </w:r>
          </w:p>
        </w:tc>
      </w:tr>
      <w:tr w:rsidR="007E5F32" w:rsidRPr="00736A84" w14:paraId="5FB46C95" w14:textId="77777777" w:rsidTr="00A7428F">
        <w:trPr>
          <w:trHeight w:val="434"/>
          <w:tblHeader/>
        </w:trPr>
        <w:tc>
          <w:tcPr>
            <w:tcW w:w="1435" w:type="dxa"/>
            <w:vAlign w:val="center"/>
          </w:tcPr>
          <w:p w14:paraId="59F99F94" w14:textId="0FEA0345" w:rsidR="007E5F32" w:rsidRPr="00502635" w:rsidRDefault="007E5F32" w:rsidP="00502635">
            <w:pPr>
              <w:autoSpaceDE w:val="0"/>
              <w:autoSpaceDN w:val="0"/>
              <w:adjustRightInd w:val="0"/>
              <w:jc w:val="center"/>
              <w:rPr>
                <w:sz w:val="20"/>
                <w:szCs w:val="20"/>
              </w:rPr>
            </w:pPr>
            <w:r w:rsidRPr="00502635">
              <w:rPr>
                <w:sz w:val="20"/>
                <w:szCs w:val="20"/>
              </w:rPr>
              <w:t>E2298KH</w:t>
            </w:r>
          </w:p>
        </w:tc>
        <w:tc>
          <w:tcPr>
            <w:tcW w:w="1890" w:type="dxa"/>
            <w:vAlign w:val="center"/>
          </w:tcPr>
          <w:p w14:paraId="3DE04499" w14:textId="42520BAA" w:rsidR="007E5F32" w:rsidRPr="00502635" w:rsidRDefault="007E5F32" w:rsidP="00502635">
            <w:pPr>
              <w:autoSpaceDE w:val="0"/>
              <w:autoSpaceDN w:val="0"/>
              <w:adjustRightInd w:val="0"/>
              <w:jc w:val="center"/>
              <w:rPr>
                <w:sz w:val="20"/>
                <w:szCs w:val="20"/>
              </w:rPr>
            </w:pPr>
            <w:r w:rsidRPr="00502635">
              <w:rPr>
                <w:sz w:val="20"/>
                <w:szCs w:val="20"/>
              </w:rPr>
              <w:t xml:space="preserve">$201.39 </w:t>
            </w:r>
          </w:p>
        </w:tc>
      </w:tr>
      <w:tr w:rsidR="007E5F32" w:rsidRPr="00736A84" w14:paraId="149C791E" w14:textId="77777777" w:rsidTr="00A7428F">
        <w:trPr>
          <w:trHeight w:val="434"/>
          <w:tblHeader/>
        </w:trPr>
        <w:tc>
          <w:tcPr>
            <w:tcW w:w="1435" w:type="dxa"/>
            <w:vAlign w:val="center"/>
          </w:tcPr>
          <w:p w14:paraId="511A16D1" w14:textId="17F1A8AE" w:rsidR="007E5F32" w:rsidRPr="00502635" w:rsidRDefault="007E5F32" w:rsidP="00502635">
            <w:pPr>
              <w:autoSpaceDE w:val="0"/>
              <w:autoSpaceDN w:val="0"/>
              <w:adjustRightInd w:val="0"/>
              <w:jc w:val="center"/>
              <w:rPr>
                <w:sz w:val="20"/>
                <w:szCs w:val="20"/>
              </w:rPr>
            </w:pPr>
            <w:r w:rsidRPr="00502635">
              <w:rPr>
                <w:sz w:val="20"/>
                <w:szCs w:val="20"/>
              </w:rPr>
              <w:t>E2298KI</w:t>
            </w:r>
          </w:p>
        </w:tc>
        <w:tc>
          <w:tcPr>
            <w:tcW w:w="1890" w:type="dxa"/>
            <w:vAlign w:val="center"/>
          </w:tcPr>
          <w:p w14:paraId="63D2448B" w14:textId="60964FE6" w:rsidR="007E5F32" w:rsidRPr="00502635" w:rsidRDefault="007E5F32" w:rsidP="00502635">
            <w:pPr>
              <w:autoSpaceDE w:val="0"/>
              <w:autoSpaceDN w:val="0"/>
              <w:adjustRightInd w:val="0"/>
              <w:jc w:val="center"/>
              <w:rPr>
                <w:sz w:val="20"/>
                <w:szCs w:val="20"/>
              </w:rPr>
            </w:pPr>
            <w:r w:rsidRPr="00502635">
              <w:rPr>
                <w:sz w:val="20"/>
                <w:szCs w:val="20"/>
              </w:rPr>
              <w:t xml:space="preserve">$201.39 </w:t>
            </w:r>
          </w:p>
        </w:tc>
      </w:tr>
      <w:tr w:rsidR="007E5F32" w:rsidRPr="00736A84" w14:paraId="4450F115" w14:textId="77777777" w:rsidTr="00A7428F">
        <w:trPr>
          <w:trHeight w:val="434"/>
          <w:tblHeader/>
        </w:trPr>
        <w:tc>
          <w:tcPr>
            <w:tcW w:w="1435" w:type="dxa"/>
            <w:vAlign w:val="center"/>
          </w:tcPr>
          <w:p w14:paraId="51DF2799" w14:textId="26ED5D1F" w:rsidR="007E5F32" w:rsidRPr="00502635" w:rsidRDefault="007E5F32" w:rsidP="00502635">
            <w:pPr>
              <w:autoSpaceDE w:val="0"/>
              <w:autoSpaceDN w:val="0"/>
              <w:adjustRightInd w:val="0"/>
              <w:jc w:val="center"/>
              <w:rPr>
                <w:sz w:val="20"/>
                <w:szCs w:val="20"/>
              </w:rPr>
            </w:pPr>
            <w:r w:rsidRPr="00502635">
              <w:rPr>
                <w:sz w:val="20"/>
                <w:szCs w:val="20"/>
              </w:rPr>
              <w:t>E2298KJ</w:t>
            </w:r>
          </w:p>
        </w:tc>
        <w:tc>
          <w:tcPr>
            <w:tcW w:w="1890" w:type="dxa"/>
            <w:vAlign w:val="center"/>
          </w:tcPr>
          <w:p w14:paraId="698F94EB" w14:textId="01840DEA" w:rsidR="007E5F32" w:rsidRPr="00502635" w:rsidRDefault="007E5F32" w:rsidP="00502635">
            <w:pPr>
              <w:autoSpaceDE w:val="0"/>
              <w:autoSpaceDN w:val="0"/>
              <w:adjustRightInd w:val="0"/>
              <w:jc w:val="center"/>
              <w:rPr>
                <w:sz w:val="20"/>
                <w:szCs w:val="20"/>
              </w:rPr>
            </w:pPr>
            <w:r w:rsidRPr="00502635">
              <w:rPr>
                <w:sz w:val="20"/>
                <w:szCs w:val="20"/>
              </w:rPr>
              <w:t xml:space="preserve">$151.04 </w:t>
            </w:r>
          </w:p>
        </w:tc>
      </w:tr>
    </w:tbl>
    <w:p w14:paraId="27B68984" w14:textId="77777777" w:rsidR="00DE2A5C" w:rsidRDefault="00DE2A5C" w:rsidP="00DE2A5C">
      <w:pPr>
        <w:pStyle w:val="Heading3"/>
        <w:rPr>
          <w:rFonts w:ascii="Times New Roman" w:hAnsi="Times New Roman" w:cs="Times New Roman"/>
          <w:sz w:val="22"/>
          <w:szCs w:val="22"/>
        </w:rPr>
      </w:pPr>
    </w:p>
    <w:p w14:paraId="20C64A52" w14:textId="77777777" w:rsidR="00DE2A5C" w:rsidRDefault="00DE2A5C" w:rsidP="00DE2A5C">
      <w:pPr>
        <w:pStyle w:val="Heading3"/>
        <w:rPr>
          <w:rFonts w:ascii="Times New Roman" w:hAnsi="Times New Roman" w:cs="Times New Roman"/>
          <w:sz w:val="22"/>
          <w:szCs w:val="22"/>
        </w:rPr>
      </w:pPr>
    </w:p>
    <w:p w14:paraId="4C77A016" w14:textId="77777777" w:rsidR="00DE2A5C" w:rsidRDefault="00DE2A5C" w:rsidP="00FB36D4">
      <w:pPr>
        <w:autoSpaceDE w:val="0"/>
        <w:autoSpaceDN w:val="0"/>
        <w:adjustRightInd w:val="0"/>
        <w:contextualSpacing/>
        <w:rPr>
          <w:rFonts w:ascii="Times New Roman" w:hAnsi="Times New Roman" w:cs="Times New Roman"/>
          <w:sz w:val="24"/>
          <w:szCs w:val="24"/>
        </w:rPr>
      </w:pPr>
    </w:p>
    <w:p w14:paraId="7A71DF98" w14:textId="77777777" w:rsidR="00DE2A5C" w:rsidRPr="005B166F" w:rsidRDefault="00DE2A5C" w:rsidP="00FB36D4">
      <w:pPr>
        <w:autoSpaceDE w:val="0"/>
        <w:autoSpaceDN w:val="0"/>
        <w:adjustRightInd w:val="0"/>
        <w:contextualSpacing/>
        <w:rPr>
          <w:rFonts w:ascii="Times New Roman" w:hAnsi="Times New Roman" w:cs="Times New Roman"/>
          <w:sz w:val="24"/>
          <w:szCs w:val="24"/>
        </w:rPr>
      </w:pPr>
    </w:p>
    <w:p w14:paraId="398C47C8" w14:textId="77777777" w:rsidR="00502635" w:rsidRDefault="00502635" w:rsidP="00656FFF">
      <w:pPr>
        <w:pStyle w:val="Heading2"/>
        <w:spacing w:before="240"/>
        <w:rPr>
          <w:rFonts w:ascii="Times New Roman" w:hAnsi="Times New Roman" w:cs="Times New Roman"/>
          <w:sz w:val="24"/>
          <w:szCs w:val="24"/>
        </w:rPr>
      </w:pPr>
    </w:p>
    <w:p w14:paraId="0E7CD666" w14:textId="77777777" w:rsidR="00502635" w:rsidRDefault="00502635" w:rsidP="00656FFF">
      <w:pPr>
        <w:pStyle w:val="Heading2"/>
        <w:spacing w:before="240"/>
        <w:rPr>
          <w:rFonts w:ascii="Times New Roman" w:hAnsi="Times New Roman" w:cs="Times New Roman"/>
          <w:sz w:val="24"/>
          <w:szCs w:val="24"/>
        </w:rPr>
      </w:pPr>
    </w:p>
    <w:p w14:paraId="7D5FD0D2" w14:textId="36ED1ACD" w:rsidR="00502635" w:rsidRPr="00C95535" w:rsidRDefault="00502635" w:rsidP="00EE0ABE">
      <w:pPr>
        <w:pStyle w:val="Heading3"/>
        <w:rPr>
          <w:rFonts w:ascii="Times New Roman" w:hAnsi="Times New Roman" w:cs="Times New Roman"/>
        </w:rPr>
      </w:pPr>
      <w:r w:rsidRPr="00C95535">
        <w:rPr>
          <w:rFonts w:ascii="Times New Roman" w:hAnsi="Times New Roman" w:cs="Times New Roman"/>
        </w:rPr>
        <w:t>Effective July 1, 2024</w:t>
      </w:r>
    </w:p>
    <w:p w14:paraId="40A7A517" w14:textId="7D44546B" w:rsidR="00533A3B" w:rsidRPr="00D00D88" w:rsidRDefault="00FB36D4" w:rsidP="00656FFF">
      <w:pPr>
        <w:pStyle w:val="Heading2"/>
        <w:spacing w:before="240"/>
        <w:rPr>
          <w:rFonts w:ascii="Times New Roman" w:hAnsi="Times New Roman" w:cs="Times New Roman"/>
          <w:sz w:val="24"/>
          <w:szCs w:val="24"/>
        </w:rPr>
      </w:pPr>
      <w:r w:rsidRPr="00D00D88">
        <w:rPr>
          <w:rFonts w:ascii="Times New Roman" w:hAnsi="Times New Roman" w:cs="Times New Roman"/>
          <w:sz w:val="24"/>
          <w:szCs w:val="24"/>
        </w:rPr>
        <w:t>Added Codes</w:t>
      </w:r>
    </w:p>
    <w:tbl>
      <w:tblPr>
        <w:tblStyle w:val="TableGrid"/>
        <w:tblW w:w="9715" w:type="dxa"/>
        <w:tblLook w:val="04A0" w:firstRow="1" w:lastRow="0" w:firstColumn="1" w:lastColumn="0" w:noHBand="0" w:noVBand="1"/>
      </w:tblPr>
      <w:tblGrid>
        <w:gridCol w:w="1255"/>
        <w:gridCol w:w="7110"/>
        <w:gridCol w:w="1350"/>
      </w:tblGrid>
      <w:tr w:rsidR="001A0A7B" w:rsidRPr="00736A84" w14:paraId="64B36B3F" w14:textId="77777777" w:rsidTr="001A0A7B">
        <w:trPr>
          <w:trHeight w:val="290"/>
          <w:tblHeader/>
        </w:trPr>
        <w:tc>
          <w:tcPr>
            <w:tcW w:w="1255" w:type="dxa"/>
            <w:noWrap/>
            <w:vAlign w:val="center"/>
            <w:hideMark/>
          </w:tcPr>
          <w:p w14:paraId="7A7536E6" w14:textId="77777777" w:rsidR="001A0A7B" w:rsidRPr="00736A84" w:rsidRDefault="001A0A7B">
            <w:pPr>
              <w:contextualSpacing/>
              <w:jc w:val="center"/>
              <w:rPr>
                <w:rFonts w:ascii="Times New Roman" w:hAnsi="Times New Roman"/>
                <w:b/>
                <w:bCs/>
                <w:sz w:val="22"/>
                <w:szCs w:val="22"/>
              </w:rPr>
            </w:pPr>
            <w:r w:rsidRPr="00736A84">
              <w:rPr>
                <w:rFonts w:ascii="Times New Roman" w:hAnsi="Times New Roman"/>
                <w:b/>
                <w:bCs/>
                <w:sz w:val="22"/>
                <w:szCs w:val="22"/>
              </w:rPr>
              <w:t>Code</w:t>
            </w:r>
          </w:p>
        </w:tc>
        <w:tc>
          <w:tcPr>
            <w:tcW w:w="7110" w:type="dxa"/>
            <w:noWrap/>
            <w:vAlign w:val="center"/>
            <w:hideMark/>
          </w:tcPr>
          <w:p w14:paraId="7D42C476" w14:textId="77777777" w:rsidR="001A0A7B" w:rsidRPr="00736A84" w:rsidRDefault="001A0A7B">
            <w:pPr>
              <w:contextualSpacing/>
              <w:jc w:val="center"/>
              <w:rPr>
                <w:rFonts w:ascii="Times New Roman" w:hAnsi="Times New Roman"/>
                <w:b/>
                <w:bCs/>
                <w:sz w:val="22"/>
                <w:szCs w:val="22"/>
              </w:rPr>
            </w:pPr>
            <w:r w:rsidRPr="00736A84">
              <w:rPr>
                <w:rFonts w:ascii="Times New Roman" w:hAnsi="Times New Roman"/>
                <w:b/>
                <w:bCs/>
                <w:sz w:val="22"/>
                <w:szCs w:val="22"/>
              </w:rPr>
              <w:t>Description</w:t>
            </w:r>
          </w:p>
        </w:tc>
        <w:tc>
          <w:tcPr>
            <w:tcW w:w="1350" w:type="dxa"/>
            <w:noWrap/>
            <w:vAlign w:val="center"/>
            <w:hideMark/>
          </w:tcPr>
          <w:p w14:paraId="0577EC5D" w14:textId="77777777" w:rsidR="001A0A7B" w:rsidRPr="00736A84" w:rsidRDefault="001A0A7B">
            <w:pPr>
              <w:contextualSpacing/>
              <w:jc w:val="center"/>
              <w:rPr>
                <w:rFonts w:ascii="Times New Roman" w:hAnsi="Times New Roman"/>
                <w:b/>
                <w:bCs/>
                <w:sz w:val="22"/>
                <w:szCs w:val="22"/>
              </w:rPr>
            </w:pPr>
            <w:r w:rsidRPr="00736A84">
              <w:rPr>
                <w:rFonts w:ascii="Times New Roman" w:hAnsi="Times New Roman"/>
                <w:b/>
                <w:bCs/>
                <w:sz w:val="22"/>
                <w:szCs w:val="22"/>
              </w:rPr>
              <w:t>Rate</w:t>
            </w:r>
          </w:p>
        </w:tc>
      </w:tr>
      <w:tr w:rsidR="001A0A7B" w:rsidRPr="00736A84" w14:paraId="53D42B10" w14:textId="77777777" w:rsidTr="00502635">
        <w:trPr>
          <w:trHeight w:val="290"/>
        </w:trPr>
        <w:tc>
          <w:tcPr>
            <w:tcW w:w="1255" w:type="dxa"/>
            <w:noWrap/>
            <w:hideMark/>
          </w:tcPr>
          <w:p w14:paraId="52264A52" w14:textId="33942A4D" w:rsidR="001A0A7B" w:rsidRPr="00D00D88" w:rsidRDefault="001A0A7B" w:rsidP="00502635">
            <w:pPr>
              <w:contextualSpacing/>
              <w:jc w:val="center"/>
              <w:rPr>
                <w:rFonts w:ascii="Times New Roman" w:hAnsi="Times New Roman"/>
                <w:bCs/>
                <w:sz w:val="22"/>
                <w:szCs w:val="22"/>
              </w:rPr>
            </w:pPr>
            <w:r w:rsidRPr="00391DC6">
              <w:t>J0211</w:t>
            </w:r>
          </w:p>
        </w:tc>
        <w:tc>
          <w:tcPr>
            <w:tcW w:w="7110" w:type="dxa"/>
            <w:hideMark/>
          </w:tcPr>
          <w:p w14:paraId="2805905A" w14:textId="0A1D41F0" w:rsidR="001A0A7B" w:rsidRPr="00D00D88" w:rsidRDefault="001A0A7B" w:rsidP="001A0A7B">
            <w:pPr>
              <w:contextualSpacing/>
              <w:rPr>
                <w:rFonts w:ascii="Times New Roman" w:hAnsi="Times New Roman"/>
                <w:bCs/>
                <w:sz w:val="22"/>
                <w:szCs w:val="22"/>
              </w:rPr>
            </w:pPr>
            <w:r w:rsidRPr="001D06B3">
              <w:t>Injection, sodium nitrite 3 mg and sodium thiosulfate 125 mg (</w:t>
            </w:r>
            <w:proofErr w:type="spellStart"/>
            <w:r w:rsidRPr="001D06B3">
              <w:t>nithiodote</w:t>
            </w:r>
            <w:proofErr w:type="spellEnd"/>
            <w:r w:rsidRPr="001D06B3">
              <w:t>)</w:t>
            </w:r>
          </w:p>
        </w:tc>
        <w:tc>
          <w:tcPr>
            <w:tcW w:w="1350" w:type="dxa"/>
            <w:noWrap/>
            <w:hideMark/>
          </w:tcPr>
          <w:p w14:paraId="787FA46F" w14:textId="1B66FCE9" w:rsidR="001A0A7B" w:rsidRPr="00D00D88" w:rsidRDefault="001A0A7B" w:rsidP="001A0A7B">
            <w:pPr>
              <w:contextualSpacing/>
              <w:jc w:val="center"/>
              <w:rPr>
                <w:rFonts w:ascii="Times New Roman" w:hAnsi="Times New Roman"/>
                <w:bCs/>
                <w:sz w:val="22"/>
                <w:szCs w:val="22"/>
              </w:rPr>
            </w:pPr>
            <w:r w:rsidRPr="007E7C03">
              <w:t xml:space="preserve"> I.C. </w:t>
            </w:r>
          </w:p>
        </w:tc>
      </w:tr>
      <w:tr w:rsidR="001A0A7B" w:rsidRPr="00736A84" w14:paraId="6FC34609" w14:textId="77777777" w:rsidTr="00502635">
        <w:trPr>
          <w:trHeight w:val="290"/>
        </w:trPr>
        <w:tc>
          <w:tcPr>
            <w:tcW w:w="1255" w:type="dxa"/>
            <w:noWrap/>
            <w:hideMark/>
          </w:tcPr>
          <w:p w14:paraId="0D84DEA8" w14:textId="4A222D75" w:rsidR="001A0A7B" w:rsidRPr="00D00D88" w:rsidRDefault="001A0A7B" w:rsidP="00502635">
            <w:pPr>
              <w:contextualSpacing/>
              <w:jc w:val="center"/>
              <w:rPr>
                <w:rFonts w:ascii="Times New Roman" w:hAnsi="Times New Roman"/>
                <w:bCs/>
                <w:sz w:val="22"/>
                <w:szCs w:val="22"/>
              </w:rPr>
            </w:pPr>
            <w:r w:rsidRPr="00391DC6">
              <w:t>J0687</w:t>
            </w:r>
          </w:p>
        </w:tc>
        <w:tc>
          <w:tcPr>
            <w:tcW w:w="7110" w:type="dxa"/>
            <w:noWrap/>
            <w:hideMark/>
          </w:tcPr>
          <w:p w14:paraId="6D21A8FE" w14:textId="3EFC624D" w:rsidR="001A0A7B" w:rsidRPr="00D00D88" w:rsidRDefault="001A0A7B" w:rsidP="001A0A7B">
            <w:pPr>
              <w:contextualSpacing/>
              <w:rPr>
                <w:rFonts w:ascii="Times New Roman" w:hAnsi="Times New Roman"/>
                <w:bCs/>
                <w:sz w:val="22"/>
                <w:szCs w:val="22"/>
              </w:rPr>
            </w:pPr>
            <w:r w:rsidRPr="001D06B3">
              <w:t>Injection, cefazolin sodium (</w:t>
            </w:r>
            <w:proofErr w:type="spellStart"/>
            <w:r w:rsidRPr="001D06B3">
              <w:t>wg</w:t>
            </w:r>
            <w:proofErr w:type="spellEnd"/>
            <w:r w:rsidRPr="001D06B3">
              <w:t xml:space="preserve"> critical care), not therapeutically equivalent to j0690, 500 mg</w:t>
            </w:r>
          </w:p>
        </w:tc>
        <w:tc>
          <w:tcPr>
            <w:tcW w:w="1350" w:type="dxa"/>
            <w:noWrap/>
            <w:hideMark/>
          </w:tcPr>
          <w:p w14:paraId="3F5D0CDD" w14:textId="1D9CCEB8" w:rsidR="001A0A7B" w:rsidRPr="00D00D88" w:rsidRDefault="001A0A7B" w:rsidP="001A0A7B">
            <w:pPr>
              <w:contextualSpacing/>
              <w:jc w:val="center"/>
              <w:rPr>
                <w:rFonts w:ascii="Times New Roman" w:hAnsi="Times New Roman"/>
                <w:bCs/>
                <w:sz w:val="22"/>
                <w:szCs w:val="22"/>
              </w:rPr>
            </w:pPr>
            <w:r w:rsidRPr="007E7C03">
              <w:t xml:space="preserve"> $0.92 </w:t>
            </w:r>
          </w:p>
        </w:tc>
      </w:tr>
      <w:tr w:rsidR="001A0A7B" w:rsidRPr="00736A84" w14:paraId="7037D49F" w14:textId="77777777" w:rsidTr="00502635">
        <w:trPr>
          <w:trHeight w:val="290"/>
        </w:trPr>
        <w:tc>
          <w:tcPr>
            <w:tcW w:w="1255" w:type="dxa"/>
            <w:noWrap/>
            <w:hideMark/>
          </w:tcPr>
          <w:p w14:paraId="3162B99D" w14:textId="7CB7D9E0" w:rsidR="001A0A7B" w:rsidRPr="00D00D88" w:rsidRDefault="001A0A7B" w:rsidP="00502635">
            <w:pPr>
              <w:contextualSpacing/>
              <w:jc w:val="center"/>
              <w:rPr>
                <w:rFonts w:ascii="Times New Roman" w:hAnsi="Times New Roman"/>
                <w:bCs/>
                <w:sz w:val="22"/>
                <w:szCs w:val="22"/>
              </w:rPr>
            </w:pPr>
            <w:r w:rsidRPr="00391DC6">
              <w:t>J0872</w:t>
            </w:r>
          </w:p>
        </w:tc>
        <w:tc>
          <w:tcPr>
            <w:tcW w:w="7110" w:type="dxa"/>
            <w:noWrap/>
            <w:hideMark/>
          </w:tcPr>
          <w:p w14:paraId="0911B9DA" w14:textId="78E7EE93" w:rsidR="001A0A7B" w:rsidRPr="00D00D88" w:rsidRDefault="001A0A7B" w:rsidP="001A0A7B">
            <w:pPr>
              <w:contextualSpacing/>
              <w:rPr>
                <w:rFonts w:ascii="Times New Roman" w:hAnsi="Times New Roman"/>
                <w:bCs/>
                <w:sz w:val="22"/>
                <w:szCs w:val="22"/>
              </w:rPr>
            </w:pPr>
            <w:r w:rsidRPr="001D06B3">
              <w:t>Injection, daptomycin (</w:t>
            </w:r>
            <w:proofErr w:type="spellStart"/>
            <w:r w:rsidRPr="001D06B3">
              <w:t>xellia</w:t>
            </w:r>
            <w:proofErr w:type="spellEnd"/>
            <w:r w:rsidRPr="001D06B3">
              <w:t>), unrefrigerated, not therapeutically equivalent to j0878 or j0873, 1 mg</w:t>
            </w:r>
          </w:p>
        </w:tc>
        <w:tc>
          <w:tcPr>
            <w:tcW w:w="1350" w:type="dxa"/>
            <w:noWrap/>
            <w:hideMark/>
          </w:tcPr>
          <w:p w14:paraId="0813873D" w14:textId="2C35063A" w:rsidR="001A0A7B" w:rsidRPr="00D00D88" w:rsidRDefault="001A0A7B" w:rsidP="001A0A7B">
            <w:pPr>
              <w:contextualSpacing/>
              <w:jc w:val="center"/>
              <w:rPr>
                <w:rFonts w:ascii="Times New Roman" w:hAnsi="Times New Roman"/>
                <w:bCs/>
                <w:sz w:val="22"/>
                <w:szCs w:val="22"/>
              </w:rPr>
            </w:pPr>
            <w:r w:rsidRPr="007E7C03">
              <w:t xml:space="preserve"> $0.28 </w:t>
            </w:r>
          </w:p>
        </w:tc>
      </w:tr>
      <w:tr w:rsidR="001A0A7B" w:rsidRPr="00736A84" w14:paraId="59F1AA58" w14:textId="77777777" w:rsidTr="00502635">
        <w:trPr>
          <w:trHeight w:val="290"/>
        </w:trPr>
        <w:tc>
          <w:tcPr>
            <w:tcW w:w="1255" w:type="dxa"/>
            <w:noWrap/>
            <w:hideMark/>
          </w:tcPr>
          <w:p w14:paraId="28E4D113" w14:textId="739AC814" w:rsidR="001A0A7B" w:rsidRPr="00D00D88" w:rsidRDefault="001A0A7B" w:rsidP="00502635">
            <w:pPr>
              <w:contextualSpacing/>
              <w:jc w:val="center"/>
              <w:rPr>
                <w:rFonts w:ascii="Times New Roman" w:hAnsi="Times New Roman"/>
                <w:bCs/>
                <w:sz w:val="22"/>
                <w:szCs w:val="22"/>
              </w:rPr>
            </w:pPr>
            <w:r w:rsidRPr="00391DC6">
              <w:t>J1597</w:t>
            </w:r>
          </w:p>
        </w:tc>
        <w:tc>
          <w:tcPr>
            <w:tcW w:w="7110" w:type="dxa"/>
            <w:noWrap/>
            <w:hideMark/>
          </w:tcPr>
          <w:p w14:paraId="37F14ABD" w14:textId="62EB89BF" w:rsidR="001A0A7B" w:rsidRPr="00D00D88" w:rsidRDefault="001A0A7B" w:rsidP="001A0A7B">
            <w:pPr>
              <w:contextualSpacing/>
              <w:rPr>
                <w:rFonts w:ascii="Times New Roman" w:hAnsi="Times New Roman"/>
                <w:bCs/>
                <w:sz w:val="22"/>
                <w:szCs w:val="22"/>
              </w:rPr>
            </w:pPr>
            <w:r w:rsidRPr="001D06B3">
              <w:t>Injection, glycopyrrolate (</w:t>
            </w:r>
            <w:proofErr w:type="spellStart"/>
            <w:r w:rsidRPr="001D06B3">
              <w:t>glyrx</w:t>
            </w:r>
            <w:proofErr w:type="spellEnd"/>
            <w:r w:rsidRPr="001D06B3">
              <w:t>-pf), 0.1 mg</w:t>
            </w:r>
          </w:p>
        </w:tc>
        <w:tc>
          <w:tcPr>
            <w:tcW w:w="1350" w:type="dxa"/>
            <w:noWrap/>
            <w:hideMark/>
          </w:tcPr>
          <w:p w14:paraId="3ECD02D0" w14:textId="75FF5D4F" w:rsidR="001A0A7B" w:rsidRPr="00D00D88" w:rsidRDefault="001A0A7B" w:rsidP="001A0A7B">
            <w:pPr>
              <w:contextualSpacing/>
              <w:jc w:val="center"/>
              <w:rPr>
                <w:rFonts w:ascii="Times New Roman" w:hAnsi="Times New Roman"/>
                <w:bCs/>
                <w:sz w:val="22"/>
                <w:szCs w:val="22"/>
              </w:rPr>
            </w:pPr>
            <w:r w:rsidRPr="007E7C03">
              <w:t xml:space="preserve"> I.C. </w:t>
            </w:r>
          </w:p>
        </w:tc>
      </w:tr>
      <w:tr w:rsidR="001A0A7B" w:rsidRPr="00736A84" w14:paraId="717C5ACC" w14:textId="77777777" w:rsidTr="00502635">
        <w:trPr>
          <w:trHeight w:val="290"/>
        </w:trPr>
        <w:tc>
          <w:tcPr>
            <w:tcW w:w="1255" w:type="dxa"/>
            <w:noWrap/>
            <w:hideMark/>
          </w:tcPr>
          <w:p w14:paraId="2720E86F" w14:textId="10006EE7" w:rsidR="001A0A7B" w:rsidRPr="00D00D88" w:rsidRDefault="001A0A7B" w:rsidP="00502635">
            <w:pPr>
              <w:contextualSpacing/>
              <w:jc w:val="center"/>
              <w:rPr>
                <w:rFonts w:ascii="Times New Roman" w:hAnsi="Times New Roman"/>
                <w:bCs/>
                <w:sz w:val="22"/>
                <w:szCs w:val="22"/>
              </w:rPr>
            </w:pPr>
            <w:r w:rsidRPr="00391DC6">
              <w:t>J1598</w:t>
            </w:r>
          </w:p>
        </w:tc>
        <w:tc>
          <w:tcPr>
            <w:tcW w:w="7110" w:type="dxa"/>
            <w:hideMark/>
          </w:tcPr>
          <w:p w14:paraId="6C8F67A2" w14:textId="6940F0F2" w:rsidR="001A0A7B" w:rsidRPr="00D00D88" w:rsidRDefault="001A0A7B" w:rsidP="001A0A7B">
            <w:pPr>
              <w:contextualSpacing/>
              <w:rPr>
                <w:rFonts w:ascii="Times New Roman" w:hAnsi="Times New Roman"/>
                <w:bCs/>
                <w:sz w:val="22"/>
                <w:szCs w:val="22"/>
              </w:rPr>
            </w:pPr>
            <w:r w:rsidRPr="001D06B3">
              <w:t>Injection, glycopyrrolate (</w:t>
            </w:r>
            <w:proofErr w:type="spellStart"/>
            <w:r w:rsidRPr="001D06B3">
              <w:t>fresenius</w:t>
            </w:r>
            <w:proofErr w:type="spellEnd"/>
            <w:r w:rsidRPr="001D06B3">
              <w:t xml:space="preserve"> </w:t>
            </w:r>
            <w:proofErr w:type="spellStart"/>
            <w:r w:rsidRPr="001D06B3">
              <w:t>kabi</w:t>
            </w:r>
            <w:proofErr w:type="spellEnd"/>
            <w:r w:rsidRPr="001D06B3">
              <w:t>), not therapeutically equivalent to j1596, 0.1 mg</w:t>
            </w:r>
          </w:p>
        </w:tc>
        <w:tc>
          <w:tcPr>
            <w:tcW w:w="1350" w:type="dxa"/>
            <w:noWrap/>
            <w:hideMark/>
          </w:tcPr>
          <w:p w14:paraId="54879C19" w14:textId="335E8FE0" w:rsidR="001A0A7B" w:rsidRPr="00D00D88" w:rsidRDefault="001A0A7B" w:rsidP="001A0A7B">
            <w:pPr>
              <w:contextualSpacing/>
              <w:jc w:val="center"/>
              <w:rPr>
                <w:rFonts w:ascii="Times New Roman" w:hAnsi="Times New Roman"/>
                <w:bCs/>
                <w:sz w:val="22"/>
                <w:szCs w:val="22"/>
              </w:rPr>
            </w:pPr>
            <w:r w:rsidRPr="007E7C03">
              <w:t xml:space="preserve"> I.C. </w:t>
            </w:r>
          </w:p>
        </w:tc>
      </w:tr>
      <w:tr w:rsidR="001A0A7B" w:rsidRPr="00736A84" w14:paraId="0FAFC452" w14:textId="77777777" w:rsidTr="00502635">
        <w:trPr>
          <w:trHeight w:val="290"/>
        </w:trPr>
        <w:tc>
          <w:tcPr>
            <w:tcW w:w="1255" w:type="dxa"/>
            <w:noWrap/>
            <w:hideMark/>
          </w:tcPr>
          <w:p w14:paraId="4AB43DA5" w14:textId="73A56D75" w:rsidR="001A0A7B" w:rsidRPr="00D00D88" w:rsidRDefault="001A0A7B" w:rsidP="00502635">
            <w:pPr>
              <w:contextualSpacing/>
              <w:jc w:val="center"/>
              <w:rPr>
                <w:rFonts w:ascii="Times New Roman" w:hAnsi="Times New Roman"/>
                <w:bCs/>
                <w:sz w:val="22"/>
                <w:szCs w:val="22"/>
              </w:rPr>
            </w:pPr>
            <w:r w:rsidRPr="00391DC6">
              <w:t>J1748</w:t>
            </w:r>
          </w:p>
        </w:tc>
        <w:tc>
          <w:tcPr>
            <w:tcW w:w="7110" w:type="dxa"/>
            <w:hideMark/>
          </w:tcPr>
          <w:p w14:paraId="45082F29" w14:textId="6CC37381" w:rsidR="001A0A7B" w:rsidRPr="00D00D88" w:rsidRDefault="001A0A7B" w:rsidP="001A0A7B">
            <w:pPr>
              <w:contextualSpacing/>
              <w:rPr>
                <w:rFonts w:ascii="Times New Roman" w:hAnsi="Times New Roman"/>
                <w:bCs/>
                <w:sz w:val="22"/>
                <w:szCs w:val="22"/>
              </w:rPr>
            </w:pPr>
            <w:r w:rsidRPr="001D06B3">
              <w:t>Injection, infliximab-</w:t>
            </w:r>
            <w:proofErr w:type="spellStart"/>
            <w:r w:rsidRPr="001D06B3">
              <w:t>dyyb</w:t>
            </w:r>
            <w:proofErr w:type="spellEnd"/>
            <w:r w:rsidRPr="001D06B3">
              <w:t xml:space="preserve"> (</w:t>
            </w:r>
            <w:proofErr w:type="spellStart"/>
            <w:r w:rsidRPr="001D06B3">
              <w:t>zymfentra</w:t>
            </w:r>
            <w:proofErr w:type="spellEnd"/>
            <w:r w:rsidRPr="001D06B3">
              <w:t>), 10 mg</w:t>
            </w:r>
          </w:p>
        </w:tc>
        <w:tc>
          <w:tcPr>
            <w:tcW w:w="1350" w:type="dxa"/>
            <w:noWrap/>
            <w:hideMark/>
          </w:tcPr>
          <w:p w14:paraId="6606030C" w14:textId="331B675F" w:rsidR="001A0A7B" w:rsidRPr="00D00D88" w:rsidRDefault="001A0A7B" w:rsidP="001A0A7B">
            <w:pPr>
              <w:contextualSpacing/>
              <w:jc w:val="center"/>
              <w:rPr>
                <w:rFonts w:ascii="Times New Roman" w:hAnsi="Times New Roman"/>
                <w:bCs/>
                <w:sz w:val="22"/>
                <w:szCs w:val="22"/>
              </w:rPr>
            </w:pPr>
            <w:r w:rsidRPr="007E7C03">
              <w:t xml:space="preserve"> I.C. </w:t>
            </w:r>
          </w:p>
        </w:tc>
      </w:tr>
      <w:tr w:rsidR="001A0A7B" w:rsidRPr="00736A84" w14:paraId="5B9F4547" w14:textId="77777777" w:rsidTr="00502635">
        <w:trPr>
          <w:trHeight w:val="290"/>
        </w:trPr>
        <w:tc>
          <w:tcPr>
            <w:tcW w:w="1255" w:type="dxa"/>
            <w:noWrap/>
            <w:hideMark/>
          </w:tcPr>
          <w:p w14:paraId="650B32E9" w14:textId="3D10426B" w:rsidR="001A0A7B" w:rsidRPr="00D00D88" w:rsidRDefault="001A0A7B" w:rsidP="00502635">
            <w:pPr>
              <w:contextualSpacing/>
              <w:jc w:val="center"/>
              <w:rPr>
                <w:rFonts w:ascii="Times New Roman" w:hAnsi="Times New Roman"/>
                <w:bCs/>
                <w:sz w:val="22"/>
                <w:szCs w:val="22"/>
              </w:rPr>
            </w:pPr>
            <w:r w:rsidRPr="00391DC6">
              <w:t>J2183</w:t>
            </w:r>
          </w:p>
        </w:tc>
        <w:tc>
          <w:tcPr>
            <w:tcW w:w="7110" w:type="dxa"/>
            <w:hideMark/>
          </w:tcPr>
          <w:p w14:paraId="7EC688DB" w14:textId="3E1C68B4" w:rsidR="001A0A7B" w:rsidRPr="00D00D88" w:rsidRDefault="001A0A7B" w:rsidP="001A0A7B">
            <w:pPr>
              <w:contextualSpacing/>
              <w:rPr>
                <w:rFonts w:ascii="Times New Roman" w:hAnsi="Times New Roman"/>
                <w:bCs/>
                <w:sz w:val="22"/>
                <w:szCs w:val="22"/>
              </w:rPr>
            </w:pPr>
            <w:r w:rsidRPr="001D06B3">
              <w:t>Injection, meropenem (</w:t>
            </w:r>
            <w:proofErr w:type="spellStart"/>
            <w:r w:rsidRPr="001D06B3">
              <w:t>wg</w:t>
            </w:r>
            <w:proofErr w:type="spellEnd"/>
            <w:r w:rsidRPr="001D06B3">
              <w:t xml:space="preserve"> critical care), not therapeutically equivalent to j2185, 100 mg</w:t>
            </w:r>
          </w:p>
        </w:tc>
        <w:tc>
          <w:tcPr>
            <w:tcW w:w="1350" w:type="dxa"/>
            <w:noWrap/>
            <w:hideMark/>
          </w:tcPr>
          <w:p w14:paraId="217D3677" w14:textId="2C121EE6" w:rsidR="001A0A7B" w:rsidRPr="00D00D88" w:rsidRDefault="001A0A7B" w:rsidP="001A0A7B">
            <w:pPr>
              <w:contextualSpacing/>
              <w:jc w:val="center"/>
              <w:rPr>
                <w:rFonts w:ascii="Times New Roman" w:hAnsi="Times New Roman"/>
                <w:bCs/>
                <w:sz w:val="22"/>
                <w:szCs w:val="22"/>
              </w:rPr>
            </w:pPr>
            <w:r w:rsidRPr="007E7C03">
              <w:t xml:space="preserve"> $1.36 </w:t>
            </w:r>
          </w:p>
        </w:tc>
      </w:tr>
      <w:tr w:rsidR="001A0A7B" w:rsidRPr="00736A84" w14:paraId="37205866" w14:textId="77777777" w:rsidTr="00502635">
        <w:trPr>
          <w:trHeight w:val="290"/>
        </w:trPr>
        <w:tc>
          <w:tcPr>
            <w:tcW w:w="1255" w:type="dxa"/>
            <w:noWrap/>
            <w:hideMark/>
          </w:tcPr>
          <w:p w14:paraId="08318AAA" w14:textId="6D0976CC" w:rsidR="001A0A7B" w:rsidRPr="00D00D88" w:rsidRDefault="001A0A7B" w:rsidP="00502635">
            <w:pPr>
              <w:contextualSpacing/>
              <w:jc w:val="center"/>
              <w:rPr>
                <w:rFonts w:ascii="Times New Roman" w:hAnsi="Times New Roman"/>
                <w:bCs/>
                <w:sz w:val="22"/>
                <w:szCs w:val="22"/>
              </w:rPr>
            </w:pPr>
            <w:r w:rsidRPr="00391DC6">
              <w:t>J2246</w:t>
            </w:r>
          </w:p>
        </w:tc>
        <w:tc>
          <w:tcPr>
            <w:tcW w:w="7110" w:type="dxa"/>
            <w:hideMark/>
          </w:tcPr>
          <w:p w14:paraId="1B5537DE" w14:textId="3570E991" w:rsidR="001A0A7B" w:rsidRPr="00D00D88" w:rsidRDefault="001A0A7B" w:rsidP="001A0A7B">
            <w:pPr>
              <w:contextualSpacing/>
              <w:rPr>
                <w:rFonts w:ascii="Times New Roman" w:hAnsi="Times New Roman"/>
                <w:bCs/>
                <w:sz w:val="22"/>
                <w:szCs w:val="22"/>
              </w:rPr>
            </w:pPr>
            <w:r w:rsidRPr="001D06B3">
              <w:t>Injection, micafungin in sodium (</w:t>
            </w:r>
            <w:proofErr w:type="spellStart"/>
            <w:r w:rsidRPr="001D06B3">
              <w:t>baxter</w:t>
            </w:r>
            <w:proofErr w:type="spellEnd"/>
            <w:r w:rsidRPr="001D06B3">
              <w:t>), not therapeutically equivalent to j2248, 1 mg</w:t>
            </w:r>
          </w:p>
        </w:tc>
        <w:tc>
          <w:tcPr>
            <w:tcW w:w="1350" w:type="dxa"/>
            <w:noWrap/>
            <w:hideMark/>
          </w:tcPr>
          <w:p w14:paraId="2F4CFA05" w14:textId="5925C3BD" w:rsidR="001A0A7B" w:rsidRPr="00D00D88" w:rsidRDefault="001A0A7B" w:rsidP="001A0A7B">
            <w:pPr>
              <w:contextualSpacing/>
              <w:jc w:val="center"/>
              <w:rPr>
                <w:rFonts w:ascii="Times New Roman" w:hAnsi="Times New Roman"/>
                <w:bCs/>
                <w:sz w:val="22"/>
                <w:szCs w:val="22"/>
              </w:rPr>
            </w:pPr>
            <w:r w:rsidRPr="007E7C03">
              <w:t xml:space="preserve"> I.C. </w:t>
            </w:r>
          </w:p>
        </w:tc>
      </w:tr>
      <w:tr w:rsidR="001A0A7B" w:rsidRPr="00736A84" w14:paraId="5AF8B473" w14:textId="77777777" w:rsidTr="00502635">
        <w:trPr>
          <w:trHeight w:val="290"/>
        </w:trPr>
        <w:tc>
          <w:tcPr>
            <w:tcW w:w="1255" w:type="dxa"/>
            <w:noWrap/>
            <w:hideMark/>
          </w:tcPr>
          <w:p w14:paraId="6EEC1EF0" w14:textId="12DFAD80" w:rsidR="001A0A7B" w:rsidRPr="00D00D88" w:rsidRDefault="001A0A7B" w:rsidP="00502635">
            <w:pPr>
              <w:contextualSpacing/>
              <w:jc w:val="center"/>
              <w:rPr>
                <w:rFonts w:ascii="Times New Roman" w:hAnsi="Times New Roman"/>
                <w:bCs/>
                <w:sz w:val="22"/>
                <w:szCs w:val="22"/>
              </w:rPr>
            </w:pPr>
            <w:r w:rsidRPr="00391DC6">
              <w:t>J2267</w:t>
            </w:r>
          </w:p>
        </w:tc>
        <w:tc>
          <w:tcPr>
            <w:tcW w:w="7110" w:type="dxa"/>
            <w:hideMark/>
          </w:tcPr>
          <w:p w14:paraId="09C611C6" w14:textId="3E661061" w:rsidR="001A0A7B" w:rsidRPr="00D00D88" w:rsidRDefault="001A0A7B" w:rsidP="001A0A7B">
            <w:pPr>
              <w:contextualSpacing/>
              <w:rPr>
                <w:rFonts w:ascii="Times New Roman" w:hAnsi="Times New Roman"/>
                <w:bCs/>
                <w:sz w:val="22"/>
                <w:szCs w:val="22"/>
              </w:rPr>
            </w:pPr>
            <w:r w:rsidRPr="001D06B3">
              <w:t xml:space="preserve">Injection, </w:t>
            </w:r>
            <w:proofErr w:type="spellStart"/>
            <w:r w:rsidRPr="001D06B3">
              <w:t>mirikizumab-mrkz</w:t>
            </w:r>
            <w:proofErr w:type="spellEnd"/>
            <w:r w:rsidRPr="001D06B3">
              <w:t>, 1 mg</w:t>
            </w:r>
          </w:p>
        </w:tc>
        <w:tc>
          <w:tcPr>
            <w:tcW w:w="1350" w:type="dxa"/>
            <w:noWrap/>
            <w:hideMark/>
          </w:tcPr>
          <w:p w14:paraId="0EA4951A" w14:textId="75115673" w:rsidR="001A0A7B" w:rsidRPr="00D00D88" w:rsidRDefault="001A0A7B" w:rsidP="001A0A7B">
            <w:pPr>
              <w:contextualSpacing/>
              <w:jc w:val="center"/>
              <w:rPr>
                <w:rFonts w:ascii="Times New Roman" w:hAnsi="Times New Roman"/>
                <w:bCs/>
                <w:sz w:val="22"/>
                <w:szCs w:val="22"/>
              </w:rPr>
            </w:pPr>
            <w:r w:rsidRPr="007E7C03">
              <w:t xml:space="preserve"> $29.53 </w:t>
            </w:r>
          </w:p>
        </w:tc>
      </w:tr>
      <w:tr w:rsidR="001A0A7B" w:rsidRPr="00736A84" w14:paraId="63685051" w14:textId="77777777" w:rsidTr="00502635">
        <w:trPr>
          <w:trHeight w:val="290"/>
        </w:trPr>
        <w:tc>
          <w:tcPr>
            <w:tcW w:w="1255" w:type="dxa"/>
            <w:noWrap/>
            <w:hideMark/>
          </w:tcPr>
          <w:p w14:paraId="122F8DDA" w14:textId="3B565A08" w:rsidR="001A0A7B" w:rsidRPr="00D00D88" w:rsidRDefault="001A0A7B" w:rsidP="00502635">
            <w:pPr>
              <w:contextualSpacing/>
              <w:jc w:val="center"/>
              <w:rPr>
                <w:rFonts w:ascii="Times New Roman" w:hAnsi="Times New Roman"/>
                <w:bCs/>
                <w:sz w:val="22"/>
                <w:szCs w:val="22"/>
              </w:rPr>
            </w:pPr>
            <w:r w:rsidRPr="00391DC6">
              <w:t>J2373</w:t>
            </w:r>
          </w:p>
        </w:tc>
        <w:tc>
          <w:tcPr>
            <w:tcW w:w="7110" w:type="dxa"/>
            <w:hideMark/>
          </w:tcPr>
          <w:p w14:paraId="4B0A5E68" w14:textId="4CCCB641" w:rsidR="001A0A7B" w:rsidRPr="00D00D88" w:rsidRDefault="001A0A7B" w:rsidP="001A0A7B">
            <w:pPr>
              <w:contextualSpacing/>
              <w:rPr>
                <w:rFonts w:ascii="Times New Roman" w:hAnsi="Times New Roman"/>
                <w:bCs/>
                <w:sz w:val="22"/>
                <w:szCs w:val="22"/>
              </w:rPr>
            </w:pPr>
            <w:r w:rsidRPr="001D06B3">
              <w:t>Injection, phenylephrine hydrochloride (</w:t>
            </w:r>
            <w:proofErr w:type="spellStart"/>
            <w:r w:rsidRPr="001D06B3">
              <w:t>immphentiv</w:t>
            </w:r>
            <w:proofErr w:type="spellEnd"/>
            <w:r w:rsidRPr="001D06B3">
              <w:t>), 20 micrograms</w:t>
            </w:r>
          </w:p>
        </w:tc>
        <w:tc>
          <w:tcPr>
            <w:tcW w:w="1350" w:type="dxa"/>
            <w:noWrap/>
            <w:hideMark/>
          </w:tcPr>
          <w:p w14:paraId="67D4A26E" w14:textId="51F3908D" w:rsidR="001A0A7B" w:rsidRPr="00D00D88" w:rsidRDefault="001A0A7B" w:rsidP="001A0A7B">
            <w:pPr>
              <w:contextualSpacing/>
              <w:jc w:val="center"/>
              <w:rPr>
                <w:rFonts w:ascii="Times New Roman" w:hAnsi="Times New Roman"/>
                <w:bCs/>
                <w:sz w:val="22"/>
                <w:szCs w:val="22"/>
              </w:rPr>
            </w:pPr>
            <w:r w:rsidRPr="007E7C03">
              <w:t xml:space="preserve"> $0.18 </w:t>
            </w:r>
          </w:p>
        </w:tc>
      </w:tr>
      <w:tr w:rsidR="001A0A7B" w:rsidRPr="00736A84" w14:paraId="2FA3EEEE" w14:textId="77777777" w:rsidTr="00502635">
        <w:trPr>
          <w:trHeight w:val="290"/>
        </w:trPr>
        <w:tc>
          <w:tcPr>
            <w:tcW w:w="1255" w:type="dxa"/>
            <w:noWrap/>
            <w:hideMark/>
          </w:tcPr>
          <w:p w14:paraId="33DE2505" w14:textId="026FD562" w:rsidR="001A0A7B" w:rsidRPr="00D00D88" w:rsidRDefault="001A0A7B" w:rsidP="00502635">
            <w:pPr>
              <w:contextualSpacing/>
              <w:jc w:val="center"/>
              <w:rPr>
                <w:rFonts w:ascii="Times New Roman" w:hAnsi="Times New Roman"/>
                <w:bCs/>
                <w:sz w:val="22"/>
                <w:szCs w:val="22"/>
              </w:rPr>
            </w:pPr>
            <w:r w:rsidRPr="00391DC6">
              <w:t>J2468</w:t>
            </w:r>
          </w:p>
        </w:tc>
        <w:tc>
          <w:tcPr>
            <w:tcW w:w="7110" w:type="dxa"/>
            <w:hideMark/>
          </w:tcPr>
          <w:p w14:paraId="45E54A9B" w14:textId="093FCD80" w:rsidR="001A0A7B" w:rsidRPr="00D00D88" w:rsidRDefault="001A0A7B" w:rsidP="001A0A7B">
            <w:pPr>
              <w:contextualSpacing/>
              <w:rPr>
                <w:rFonts w:ascii="Times New Roman" w:hAnsi="Times New Roman"/>
                <w:bCs/>
                <w:sz w:val="22"/>
                <w:szCs w:val="22"/>
              </w:rPr>
            </w:pPr>
            <w:r w:rsidRPr="001D06B3">
              <w:t>Injection, palonosetron hydrochloride (</w:t>
            </w:r>
            <w:proofErr w:type="spellStart"/>
            <w:r w:rsidRPr="001D06B3">
              <w:t>avyxa</w:t>
            </w:r>
            <w:proofErr w:type="spellEnd"/>
            <w:r w:rsidRPr="001D06B3">
              <w:t>), not therapeutically equivalent to j2469, 25 micrograms</w:t>
            </w:r>
          </w:p>
        </w:tc>
        <w:tc>
          <w:tcPr>
            <w:tcW w:w="1350" w:type="dxa"/>
            <w:noWrap/>
            <w:hideMark/>
          </w:tcPr>
          <w:p w14:paraId="086BEE5C" w14:textId="19E5259E" w:rsidR="001A0A7B" w:rsidRPr="00D00D88" w:rsidRDefault="001A0A7B" w:rsidP="001A0A7B">
            <w:pPr>
              <w:contextualSpacing/>
              <w:jc w:val="center"/>
              <w:rPr>
                <w:rFonts w:ascii="Times New Roman" w:hAnsi="Times New Roman"/>
                <w:bCs/>
                <w:sz w:val="22"/>
                <w:szCs w:val="22"/>
              </w:rPr>
            </w:pPr>
            <w:r w:rsidRPr="007E7C03">
              <w:t xml:space="preserve"> I.C. </w:t>
            </w:r>
          </w:p>
        </w:tc>
      </w:tr>
      <w:tr w:rsidR="001A0A7B" w:rsidRPr="00736A84" w14:paraId="5FACE1E4" w14:textId="77777777" w:rsidTr="00502635">
        <w:trPr>
          <w:trHeight w:val="290"/>
        </w:trPr>
        <w:tc>
          <w:tcPr>
            <w:tcW w:w="1255" w:type="dxa"/>
            <w:noWrap/>
            <w:hideMark/>
          </w:tcPr>
          <w:p w14:paraId="3F11DA15" w14:textId="676E1FD6" w:rsidR="001A0A7B" w:rsidRPr="00D00D88" w:rsidRDefault="001A0A7B" w:rsidP="00502635">
            <w:pPr>
              <w:contextualSpacing/>
              <w:jc w:val="center"/>
              <w:rPr>
                <w:rFonts w:ascii="Times New Roman" w:hAnsi="Times New Roman"/>
                <w:bCs/>
                <w:sz w:val="22"/>
                <w:szCs w:val="22"/>
              </w:rPr>
            </w:pPr>
            <w:r w:rsidRPr="00391DC6">
              <w:t>J2470</w:t>
            </w:r>
          </w:p>
        </w:tc>
        <w:tc>
          <w:tcPr>
            <w:tcW w:w="7110" w:type="dxa"/>
            <w:noWrap/>
            <w:hideMark/>
          </w:tcPr>
          <w:p w14:paraId="26EA0F59" w14:textId="0386A483" w:rsidR="001A0A7B" w:rsidRPr="00D00D88" w:rsidRDefault="001A0A7B" w:rsidP="001A0A7B">
            <w:pPr>
              <w:contextualSpacing/>
              <w:rPr>
                <w:rFonts w:ascii="Times New Roman" w:hAnsi="Times New Roman"/>
                <w:bCs/>
                <w:sz w:val="22"/>
                <w:szCs w:val="22"/>
              </w:rPr>
            </w:pPr>
            <w:r w:rsidRPr="001D06B3">
              <w:t>Injection, pantoprazole sodium, 40 mg</w:t>
            </w:r>
          </w:p>
        </w:tc>
        <w:tc>
          <w:tcPr>
            <w:tcW w:w="1350" w:type="dxa"/>
            <w:noWrap/>
            <w:hideMark/>
          </w:tcPr>
          <w:p w14:paraId="7C5B8FE9" w14:textId="7D138B30" w:rsidR="001A0A7B" w:rsidRPr="00D00D88" w:rsidRDefault="001A0A7B" w:rsidP="001A0A7B">
            <w:pPr>
              <w:contextualSpacing/>
              <w:jc w:val="center"/>
              <w:rPr>
                <w:rFonts w:ascii="Times New Roman" w:hAnsi="Times New Roman"/>
                <w:bCs/>
                <w:sz w:val="22"/>
                <w:szCs w:val="22"/>
              </w:rPr>
            </w:pPr>
            <w:r w:rsidRPr="007E7C03">
              <w:t xml:space="preserve"> I.C. </w:t>
            </w:r>
          </w:p>
        </w:tc>
      </w:tr>
      <w:tr w:rsidR="001A0A7B" w:rsidRPr="00736A84" w14:paraId="1201A738" w14:textId="77777777" w:rsidTr="00502635">
        <w:trPr>
          <w:trHeight w:val="290"/>
        </w:trPr>
        <w:tc>
          <w:tcPr>
            <w:tcW w:w="1255" w:type="dxa"/>
            <w:noWrap/>
            <w:hideMark/>
          </w:tcPr>
          <w:p w14:paraId="0662D899" w14:textId="4E0AFE1D" w:rsidR="001A0A7B" w:rsidRPr="00D00D88" w:rsidRDefault="001A0A7B" w:rsidP="00502635">
            <w:pPr>
              <w:contextualSpacing/>
              <w:jc w:val="center"/>
              <w:rPr>
                <w:rFonts w:ascii="Times New Roman" w:hAnsi="Times New Roman"/>
                <w:bCs/>
                <w:sz w:val="22"/>
                <w:szCs w:val="22"/>
              </w:rPr>
            </w:pPr>
            <w:r w:rsidRPr="00391DC6">
              <w:t>J2471</w:t>
            </w:r>
          </w:p>
        </w:tc>
        <w:tc>
          <w:tcPr>
            <w:tcW w:w="7110" w:type="dxa"/>
            <w:noWrap/>
            <w:hideMark/>
          </w:tcPr>
          <w:p w14:paraId="68196DAD" w14:textId="48A494F4" w:rsidR="001A0A7B" w:rsidRPr="00D00D88" w:rsidRDefault="001A0A7B" w:rsidP="001A0A7B">
            <w:pPr>
              <w:contextualSpacing/>
              <w:rPr>
                <w:rFonts w:ascii="Times New Roman" w:hAnsi="Times New Roman"/>
                <w:bCs/>
                <w:sz w:val="22"/>
                <w:szCs w:val="22"/>
              </w:rPr>
            </w:pPr>
            <w:r w:rsidRPr="001D06B3">
              <w:t>Injection, pantoprazole (</w:t>
            </w:r>
            <w:proofErr w:type="spellStart"/>
            <w:r w:rsidRPr="001D06B3">
              <w:t>hikma</w:t>
            </w:r>
            <w:proofErr w:type="spellEnd"/>
            <w:r w:rsidRPr="001D06B3">
              <w:t>), not therapeutically equivalent to j2470, 40 mg</w:t>
            </w:r>
          </w:p>
        </w:tc>
        <w:tc>
          <w:tcPr>
            <w:tcW w:w="1350" w:type="dxa"/>
            <w:noWrap/>
            <w:hideMark/>
          </w:tcPr>
          <w:p w14:paraId="329179FD" w14:textId="441D9EEA" w:rsidR="001A0A7B" w:rsidRPr="00D00D88" w:rsidRDefault="001A0A7B" w:rsidP="001A0A7B">
            <w:pPr>
              <w:contextualSpacing/>
              <w:jc w:val="center"/>
              <w:rPr>
                <w:rFonts w:ascii="Times New Roman" w:hAnsi="Times New Roman"/>
                <w:bCs/>
                <w:sz w:val="22"/>
                <w:szCs w:val="22"/>
              </w:rPr>
            </w:pPr>
            <w:r w:rsidRPr="007E7C03">
              <w:t xml:space="preserve"> I.C. </w:t>
            </w:r>
          </w:p>
        </w:tc>
      </w:tr>
      <w:tr w:rsidR="001A0A7B" w:rsidRPr="00736A84" w14:paraId="71A7D6A5" w14:textId="77777777" w:rsidTr="00502635">
        <w:trPr>
          <w:trHeight w:val="290"/>
        </w:trPr>
        <w:tc>
          <w:tcPr>
            <w:tcW w:w="1255" w:type="dxa"/>
            <w:noWrap/>
            <w:hideMark/>
          </w:tcPr>
          <w:p w14:paraId="6478CDAF" w14:textId="627AFD3A" w:rsidR="001A0A7B" w:rsidRPr="00D00D88" w:rsidRDefault="001A0A7B" w:rsidP="00502635">
            <w:pPr>
              <w:contextualSpacing/>
              <w:jc w:val="center"/>
              <w:rPr>
                <w:rFonts w:ascii="Times New Roman" w:hAnsi="Times New Roman"/>
                <w:bCs/>
                <w:sz w:val="22"/>
                <w:szCs w:val="22"/>
              </w:rPr>
            </w:pPr>
            <w:r w:rsidRPr="00391DC6">
              <w:t>J3247</w:t>
            </w:r>
          </w:p>
        </w:tc>
        <w:tc>
          <w:tcPr>
            <w:tcW w:w="7110" w:type="dxa"/>
            <w:noWrap/>
            <w:hideMark/>
          </w:tcPr>
          <w:p w14:paraId="4B0A87E7" w14:textId="4873348B" w:rsidR="001A0A7B" w:rsidRPr="00D00D88" w:rsidRDefault="001A0A7B" w:rsidP="001A0A7B">
            <w:pPr>
              <w:contextualSpacing/>
              <w:rPr>
                <w:rFonts w:ascii="Times New Roman" w:hAnsi="Times New Roman"/>
                <w:bCs/>
                <w:sz w:val="22"/>
                <w:szCs w:val="22"/>
              </w:rPr>
            </w:pPr>
            <w:r w:rsidRPr="001D06B3">
              <w:t xml:space="preserve">Injection, </w:t>
            </w:r>
            <w:proofErr w:type="spellStart"/>
            <w:r w:rsidRPr="001D06B3">
              <w:t>secukinumab</w:t>
            </w:r>
            <w:proofErr w:type="spellEnd"/>
            <w:r w:rsidRPr="001D06B3">
              <w:t>, intravenous, 1 mg</w:t>
            </w:r>
          </w:p>
        </w:tc>
        <w:tc>
          <w:tcPr>
            <w:tcW w:w="1350" w:type="dxa"/>
            <w:noWrap/>
            <w:hideMark/>
          </w:tcPr>
          <w:p w14:paraId="6E0C871A" w14:textId="5246F15E" w:rsidR="001A0A7B" w:rsidRPr="00D00D88" w:rsidRDefault="001A0A7B" w:rsidP="001A0A7B">
            <w:pPr>
              <w:contextualSpacing/>
              <w:jc w:val="center"/>
              <w:rPr>
                <w:rFonts w:ascii="Times New Roman" w:hAnsi="Times New Roman"/>
                <w:bCs/>
                <w:sz w:val="22"/>
                <w:szCs w:val="22"/>
              </w:rPr>
            </w:pPr>
            <w:r w:rsidRPr="007E7C03">
              <w:t xml:space="preserve"> $14.93 </w:t>
            </w:r>
          </w:p>
        </w:tc>
      </w:tr>
      <w:tr w:rsidR="001A0A7B" w:rsidRPr="00736A84" w14:paraId="0213466E" w14:textId="77777777" w:rsidTr="00502635">
        <w:trPr>
          <w:trHeight w:val="290"/>
        </w:trPr>
        <w:tc>
          <w:tcPr>
            <w:tcW w:w="1255" w:type="dxa"/>
            <w:noWrap/>
            <w:hideMark/>
          </w:tcPr>
          <w:p w14:paraId="4EE26EDA" w14:textId="0BB52B52" w:rsidR="001A0A7B" w:rsidRPr="00D00D88" w:rsidRDefault="001A0A7B" w:rsidP="00502635">
            <w:pPr>
              <w:contextualSpacing/>
              <w:jc w:val="center"/>
              <w:rPr>
                <w:rFonts w:ascii="Times New Roman" w:hAnsi="Times New Roman"/>
                <w:bCs/>
                <w:sz w:val="22"/>
                <w:szCs w:val="22"/>
              </w:rPr>
            </w:pPr>
            <w:r w:rsidRPr="00391DC6">
              <w:t>J3263</w:t>
            </w:r>
          </w:p>
        </w:tc>
        <w:tc>
          <w:tcPr>
            <w:tcW w:w="7110" w:type="dxa"/>
            <w:noWrap/>
            <w:hideMark/>
          </w:tcPr>
          <w:p w14:paraId="6ADAC85A" w14:textId="34CA9ED8" w:rsidR="001A0A7B" w:rsidRPr="00D00D88" w:rsidRDefault="001A0A7B" w:rsidP="001A0A7B">
            <w:pPr>
              <w:contextualSpacing/>
              <w:rPr>
                <w:rFonts w:ascii="Times New Roman" w:hAnsi="Times New Roman"/>
                <w:bCs/>
                <w:sz w:val="22"/>
                <w:szCs w:val="22"/>
              </w:rPr>
            </w:pPr>
            <w:r w:rsidRPr="001D06B3">
              <w:t xml:space="preserve">Injection, </w:t>
            </w:r>
            <w:proofErr w:type="spellStart"/>
            <w:r w:rsidRPr="001D06B3">
              <w:t>toripalimab-tpzi</w:t>
            </w:r>
            <w:proofErr w:type="spellEnd"/>
            <w:r w:rsidRPr="001D06B3">
              <w:t>, 1 mg</w:t>
            </w:r>
          </w:p>
        </w:tc>
        <w:tc>
          <w:tcPr>
            <w:tcW w:w="1350" w:type="dxa"/>
            <w:noWrap/>
            <w:hideMark/>
          </w:tcPr>
          <w:p w14:paraId="66450D12" w14:textId="3C2706CE" w:rsidR="001A0A7B" w:rsidRPr="00D00D88" w:rsidRDefault="001A0A7B" w:rsidP="001A0A7B">
            <w:pPr>
              <w:contextualSpacing/>
              <w:jc w:val="center"/>
              <w:rPr>
                <w:rFonts w:ascii="Times New Roman" w:hAnsi="Times New Roman"/>
                <w:bCs/>
                <w:sz w:val="22"/>
                <w:szCs w:val="22"/>
              </w:rPr>
            </w:pPr>
            <w:r w:rsidRPr="007E7C03">
              <w:t xml:space="preserve"> $33.38 </w:t>
            </w:r>
          </w:p>
        </w:tc>
      </w:tr>
      <w:tr w:rsidR="001A0A7B" w:rsidRPr="00736A84" w14:paraId="6D1D10ED" w14:textId="77777777" w:rsidTr="00502635">
        <w:trPr>
          <w:trHeight w:val="290"/>
        </w:trPr>
        <w:tc>
          <w:tcPr>
            <w:tcW w:w="1255" w:type="dxa"/>
            <w:noWrap/>
            <w:hideMark/>
          </w:tcPr>
          <w:p w14:paraId="3881AA1A" w14:textId="32712EF3" w:rsidR="001A0A7B" w:rsidRPr="00D00D88" w:rsidRDefault="001A0A7B" w:rsidP="00502635">
            <w:pPr>
              <w:contextualSpacing/>
              <w:jc w:val="center"/>
              <w:rPr>
                <w:rFonts w:ascii="Times New Roman" w:hAnsi="Times New Roman"/>
                <w:bCs/>
                <w:sz w:val="22"/>
                <w:szCs w:val="22"/>
              </w:rPr>
            </w:pPr>
            <w:r w:rsidRPr="00391DC6">
              <w:t>J3393</w:t>
            </w:r>
          </w:p>
        </w:tc>
        <w:tc>
          <w:tcPr>
            <w:tcW w:w="7110" w:type="dxa"/>
            <w:noWrap/>
            <w:hideMark/>
          </w:tcPr>
          <w:p w14:paraId="57E0D856" w14:textId="18D1F992" w:rsidR="001A0A7B" w:rsidRPr="00D00D88" w:rsidRDefault="001A0A7B" w:rsidP="001A0A7B">
            <w:pPr>
              <w:contextualSpacing/>
              <w:rPr>
                <w:rFonts w:ascii="Times New Roman" w:hAnsi="Times New Roman"/>
                <w:bCs/>
                <w:sz w:val="22"/>
                <w:szCs w:val="22"/>
              </w:rPr>
            </w:pPr>
            <w:r w:rsidRPr="001D06B3">
              <w:t xml:space="preserve">Injection, </w:t>
            </w:r>
            <w:proofErr w:type="spellStart"/>
            <w:r w:rsidRPr="001D06B3">
              <w:t>betibeglogene</w:t>
            </w:r>
            <w:proofErr w:type="spellEnd"/>
            <w:r w:rsidRPr="001D06B3">
              <w:t xml:space="preserve"> </w:t>
            </w:r>
            <w:proofErr w:type="spellStart"/>
            <w:r w:rsidRPr="001D06B3">
              <w:t>autotemcel</w:t>
            </w:r>
            <w:proofErr w:type="spellEnd"/>
            <w:r w:rsidRPr="001D06B3">
              <w:t>, per treatment</w:t>
            </w:r>
          </w:p>
        </w:tc>
        <w:tc>
          <w:tcPr>
            <w:tcW w:w="1350" w:type="dxa"/>
            <w:noWrap/>
            <w:hideMark/>
          </w:tcPr>
          <w:p w14:paraId="67D8395A" w14:textId="7D6435C1" w:rsidR="001A0A7B" w:rsidRPr="00D00D88" w:rsidRDefault="001A0A7B" w:rsidP="001A0A7B">
            <w:pPr>
              <w:contextualSpacing/>
              <w:jc w:val="center"/>
              <w:rPr>
                <w:rFonts w:ascii="Times New Roman" w:hAnsi="Times New Roman"/>
                <w:bCs/>
                <w:sz w:val="22"/>
                <w:szCs w:val="22"/>
              </w:rPr>
            </w:pPr>
            <w:r w:rsidRPr="007E7C03">
              <w:t xml:space="preserve"> I.C. </w:t>
            </w:r>
          </w:p>
        </w:tc>
      </w:tr>
      <w:tr w:rsidR="001A0A7B" w:rsidRPr="00736A84" w14:paraId="3931B082" w14:textId="77777777" w:rsidTr="00502635">
        <w:trPr>
          <w:trHeight w:val="290"/>
        </w:trPr>
        <w:tc>
          <w:tcPr>
            <w:tcW w:w="1255" w:type="dxa"/>
            <w:noWrap/>
            <w:hideMark/>
          </w:tcPr>
          <w:p w14:paraId="0F1F4F22" w14:textId="47388A33" w:rsidR="001A0A7B" w:rsidRPr="00D00D88" w:rsidRDefault="001A0A7B" w:rsidP="00502635">
            <w:pPr>
              <w:contextualSpacing/>
              <w:jc w:val="center"/>
              <w:rPr>
                <w:rFonts w:ascii="Times New Roman" w:hAnsi="Times New Roman"/>
                <w:bCs/>
                <w:sz w:val="22"/>
                <w:szCs w:val="22"/>
              </w:rPr>
            </w:pPr>
            <w:r w:rsidRPr="00391DC6">
              <w:t>J3394</w:t>
            </w:r>
          </w:p>
        </w:tc>
        <w:tc>
          <w:tcPr>
            <w:tcW w:w="7110" w:type="dxa"/>
            <w:noWrap/>
            <w:hideMark/>
          </w:tcPr>
          <w:p w14:paraId="0428CB9F" w14:textId="6096676B" w:rsidR="001A0A7B" w:rsidRPr="00D00D88" w:rsidRDefault="001A0A7B" w:rsidP="001A0A7B">
            <w:pPr>
              <w:contextualSpacing/>
              <w:rPr>
                <w:rFonts w:ascii="Times New Roman" w:hAnsi="Times New Roman"/>
                <w:bCs/>
                <w:sz w:val="22"/>
                <w:szCs w:val="22"/>
              </w:rPr>
            </w:pPr>
            <w:r w:rsidRPr="001D06B3">
              <w:t xml:space="preserve">Injection, </w:t>
            </w:r>
            <w:proofErr w:type="spellStart"/>
            <w:r w:rsidRPr="001D06B3">
              <w:t>lovotibeglogene</w:t>
            </w:r>
            <w:proofErr w:type="spellEnd"/>
            <w:r w:rsidRPr="001D06B3">
              <w:t xml:space="preserve"> </w:t>
            </w:r>
            <w:proofErr w:type="spellStart"/>
            <w:r w:rsidRPr="001D06B3">
              <w:t>autotemcel</w:t>
            </w:r>
            <w:proofErr w:type="spellEnd"/>
            <w:r w:rsidRPr="001D06B3">
              <w:t>, per treatment</w:t>
            </w:r>
          </w:p>
        </w:tc>
        <w:tc>
          <w:tcPr>
            <w:tcW w:w="1350" w:type="dxa"/>
            <w:noWrap/>
            <w:hideMark/>
          </w:tcPr>
          <w:p w14:paraId="2C183EE5" w14:textId="2CA308BE" w:rsidR="001A0A7B" w:rsidRPr="00D00D88" w:rsidRDefault="001A0A7B" w:rsidP="001A0A7B">
            <w:pPr>
              <w:contextualSpacing/>
              <w:jc w:val="center"/>
              <w:rPr>
                <w:rFonts w:ascii="Times New Roman" w:hAnsi="Times New Roman"/>
                <w:bCs/>
                <w:sz w:val="22"/>
                <w:szCs w:val="22"/>
              </w:rPr>
            </w:pPr>
            <w:r w:rsidRPr="007E7C03">
              <w:t xml:space="preserve"> I.C. </w:t>
            </w:r>
          </w:p>
        </w:tc>
      </w:tr>
      <w:tr w:rsidR="001A0A7B" w:rsidRPr="00736A84" w14:paraId="2F02E511" w14:textId="77777777" w:rsidTr="00502635">
        <w:trPr>
          <w:trHeight w:val="290"/>
        </w:trPr>
        <w:tc>
          <w:tcPr>
            <w:tcW w:w="1255" w:type="dxa"/>
            <w:noWrap/>
            <w:hideMark/>
          </w:tcPr>
          <w:p w14:paraId="424D327C" w14:textId="1D67123A" w:rsidR="001A0A7B" w:rsidRPr="00D00D88" w:rsidRDefault="001A0A7B" w:rsidP="00502635">
            <w:pPr>
              <w:contextualSpacing/>
              <w:jc w:val="center"/>
              <w:rPr>
                <w:rFonts w:ascii="Times New Roman" w:hAnsi="Times New Roman"/>
                <w:bCs/>
                <w:sz w:val="22"/>
                <w:szCs w:val="22"/>
              </w:rPr>
            </w:pPr>
            <w:r w:rsidRPr="00391DC6">
              <w:t>J8611</w:t>
            </w:r>
          </w:p>
        </w:tc>
        <w:tc>
          <w:tcPr>
            <w:tcW w:w="7110" w:type="dxa"/>
            <w:hideMark/>
          </w:tcPr>
          <w:p w14:paraId="78F5BF55" w14:textId="79033D63" w:rsidR="001A0A7B" w:rsidRPr="00D00D88" w:rsidRDefault="001A0A7B" w:rsidP="001A0A7B">
            <w:pPr>
              <w:contextualSpacing/>
              <w:rPr>
                <w:rFonts w:ascii="Times New Roman" w:hAnsi="Times New Roman"/>
                <w:sz w:val="22"/>
                <w:szCs w:val="22"/>
              </w:rPr>
            </w:pPr>
            <w:r w:rsidRPr="001D06B3">
              <w:t>Methotrexate (</w:t>
            </w:r>
            <w:proofErr w:type="spellStart"/>
            <w:r w:rsidRPr="001D06B3">
              <w:t>jylamvo</w:t>
            </w:r>
            <w:proofErr w:type="spellEnd"/>
            <w:r w:rsidRPr="001D06B3">
              <w:t>), oral, 2.5 mg</w:t>
            </w:r>
          </w:p>
        </w:tc>
        <w:tc>
          <w:tcPr>
            <w:tcW w:w="1350" w:type="dxa"/>
            <w:noWrap/>
            <w:hideMark/>
          </w:tcPr>
          <w:p w14:paraId="06BA2AA6" w14:textId="7A4EF896" w:rsidR="001A0A7B" w:rsidRPr="00D00D88" w:rsidRDefault="001A0A7B" w:rsidP="001A0A7B">
            <w:pPr>
              <w:contextualSpacing/>
              <w:jc w:val="center"/>
              <w:rPr>
                <w:rFonts w:ascii="Times New Roman" w:hAnsi="Times New Roman"/>
                <w:sz w:val="22"/>
                <w:szCs w:val="22"/>
              </w:rPr>
            </w:pPr>
            <w:r w:rsidRPr="007E7C03">
              <w:t xml:space="preserve"> I.C. </w:t>
            </w:r>
          </w:p>
        </w:tc>
      </w:tr>
      <w:tr w:rsidR="001A0A7B" w:rsidRPr="00736A84" w14:paraId="3F681013" w14:textId="77777777" w:rsidTr="00502635">
        <w:trPr>
          <w:trHeight w:val="290"/>
        </w:trPr>
        <w:tc>
          <w:tcPr>
            <w:tcW w:w="1255" w:type="dxa"/>
            <w:noWrap/>
            <w:hideMark/>
          </w:tcPr>
          <w:p w14:paraId="1D1A90F3" w14:textId="3B3E1F4C" w:rsidR="001A0A7B" w:rsidRPr="00D00D88" w:rsidRDefault="001A0A7B" w:rsidP="00502635">
            <w:pPr>
              <w:contextualSpacing/>
              <w:jc w:val="center"/>
              <w:rPr>
                <w:rFonts w:ascii="Times New Roman" w:hAnsi="Times New Roman"/>
                <w:bCs/>
                <w:sz w:val="22"/>
                <w:szCs w:val="22"/>
              </w:rPr>
            </w:pPr>
            <w:r w:rsidRPr="00391DC6">
              <w:t>J8612</w:t>
            </w:r>
          </w:p>
        </w:tc>
        <w:tc>
          <w:tcPr>
            <w:tcW w:w="7110" w:type="dxa"/>
            <w:hideMark/>
          </w:tcPr>
          <w:p w14:paraId="2CE791DF" w14:textId="7FCFEEA4" w:rsidR="001A0A7B" w:rsidRPr="00D00D88" w:rsidRDefault="001A0A7B" w:rsidP="001A0A7B">
            <w:pPr>
              <w:contextualSpacing/>
              <w:rPr>
                <w:rFonts w:ascii="Times New Roman" w:hAnsi="Times New Roman"/>
                <w:bCs/>
                <w:sz w:val="22"/>
                <w:szCs w:val="22"/>
              </w:rPr>
            </w:pPr>
            <w:r w:rsidRPr="001D06B3">
              <w:t>Methotrexate (</w:t>
            </w:r>
            <w:proofErr w:type="spellStart"/>
            <w:r w:rsidRPr="001D06B3">
              <w:t>xatmep</w:t>
            </w:r>
            <w:proofErr w:type="spellEnd"/>
            <w:r w:rsidRPr="001D06B3">
              <w:t>), oral, 2.5 mg</w:t>
            </w:r>
          </w:p>
        </w:tc>
        <w:tc>
          <w:tcPr>
            <w:tcW w:w="1350" w:type="dxa"/>
            <w:noWrap/>
            <w:hideMark/>
          </w:tcPr>
          <w:p w14:paraId="4AD3EE41" w14:textId="17063696" w:rsidR="001A0A7B" w:rsidRPr="00D00D88" w:rsidRDefault="001A0A7B" w:rsidP="001A0A7B">
            <w:pPr>
              <w:contextualSpacing/>
              <w:jc w:val="center"/>
              <w:rPr>
                <w:rFonts w:ascii="Times New Roman" w:hAnsi="Times New Roman"/>
                <w:bCs/>
                <w:sz w:val="22"/>
                <w:szCs w:val="22"/>
              </w:rPr>
            </w:pPr>
            <w:r w:rsidRPr="007E7C03">
              <w:t xml:space="preserve"> I.C. </w:t>
            </w:r>
          </w:p>
        </w:tc>
      </w:tr>
      <w:tr w:rsidR="001A0A7B" w:rsidRPr="00736A84" w14:paraId="01C10B4C" w14:textId="77777777" w:rsidTr="00502635">
        <w:trPr>
          <w:trHeight w:val="290"/>
        </w:trPr>
        <w:tc>
          <w:tcPr>
            <w:tcW w:w="1255" w:type="dxa"/>
            <w:noWrap/>
          </w:tcPr>
          <w:p w14:paraId="301B4373" w14:textId="0F611968" w:rsidR="001A0A7B" w:rsidRPr="0020184D" w:rsidRDefault="001A0A7B" w:rsidP="00502635">
            <w:pPr>
              <w:contextualSpacing/>
              <w:jc w:val="center"/>
            </w:pPr>
            <w:r w:rsidRPr="00391DC6">
              <w:lastRenderedPageBreak/>
              <w:t>J9361</w:t>
            </w:r>
          </w:p>
        </w:tc>
        <w:tc>
          <w:tcPr>
            <w:tcW w:w="7110" w:type="dxa"/>
          </w:tcPr>
          <w:p w14:paraId="20F75671" w14:textId="67030B80" w:rsidR="001A0A7B" w:rsidRPr="004B23D3" w:rsidRDefault="001A0A7B" w:rsidP="001A0A7B">
            <w:pPr>
              <w:contextualSpacing/>
            </w:pPr>
            <w:r w:rsidRPr="001D06B3">
              <w:t xml:space="preserve">Injection, </w:t>
            </w:r>
            <w:proofErr w:type="spellStart"/>
            <w:r w:rsidRPr="001D06B3">
              <w:t>efbemalenograstim</w:t>
            </w:r>
            <w:proofErr w:type="spellEnd"/>
            <w:r w:rsidRPr="001D06B3">
              <w:t xml:space="preserve"> alfa-</w:t>
            </w:r>
            <w:proofErr w:type="spellStart"/>
            <w:r w:rsidRPr="001D06B3">
              <w:t>vuxw</w:t>
            </w:r>
            <w:proofErr w:type="spellEnd"/>
            <w:r w:rsidRPr="001D06B3">
              <w:t>, 0.5 mg</w:t>
            </w:r>
          </w:p>
        </w:tc>
        <w:tc>
          <w:tcPr>
            <w:tcW w:w="1350" w:type="dxa"/>
            <w:noWrap/>
          </w:tcPr>
          <w:p w14:paraId="4BBBE15A" w14:textId="6468CE4A" w:rsidR="001A0A7B" w:rsidRPr="00EB24BF" w:rsidRDefault="001A0A7B" w:rsidP="001A0A7B">
            <w:pPr>
              <w:contextualSpacing/>
              <w:jc w:val="center"/>
            </w:pPr>
            <w:r w:rsidRPr="007E7C03">
              <w:t xml:space="preserve"> I.C. </w:t>
            </w:r>
          </w:p>
        </w:tc>
      </w:tr>
      <w:tr w:rsidR="001A0A7B" w:rsidRPr="00736A84" w14:paraId="75C74E40" w14:textId="77777777" w:rsidTr="00502635">
        <w:trPr>
          <w:trHeight w:val="290"/>
        </w:trPr>
        <w:tc>
          <w:tcPr>
            <w:tcW w:w="1255" w:type="dxa"/>
            <w:noWrap/>
          </w:tcPr>
          <w:p w14:paraId="65DB0EAA" w14:textId="12D62547" w:rsidR="001A0A7B" w:rsidRPr="0020184D" w:rsidRDefault="001A0A7B" w:rsidP="00502635">
            <w:pPr>
              <w:contextualSpacing/>
              <w:jc w:val="center"/>
            </w:pPr>
            <w:r w:rsidRPr="00391DC6">
              <w:t>Q5137</w:t>
            </w:r>
          </w:p>
        </w:tc>
        <w:tc>
          <w:tcPr>
            <w:tcW w:w="7110" w:type="dxa"/>
          </w:tcPr>
          <w:p w14:paraId="1FCE8879" w14:textId="7ADD2C80" w:rsidR="001A0A7B" w:rsidRPr="004B23D3" w:rsidRDefault="001A0A7B" w:rsidP="001A0A7B">
            <w:pPr>
              <w:contextualSpacing/>
            </w:pPr>
            <w:r w:rsidRPr="001D06B3">
              <w:t xml:space="preserve">Injection, </w:t>
            </w:r>
            <w:proofErr w:type="spellStart"/>
            <w:r w:rsidRPr="001D06B3">
              <w:t>ustekinumab-auub</w:t>
            </w:r>
            <w:proofErr w:type="spellEnd"/>
            <w:r w:rsidRPr="001D06B3">
              <w:t xml:space="preserve"> (</w:t>
            </w:r>
            <w:proofErr w:type="spellStart"/>
            <w:r w:rsidRPr="001D06B3">
              <w:t>wezlana</w:t>
            </w:r>
            <w:proofErr w:type="spellEnd"/>
            <w:r w:rsidRPr="001D06B3">
              <w:t>), biosimilar, subcutaneous, 1 mg</w:t>
            </w:r>
          </w:p>
        </w:tc>
        <w:tc>
          <w:tcPr>
            <w:tcW w:w="1350" w:type="dxa"/>
            <w:noWrap/>
          </w:tcPr>
          <w:p w14:paraId="515645F9" w14:textId="23BED6C2" w:rsidR="001A0A7B" w:rsidRPr="00EB24BF" w:rsidRDefault="001A0A7B" w:rsidP="001A0A7B">
            <w:pPr>
              <w:contextualSpacing/>
              <w:jc w:val="center"/>
            </w:pPr>
            <w:r w:rsidRPr="007E7C03">
              <w:t xml:space="preserve"> I.C. </w:t>
            </w:r>
          </w:p>
        </w:tc>
      </w:tr>
      <w:tr w:rsidR="001A0A7B" w:rsidRPr="00736A84" w14:paraId="1B956DDD" w14:textId="77777777" w:rsidTr="00502635">
        <w:trPr>
          <w:trHeight w:val="290"/>
        </w:trPr>
        <w:tc>
          <w:tcPr>
            <w:tcW w:w="1255" w:type="dxa"/>
            <w:noWrap/>
          </w:tcPr>
          <w:p w14:paraId="7A11E38F" w14:textId="6A42D5F7" w:rsidR="001A0A7B" w:rsidRPr="0020184D" w:rsidRDefault="001A0A7B" w:rsidP="00502635">
            <w:pPr>
              <w:contextualSpacing/>
              <w:jc w:val="center"/>
            </w:pPr>
            <w:r w:rsidRPr="00391DC6">
              <w:t>Q5138</w:t>
            </w:r>
          </w:p>
        </w:tc>
        <w:tc>
          <w:tcPr>
            <w:tcW w:w="7110" w:type="dxa"/>
          </w:tcPr>
          <w:p w14:paraId="1B53DDF6" w14:textId="12012623" w:rsidR="001A0A7B" w:rsidRPr="004B23D3" w:rsidRDefault="001A0A7B" w:rsidP="001A0A7B">
            <w:pPr>
              <w:contextualSpacing/>
            </w:pPr>
            <w:r w:rsidRPr="001D06B3">
              <w:t xml:space="preserve">Injection, </w:t>
            </w:r>
            <w:proofErr w:type="spellStart"/>
            <w:r w:rsidRPr="001D06B3">
              <w:t>ustekinumab-auub</w:t>
            </w:r>
            <w:proofErr w:type="spellEnd"/>
            <w:r w:rsidRPr="001D06B3">
              <w:t xml:space="preserve"> (</w:t>
            </w:r>
            <w:proofErr w:type="spellStart"/>
            <w:r w:rsidRPr="001D06B3">
              <w:t>wezlana</w:t>
            </w:r>
            <w:proofErr w:type="spellEnd"/>
            <w:r w:rsidRPr="001D06B3">
              <w:t>), biosimilar, intravenous, 1 m</w:t>
            </w:r>
          </w:p>
        </w:tc>
        <w:tc>
          <w:tcPr>
            <w:tcW w:w="1350" w:type="dxa"/>
            <w:noWrap/>
          </w:tcPr>
          <w:p w14:paraId="7B76E754" w14:textId="6B419D33" w:rsidR="001A0A7B" w:rsidRPr="00EB24BF" w:rsidRDefault="001A0A7B" w:rsidP="001A0A7B">
            <w:pPr>
              <w:contextualSpacing/>
              <w:jc w:val="center"/>
            </w:pPr>
            <w:r w:rsidRPr="007E7C03">
              <w:t xml:space="preserve"> I.C. </w:t>
            </w:r>
          </w:p>
        </w:tc>
      </w:tr>
      <w:tr w:rsidR="001A0A7B" w:rsidRPr="00736A84" w14:paraId="49ADED8A" w14:textId="77777777" w:rsidTr="00502635">
        <w:trPr>
          <w:trHeight w:val="290"/>
        </w:trPr>
        <w:tc>
          <w:tcPr>
            <w:tcW w:w="1255" w:type="dxa"/>
            <w:noWrap/>
          </w:tcPr>
          <w:p w14:paraId="4EA483F0" w14:textId="181AE6EC" w:rsidR="001A0A7B" w:rsidRPr="0020184D" w:rsidRDefault="001A0A7B" w:rsidP="00502635">
            <w:pPr>
              <w:contextualSpacing/>
              <w:jc w:val="center"/>
            </w:pPr>
            <w:r w:rsidRPr="00391DC6">
              <w:t>J0134</w:t>
            </w:r>
          </w:p>
        </w:tc>
        <w:tc>
          <w:tcPr>
            <w:tcW w:w="7110" w:type="dxa"/>
          </w:tcPr>
          <w:p w14:paraId="18666110" w14:textId="5120B51A" w:rsidR="001A0A7B" w:rsidRPr="004B23D3" w:rsidRDefault="001A0A7B" w:rsidP="001A0A7B">
            <w:pPr>
              <w:contextualSpacing/>
            </w:pPr>
            <w:r w:rsidRPr="001D06B3">
              <w:t>Injection, acetaminophen (</w:t>
            </w:r>
            <w:proofErr w:type="spellStart"/>
            <w:r w:rsidRPr="001D06B3">
              <w:t>fresenius</w:t>
            </w:r>
            <w:proofErr w:type="spellEnd"/>
            <w:r w:rsidRPr="001D06B3">
              <w:t xml:space="preserve"> </w:t>
            </w:r>
            <w:proofErr w:type="spellStart"/>
            <w:r w:rsidRPr="001D06B3">
              <w:t>kabi</w:t>
            </w:r>
            <w:proofErr w:type="spellEnd"/>
            <w:r w:rsidRPr="001D06B3">
              <w:t>), not therapeutically equivalent to j0131, 10 mg</w:t>
            </w:r>
          </w:p>
        </w:tc>
        <w:tc>
          <w:tcPr>
            <w:tcW w:w="1350" w:type="dxa"/>
            <w:noWrap/>
          </w:tcPr>
          <w:p w14:paraId="2AA6523E" w14:textId="4F38ADBB" w:rsidR="001A0A7B" w:rsidRPr="00EB24BF" w:rsidRDefault="001A0A7B" w:rsidP="001A0A7B">
            <w:pPr>
              <w:contextualSpacing/>
              <w:jc w:val="center"/>
            </w:pPr>
            <w:r w:rsidRPr="007E7C03">
              <w:t xml:space="preserve"> $0.04 </w:t>
            </w:r>
          </w:p>
        </w:tc>
      </w:tr>
      <w:tr w:rsidR="001A0A7B" w:rsidRPr="00736A84" w14:paraId="2B721291" w14:textId="77777777" w:rsidTr="00502635">
        <w:trPr>
          <w:trHeight w:val="290"/>
        </w:trPr>
        <w:tc>
          <w:tcPr>
            <w:tcW w:w="1255" w:type="dxa"/>
            <w:noWrap/>
          </w:tcPr>
          <w:p w14:paraId="307E98E1" w14:textId="049E2285" w:rsidR="001A0A7B" w:rsidRPr="0020184D" w:rsidRDefault="001A0A7B" w:rsidP="00502635">
            <w:pPr>
              <w:contextualSpacing/>
              <w:jc w:val="center"/>
            </w:pPr>
            <w:r w:rsidRPr="00391DC6">
              <w:t>J0136</w:t>
            </w:r>
          </w:p>
        </w:tc>
        <w:tc>
          <w:tcPr>
            <w:tcW w:w="7110" w:type="dxa"/>
          </w:tcPr>
          <w:p w14:paraId="03BBD01A" w14:textId="6ED07C9C" w:rsidR="001A0A7B" w:rsidRPr="004B23D3" w:rsidRDefault="001A0A7B" w:rsidP="001A0A7B">
            <w:pPr>
              <w:contextualSpacing/>
            </w:pPr>
            <w:r w:rsidRPr="001D06B3">
              <w:t xml:space="preserve">Injection, acetaminophen (b </w:t>
            </w:r>
            <w:proofErr w:type="spellStart"/>
            <w:r w:rsidRPr="001D06B3">
              <w:t>braun</w:t>
            </w:r>
            <w:proofErr w:type="spellEnd"/>
            <w:r w:rsidRPr="001D06B3">
              <w:t>), not therapeutically equivalent to j0131, 10 mg</w:t>
            </w:r>
          </w:p>
        </w:tc>
        <w:tc>
          <w:tcPr>
            <w:tcW w:w="1350" w:type="dxa"/>
            <w:noWrap/>
          </w:tcPr>
          <w:p w14:paraId="572B192F" w14:textId="4C6DB0AE" w:rsidR="001A0A7B" w:rsidRPr="00EB24BF" w:rsidRDefault="001A0A7B" w:rsidP="001A0A7B">
            <w:pPr>
              <w:contextualSpacing/>
              <w:jc w:val="center"/>
            </w:pPr>
            <w:r w:rsidRPr="007E7C03">
              <w:t xml:space="preserve"> $0.04 </w:t>
            </w:r>
          </w:p>
        </w:tc>
      </w:tr>
      <w:tr w:rsidR="001A0A7B" w:rsidRPr="00736A84" w14:paraId="1AE34524" w14:textId="77777777" w:rsidTr="00502635">
        <w:trPr>
          <w:trHeight w:val="290"/>
        </w:trPr>
        <w:tc>
          <w:tcPr>
            <w:tcW w:w="1255" w:type="dxa"/>
            <w:noWrap/>
          </w:tcPr>
          <w:p w14:paraId="523F0D21" w14:textId="0CDAB927" w:rsidR="001A0A7B" w:rsidRPr="0020184D" w:rsidRDefault="001A0A7B" w:rsidP="00502635">
            <w:pPr>
              <w:contextualSpacing/>
              <w:jc w:val="center"/>
            </w:pPr>
            <w:r w:rsidRPr="00391DC6">
              <w:t>J0137</w:t>
            </w:r>
          </w:p>
        </w:tc>
        <w:tc>
          <w:tcPr>
            <w:tcW w:w="7110" w:type="dxa"/>
          </w:tcPr>
          <w:p w14:paraId="57E79DA1" w14:textId="4F496887" w:rsidR="001A0A7B" w:rsidRPr="004B23D3" w:rsidRDefault="001A0A7B" w:rsidP="001A0A7B">
            <w:pPr>
              <w:contextualSpacing/>
            </w:pPr>
            <w:r w:rsidRPr="001D06B3">
              <w:t>Injection, acetaminophen (</w:t>
            </w:r>
            <w:proofErr w:type="spellStart"/>
            <w:r w:rsidRPr="001D06B3">
              <w:t>hikma</w:t>
            </w:r>
            <w:proofErr w:type="spellEnd"/>
            <w:r w:rsidRPr="001D06B3">
              <w:t>), not therapeutically equivalent to j0131, 10 mg</w:t>
            </w:r>
          </w:p>
        </w:tc>
        <w:tc>
          <w:tcPr>
            <w:tcW w:w="1350" w:type="dxa"/>
            <w:noWrap/>
          </w:tcPr>
          <w:p w14:paraId="6B96FFE1" w14:textId="271FE392" w:rsidR="001A0A7B" w:rsidRPr="00EB24BF" w:rsidRDefault="001A0A7B" w:rsidP="001A0A7B">
            <w:pPr>
              <w:contextualSpacing/>
              <w:jc w:val="center"/>
            </w:pPr>
            <w:r w:rsidRPr="007E7C03">
              <w:t xml:space="preserve"> $0.05 </w:t>
            </w:r>
          </w:p>
        </w:tc>
      </w:tr>
      <w:tr w:rsidR="001A0A7B" w:rsidRPr="00736A84" w14:paraId="7353B413" w14:textId="77777777" w:rsidTr="00502635">
        <w:trPr>
          <w:trHeight w:val="290"/>
        </w:trPr>
        <w:tc>
          <w:tcPr>
            <w:tcW w:w="1255" w:type="dxa"/>
            <w:noWrap/>
          </w:tcPr>
          <w:p w14:paraId="1BE026DC" w14:textId="4ABA6CC7" w:rsidR="001A0A7B" w:rsidRPr="0020184D" w:rsidRDefault="001A0A7B" w:rsidP="00502635">
            <w:pPr>
              <w:contextualSpacing/>
              <w:jc w:val="center"/>
            </w:pPr>
            <w:r w:rsidRPr="00391DC6">
              <w:t>J0173</w:t>
            </w:r>
          </w:p>
        </w:tc>
        <w:tc>
          <w:tcPr>
            <w:tcW w:w="7110" w:type="dxa"/>
          </w:tcPr>
          <w:p w14:paraId="013F82EB" w14:textId="4E3BE69F" w:rsidR="001A0A7B" w:rsidRPr="004B23D3" w:rsidRDefault="001A0A7B" w:rsidP="001A0A7B">
            <w:pPr>
              <w:contextualSpacing/>
            </w:pPr>
            <w:r w:rsidRPr="001D06B3">
              <w:t>Injection, epinephrine (belcher), not therapeutically equivalent to j0171, 0.1 mg</w:t>
            </w:r>
          </w:p>
        </w:tc>
        <w:tc>
          <w:tcPr>
            <w:tcW w:w="1350" w:type="dxa"/>
            <w:noWrap/>
          </w:tcPr>
          <w:p w14:paraId="7C8E1F4C" w14:textId="0D6A2226" w:rsidR="001A0A7B" w:rsidRPr="00EB24BF" w:rsidRDefault="001A0A7B" w:rsidP="001A0A7B">
            <w:pPr>
              <w:contextualSpacing/>
              <w:jc w:val="center"/>
            </w:pPr>
            <w:r w:rsidRPr="007E7C03">
              <w:t xml:space="preserve"> $1.58 </w:t>
            </w:r>
          </w:p>
        </w:tc>
      </w:tr>
      <w:tr w:rsidR="001A0A7B" w:rsidRPr="00736A84" w14:paraId="31239FD0" w14:textId="77777777" w:rsidTr="00502635">
        <w:trPr>
          <w:trHeight w:val="290"/>
        </w:trPr>
        <w:tc>
          <w:tcPr>
            <w:tcW w:w="1255" w:type="dxa"/>
            <w:noWrap/>
          </w:tcPr>
          <w:p w14:paraId="6D301FE1" w14:textId="30F31500" w:rsidR="001A0A7B" w:rsidRPr="0020184D" w:rsidRDefault="001A0A7B" w:rsidP="00502635">
            <w:pPr>
              <w:contextualSpacing/>
              <w:jc w:val="center"/>
            </w:pPr>
            <w:r w:rsidRPr="00391DC6">
              <w:t>J0401</w:t>
            </w:r>
          </w:p>
        </w:tc>
        <w:tc>
          <w:tcPr>
            <w:tcW w:w="7110" w:type="dxa"/>
          </w:tcPr>
          <w:p w14:paraId="6A43F8FD" w14:textId="6B0B4AF5" w:rsidR="001A0A7B" w:rsidRPr="004B23D3" w:rsidRDefault="001A0A7B" w:rsidP="001A0A7B">
            <w:pPr>
              <w:contextualSpacing/>
            </w:pPr>
            <w:r w:rsidRPr="001D06B3">
              <w:t>Injection, aripiprazole (</w:t>
            </w:r>
            <w:proofErr w:type="spellStart"/>
            <w:r w:rsidRPr="001D06B3">
              <w:t>abilify</w:t>
            </w:r>
            <w:proofErr w:type="spellEnd"/>
            <w:r w:rsidRPr="001D06B3">
              <w:t xml:space="preserve"> </w:t>
            </w:r>
            <w:proofErr w:type="spellStart"/>
            <w:r w:rsidRPr="001D06B3">
              <w:t>maintena</w:t>
            </w:r>
            <w:proofErr w:type="spellEnd"/>
            <w:r w:rsidRPr="001D06B3">
              <w:t>), 1 mg</w:t>
            </w:r>
          </w:p>
        </w:tc>
        <w:tc>
          <w:tcPr>
            <w:tcW w:w="1350" w:type="dxa"/>
            <w:noWrap/>
          </w:tcPr>
          <w:p w14:paraId="4CB404A9" w14:textId="3BACB192" w:rsidR="001A0A7B" w:rsidRPr="00EB24BF" w:rsidRDefault="001A0A7B" w:rsidP="001A0A7B">
            <w:pPr>
              <w:contextualSpacing/>
              <w:jc w:val="center"/>
            </w:pPr>
            <w:r w:rsidRPr="007E7C03">
              <w:t xml:space="preserve"> $5.95 </w:t>
            </w:r>
          </w:p>
        </w:tc>
      </w:tr>
      <w:tr w:rsidR="001A0A7B" w:rsidRPr="00736A84" w14:paraId="7BDA18AB" w14:textId="77777777" w:rsidTr="00502635">
        <w:trPr>
          <w:trHeight w:val="290"/>
        </w:trPr>
        <w:tc>
          <w:tcPr>
            <w:tcW w:w="1255" w:type="dxa"/>
            <w:noWrap/>
          </w:tcPr>
          <w:p w14:paraId="3EB6AEED" w14:textId="6450FF78" w:rsidR="001A0A7B" w:rsidRPr="0020184D" w:rsidRDefault="001A0A7B" w:rsidP="00502635">
            <w:pPr>
              <w:contextualSpacing/>
              <w:jc w:val="center"/>
            </w:pPr>
            <w:r w:rsidRPr="00391DC6">
              <w:t>J0651</w:t>
            </w:r>
          </w:p>
        </w:tc>
        <w:tc>
          <w:tcPr>
            <w:tcW w:w="7110" w:type="dxa"/>
          </w:tcPr>
          <w:p w14:paraId="01619511" w14:textId="2B479A1B" w:rsidR="001A0A7B" w:rsidRPr="004B23D3" w:rsidRDefault="001A0A7B" w:rsidP="001A0A7B">
            <w:pPr>
              <w:contextualSpacing/>
            </w:pPr>
            <w:r w:rsidRPr="001D06B3">
              <w:t>Injection, levothyroxine sodium (</w:t>
            </w:r>
            <w:proofErr w:type="spellStart"/>
            <w:r w:rsidRPr="001D06B3">
              <w:t>fresenius</w:t>
            </w:r>
            <w:proofErr w:type="spellEnd"/>
            <w:r w:rsidRPr="001D06B3">
              <w:t xml:space="preserve"> </w:t>
            </w:r>
            <w:proofErr w:type="spellStart"/>
            <w:r w:rsidRPr="001D06B3">
              <w:t>kabi</w:t>
            </w:r>
            <w:proofErr w:type="spellEnd"/>
            <w:r w:rsidRPr="001D06B3">
              <w:t>), not therapeutically equivalent to j0650, 10 mcg</w:t>
            </w:r>
          </w:p>
        </w:tc>
        <w:tc>
          <w:tcPr>
            <w:tcW w:w="1350" w:type="dxa"/>
            <w:noWrap/>
          </w:tcPr>
          <w:p w14:paraId="17A04DEC" w14:textId="6B24F67E" w:rsidR="001A0A7B" w:rsidRPr="00EB24BF" w:rsidRDefault="001A0A7B" w:rsidP="001A0A7B">
            <w:pPr>
              <w:contextualSpacing/>
              <w:jc w:val="center"/>
            </w:pPr>
            <w:r w:rsidRPr="007E7C03">
              <w:t xml:space="preserve"> I.C. </w:t>
            </w:r>
          </w:p>
        </w:tc>
      </w:tr>
      <w:tr w:rsidR="001A0A7B" w:rsidRPr="00736A84" w14:paraId="482352D5" w14:textId="77777777" w:rsidTr="00502635">
        <w:trPr>
          <w:trHeight w:val="290"/>
        </w:trPr>
        <w:tc>
          <w:tcPr>
            <w:tcW w:w="1255" w:type="dxa"/>
            <w:noWrap/>
          </w:tcPr>
          <w:p w14:paraId="78F15DD4" w14:textId="5D78E193" w:rsidR="001A0A7B" w:rsidRPr="0020184D" w:rsidRDefault="001A0A7B" w:rsidP="00502635">
            <w:pPr>
              <w:contextualSpacing/>
              <w:jc w:val="center"/>
            </w:pPr>
            <w:r w:rsidRPr="00391DC6">
              <w:t>J0652</w:t>
            </w:r>
          </w:p>
        </w:tc>
        <w:tc>
          <w:tcPr>
            <w:tcW w:w="7110" w:type="dxa"/>
          </w:tcPr>
          <w:p w14:paraId="5EA9806E" w14:textId="74EFD672" w:rsidR="001A0A7B" w:rsidRPr="004B23D3" w:rsidRDefault="001A0A7B" w:rsidP="001A0A7B">
            <w:pPr>
              <w:contextualSpacing/>
            </w:pPr>
            <w:r w:rsidRPr="001D06B3">
              <w:t>Injection, levothyroxine sodium (</w:t>
            </w:r>
            <w:proofErr w:type="spellStart"/>
            <w:r w:rsidRPr="001D06B3">
              <w:t>hikma</w:t>
            </w:r>
            <w:proofErr w:type="spellEnd"/>
            <w:r w:rsidRPr="001D06B3">
              <w:t>), not therapeutically equivalent to j0650, 10 mcg</w:t>
            </w:r>
          </w:p>
        </w:tc>
        <w:tc>
          <w:tcPr>
            <w:tcW w:w="1350" w:type="dxa"/>
            <w:noWrap/>
          </w:tcPr>
          <w:p w14:paraId="27B0E3E3" w14:textId="0411326B" w:rsidR="001A0A7B" w:rsidRPr="00EB24BF" w:rsidRDefault="001A0A7B" w:rsidP="001A0A7B">
            <w:pPr>
              <w:contextualSpacing/>
              <w:jc w:val="center"/>
            </w:pPr>
            <w:r w:rsidRPr="007E7C03">
              <w:t xml:space="preserve"> I.C. </w:t>
            </w:r>
          </w:p>
        </w:tc>
      </w:tr>
      <w:tr w:rsidR="001A0A7B" w:rsidRPr="00736A84" w14:paraId="02839234" w14:textId="77777777" w:rsidTr="00502635">
        <w:trPr>
          <w:trHeight w:val="290"/>
        </w:trPr>
        <w:tc>
          <w:tcPr>
            <w:tcW w:w="1255" w:type="dxa"/>
            <w:noWrap/>
          </w:tcPr>
          <w:p w14:paraId="0E2D8747" w14:textId="29831047" w:rsidR="001A0A7B" w:rsidRPr="0020184D" w:rsidRDefault="001A0A7B" w:rsidP="00502635">
            <w:pPr>
              <w:contextualSpacing/>
              <w:jc w:val="center"/>
            </w:pPr>
            <w:r w:rsidRPr="00391DC6">
              <w:t>J0873</w:t>
            </w:r>
          </w:p>
        </w:tc>
        <w:tc>
          <w:tcPr>
            <w:tcW w:w="7110" w:type="dxa"/>
          </w:tcPr>
          <w:p w14:paraId="03AB76BA" w14:textId="3002CF0C" w:rsidR="001A0A7B" w:rsidRPr="004B23D3" w:rsidRDefault="001A0A7B" w:rsidP="001A0A7B">
            <w:pPr>
              <w:contextualSpacing/>
            </w:pPr>
            <w:r w:rsidRPr="001D06B3">
              <w:t>Injection, daptomycin (</w:t>
            </w:r>
            <w:proofErr w:type="spellStart"/>
            <w:r w:rsidRPr="001D06B3">
              <w:t>xellia</w:t>
            </w:r>
            <w:proofErr w:type="spellEnd"/>
            <w:r w:rsidRPr="001D06B3">
              <w:t>), not therapeutically equivalent to j0878 or j0872, 1 mg</w:t>
            </w:r>
          </w:p>
        </w:tc>
        <w:tc>
          <w:tcPr>
            <w:tcW w:w="1350" w:type="dxa"/>
            <w:noWrap/>
          </w:tcPr>
          <w:p w14:paraId="63F67F6E" w14:textId="22C7E30D" w:rsidR="001A0A7B" w:rsidRPr="00EB24BF" w:rsidRDefault="001A0A7B" w:rsidP="001A0A7B">
            <w:pPr>
              <w:contextualSpacing/>
              <w:jc w:val="center"/>
            </w:pPr>
            <w:r w:rsidRPr="007E7C03">
              <w:t xml:space="preserve"> $0.03 </w:t>
            </w:r>
          </w:p>
        </w:tc>
      </w:tr>
      <w:tr w:rsidR="001A0A7B" w:rsidRPr="00736A84" w14:paraId="15D3B777" w14:textId="77777777" w:rsidTr="00502635">
        <w:trPr>
          <w:trHeight w:val="290"/>
        </w:trPr>
        <w:tc>
          <w:tcPr>
            <w:tcW w:w="1255" w:type="dxa"/>
            <w:noWrap/>
          </w:tcPr>
          <w:p w14:paraId="0C8C964E" w14:textId="3735BC95" w:rsidR="001A0A7B" w:rsidRPr="0020184D" w:rsidRDefault="001A0A7B" w:rsidP="00502635">
            <w:pPr>
              <w:contextualSpacing/>
              <w:jc w:val="center"/>
            </w:pPr>
            <w:r w:rsidRPr="00391DC6">
              <w:t>J0893</w:t>
            </w:r>
          </w:p>
        </w:tc>
        <w:tc>
          <w:tcPr>
            <w:tcW w:w="7110" w:type="dxa"/>
          </w:tcPr>
          <w:p w14:paraId="086EF7C6" w14:textId="76CDCE1B" w:rsidR="001A0A7B" w:rsidRPr="004B23D3" w:rsidRDefault="001A0A7B" w:rsidP="001A0A7B">
            <w:pPr>
              <w:contextualSpacing/>
            </w:pPr>
            <w:r w:rsidRPr="001D06B3">
              <w:t>Injection, decitabine (sun pharma), not therapeutically equivalent to j0894, 1 mg</w:t>
            </w:r>
          </w:p>
        </w:tc>
        <w:tc>
          <w:tcPr>
            <w:tcW w:w="1350" w:type="dxa"/>
            <w:noWrap/>
          </w:tcPr>
          <w:p w14:paraId="24240B56" w14:textId="695E3BB1" w:rsidR="001A0A7B" w:rsidRPr="00EB24BF" w:rsidRDefault="001A0A7B" w:rsidP="001A0A7B">
            <w:pPr>
              <w:contextualSpacing/>
              <w:jc w:val="center"/>
            </w:pPr>
            <w:r w:rsidRPr="007E7C03">
              <w:t xml:space="preserve"> I.C. </w:t>
            </w:r>
          </w:p>
        </w:tc>
      </w:tr>
      <w:tr w:rsidR="001A0A7B" w:rsidRPr="00736A84" w14:paraId="7FF4C091" w14:textId="77777777" w:rsidTr="00502635">
        <w:trPr>
          <w:trHeight w:val="290"/>
        </w:trPr>
        <w:tc>
          <w:tcPr>
            <w:tcW w:w="1255" w:type="dxa"/>
            <w:noWrap/>
          </w:tcPr>
          <w:p w14:paraId="76321F47" w14:textId="763B5C8A" w:rsidR="001A0A7B" w:rsidRPr="0020184D" w:rsidRDefault="001A0A7B" w:rsidP="00502635">
            <w:pPr>
              <w:contextualSpacing/>
              <w:jc w:val="center"/>
            </w:pPr>
            <w:r w:rsidRPr="00391DC6">
              <w:t>J1574</w:t>
            </w:r>
          </w:p>
        </w:tc>
        <w:tc>
          <w:tcPr>
            <w:tcW w:w="7110" w:type="dxa"/>
          </w:tcPr>
          <w:p w14:paraId="7BE6D8D5" w14:textId="5068DE57" w:rsidR="001A0A7B" w:rsidRPr="004B23D3" w:rsidRDefault="001A0A7B" w:rsidP="001A0A7B">
            <w:pPr>
              <w:contextualSpacing/>
            </w:pPr>
            <w:r w:rsidRPr="001D06B3">
              <w:t>Injection, ganciclovir sodium (</w:t>
            </w:r>
            <w:proofErr w:type="spellStart"/>
            <w:r w:rsidRPr="001D06B3">
              <w:t>exela</w:t>
            </w:r>
            <w:proofErr w:type="spellEnd"/>
            <w:r w:rsidRPr="001D06B3">
              <w:t>), not therapeutically equivalent to j1570, 500 mg</w:t>
            </w:r>
          </w:p>
        </w:tc>
        <w:tc>
          <w:tcPr>
            <w:tcW w:w="1350" w:type="dxa"/>
            <w:noWrap/>
          </w:tcPr>
          <w:p w14:paraId="62194EE6" w14:textId="5F24EA90" w:rsidR="001A0A7B" w:rsidRPr="00EB24BF" w:rsidRDefault="001A0A7B" w:rsidP="001A0A7B">
            <w:pPr>
              <w:contextualSpacing/>
              <w:jc w:val="center"/>
            </w:pPr>
            <w:r w:rsidRPr="007E7C03">
              <w:t xml:space="preserve"> I.C. </w:t>
            </w:r>
          </w:p>
        </w:tc>
      </w:tr>
      <w:tr w:rsidR="001A0A7B" w:rsidRPr="00736A84" w14:paraId="2D34FACA" w14:textId="77777777" w:rsidTr="00502635">
        <w:trPr>
          <w:trHeight w:val="290"/>
        </w:trPr>
        <w:tc>
          <w:tcPr>
            <w:tcW w:w="1255" w:type="dxa"/>
            <w:noWrap/>
          </w:tcPr>
          <w:p w14:paraId="6B8C73E8" w14:textId="42635EF9" w:rsidR="001A0A7B" w:rsidRPr="0020184D" w:rsidRDefault="001A0A7B" w:rsidP="00502635">
            <w:pPr>
              <w:contextualSpacing/>
              <w:jc w:val="center"/>
            </w:pPr>
            <w:r w:rsidRPr="00391DC6">
              <w:t>J1806</w:t>
            </w:r>
          </w:p>
        </w:tc>
        <w:tc>
          <w:tcPr>
            <w:tcW w:w="7110" w:type="dxa"/>
          </w:tcPr>
          <w:p w14:paraId="06478797" w14:textId="6226853F" w:rsidR="001A0A7B" w:rsidRPr="004B23D3" w:rsidRDefault="001A0A7B" w:rsidP="001A0A7B">
            <w:pPr>
              <w:contextualSpacing/>
            </w:pPr>
            <w:r w:rsidRPr="001D06B3">
              <w:t>Injection, esmolol hydrochloride (</w:t>
            </w:r>
            <w:proofErr w:type="spellStart"/>
            <w:r w:rsidRPr="001D06B3">
              <w:t>wg</w:t>
            </w:r>
            <w:proofErr w:type="spellEnd"/>
            <w:r w:rsidRPr="001D06B3">
              <w:t xml:space="preserve"> critical care), not therapeutically equivalent to j1805, 10 mg</w:t>
            </w:r>
          </w:p>
        </w:tc>
        <w:tc>
          <w:tcPr>
            <w:tcW w:w="1350" w:type="dxa"/>
            <w:noWrap/>
          </w:tcPr>
          <w:p w14:paraId="01296C86" w14:textId="26477A6B" w:rsidR="001A0A7B" w:rsidRPr="00EB24BF" w:rsidRDefault="001A0A7B" w:rsidP="001A0A7B">
            <w:pPr>
              <w:contextualSpacing/>
              <w:jc w:val="center"/>
            </w:pPr>
            <w:r w:rsidRPr="007E7C03">
              <w:t xml:space="preserve"> $0.34 </w:t>
            </w:r>
          </w:p>
        </w:tc>
      </w:tr>
      <w:tr w:rsidR="001A0A7B" w:rsidRPr="00736A84" w14:paraId="18F6B084" w14:textId="77777777" w:rsidTr="00502635">
        <w:trPr>
          <w:trHeight w:val="290"/>
        </w:trPr>
        <w:tc>
          <w:tcPr>
            <w:tcW w:w="1255" w:type="dxa"/>
            <w:noWrap/>
          </w:tcPr>
          <w:p w14:paraId="6485F45E" w14:textId="0A26C5BF" w:rsidR="001A0A7B" w:rsidRPr="0020184D" w:rsidRDefault="001A0A7B" w:rsidP="00502635">
            <w:pPr>
              <w:contextualSpacing/>
              <w:jc w:val="center"/>
            </w:pPr>
            <w:r w:rsidRPr="00391DC6">
              <w:t>J1921</w:t>
            </w:r>
          </w:p>
        </w:tc>
        <w:tc>
          <w:tcPr>
            <w:tcW w:w="7110" w:type="dxa"/>
          </w:tcPr>
          <w:p w14:paraId="01FCAF74" w14:textId="7AD2B353" w:rsidR="001A0A7B" w:rsidRPr="004B23D3" w:rsidRDefault="001A0A7B" w:rsidP="001A0A7B">
            <w:pPr>
              <w:contextualSpacing/>
            </w:pPr>
            <w:r w:rsidRPr="001D06B3">
              <w:t>Injection, labetalol hydrochloride (</w:t>
            </w:r>
            <w:proofErr w:type="spellStart"/>
            <w:r w:rsidRPr="001D06B3">
              <w:t>hikma</w:t>
            </w:r>
            <w:proofErr w:type="spellEnd"/>
            <w:r w:rsidRPr="001D06B3">
              <w:t>), not therapeutically equivalent to j1920, 5 mg</w:t>
            </w:r>
          </w:p>
        </w:tc>
        <w:tc>
          <w:tcPr>
            <w:tcW w:w="1350" w:type="dxa"/>
            <w:noWrap/>
          </w:tcPr>
          <w:p w14:paraId="55E3A325" w14:textId="1F302820" w:rsidR="001A0A7B" w:rsidRPr="00EB24BF" w:rsidRDefault="001A0A7B" w:rsidP="001A0A7B">
            <w:pPr>
              <w:contextualSpacing/>
              <w:jc w:val="center"/>
            </w:pPr>
            <w:r w:rsidRPr="007E7C03">
              <w:t xml:space="preserve"> $1.81 </w:t>
            </w:r>
          </w:p>
        </w:tc>
      </w:tr>
      <w:tr w:rsidR="001A0A7B" w:rsidRPr="00736A84" w14:paraId="19B2315C" w14:textId="77777777" w:rsidTr="00502635">
        <w:trPr>
          <w:trHeight w:val="290"/>
        </w:trPr>
        <w:tc>
          <w:tcPr>
            <w:tcW w:w="1255" w:type="dxa"/>
            <w:noWrap/>
          </w:tcPr>
          <w:p w14:paraId="4ADE7BEA" w14:textId="2DF96A10" w:rsidR="001A0A7B" w:rsidRPr="0020184D" w:rsidRDefault="001A0A7B" w:rsidP="00502635">
            <w:pPr>
              <w:contextualSpacing/>
              <w:jc w:val="center"/>
            </w:pPr>
            <w:r w:rsidRPr="00391DC6">
              <w:t>J2021</w:t>
            </w:r>
          </w:p>
        </w:tc>
        <w:tc>
          <w:tcPr>
            <w:tcW w:w="7110" w:type="dxa"/>
          </w:tcPr>
          <w:p w14:paraId="5444902E" w14:textId="00367782" w:rsidR="001A0A7B" w:rsidRPr="004B23D3" w:rsidRDefault="001A0A7B" w:rsidP="001A0A7B">
            <w:pPr>
              <w:contextualSpacing/>
            </w:pPr>
            <w:r w:rsidRPr="001D06B3">
              <w:t>Injection, linezolid (</w:t>
            </w:r>
            <w:proofErr w:type="spellStart"/>
            <w:r w:rsidRPr="001D06B3">
              <w:t>hospira</w:t>
            </w:r>
            <w:proofErr w:type="spellEnd"/>
            <w:r w:rsidRPr="001D06B3">
              <w:t>), not therapeutically equivalent to j2020, 200 mg</w:t>
            </w:r>
          </w:p>
        </w:tc>
        <w:tc>
          <w:tcPr>
            <w:tcW w:w="1350" w:type="dxa"/>
            <w:noWrap/>
          </w:tcPr>
          <w:p w14:paraId="655C1C2F" w14:textId="15801185" w:rsidR="001A0A7B" w:rsidRPr="00EB24BF" w:rsidRDefault="001A0A7B" w:rsidP="001A0A7B">
            <w:pPr>
              <w:contextualSpacing/>
              <w:jc w:val="center"/>
            </w:pPr>
            <w:r w:rsidRPr="007E7C03">
              <w:t xml:space="preserve"> $12.19 </w:t>
            </w:r>
          </w:p>
        </w:tc>
      </w:tr>
      <w:tr w:rsidR="001A0A7B" w:rsidRPr="00736A84" w14:paraId="77CE8A82" w14:textId="77777777" w:rsidTr="00502635">
        <w:trPr>
          <w:trHeight w:val="290"/>
        </w:trPr>
        <w:tc>
          <w:tcPr>
            <w:tcW w:w="1255" w:type="dxa"/>
            <w:noWrap/>
          </w:tcPr>
          <w:p w14:paraId="641C5AAE" w14:textId="02A1D20E" w:rsidR="001A0A7B" w:rsidRPr="0020184D" w:rsidRDefault="001A0A7B" w:rsidP="00502635">
            <w:pPr>
              <w:contextualSpacing/>
              <w:jc w:val="center"/>
            </w:pPr>
            <w:r w:rsidRPr="00391DC6">
              <w:t>J2184</w:t>
            </w:r>
          </w:p>
        </w:tc>
        <w:tc>
          <w:tcPr>
            <w:tcW w:w="7110" w:type="dxa"/>
          </w:tcPr>
          <w:p w14:paraId="2ECFB142" w14:textId="44936F8C" w:rsidR="001A0A7B" w:rsidRPr="004B23D3" w:rsidRDefault="001A0A7B" w:rsidP="001A0A7B">
            <w:pPr>
              <w:contextualSpacing/>
            </w:pPr>
            <w:r w:rsidRPr="001D06B3">
              <w:t xml:space="preserve">Injection, meropenem (b </w:t>
            </w:r>
            <w:proofErr w:type="spellStart"/>
            <w:r w:rsidRPr="001D06B3">
              <w:t>braun</w:t>
            </w:r>
            <w:proofErr w:type="spellEnd"/>
            <w:r w:rsidRPr="001D06B3">
              <w:t>), not therapeutically equivalent to j2185, 100 mg</w:t>
            </w:r>
          </w:p>
        </w:tc>
        <w:tc>
          <w:tcPr>
            <w:tcW w:w="1350" w:type="dxa"/>
            <w:noWrap/>
          </w:tcPr>
          <w:p w14:paraId="70D007F7" w14:textId="6D2CD023" w:rsidR="001A0A7B" w:rsidRPr="00EB24BF" w:rsidRDefault="001A0A7B" w:rsidP="001A0A7B">
            <w:pPr>
              <w:contextualSpacing/>
              <w:jc w:val="center"/>
            </w:pPr>
            <w:r w:rsidRPr="007E7C03">
              <w:t xml:space="preserve"> $1.79 </w:t>
            </w:r>
          </w:p>
        </w:tc>
      </w:tr>
      <w:tr w:rsidR="001A0A7B" w:rsidRPr="00736A84" w14:paraId="300DEFF1" w14:textId="77777777" w:rsidTr="00502635">
        <w:trPr>
          <w:trHeight w:val="290"/>
        </w:trPr>
        <w:tc>
          <w:tcPr>
            <w:tcW w:w="1255" w:type="dxa"/>
            <w:noWrap/>
          </w:tcPr>
          <w:p w14:paraId="49A4A020" w14:textId="57F0EED9" w:rsidR="001A0A7B" w:rsidRPr="0020184D" w:rsidRDefault="001A0A7B" w:rsidP="00502635">
            <w:pPr>
              <w:contextualSpacing/>
              <w:jc w:val="center"/>
            </w:pPr>
            <w:r w:rsidRPr="00391DC6">
              <w:t>J2251</w:t>
            </w:r>
          </w:p>
        </w:tc>
        <w:tc>
          <w:tcPr>
            <w:tcW w:w="7110" w:type="dxa"/>
          </w:tcPr>
          <w:p w14:paraId="4B9FD20D" w14:textId="672B25F9" w:rsidR="001A0A7B" w:rsidRPr="004B23D3" w:rsidRDefault="001A0A7B" w:rsidP="001A0A7B">
            <w:pPr>
              <w:contextualSpacing/>
            </w:pPr>
            <w:r w:rsidRPr="001D06B3">
              <w:t>Injection, midazolam hydrochloride (</w:t>
            </w:r>
            <w:proofErr w:type="spellStart"/>
            <w:r w:rsidRPr="001D06B3">
              <w:t>wg</w:t>
            </w:r>
            <w:proofErr w:type="spellEnd"/>
            <w:r w:rsidRPr="001D06B3">
              <w:t xml:space="preserve"> critical care), not therapeutically equivalent to j2250, per 1 mg</w:t>
            </w:r>
          </w:p>
        </w:tc>
        <w:tc>
          <w:tcPr>
            <w:tcW w:w="1350" w:type="dxa"/>
            <w:noWrap/>
          </w:tcPr>
          <w:p w14:paraId="4D4A222D" w14:textId="6B39D116" w:rsidR="001A0A7B" w:rsidRPr="00EB24BF" w:rsidRDefault="001A0A7B" w:rsidP="001A0A7B">
            <w:pPr>
              <w:contextualSpacing/>
              <w:jc w:val="center"/>
            </w:pPr>
            <w:r w:rsidRPr="007E7C03">
              <w:t xml:space="preserve"> $0.18 </w:t>
            </w:r>
          </w:p>
        </w:tc>
      </w:tr>
      <w:tr w:rsidR="001A0A7B" w:rsidRPr="00736A84" w14:paraId="0F4F1AD2" w14:textId="77777777" w:rsidTr="00502635">
        <w:trPr>
          <w:trHeight w:val="290"/>
        </w:trPr>
        <w:tc>
          <w:tcPr>
            <w:tcW w:w="1255" w:type="dxa"/>
            <w:noWrap/>
          </w:tcPr>
          <w:p w14:paraId="21BAB0FE" w14:textId="37FA53AE" w:rsidR="001A0A7B" w:rsidRPr="0020184D" w:rsidRDefault="001A0A7B" w:rsidP="00502635">
            <w:pPr>
              <w:contextualSpacing/>
              <w:jc w:val="center"/>
            </w:pPr>
            <w:r w:rsidRPr="00391DC6">
              <w:t>J2272</w:t>
            </w:r>
          </w:p>
        </w:tc>
        <w:tc>
          <w:tcPr>
            <w:tcW w:w="7110" w:type="dxa"/>
          </w:tcPr>
          <w:p w14:paraId="1224BBD8" w14:textId="7D5CC10E" w:rsidR="001A0A7B" w:rsidRPr="004B23D3" w:rsidRDefault="001A0A7B" w:rsidP="001A0A7B">
            <w:pPr>
              <w:contextualSpacing/>
            </w:pPr>
            <w:r w:rsidRPr="001D06B3">
              <w:t>Injection, morphine sulfate (</w:t>
            </w:r>
            <w:proofErr w:type="spellStart"/>
            <w:r w:rsidRPr="001D06B3">
              <w:t>fresenius</w:t>
            </w:r>
            <w:proofErr w:type="spellEnd"/>
            <w:r w:rsidRPr="001D06B3">
              <w:t xml:space="preserve"> </w:t>
            </w:r>
            <w:proofErr w:type="spellStart"/>
            <w:r w:rsidRPr="001D06B3">
              <w:t>kabi</w:t>
            </w:r>
            <w:proofErr w:type="spellEnd"/>
            <w:r w:rsidRPr="001D06B3">
              <w:t>), not therapeutically equivalent to j2270, up to 10 mg</w:t>
            </w:r>
          </w:p>
        </w:tc>
        <w:tc>
          <w:tcPr>
            <w:tcW w:w="1350" w:type="dxa"/>
            <w:noWrap/>
          </w:tcPr>
          <w:p w14:paraId="26471075" w14:textId="24173B4B" w:rsidR="001A0A7B" w:rsidRPr="00EB24BF" w:rsidRDefault="001A0A7B" w:rsidP="001A0A7B">
            <w:pPr>
              <w:contextualSpacing/>
              <w:jc w:val="center"/>
            </w:pPr>
            <w:r w:rsidRPr="007E7C03">
              <w:t xml:space="preserve"> $3.87 </w:t>
            </w:r>
          </w:p>
        </w:tc>
      </w:tr>
      <w:tr w:rsidR="001A0A7B" w:rsidRPr="00736A84" w14:paraId="21B66152" w14:textId="77777777" w:rsidTr="00502635">
        <w:trPr>
          <w:trHeight w:val="290"/>
        </w:trPr>
        <w:tc>
          <w:tcPr>
            <w:tcW w:w="1255" w:type="dxa"/>
            <w:noWrap/>
          </w:tcPr>
          <w:p w14:paraId="47889847" w14:textId="6B8CD26C" w:rsidR="001A0A7B" w:rsidRPr="0020184D" w:rsidRDefault="001A0A7B" w:rsidP="00502635">
            <w:pPr>
              <w:contextualSpacing/>
              <w:jc w:val="center"/>
            </w:pPr>
            <w:r w:rsidRPr="00391DC6">
              <w:t>J2281</w:t>
            </w:r>
          </w:p>
        </w:tc>
        <w:tc>
          <w:tcPr>
            <w:tcW w:w="7110" w:type="dxa"/>
          </w:tcPr>
          <w:p w14:paraId="5E46B6D4" w14:textId="6A674319" w:rsidR="001A0A7B" w:rsidRPr="004B23D3" w:rsidRDefault="001A0A7B" w:rsidP="001A0A7B">
            <w:pPr>
              <w:contextualSpacing/>
            </w:pPr>
            <w:r w:rsidRPr="001D06B3">
              <w:t>Injection, moxifloxacin (</w:t>
            </w:r>
            <w:proofErr w:type="spellStart"/>
            <w:r w:rsidRPr="001D06B3">
              <w:t>fresenius</w:t>
            </w:r>
            <w:proofErr w:type="spellEnd"/>
            <w:r w:rsidRPr="001D06B3">
              <w:t xml:space="preserve"> </w:t>
            </w:r>
            <w:proofErr w:type="spellStart"/>
            <w:r w:rsidRPr="001D06B3">
              <w:t>kabi</w:t>
            </w:r>
            <w:proofErr w:type="spellEnd"/>
            <w:r w:rsidRPr="001D06B3">
              <w:t>), not therapeutically equivalent to j2280, 100 mg</w:t>
            </w:r>
          </w:p>
        </w:tc>
        <w:tc>
          <w:tcPr>
            <w:tcW w:w="1350" w:type="dxa"/>
            <w:noWrap/>
          </w:tcPr>
          <w:p w14:paraId="59E0D774" w14:textId="2A4A814B" w:rsidR="001A0A7B" w:rsidRPr="00EB24BF" w:rsidRDefault="001A0A7B" w:rsidP="001A0A7B">
            <w:pPr>
              <w:contextualSpacing/>
              <w:jc w:val="center"/>
            </w:pPr>
            <w:r w:rsidRPr="007E7C03">
              <w:t xml:space="preserve"> $6.43 </w:t>
            </w:r>
          </w:p>
        </w:tc>
      </w:tr>
      <w:tr w:rsidR="001A0A7B" w:rsidRPr="00736A84" w14:paraId="7AC74768" w14:textId="77777777" w:rsidTr="00502635">
        <w:trPr>
          <w:trHeight w:val="290"/>
        </w:trPr>
        <w:tc>
          <w:tcPr>
            <w:tcW w:w="1255" w:type="dxa"/>
            <w:noWrap/>
          </w:tcPr>
          <w:p w14:paraId="6CC05B02" w14:textId="5FB9F5F4" w:rsidR="001A0A7B" w:rsidRPr="0020184D" w:rsidRDefault="001A0A7B" w:rsidP="00502635">
            <w:pPr>
              <w:contextualSpacing/>
              <w:jc w:val="center"/>
            </w:pPr>
            <w:r w:rsidRPr="00391DC6">
              <w:t>J2599</w:t>
            </w:r>
          </w:p>
        </w:tc>
        <w:tc>
          <w:tcPr>
            <w:tcW w:w="7110" w:type="dxa"/>
          </w:tcPr>
          <w:p w14:paraId="2A703BDC" w14:textId="04B2EE1F" w:rsidR="001A0A7B" w:rsidRPr="004B23D3" w:rsidRDefault="001A0A7B" w:rsidP="001A0A7B">
            <w:pPr>
              <w:contextualSpacing/>
            </w:pPr>
            <w:r w:rsidRPr="001D06B3">
              <w:t>Injection, vasopressin (</w:t>
            </w:r>
            <w:proofErr w:type="spellStart"/>
            <w:r w:rsidR="00707359">
              <w:t>a</w:t>
            </w:r>
            <w:r w:rsidRPr="001D06B3">
              <w:t>merican</w:t>
            </w:r>
            <w:proofErr w:type="spellEnd"/>
            <w:r w:rsidRPr="001D06B3">
              <w:t xml:space="preserve"> </w:t>
            </w:r>
            <w:r w:rsidR="00707359">
              <w:t>r</w:t>
            </w:r>
            <w:r w:rsidRPr="001D06B3">
              <w:t>egent), not therapeutically equivalent to j2598, 1 unit</w:t>
            </w:r>
          </w:p>
        </w:tc>
        <w:tc>
          <w:tcPr>
            <w:tcW w:w="1350" w:type="dxa"/>
            <w:noWrap/>
          </w:tcPr>
          <w:p w14:paraId="2EB54290" w14:textId="074ED3F2" w:rsidR="001A0A7B" w:rsidRPr="00EB24BF" w:rsidRDefault="001A0A7B" w:rsidP="001A0A7B">
            <w:pPr>
              <w:contextualSpacing/>
              <w:jc w:val="center"/>
            </w:pPr>
            <w:r w:rsidRPr="007E7C03">
              <w:t xml:space="preserve"> $1.34 </w:t>
            </w:r>
          </w:p>
        </w:tc>
      </w:tr>
      <w:tr w:rsidR="001A0A7B" w:rsidRPr="00736A84" w14:paraId="761ECD2D" w14:textId="77777777" w:rsidTr="00502635">
        <w:trPr>
          <w:trHeight w:val="290"/>
        </w:trPr>
        <w:tc>
          <w:tcPr>
            <w:tcW w:w="1255" w:type="dxa"/>
            <w:noWrap/>
          </w:tcPr>
          <w:p w14:paraId="4A0B4A5B" w14:textId="12602073" w:rsidR="001A0A7B" w:rsidRPr="0020184D" w:rsidRDefault="001A0A7B" w:rsidP="00502635">
            <w:pPr>
              <w:contextualSpacing/>
              <w:jc w:val="center"/>
            </w:pPr>
            <w:r w:rsidRPr="00391DC6">
              <w:t>J2806</w:t>
            </w:r>
          </w:p>
        </w:tc>
        <w:tc>
          <w:tcPr>
            <w:tcW w:w="7110" w:type="dxa"/>
          </w:tcPr>
          <w:p w14:paraId="2E305C5A" w14:textId="30374A05" w:rsidR="001A0A7B" w:rsidRPr="004B23D3" w:rsidRDefault="001A0A7B" w:rsidP="001A0A7B">
            <w:pPr>
              <w:contextualSpacing/>
            </w:pPr>
            <w:r w:rsidRPr="001D06B3">
              <w:t xml:space="preserve">Injection, </w:t>
            </w:r>
            <w:proofErr w:type="spellStart"/>
            <w:r w:rsidRPr="001D06B3">
              <w:t>sincalide</w:t>
            </w:r>
            <w:proofErr w:type="spellEnd"/>
            <w:r w:rsidRPr="001D06B3">
              <w:t xml:space="preserve"> (</w:t>
            </w:r>
            <w:proofErr w:type="spellStart"/>
            <w:r w:rsidRPr="001D06B3">
              <w:t>maia</w:t>
            </w:r>
            <w:proofErr w:type="spellEnd"/>
            <w:r w:rsidRPr="001D06B3">
              <w:t>), not therapeutically equivalent to j2805, 5 micrograms</w:t>
            </w:r>
          </w:p>
        </w:tc>
        <w:tc>
          <w:tcPr>
            <w:tcW w:w="1350" w:type="dxa"/>
            <w:noWrap/>
          </w:tcPr>
          <w:p w14:paraId="1053B3A0" w14:textId="76259924" w:rsidR="001A0A7B" w:rsidRPr="00EB24BF" w:rsidRDefault="001A0A7B" w:rsidP="001A0A7B">
            <w:pPr>
              <w:contextualSpacing/>
              <w:jc w:val="center"/>
            </w:pPr>
            <w:r w:rsidRPr="007E7C03">
              <w:t xml:space="preserve"> I.C. </w:t>
            </w:r>
          </w:p>
        </w:tc>
      </w:tr>
      <w:tr w:rsidR="001A0A7B" w:rsidRPr="00736A84" w14:paraId="14F07B3D" w14:textId="77777777" w:rsidTr="00502635">
        <w:trPr>
          <w:trHeight w:val="290"/>
        </w:trPr>
        <w:tc>
          <w:tcPr>
            <w:tcW w:w="1255" w:type="dxa"/>
            <w:noWrap/>
          </w:tcPr>
          <w:p w14:paraId="16B21F33" w14:textId="2D5B2D56" w:rsidR="001A0A7B" w:rsidRPr="0020184D" w:rsidRDefault="001A0A7B" w:rsidP="00502635">
            <w:pPr>
              <w:contextualSpacing/>
              <w:jc w:val="center"/>
            </w:pPr>
            <w:r w:rsidRPr="00391DC6">
              <w:t>J3244</w:t>
            </w:r>
          </w:p>
        </w:tc>
        <w:tc>
          <w:tcPr>
            <w:tcW w:w="7110" w:type="dxa"/>
          </w:tcPr>
          <w:p w14:paraId="4A63B813" w14:textId="541F8180" w:rsidR="001A0A7B" w:rsidRPr="004B23D3" w:rsidRDefault="001A0A7B" w:rsidP="001A0A7B">
            <w:pPr>
              <w:contextualSpacing/>
            </w:pPr>
            <w:r w:rsidRPr="001D06B3">
              <w:t>Injection, tigecycline (accord), not therapeutically equivalent to j3243, 1 mg</w:t>
            </w:r>
          </w:p>
        </w:tc>
        <w:tc>
          <w:tcPr>
            <w:tcW w:w="1350" w:type="dxa"/>
            <w:noWrap/>
          </w:tcPr>
          <w:p w14:paraId="6E9994DB" w14:textId="1B70FD0E" w:rsidR="001A0A7B" w:rsidRPr="00EB24BF" w:rsidRDefault="001A0A7B" w:rsidP="001A0A7B">
            <w:pPr>
              <w:contextualSpacing/>
              <w:jc w:val="center"/>
            </w:pPr>
            <w:r w:rsidRPr="007E7C03">
              <w:t xml:space="preserve"> I.C. </w:t>
            </w:r>
          </w:p>
        </w:tc>
      </w:tr>
      <w:tr w:rsidR="001A0A7B" w:rsidRPr="00736A84" w14:paraId="3FC2878D" w14:textId="77777777" w:rsidTr="00502635">
        <w:trPr>
          <w:trHeight w:val="290"/>
        </w:trPr>
        <w:tc>
          <w:tcPr>
            <w:tcW w:w="1255" w:type="dxa"/>
            <w:noWrap/>
          </w:tcPr>
          <w:p w14:paraId="68B4995E" w14:textId="42E590B8" w:rsidR="001A0A7B" w:rsidRPr="0020184D" w:rsidRDefault="001A0A7B" w:rsidP="00502635">
            <w:pPr>
              <w:contextualSpacing/>
              <w:jc w:val="center"/>
            </w:pPr>
            <w:r w:rsidRPr="00391DC6">
              <w:t>J3371</w:t>
            </w:r>
          </w:p>
        </w:tc>
        <w:tc>
          <w:tcPr>
            <w:tcW w:w="7110" w:type="dxa"/>
          </w:tcPr>
          <w:p w14:paraId="736C8C8D" w14:textId="57B7E39D" w:rsidR="001A0A7B" w:rsidRPr="004B23D3" w:rsidRDefault="001A0A7B" w:rsidP="001A0A7B">
            <w:pPr>
              <w:contextualSpacing/>
            </w:pPr>
            <w:r w:rsidRPr="001D06B3">
              <w:t xml:space="preserve">Injection, vancomycin </w:t>
            </w:r>
            <w:proofErr w:type="spellStart"/>
            <w:r w:rsidRPr="001D06B3">
              <w:t>hcl</w:t>
            </w:r>
            <w:proofErr w:type="spellEnd"/>
            <w:r w:rsidRPr="001D06B3">
              <w:t xml:space="preserve"> (</w:t>
            </w:r>
            <w:proofErr w:type="spellStart"/>
            <w:r w:rsidRPr="001D06B3">
              <w:t>mylan</w:t>
            </w:r>
            <w:proofErr w:type="spellEnd"/>
            <w:r w:rsidRPr="001D06B3">
              <w:t>), not therapeutically equivalent to j3370, 500 mg</w:t>
            </w:r>
          </w:p>
        </w:tc>
        <w:tc>
          <w:tcPr>
            <w:tcW w:w="1350" w:type="dxa"/>
            <w:noWrap/>
          </w:tcPr>
          <w:p w14:paraId="26590286" w14:textId="58A8C90B" w:rsidR="001A0A7B" w:rsidRPr="00EB24BF" w:rsidRDefault="001A0A7B" w:rsidP="001A0A7B">
            <w:pPr>
              <w:contextualSpacing/>
              <w:jc w:val="center"/>
            </w:pPr>
            <w:r w:rsidRPr="007E7C03">
              <w:t xml:space="preserve"> $5.05 </w:t>
            </w:r>
          </w:p>
        </w:tc>
      </w:tr>
      <w:tr w:rsidR="001A0A7B" w:rsidRPr="00736A84" w14:paraId="66BB3BEB" w14:textId="77777777" w:rsidTr="00502635">
        <w:trPr>
          <w:trHeight w:val="290"/>
        </w:trPr>
        <w:tc>
          <w:tcPr>
            <w:tcW w:w="1255" w:type="dxa"/>
            <w:noWrap/>
          </w:tcPr>
          <w:p w14:paraId="24D700E5" w14:textId="690DA706" w:rsidR="001A0A7B" w:rsidRPr="0020184D" w:rsidRDefault="001A0A7B" w:rsidP="00502635">
            <w:pPr>
              <w:contextualSpacing/>
              <w:jc w:val="center"/>
            </w:pPr>
            <w:r w:rsidRPr="00391DC6">
              <w:t>J3372</w:t>
            </w:r>
          </w:p>
        </w:tc>
        <w:tc>
          <w:tcPr>
            <w:tcW w:w="7110" w:type="dxa"/>
          </w:tcPr>
          <w:p w14:paraId="674A0E68" w14:textId="44A3EF40" w:rsidR="001A0A7B" w:rsidRPr="004B23D3" w:rsidRDefault="001A0A7B" w:rsidP="001A0A7B">
            <w:pPr>
              <w:contextualSpacing/>
            </w:pPr>
            <w:r w:rsidRPr="001D06B3">
              <w:t xml:space="preserve">Injection, vancomycin </w:t>
            </w:r>
            <w:proofErr w:type="spellStart"/>
            <w:r w:rsidRPr="001D06B3">
              <w:t>hcl</w:t>
            </w:r>
            <w:proofErr w:type="spellEnd"/>
            <w:r w:rsidRPr="001D06B3">
              <w:t xml:space="preserve"> (</w:t>
            </w:r>
            <w:proofErr w:type="spellStart"/>
            <w:r w:rsidRPr="001D06B3">
              <w:t>xellia</w:t>
            </w:r>
            <w:proofErr w:type="spellEnd"/>
            <w:r w:rsidRPr="001D06B3">
              <w:t>), not therapeutically equivalent to j3370, 500 mg</w:t>
            </w:r>
          </w:p>
        </w:tc>
        <w:tc>
          <w:tcPr>
            <w:tcW w:w="1350" w:type="dxa"/>
            <w:noWrap/>
          </w:tcPr>
          <w:p w14:paraId="1F1794FC" w14:textId="5E35855C" w:rsidR="001A0A7B" w:rsidRPr="00EB24BF" w:rsidRDefault="001A0A7B" w:rsidP="001A0A7B">
            <w:pPr>
              <w:contextualSpacing/>
              <w:jc w:val="center"/>
            </w:pPr>
            <w:r w:rsidRPr="007E7C03">
              <w:t xml:space="preserve"> $5.51 </w:t>
            </w:r>
          </w:p>
        </w:tc>
      </w:tr>
      <w:tr w:rsidR="001A0A7B" w:rsidRPr="00736A84" w14:paraId="17390107" w14:textId="77777777" w:rsidTr="00502635">
        <w:trPr>
          <w:trHeight w:val="290"/>
        </w:trPr>
        <w:tc>
          <w:tcPr>
            <w:tcW w:w="1255" w:type="dxa"/>
            <w:noWrap/>
          </w:tcPr>
          <w:p w14:paraId="37F6A54D" w14:textId="23196A48" w:rsidR="001A0A7B" w:rsidRPr="0020184D" w:rsidRDefault="001A0A7B" w:rsidP="00502635">
            <w:pPr>
              <w:contextualSpacing/>
              <w:jc w:val="center"/>
            </w:pPr>
            <w:r w:rsidRPr="00391DC6">
              <w:t>J9046</w:t>
            </w:r>
          </w:p>
        </w:tc>
        <w:tc>
          <w:tcPr>
            <w:tcW w:w="7110" w:type="dxa"/>
          </w:tcPr>
          <w:p w14:paraId="0C304947" w14:textId="601E55B2" w:rsidR="001A0A7B" w:rsidRPr="004B23D3" w:rsidRDefault="001A0A7B" w:rsidP="001A0A7B">
            <w:pPr>
              <w:contextualSpacing/>
            </w:pPr>
            <w:r w:rsidRPr="001D06B3">
              <w:t xml:space="preserve">Injection, bortezomib (dr. </w:t>
            </w:r>
            <w:proofErr w:type="spellStart"/>
            <w:r w:rsidRPr="001D06B3">
              <w:t>reddy's</w:t>
            </w:r>
            <w:proofErr w:type="spellEnd"/>
            <w:r w:rsidRPr="001D06B3">
              <w:t>), not therapeutically equivalent to j9041, 0.1 mg</w:t>
            </w:r>
          </w:p>
        </w:tc>
        <w:tc>
          <w:tcPr>
            <w:tcW w:w="1350" w:type="dxa"/>
            <w:noWrap/>
          </w:tcPr>
          <w:p w14:paraId="3377D527" w14:textId="4649F682" w:rsidR="001A0A7B" w:rsidRPr="00EB24BF" w:rsidRDefault="001A0A7B" w:rsidP="001A0A7B">
            <w:pPr>
              <w:contextualSpacing/>
              <w:jc w:val="center"/>
            </w:pPr>
            <w:r w:rsidRPr="007E7C03">
              <w:t xml:space="preserve"> I.C. </w:t>
            </w:r>
          </w:p>
        </w:tc>
      </w:tr>
      <w:tr w:rsidR="001A0A7B" w:rsidRPr="00736A84" w14:paraId="6708C445" w14:textId="77777777" w:rsidTr="00502635">
        <w:trPr>
          <w:trHeight w:val="290"/>
        </w:trPr>
        <w:tc>
          <w:tcPr>
            <w:tcW w:w="1255" w:type="dxa"/>
            <w:noWrap/>
          </w:tcPr>
          <w:p w14:paraId="00E92471" w14:textId="5C3A446E" w:rsidR="001A0A7B" w:rsidRPr="0020184D" w:rsidRDefault="001A0A7B" w:rsidP="00502635">
            <w:pPr>
              <w:contextualSpacing/>
              <w:jc w:val="center"/>
            </w:pPr>
            <w:r w:rsidRPr="00391DC6">
              <w:t>J9172</w:t>
            </w:r>
          </w:p>
        </w:tc>
        <w:tc>
          <w:tcPr>
            <w:tcW w:w="7110" w:type="dxa"/>
          </w:tcPr>
          <w:p w14:paraId="0B27ADB0" w14:textId="06CA79A4" w:rsidR="001A0A7B" w:rsidRPr="004B23D3" w:rsidRDefault="001A0A7B" w:rsidP="001A0A7B">
            <w:pPr>
              <w:contextualSpacing/>
            </w:pPr>
            <w:r w:rsidRPr="001D06B3">
              <w:t>Injection, docetaxel (ingenus), not therapeutically equivalent to j9171, 1 mg</w:t>
            </w:r>
          </w:p>
        </w:tc>
        <w:tc>
          <w:tcPr>
            <w:tcW w:w="1350" w:type="dxa"/>
            <w:noWrap/>
          </w:tcPr>
          <w:p w14:paraId="0C3EF9FB" w14:textId="1E82BC22" w:rsidR="001A0A7B" w:rsidRPr="00EB24BF" w:rsidRDefault="001A0A7B" w:rsidP="001A0A7B">
            <w:pPr>
              <w:contextualSpacing/>
              <w:jc w:val="center"/>
            </w:pPr>
            <w:r w:rsidRPr="007E7C03">
              <w:t xml:space="preserve"> I.C. </w:t>
            </w:r>
          </w:p>
        </w:tc>
      </w:tr>
      <w:tr w:rsidR="001A0A7B" w:rsidRPr="00736A84" w14:paraId="75E1E765" w14:textId="77777777" w:rsidTr="00502635">
        <w:trPr>
          <w:trHeight w:val="290"/>
        </w:trPr>
        <w:tc>
          <w:tcPr>
            <w:tcW w:w="1255" w:type="dxa"/>
            <w:noWrap/>
          </w:tcPr>
          <w:p w14:paraId="565E8875" w14:textId="7AB24024" w:rsidR="001A0A7B" w:rsidRPr="0020184D" w:rsidRDefault="001A0A7B" w:rsidP="00502635">
            <w:pPr>
              <w:contextualSpacing/>
              <w:jc w:val="center"/>
            </w:pPr>
            <w:r w:rsidRPr="00391DC6">
              <w:t>J9258</w:t>
            </w:r>
          </w:p>
        </w:tc>
        <w:tc>
          <w:tcPr>
            <w:tcW w:w="7110" w:type="dxa"/>
          </w:tcPr>
          <w:p w14:paraId="03A5DC8E" w14:textId="20A9323E" w:rsidR="001A0A7B" w:rsidRPr="004B23D3" w:rsidRDefault="001A0A7B" w:rsidP="001A0A7B">
            <w:pPr>
              <w:contextualSpacing/>
            </w:pPr>
            <w:r w:rsidRPr="001D06B3">
              <w:t>Injection, paclitaxel protein-bound particles (</w:t>
            </w:r>
            <w:proofErr w:type="spellStart"/>
            <w:r w:rsidRPr="001D06B3">
              <w:t>teva</w:t>
            </w:r>
            <w:proofErr w:type="spellEnd"/>
            <w:r w:rsidRPr="001D06B3">
              <w:t>), not therapeutically equivalent to j9264, 1 mg</w:t>
            </w:r>
          </w:p>
        </w:tc>
        <w:tc>
          <w:tcPr>
            <w:tcW w:w="1350" w:type="dxa"/>
            <w:noWrap/>
          </w:tcPr>
          <w:p w14:paraId="0D0AE438" w14:textId="18783534" w:rsidR="001A0A7B" w:rsidRPr="00EB24BF" w:rsidRDefault="001A0A7B" w:rsidP="001A0A7B">
            <w:pPr>
              <w:contextualSpacing/>
              <w:jc w:val="center"/>
            </w:pPr>
            <w:r w:rsidRPr="007E7C03">
              <w:t xml:space="preserve"> I.C. </w:t>
            </w:r>
          </w:p>
        </w:tc>
      </w:tr>
      <w:tr w:rsidR="001A0A7B" w:rsidRPr="00736A84" w14:paraId="3E1EFA22" w14:textId="77777777" w:rsidTr="00502635">
        <w:trPr>
          <w:trHeight w:val="290"/>
        </w:trPr>
        <w:tc>
          <w:tcPr>
            <w:tcW w:w="1255" w:type="dxa"/>
            <w:noWrap/>
          </w:tcPr>
          <w:p w14:paraId="76771097" w14:textId="5840EC33" w:rsidR="001A0A7B" w:rsidRPr="0020184D" w:rsidRDefault="001A0A7B" w:rsidP="00502635">
            <w:pPr>
              <w:contextualSpacing/>
              <w:jc w:val="center"/>
            </w:pPr>
            <w:r w:rsidRPr="00391DC6">
              <w:lastRenderedPageBreak/>
              <w:t>J9259</w:t>
            </w:r>
          </w:p>
        </w:tc>
        <w:tc>
          <w:tcPr>
            <w:tcW w:w="7110" w:type="dxa"/>
          </w:tcPr>
          <w:p w14:paraId="50C45748" w14:textId="0FEEC8A2" w:rsidR="001A0A7B" w:rsidRPr="004B23D3" w:rsidRDefault="001A0A7B" w:rsidP="001A0A7B">
            <w:pPr>
              <w:contextualSpacing/>
            </w:pPr>
            <w:r w:rsidRPr="001D06B3">
              <w:t>Injection, paclitaxel protein-bound particles (</w:t>
            </w:r>
            <w:proofErr w:type="spellStart"/>
            <w:r w:rsidR="00707359">
              <w:t>a</w:t>
            </w:r>
            <w:r w:rsidRPr="001D06B3">
              <w:t>merican</w:t>
            </w:r>
            <w:proofErr w:type="spellEnd"/>
            <w:r w:rsidRPr="001D06B3">
              <w:t xml:space="preserve"> </w:t>
            </w:r>
            <w:r w:rsidR="00707359">
              <w:t>r</w:t>
            </w:r>
            <w:r w:rsidRPr="001D06B3">
              <w:t>egent), not therapeutically equivalent to j9264, 1 mg</w:t>
            </w:r>
          </w:p>
        </w:tc>
        <w:tc>
          <w:tcPr>
            <w:tcW w:w="1350" w:type="dxa"/>
            <w:noWrap/>
          </w:tcPr>
          <w:p w14:paraId="17554AB0" w14:textId="569DBEFE" w:rsidR="001A0A7B" w:rsidRPr="00EB24BF" w:rsidRDefault="001A0A7B" w:rsidP="001A0A7B">
            <w:pPr>
              <w:contextualSpacing/>
              <w:jc w:val="center"/>
            </w:pPr>
            <w:r w:rsidRPr="007E7C03">
              <w:t xml:space="preserve"> $13.09 </w:t>
            </w:r>
          </w:p>
        </w:tc>
      </w:tr>
      <w:tr w:rsidR="001A0A7B" w:rsidRPr="00736A84" w14:paraId="402D507C" w14:textId="77777777" w:rsidTr="00502635">
        <w:trPr>
          <w:trHeight w:val="290"/>
        </w:trPr>
        <w:tc>
          <w:tcPr>
            <w:tcW w:w="1255" w:type="dxa"/>
            <w:noWrap/>
          </w:tcPr>
          <w:p w14:paraId="456ECD08" w14:textId="4A6A4ED4" w:rsidR="001A0A7B" w:rsidRPr="0020184D" w:rsidRDefault="001A0A7B" w:rsidP="00502635">
            <w:pPr>
              <w:contextualSpacing/>
              <w:jc w:val="center"/>
            </w:pPr>
            <w:r w:rsidRPr="00391DC6">
              <w:t>J9294</w:t>
            </w:r>
          </w:p>
        </w:tc>
        <w:tc>
          <w:tcPr>
            <w:tcW w:w="7110" w:type="dxa"/>
          </w:tcPr>
          <w:p w14:paraId="46BC8E36" w14:textId="1274DA31" w:rsidR="001A0A7B" w:rsidRPr="004B23D3" w:rsidRDefault="001A0A7B" w:rsidP="001A0A7B">
            <w:pPr>
              <w:contextualSpacing/>
            </w:pPr>
            <w:r w:rsidRPr="001D06B3">
              <w:t>Injection, pemetrexed (</w:t>
            </w:r>
            <w:proofErr w:type="spellStart"/>
            <w:r w:rsidRPr="001D06B3">
              <w:t>hospira</w:t>
            </w:r>
            <w:proofErr w:type="spellEnd"/>
            <w:r w:rsidRPr="001D06B3">
              <w:t>), not therapeutically equivalent to j9305, 10 mg</w:t>
            </w:r>
          </w:p>
        </w:tc>
        <w:tc>
          <w:tcPr>
            <w:tcW w:w="1350" w:type="dxa"/>
            <w:noWrap/>
          </w:tcPr>
          <w:p w14:paraId="4AA89372" w14:textId="7CB4EB77" w:rsidR="001A0A7B" w:rsidRPr="00EB24BF" w:rsidRDefault="001A0A7B" w:rsidP="001A0A7B">
            <w:pPr>
              <w:contextualSpacing/>
              <w:jc w:val="center"/>
            </w:pPr>
            <w:r w:rsidRPr="007E7C03">
              <w:t xml:space="preserve"> $1.67 </w:t>
            </w:r>
          </w:p>
        </w:tc>
      </w:tr>
      <w:tr w:rsidR="001A0A7B" w:rsidRPr="00736A84" w14:paraId="454B195A" w14:textId="77777777" w:rsidTr="00502635">
        <w:trPr>
          <w:trHeight w:val="290"/>
        </w:trPr>
        <w:tc>
          <w:tcPr>
            <w:tcW w:w="1255" w:type="dxa"/>
            <w:noWrap/>
          </w:tcPr>
          <w:p w14:paraId="2575773F" w14:textId="341270AC" w:rsidR="001A0A7B" w:rsidRPr="0020184D" w:rsidRDefault="001A0A7B" w:rsidP="00502635">
            <w:pPr>
              <w:contextualSpacing/>
              <w:jc w:val="center"/>
            </w:pPr>
            <w:r w:rsidRPr="00391DC6">
              <w:t>J9296</w:t>
            </w:r>
          </w:p>
        </w:tc>
        <w:tc>
          <w:tcPr>
            <w:tcW w:w="7110" w:type="dxa"/>
          </w:tcPr>
          <w:p w14:paraId="266C6954" w14:textId="27E34D50" w:rsidR="001A0A7B" w:rsidRPr="004B23D3" w:rsidRDefault="001A0A7B" w:rsidP="001A0A7B">
            <w:pPr>
              <w:contextualSpacing/>
            </w:pPr>
            <w:r w:rsidRPr="001D06B3">
              <w:t>Injection, pemetrexed (accord), not therapeutically equivalent to j9305, 10 mg</w:t>
            </w:r>
          </w:p>
        </w:tc>
        <w:tc>
          <w:tcPr>
            <w:tcW w:w="1350" w:type="dxa"/>
            <w:noWrap/>
          </w:tcPr>
          <w:p w14:paraId="28119342" w14:textId="43BA223A" w:rsidR="001A0A7B" w:rsidRPr="00EB24BF" w:rsidRDefault="001A0A7B" w:rsidP="001A0A7B">
            <w:pPr>
              <w:contextualSpacing/>
              <w:jc w:val="center"/>
            </w:pPr>
            <w:r w:rsidRPr="007E7C03">
              <w:t xml:space="preserve"> I.C. </w:t>
            </w:r>
          </w:p>
        </w:tc>
      </w:tr>
      <w:tr w:rsidR="001A0A7B" w:rsidRPr="00736A84" w14:paraId="12FCBCE0" w14:textId="77777777" w:rsidTr="00502635">
        <w:trPr>
          <w:trHeight w:val="290"/>
        </w:trPr>
        <w:tc>
          <w:tcPr>
            <w:tcW w:w="1255" w:type="dxa"/>
            <w:noWrap/>
          </w:tcPr>
          <w:p w14:paraId="6D186B62" w14:textId="42141CF2" w:rsidR="001A0A7B" w:rsidRPr="0020184D" w:rsidRDefault="001A0A7B" w:rsidP="00502635">
            <w:pPr>
              <w:contextualSpacing/>
              <w:jc w:val="center"/>
            </w:pPr>
            <w:r w:rsidRPr="00391DC6">
              <w:t>J9314</w:t>
            </w:r>
          </w:p>
        </w:tc>
        <w:tc>
          <w:tcPr>
            <w:tcW w:w="7110" w:type="dxa"/>
          </w:tcPr>
          <w:p w14:paraId="5CDC78B3" w14:textId="5619C2CA" w:rsidR="001A0A7B" w:rsidRPr="004B23D3" w:rsidRDefault="001A0A7B" w:rsidP="001A0A7B">
            <w:pPr>
              <w:contextualSpacing/>
            </w:pPr>
            <w:r w:rsidRPr="001D06B3">
              <w:t>Injection, pemetrexed (</w:t>
            </w:r>
            <w:proofErr w:type="spellStart"/>
            <w:r w:rsidRPr="001D06B3">
              <w:t>teva</w:t>
            </w:r>
            <w:proofErr w:type="spellEnd"/>
            <w:r w:rsidRPr="001D06B3">
              <w:t>), not therapeutically equivalent to j9305, 10 mg</w:t>
            </w:r>
          </w:p>
        </w:tc>
        <w:tc>
          <w:tcPr>
            <w:tcW w:w="1350" w:type="dxa"/>
            <w:noWrap/>
          </w:tcPr>
          <w:p w14:paraId="110F4CA9" w14:textId="56BFD76C" w:rsidR="001A0A7B" w:rsidRPr="00EB24BF" w:rsidRDefault="001A0A7B" w:rsidP="001A0A7B">
            <w:pPr>
              <w:contextualSpacing/>
              <w:jc w:val="center"/>
            </w:pPr>
            <w:r w:rsidRPr="007E7C03">
              <w:t xml:space="preserve"> $9.35 </w:t>
            </w:r>
          </w:p>
        </w:tc>
      </w:tr>
      <w:tr w:rsidR="001A0A7B" w:rsidRPr="00736A84" w14:paraId="7580ECCC" w14:textId="77777777" w:rsidTr="00502635">
        <w:trPr>
          <w:trHeight w:val="290"/>
        </w:trPr>
        <w:tc>
          <w:tcPr>
            <w:tcW w:w="1255" w:type="dxa"/>
            <w:noWrap/>
          </w:tcPr>
          <w:p w14:paraId="04E689D0" w14:textId="6612B3C8" w:rsidR="001A0A7B" w:rsidRPr="0020184D" w:rsidRDefault="001A0A7B" w:rsidP="00502635">
            <w:pPr>
              <w:contextualSpacing/>
              <w:jc w:val="center"/>
            </w:pPr>
            <w:r w:rsidRPr="00391DC6">
              <w:t>J9322</w:t>
            </w:r>
          </w:p>
        </w:tc>
        <w:tc>
          <w:tcPr>
            <w:tcW w:w="7110" w:type="dxa"/>
          </w:tcPr>
          <w:p w14:paraId="1B419907" w14:textId="35529939" w:rsidR="001A0A7B" w:rsidRPr="004B23D3" w:rsidRDefault="001A0A7B" w:rsidP="001A0A7B">
            <w:pPr>
              <w:contextualSpacing/>
            </w:pPr>
            <w:r w:rsidRPr="001D06B3">
              <w:t>Injection, pemetrexed (blue point), not therapeutically equivalent to j9305, 10 mg</w:t>
            </w:r>
          </w:p>
        </w:tc>
        <w:tc>
          <w:tcPr>
            <w:tcW w:w="1350" w:type="dxa"/>
            <w:noWrap/>
          </w:tcPr>
          <w:p w14:paraId="3E985851" w14:textId="18B82799" w:rsidR="001A0A7B" w:rsidRPr="00EB24BF" w:rsidRDefault="001A0A7B" w:rsidP="001A0A7B">
            <w:pPr>
              <w:contextualSpacing/>
              <w:jc w:val="center"/>
            </w:pPr>
            <w:r w:rsidRPr="007E7C03">
              <w:t xml:space="preserve"> I.C. </w:t>
            </w:r>
          </w:p>
        </w:tc>
      </w:tr>
      <w:tr w:rsidR="001A0A7B" w:rsidRPr="00736A84" w14:paraId="1D15205B" w14:textId="77777777" w:rsidTr="00502635">
        <w:trPr>
          <w:trHeight w:val="290"/>
        </w:trPr>
        <w:tc>
          <w:tcPr>
            <w:tcW w:w="1255" w:type="dxa"/>
            <w:noWrap/>
          </w:tcPr>
          <w:p w14:paraId="6E0931FC" w14:textId="57B7CBE4" w:rsidR="001A0A7B" w:rsidRPr="0020184D" w:rsidRDefault="001A0A7B" w:rsidP="00502635">
            <w:pPr>
              <w:contextualSpacing/>
              <w:jc w:val="center"/>
            </w:pPr>
            <w:r w:rsidRPr="00391DC6">
              <w:t>J9393</w:t>
            </w:r>
          </w:p>
        </w:tc>
        <w:tc>
          <w:tcPr>
            <w:tcW w:w="7110" w:type="dxa"/>
          </w:tcPr>
          <w:p w14:paraId="71CF95B1" w14:textId="3CCCF161" w:rsidR="001A0A7B" w:rsidRPr="004B23D3" w:rsidRDefault="001A0A7B" w:rsidP="001A0A7B">
            <w:pPr>
              <w:contextualSpacing/>
            </w:pPr>
            <w:r w:rsidRPr="001D06B3">
              <w:t xml:space="preserve">Injection, </w:t>
            </w:r>
            <w:proofErr w:type="spellStart"/>
            <w:r w:rsidRPr="001D06B3">
              <w:t>fulvestrant</w:t>
            </w:r>
            <w:proofErr w:type="spellEnd"/>
            <w:r w:rsidRPr="001D06B3">
              <w:t xml:space="preserve"> (</w:t>
            </w:r>
            <w:proofErr w:type="spellStart"/>
            <w:r w:rsidRPr="001D06B3">
              <w:t>teva</w:t>
            </w:r>
            <w:proofErr w:type="spellEnd"/>
            <w:r w:rsidRPr="001D06B3">
              <w:t>), not therapeutically equivalent to j9395, 25 mg</w:t>
            </w:r>
          </w:p>
        </w:tc>
        <w:tc>
          <w:tcPr>
            <w:tcW w:w="1350" w:type="dxa"/>
            <w:noWrap/>
          </w:tcPr>
          <w:p w14:paraId="43AE9EF6" w14:textId="6BD3D87E" w:rsidR="001A0A7B" w:rsidRPr="00EB24BF" w:rsidRDefault="001A0A7B" w:rsidP="001A0A7B">
            <w:pPr>
              <w:contextualSpacing/>
              <w:jc w:val="center"/>
            </w:pPr>
            <w:r w:rsidRPr="007E7C03">
              <w:t xml:space="preserve"> I.C. </w:t>
            </w:r>
          </w:p>
        </w:tc>
      </w:tr>
      <w:tr w:rsidR="001A0A7B" w:rsidRPr="00736A84" w14:paraId="2CD4CF77" w14:textId="77777777" w:rsidTr="00502635">
        <w:trPr>
          <w:trHeight w:val="290"/>
        </w:trPr>
        <w:tc>
          <w:tcPr>
            <w:tcW w:w="1255" w:type="dxa"/>
            <w:noWrap/>
          </w:tcPr>
          <w:p w14:paraId="4E87067E" w14:textId="7AE949D3" w:rsidR="001A0A7B" w:rsidRPr="0020184D" w:rsidRDefault="001A0A7B" w:rsidP="00502635">
            <w:pPr>
              <w:contextualSpacing/>
              <w:jc w:val="center"/>
            </w:pPr>
            <w:r w:rsidRPr="00391DC6">
              <w:t>Q2055</w:t>
            </w:r>
          </w:p>
        </w:tc>
        <w:tc>
          <w:tcPr>
            <w:tcW w:w="7110" w:type="dxa"/>
          </w:tcPr>
          <w:p w14:paraId="2D10FBE5" w14:textId="1D54EFA1" w:rsidR="001A0A7B" w:rsidRPr="004B23D3" w:rsidRDefault="001A0A7B" w:rsidP="001A0A7B">
            <w:pPr>
              <w:contextualSpacing/>
            </w:pPr>
            <w:proofErr w:type="spellStart"/>
            <w:r w:rsidRPr="001D06B3">
              <w:t>Idecabtagene</w:t>
            </w:r>
            <w:proofErr w:type="spellEnd"/>
            <w:r w:rsidRPr="001D06B3">
              <w:t xml:space="preserve"> </w:t>
            </w:r>
            <w:proofErr w:type="spellStart"/>
            <w:r w:rsidRPr="001D06B3">
              <w:t>vicleucel</w:t>
            </w:r>
            <w:proofErr w:type="spellEnd"/>
            <w:r w:rsidRPr="001D06B3">
              <w:t>, up to 510 million autologous b-cell maturation antigen (</w:t>
            </w:r>
            <w:proofErr w:type="spellStart"/>
            <w:r w:rsidRPr="001D06B3">
              <w:t>bcma</w:t>
            </w:r>
            <w:proofErr w:type="spellEnd"/>
            <w:r w:rsidRPr="001D06B3">
              <w:t>) directed car-positive t cells, including leukapheresis and dose preparation procedures, per therapeutic dose</w:t>
            </w:r>
          </w:p>
        </w:tc>
        <w:tc>
          <w:tcPr>
            <w:tcW w:w="1350" w:type="dxa"/>
            <w:noWrap/>
          </w:tcPr>
          <w:p w14:paraId="7F9C5E26" w14:textId="05ABE03D" w:rsidR="001A0A7B" w:rsidRPr="00EB24BF" w:rsidRDefault="001A0A7B" w:rsidP="001A0A7B">
            <w:pPr>
              <w:contextualSpacing/>
              <w:jc w:val="center"/>
            </w:pPr>
            <w:r w:rsidRPr="007E7C03">
              <w:t xml:space="preserve">$427,936.35 </w:t>
            </w:r>
          </w:p>
        </w:tc>
      </w:tr>
    </w:tbl>
    <w:p w14:paraId="2904DE0E" w14:textId="41678475" w:rsidR="00533A3B" w:rsidRPr="00D00D88" w:rsidRDefault="00B8306B" w:rsidP="00656FFF">
      <w:pPr>
        <w:pStyle w:val="Heading3"/>
        <w:rPr>
          <w:rFonts w:ascii="Times New Roman" w:hAnsi="Times New Roman" w:cs="Times New Roman"/>
        </w:rPr>
      </w:pPr>
      <w:r w:rsidRPr="00D00D88">
        <w:rPr>
          <w:rFonts w:ascii="Times New Roman" w:hAnsi="Times New Roman" w:cs="Times New Roman"/>
        </w:rPr>
        <w:t>Deleted Codes</w:t>
      </w:r>
    </w:p>
    <w:tbl>
      <w:tblPr>
        <w:tblStyle w:val="TableGrid"/>
        <w:tblW w:w="9715" w:type="dxa"/>
        <w:tblLook w:val="04A0" w:firstRow="1" w:lastRow="0" w:firstColumn="1" w:lastColumn="0" w:noHBand="0" w:noVBand="1"/>
      </w:tblPr>
      <w:tblGrid>
        <w:gridCol w:w="1482"/>
        <w:gridCol w:w="8233"/>
      </w:tblGrid>
      <w:tr w:rsidR="001A0A7B" w:rsidRPr="00736A84" w14:paraId="71E83E33" w14:textId="77777777" w:rsidTr="001A0A7B">
        <w:trPr>
          <w:trHeight w:val="290"/>
          <w:tblHeader/>
        </w:trPr>
        <w:tc>
          <w:tcPr>
            <w:tcW w:w="1482" w:type="dxa"/>
            <w:noWrap/>
            <w:vAlign w:val="center"/>
            <w:hideMark/>
          </w:tcPr>
          <w:p w14:paraId="3AC7982D" w14:textId="77777777" w:rsidR="001A0A7B" w:rsidRPr="00736A84" w:rsidRDefault="001A0A7B">
            <w:pPr>
              <w:contextualSpacing/>
              <w:jc w:val="center"/>
              <w:rPr>
                <w:rFonts w:ascii="Times New Roman" w:hAnsi="Times New Roman"/>
                <w:b/>
                <w:bCs/>
                <w:sz w:val="22"/>
                <w:szCs w:val="22"/>
              </w:rPr>
            </w:pPr>
            <w:r w:rsidRPr="00736A84">
              <w:rPr>
                <w:rFonts w:ascii="Times New Roman" w:hAnsi="Times New Roman"/>
                <w:b/>
                <w:bCs/>
                <w:sz w:val="22"/>
                <w:szCs w:val="22"/>
              </w:rPr>
              <w:t>Code</w:t>
            </w:r>
          </w:p>
        </w:tc>
        <w:tc>
          <w:tcPr>
            <w:tcW w:w="8233" w:type="dxa"/>
            <w:noWrap/>
            <w:vAlign w:val="center"/>
            <w:hideMark/>
          </w:tcPr>
          <w:p w14:paraId="4385750D" w14:textId="77777777" w:rsidR="001A0A7B" w:rsidRPr="00736A84" w:rsidRDefault="001A0A7B">
            <w:pPr>
              <w:contextualSpacing/>
              <w:jc w:val="center"/>
              <w:rPr>
                <w:rFonts w:ascii="Times New Roman" w:hAnsi="Times New Roman"/>
                <w:b/>
                <w:bCs/>
                <w:sz w:val="22"/>
                <w:szCs w:val="22"/>
              </w:rPr>
            </w:pPr>
            <w:r w:rsidRPr="00736A84">
              <w:rPr>
                <w:rFonts w:ascii="Times New Roman" w:hAnsi="Times New Roman"/>
                <w:b/>
                <w:bCs/>
                <w:sz w:val="22"/>
                <w:szCs w:val="22"/>
              </w:rPr>
              <w:t>Description</w:t>
            </w:r>
          </w:p>
        </w:tc>
      </w:tr>
      <w:tr w:rsidR="001A0A7B" w:rsidRPr="00736A84" w14:paraId="2FAD6461" w14:textId="77777777" w:rsidTr="001A0A7B">
        <w:trPr>
          <w:trHeight w:val="290"/>
        </w:trPr>
        <w:tc>
          <w:tcPr>
            <w:tcW w:w="1482" w:type="dxa"/>
            <w:noWrap/>
            <w:hideMark/>
          </w:tcPr>
          <w:p w14:paraId="75A7197E" w14:textId="10C97103" w:rsidR="001A0A7B" w:rsidRPr="00D00D88" w:rsidRDefault="001A0A7B" w:rsidP="001A0A7B">
            <w:pPr>
              <w:contextualSpacing/>
              <w:jc w:val="center"/>
              <w:rPr>
                <w:rFonts w:ascii="Times New Roman" w:hAnsi="Times New Roman"/>
                <w:bCs/>
                <w:sz w:val="22"/>
                <w:szCs w:val="22"/>
              </w:rPr>
            </w:pPr>
            <w:r w:rsidRPr="00C23626">
              <w:t>J2780</w:t>
            </w:r>
          </w:p>
        </w:tc>
        <w:tc>
          <w:tcPr>
            <w:tcW w:w="8233" w:type="dxa"/>
            <w:tcBorders>
              <w:top w:val="single" w:sz="4" w:space="0" w:color="auto"/>
              <w:left w:val="single" w:sz="4" w:space="0" w:color="auto"/>
              <w:bottom w:val="single" w:sz="4" w:space="0" w:color="auto"/>
              <w:right w:val="single" w:sz="4" w:space="0" w:color="auto"/>
            </w:tcBorders>
            <w:shd w:val="clear" w:color="auto" w:fill="auto"/>
            <w:hideMark/>
          </w:tcPr>
          <w:p w14:paraId="15E5E5CB" w14:textId="77ED0773" w:rsidR="001A0A7B" w:rsidRPr="00D00D88" w:rsidRDefault="001A0A7B" w:rsidP="001A0A7B">
            <w:pPr>
              <w:contextualSpacing/>
              <w:rPr>
                <w:rFonts w:ascii="Times New Roman" w:hAnsi="Times New Roman"/>
                <w:bCs/>
                <w:sz w:val="22"/>
                <w:szCs w:val="22"/>
              </w:rPr>
            </w:pPr>
            <w:r w:rsidRPr="00FA02D9">
              <w:t>Injection, Ranitidine Hydrochloride, 25 MG</w:t>
            </w:r>
          </w:p>
        </w:tc>
      </w:tr>
      <w:tr w:rsidR="001A0A7B" w:rsidRPr="00736A84" w14:paraId="3ABC0A7E" w14:textId="77777777" w:rsidTr="001A0A7B">
        <w:trPr>
          <w:trHeight w:val="290"/>
        </w:trPr>
        <w:tc>
          <w:tcPr>
            <w:tcW w:w="1482" w:type="dxa"/>
            <w:noWrap/>
            <w:hideMark/>
          </w:tcPr>
          <w:p w14:paraId="29F0A998" w14:textId="169D24F0" w:rsidR="001A0A7B" w:rsidRPr="00D00D88" w:rsidRDefault="001A0A7B" w:rsidP="001A0A7B">
            <w:pPr>
              <w:contextualSpacing/>
              <w:jc w:val="center"/>
              <w:rPr>
                <w:rFonts w:ascii="Times New Roman" w:hAnsi="Times New Roman"/>
                <w:bCs/>
                <w:sz w:val="22"/>
                <w:szCs w:val="22"/>
              </w:rPr>
            </w:pPr>
            <w:r w:rsidRPr="00C23626">
              <w:t>J9371</w:t>
            </w:r>
          </w:p>
        </w:tc>
        <w:tc>
          <w:tcPr>
            <w:tcW w:w="8233" w:type="dxa"/>
            <w:tcBorders>
              <w:top w:val="nil"/>
              <w:left w:val="single" w:sz="4" w:space="0" w:color="auto"/>
              <w:bottom w:val="single" w:sz="4" w:space="0" w:color="auto"/>
              <w:right w:val="single" w:sz="4" w:space="0" w:color="auto"/>
            </w:tcBorders>
            <w:shd w:val="clear" w:color="auto" w:fill="auto"/>
            <w:noWrap/>
            <w:hideMark/>
          </w:tcPr>
          <w:p w14:paraId="6D679B41" w14:textId="515806F6" w:rsidR="001A0A7B" w:rsidRPr="00D00D88" w:rsidRDefault="001A0A7B" w:rsidP="001A0A7B">
            <w:pPr>
              <w:contextualSpacing/>
              <w:rPr>
                <w:rFonts w:ascii="Times New Roman" w:hAnsi="Times New Roman"/>
                <w:bCs/>
                <w:sz w:val="22"/>
                <w:szCs w:val="22"/>
              </w:rPr>
            </w:pPr>
            <w:r w:rsidRPr="00FA02D9">
              <w:t>Injection, Vincristine Sulfate Liposome, 1 MG</w:t>
            </w:r>
          </w:p>
        </w:tc>
      </w:tr>
    </w:tbl>
    <w:p w14:paraId="29B2C9FB" w14:textId="43D5096E" w:rsidR="00C95535" w:rsidRDefault="00C95535" w:rsidP="00766875">
      <w:pPr>
        <w:pStyle w:val="Heading3"/>
        <w:rPr>
          <w:rFonts w:ascii="Times New Roman" w:hAnsi="Times New Roman" w:cs="Times New Roman"/>
          <w:sz w:val="22"/>
          <w:szCs w:val="22"/>
        </w:rPr>
      </w:pPr>
    </w:p>
    <w:sectPr w:rsidR="00C95535" w:rsidSect="00913ED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98DD4" w14:textId="77777777" w:rsidR="0034468A" w:rsidRDefault="0034468A" w:rsidP="00AC798F">
      <w:r>
        <w:separator/>
      </w:r>
    </w:p>
  </w:endnote>
  <w:endnote w:type="continuationSeparator" w:id="0">
    <w:p w14:paraId="4D1C4520" w14:textId="77777777" w:rsidR="0034468A" w:rsidRDefault="0034468A" w:rsidP="00AC798F">
      <w:r>
        <w:continuationSeparator/>
      </w:r>
    </w:p>
  </w:endnote>
  <w:endnote w:type="continuationNotice" w:id="1">
    <w:p w14:paraId="74036695" w14:textId="77777777" w:rsidR="0034468A" w:rsidRDefault="00344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045026"/>
      <w:docPartObj>
        <w:docPartGallery w:val="Page Numbers (Bottom of Page)"/>
        <w:docPartUnique/>
      </w:docPartObj>
    </w:sdtPr>
    <w:sdtEndPr>
      <w:rPr>
        <w:noProof/>
      </w:rPr>
    </w:sdtEndPr>
    <w:sdtContent>
      <w:p w14:paraId="6F428A3C" w14:textId="77777777" w:rsidR="00D56141" w:rsidRDefault="00D56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BE1DAD" w14:textId="77777777" w:rsidR="00D56141" w:rsidRDefault="00D56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137198"/>
      <w:docPartObj>
        <w:docPartGallery w:val="Page Numbers (Bottom of Page)"/>
        <w:docPartUnique/>
      </w:docPartObj>
    </w:sdtPr>
    <w:sdtEndPr>
      <w:rPr>
        <w:noProof/>
      </w:rPr>
    </w:sdtEndPr>
    <w:sdtContent>
      <w:p w14:paraId="1480DA85" w14:textId="77777777" w:rsidR="00D56141" w:rsidRDefault="00D56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BD12C" w14:textId="77777777" w:rsidR="00D56141" w:rsidRDefault="00D56141" w:rsidP="00585BDA">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5FD46" w14:textId="77777777" w:rsidR="0034468A" w:rsidRDefault="0034468A" w:rsidP="00AC798F">
      <w:r>
        <w:separator/>
      </w:r>
    </w:p>
  </w:footnote>
  <w:footnote w:type="continuationSeparator" w:id="0">
    <w:p w14:paraId="72E44E0B" w14:textId="77777777" w:rsidR="0034468A" w:rsidRDefault="0034468A" w:rsidP="00AC798F">
      <w:r>
        <w:continuationSeparator/>
      </w:r>
    </w:p>
  </w:footnote>
  <w:footnote w:type="continuationNotice" w:id="1">
    <w:p w14:paraId="0DDCC524" w14:textId="77777777" w:rsidR="0034468A" w:rsidRDefault="00344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8BDF4" w14:textId="77777777" w:rsidR="00427536" w:rsidRPr="00AC798F" w:rsidRDefault="00427536" w:rsidP="0083526F">
    <w:pPr>
      <w:spacing w:after="0"/>
      <w:jc w:val="right"/>
    </w:pPr>
    <w:r w:rsidRPr="00AC798F">
      <w:t>EOHHS</w:t>
    </w:r>
  </w:p>
  <w:p w14:paraId="7E5C0ED5" w14:textId="365A9747" w:rsidR="00427536" w:rsidRPr="00AC798F" w:rsidRDefault="00427536" w:rsidP="0083526F">
    <w:pPr>
      <w:spacing w:after="0"/>
      <w:jc w:val="right"/>
    </w:pPr>
    <w:r w:rsidRPr="00AC798F">
      <w:t xml:space="preserve">Administrative Bulletin </w:t>
    </w:r>
    <w:r>
      <w:t>24</w:t>
    </w:r>
    <w:r w:rsidRPr="001158DC">
      <w:t>-</w:t>
    </w:r>
    <w:r w:rsidR="001158DC" w:rsidRPr="001158DC">
      <w:t>28</w:t>
    </w:r>
  </w:p>
  <w:p w14:paraId="2CB1EF60" w14:textId="18BFFDC0" w:rsidR="00427536" w:rsidRPr="00AC798F" w:rsidRDefault="00427536" w:rsidP="0083526F">
    <w:pPr>
      <w:spacing w:after="0"/>
      <w:jc w:val="right"/>
    </w:pPr>
    <w:r w:rsidRPr="00AC798F">
      <w:t>Effective</w:t>
    </w:r>
    <w:r w:rsidR="001158DC">
      <w:t xml:space="preserve"> April 1</w:t>
    </w:r>
    <w:r w:rsidR="00B72A6E">
      <w:t>,</w:t>
    </w:r>
    <w:r w:rsidR="001158DC">
      <w:t xml:space="preserve"> and July 1</w:t>
    </w:r>
    <w:r>
      <w:t>, 2024</w:t>
    </w:r>
  </w:p>
  <w:p w14:paraId="4139023A" w14:textId="77777777" w:rsidR="00427536" w:rsidRDefault="00427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DA43" w14:textId="77777777" w:rsidR="00B1781F" w:rsidRPr="006E5DED" w:rsidRDefault="00B1781F" w:rsidP="00B1781F">
    <w:pPr>
      <w:pStyle w:val="Header"/>
      <w:rPr>
        <w:noProof/>
      </w:rPr>
    </w:pPr>
    <w:r>
      <w:rPr>
        <w:noProof/>
        <w:color w:val="1F497D" w:themeColor="text2"/>
      </w:rPr>
      <w:drawing>
        <wp:anchor distT="0" distB="0" distL="114300" distR="114300" simplePos="0" relativeHeight="251658241" behindDoc="0" locked="0" layoutInCell="1" allowOverlap="1" wp14:anchorId="1C00FF78" wp14:editId="6D557283">
          <wp:simplePos x="0" y="0"/>
          <wp:positionH relativeFrom="column">
            <wp:posOffset>4798695</wp:posOffset>
          </wp:positionH>
          <wp:positionV relativeFrom="paragraph">
            <wp:posOffset>123825</wp:posOffset>
          </wp:positionV>
          <wp:extent cx="1174115" cy="621665"/>
          <wp:effectExtent l="0" t="0" r="6985" b="6985"/>
          <wp:wrapNone/>
          <wp:docPr id="1539920733" name="Picture 153992073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Pr="006E5DED">
      <w:rPr>
        <w:noProof/>
      </w:rPr>
      <mc:AlternateContent>
        <mc:Choice Requires="wps">
          <w:drawing>
            <wp:anchor distT="0" distB="0" distL="114300" distR="114300" simplePos="0" relativeHeight="251658240" behindDoc="0" locked="0" layoutInCell="1" allowOverlap="1" wp14:anchorId="0216F638" wp14:editId="45F061B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3901AA9" w14:textId="77777777" w:rsidR="00B1781F" w:rsidRPr="00AC798F" w:rsidRDefault="00B1781F" w:rsidP="002665E0">
                          <w:pPr>
                            <w:pStyle w:val="Header"/>
                            <w:spacing w:after="0"/>
                            <w:jc w:val="center"/>
                            <w:rPr>
                              <w:color w:val="4F81BD" w:themeColor="accent1"/>
                              <w:sz w:val="20"/>
                            </w:rPr>
                          </w:pPr>
                          <w:r w:rsidRPr="00AC798F">
                            <w:rPr>
                              <w:color w:val="4F81BD" w:themeColor="accent1"/>
                            </w:rPr>
                            <w:t>EXECUTIVE OFFICE OF HEALTH AND HUMAN SERVICES</w:t>
                          </w:r>
                        </w:p>
                        <w:p w14:paraId="1A5B82B0" w14:textId="77777777" w:rsidR="00B1781F" w:rsidRPr="00AC798F" w:rsidRDefault="00B1781F" w:rsidP="002665E0">
                          <w:pPr>
                            <w:pStyle w:val="Header"/>
                            <w:spacing w:after="0"/>
                            <w:jc w:val="center"/>
                            <w:rPr>
                              <w:b/>
                              <w:bCs/>
                              <w:color w:val="4F81BD" w:themeColor="accent1"/>
                            </w:rPr>
                          </w:pPr>
                          <w:r w:rsidRPr="00AC798F">
                            <w:rPr>
                              <w:b/>
                              <w:bCs/>
                              <w:color w:val="4F81BD" w:themeColor="accent1"/>
                            </w:rPr>
                            <w:t>COMMONWEALTH OF MASSACHUSETTS</w:t>
                          </w:r>
                        </w:p>
                        <w:p w14:paraId="43B163BE" w14:textId="77777777" w:rsidR="00B1781F" w:rsidRDefault="00B1781F" w:rsidP="002665E0">
                          <w:pPr>
                            <w:pStyle w:val="Header"/>
                            <w:spacing w:after="0"/>
                            <w:jc w:val="center"/>
                            <w:rPr>
                              <w:color w:val="4F81BD" w:themeColor="accent1"/>
                            </w:rPr>
                          </w:pPr>
                          <w:r w:rsidRPr="00AC798F">
                            <w:rPr>
                              <w:color w:val="4F81BD" w:themeColor="accent1"/>
                            </w:rPr>
                            <w:t>ONE ASHBURTON PLACE, BOSTON, MA 02108</w:t>
                          </w:r>
                        </w:p>
                        <w:p w14:paraId="074C46A5" w14:textId="77777777" w:rsidR="00B1781F" w:rsidRPr="00AC798F" w:rsidRDefault="00B1781F" w:rsidP="002665E0">
                          <w:pPr>
                            <w:pStyle w:val="Header"/>
                            <w:spacing w:after="0"/>
                            <w:jc w:val="center"/>
                            <w:rPr>
                              <w:color w:val="4F81BD" w:themeColor="accent1"/>
                            </w:rPr>
                          </w:pPr>
                          <w:r>
                            <w:rPr>
                              <w:color w:val="4F81BD" w:themeColor="accent1"/>
                            </w:rPr>
                            <w:t>(617) 573-1600</w:t>
                          </w:r>
                        </w:p>
                        <w:p w14:paraId="143EDA85" w14:textId="77777777" w:rsidR="00B1781F" w:rsidRDefault="00B1781F" w:rsidP="00B178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16F638"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13901AA9" w14:textId="77777777" w:rsidR="00B1781F" w:rsidRPr="00AC798F" w:rsidRDefault="00B1781F" w:rsidP="002665E0">
                    <w:pPr>
                      <w:pStyle w:val="Header"/>
                      <w:spacing w:after="0"/>
                      <w:jc w:val="center"/>
                      <w:rPr>
                        <w:color w:val="4F81BD" w:themeColor="accent1"/>
                        <w:sz w:val="20"/>
                      </w:rPr>
                    </w:pPr>
                    <w:r w:rsidRPr="00AC798F">
                      <w:rPr>
                        <w:color w:val="4F81BD" w:themeColor="accent1"/>
                      </w:rPr>
                      <w:t>EXECUTIVE OFFICE OF HEALTH AND HUMAN SERVICES</w:t>
                    </w:r>
                  </w:p>
                  <w:p w14:paraId="1A5B82B0" w14:textId="77777777" w:rsidR="00B1781F" w:rsidRPr="00AC798F" w:rsidRDefault="00B1781F" w:rsidP="002665E0">
                    <w:pPr>
                      <w:pStyle w:val="Header"/>
                      <w:spacing w:after="0"/>
                      <w:jc w:val="center"/>
                      <w:rPr>
                        <w:b/>
                        <w:bCs/>
                        <w:color w:val="4F81BD" w:themeColor="accent1"/>
                      </w:rPr>
                    </w:pPr>
                    <w:r w:rsidRPr="00AC798F">
                      <w:rPr>
                        <w:b/>
                        <w:bCs/>
                        <w:color w:val="4F81BD" w:themeColor="accent1"/>
                      </w:rPr>
                      <w:t>COMMONWEALTH OF MASSACHUSETTS</w:t>
                    </w:r>
                  </w:p>
                  <w:p w14:paraId="43B163BE" w14:textId="77777777" w:rsidR="00B1781F" w:rsidRDefault="00B1781F" w:rsidP="002665E0">
                    <w:pPr>
                      <w:pStyle w:val="Header"/>
                      <w:spacing w:after="0"/>
                      <w:jc w:val="center"/>
                      <w:rPr>
                        <w:color w:val="4F81BD" w:themeColor="accent1"/>
                      </w:rPr>
                    </w:pPr>
                    <w:r w:rsidRPr="00AC798F">
                      <w:rPr>
                        <w:color w:val="4F81BD" w:themeColor="accent1"/>
                      </w:rPr>
                      <w:t>ONE ASHBURTON PLACE, BOSTON, MA 02108</w:t>
                    </w:r>
                  </w:p>
                  <w:p w14:paraId="074C46A5" w14:textId="77777777" w:rsidR="00B1781F" w:rsidRPr="00AC798F" w:rsidRDefault="00B1781F" w:rsidP="002665E0">
                    <w:pPr>
                      <w:pStyle w:val="Header"/>
                      <w:spacing w:after="0"/>
                      <w:jc w:val="center"/>
                      <w:rPr>
                        <w:color w:val="4F81BD" w:themeColor="accent1"/>
                      </w:rPr>
                    </w:pPr>
                    <w:r>
                      <w:rPr>
                        <w:color w:val="4F81BD" w:themeColor="accent1"/>
                      </w:rPr>
                      <w:t>(617) 573-1600</w:t>
                    </w:r>
                  </w:p>
                  <w:p w14:paraId="143EDA85" w14:textId="77777777" w:rsidR="00B1781F" w:rsidRDefault="00B1781F" w:rsidP="00B1781F"/>
                </w:txbxContent>
              </v:textbox>
            </v:shape>
          </w:pict>
        </mc:Fallback>
      </mc:AlternateContent>
    </w:r>
    <w:r>
      <w:rPr>
        <w:noProof/>
      </w:rPr>
      <w:drawing>
        <wp:inline distT="0" distB="0" distL="0" distR="0" wp14:anchorId="31E26DA0" wp14:editId="56945510">
          <wp:extent cx="1164590" cy="1377950"/>
          <wp:effectExtent l="0" t="0" r="0" b="0"/>
          <wp:docPr id="348706080" name="Picture 348706080" descr="A black and white logo of a person holding a s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 of a person holding a spear&#10;&#10;Description automatically generated"/>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5AA62550" w14:textId="77777777" w:rsidR="00B1781F" w:rsidRDefault="00B1781F" w:rsidP="00B1781F">
    <w:pPr>
      <w:pStyle w:val="Header"/>
    </w:pPr>
    <w:r>
      <w:ptab w:relativeTo="margin" w:alignment="right" w:leader="none"/>
    </w:r>
  </w:p>
  <w:p w14:paraId="32F25A43" w14:textId="3B7C49AC" w:rsidR="00B1781F" w:rsidRPr="00AC798F" w:rsidRDefault="00B1781F" w:rsidP="004775D2">
    <w:pPr>
      <w:pStyle w:val="Header"/>
      <w:tabs>
        <w:tab w:val="left" w:pos="1980"/>
      </w:tabs>
      <w:spacing w:after="0"/>
      <w:rPr>
        <w:b/>
        <w:bCs/>
        <w:color w:val="1F497D" w:themeColor="text2"/>
      </w:rPr>
    </w:pPr>
    <w:r w:rsidRPr="00AC798F">
      <w:rPr>
        <w:b/>
        <w:bCs/>
        <w:color w:val="1F497D" w:themeColor="text2"/>
      </w:rPr>
      <w:t>MAURA T. HEALEY</w:t>
    </w:r>
    <w:r w:rsidRPr="00AC798F">
      <w:rPr>
        <w:b/>
        <w:bCs/>
        <w:color w:val="1F497D" w:themeColor="text2"/>
      </w:rPr>
      <w:tab/>
    </w:r>
    <w:r w:rsidR="004775D2">
      <w:rPr>
        <w:b/>
        <w:bCs/>
        <w:color w:val="1F497D" w:themeColor="text2"/>
      </w:rPr>
      <w:tab/>
    </w:r>
    <w:r w:rsidRPr="00AC798F">
      <w:rPr>
        <w:b/>
        <w:bCs/>
        <w:color w:val="1F497D" w:themeColor="text2"/>
      </w:rPr>
      <w:tab/>
      <w:t>KATHLEEN E. WALSH</w:t>
    </w:r>
  </w:p>
  <w:p w14:paraId="167D7AE8" w14:textId="77777777" w:rsidR="00B1781F" w:rsidRPr="00AC798F" w:rsidRDefault="00B1781F" w:rsidP="00B1781F">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66E0E375" w14:textId="77777777" w:rsidR="00B1781F" w:rsidRPr="00AC798F" w:rsidRDefault="00B1781F" w:rsidP="00B1781F">
    <w:pPr>
      <w:pStyle w:val="Header"/>
      <w:rPr>
        <w:color w:val="1F497D" w:themeColor="text2"/>
      </w:rPr>
    </w:pPr>
  </w:p>
  <w:p w14:paraId="5C82DCCA" w14:textId="77777777" w:rsidR="00B1781F" w:rsidRPr="00AC798F" w:rsidRDefault="00B1781F" w:rsidP="004775D2">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235D10B2" w14:textId="77777777" w:rsidR="00B1781F" w:rsidRPr="00AC798F" w:rsidRDefault="00B1781F" w:rsidP="004775D2">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45631F0" w14:textId="77777777" w:rsidR="00AC798F" w:rsidRPr="00B1781F" w:rsidRDefault="00B1781F" w:rsidP="00AC798F">
    <w:pPr>
      <w:pStyle w:val="Header"/>
      <w:rPr>
        <w:color w:val="1F497D" w:themeColor="text2"/>
      </w:rPr>
    </w:pPr>
    <w:r w:rsidRPr="00AC798F">
      <w:rPr>
        <w:color w:val="1F497D" w:themeColor="text2"/>
      </w:rPr>
      <w:tab/>
    </w:r>
    <w:r w:rsidRPr="00AC798F">
      <w:rPr>
        <w:color w:val="1F497D" w:themeColor="text2"/>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2014"/>
    <w:rsid w:val="00007C23"/>
    <w:rsid w:val="00021D0C"/>
    <w:rsid w:val="00024809"/>
    <w:rsid w:val="0005024B"/>
    <w:rsid w:val="00050F40"/>
    <w:rsid w:val="000545C7"/>
    <w:rsid w:val="00070AFF"/>
    <w:rsid w:val="000722C4"/>
    <w:rsid w:val="00091857"/>
    <w:rsid w:val="00097D87"/>
    <w:rsid w:val="000B3478"/>
    <w:rsid w:val="000C2912"/>
    <w:rsid w:val="000D256A"/>
    <w:rsid w:val="000F4F14"/>
    <w:rsid w:val="00102CD0"/>
    <w:rsid w:val="001158DC"/>
    <w:rsid w:val="00126D21"/>
    <w:rsid w:val="00134730"/>
    <w:rsid w:val="00134791"/>
    <w:rsid w:val="001374B1"/>
    <w:rsid w:val="00141EFC"/>
    <w:rsid w:val="00146C2F"/>
    <w:rsid w:val="00151526"/>
    <w:rsid w:val="00153DCE"/>
    <w:rsid w:val="00154CA9"/>
    <w:rsid w:val="00156465"/>
    <w:rsid w:val="001574AC"/>
    <w:rsid w:val="00177443"/>
    <w:rsid w:val="0018077F"/>
    <w:rsid w:val="00182118"/>
    <w:rsid w:val="001833D4"/>
    <w:rsid w:val="00185152"/>
    <w:rsid w:val="00186DB2"/>
    <w:rsid w:val="00187047"/>
    <w:rsid w:val="00193348"/>
    <w:rsid w:val="00194B19"/>
    <w:rsid w:val="00195C12"/>
    <w:rsid w:val="001A0A7B"/>
    <w:rsid w:val="001A2AC0"/>
    <w:rsid w:val="001A7742"/>
    <w:rsid w:val="001B68EE"/>
    <w:rsid w:val="001C15F8"/>
    <w:rsid w:val="001D628B"/>
    <w:rsid w:val="001F390D"/>
    <w:rsid w:val="001F772D"/>
    <w:rsid w:val="002105FF"/>
    <w:rsid w:val="0022152B"/>
    <w:rsid w:val="0024154F"/>
    <w:rsid w:val="00242E21"/>
    <w:rsid w:val="002439A3"/>
    <w:rsid w:val="002448DD"/>
    <w:rsid w:val="002620BB"/>
    <w:rsid w:val="00264CCC"/>
    <w:rsid w:val="00265A54"/>
    <w:rsid w:val="002665E0"/>
    <w:rsid w:val="00266B97"/>
    <w:rsid w:val="00267923"/>
    <w:rsid w:val="00271B73"/>
    <w:rsid w:val="00271D28"/>
    <w:rsid w:val="00277A2A"/>
    <w:rsid w:val="00284238"/>
    <w:rsid w:val="00294A4D"/>
    <w:rsid w:val="002A3129"/>
    <w:rsid w:val="002A3DD3"/>
    <w:rsid w:val="002A779E"/>
    <w:rsid w:val="002B6E8B"/>
    <w:rsid w:val="002E792A"/>
    <w:rsid w:val="003113E4"/>
    <w:rsid w:val="0031276F"/>
    <w:rsid w:val="00324B18"/>
    <w:rsid w:val="0033130A"/>
    <w:rsid w:val="00335970"/>
    <w:rsid w:val="00343502"/>
    <w:rsid w:val="0034468A"/>
    <w:rsid w:val="00345836"/>
    <w:rsid w:val="00351564"/>
    <w:rsid w:val="00360646"/>
    <w:rsid w:val="00363517"/>
    <w:rsid w:val="00370C8A"/>
    <w:rsid w:val="00373D08"/>
    <w:rsid w:val="00377365"/>
    <w:rsid w:val="0038381B"/>
    <w:rsid w:val="003867E3"/>
    <w:rsid w:val="00395B10"/>
    <w:rsid w:val="003A3882"/>
    <w:rsid w:val="003A7B2A"/>
    <w:rsid w:val="003B2D9C"/>
    <w:rsid w:val="003C589F"/>
    <w:rsid w:val="003D267E"/>
    <w:rsid w:val="003D3754"/>
    <w:rsid w:val="003E57BD"/>
    <w:rsid w:val="003F6AAE"/>
    <w:rsid w:val="0041044A"/>
    <w:rsid w:val="00412F35"/>
    <w:rsid w:val="0041466F"/>
    <w:rsid w:val="00426EBB"/>
    <w:rsid w:val="00427536"/>
    <w:rsid w:val="004321FD"/>
    <w:rsid w:val="004361AB"/>
    <w:rsid w:val="00443CDB"/>
    <w:rsid w:val="00457868"/>
    <w:rsid w:val="00465D4F"/>
    <w:rsid w:val="00465E5A"/>
    <w:rsid w:val="00470AB9"/>
    <w:rsid w:val="004775D2"/>
    <w:rsid w:val="00492013"/>
    <w:rsid w:val="004925A0"/>
    <w:rsid w:val="00492E60"/>
    <w:rsid w:val="004A68A0"/>
    <w:rsid w:val="004C04A2"/>
    <w:rsid w:val="004C0FC9"/>
    <w:rsid w:val="004C233C"/>
    <w:rsid w:val="004C5805"/>
    <w:rsid w:val="004D0A26"/>
    <w:rsid w:val="004D48D7"/>
    <w:rsid w:val="004F026A"/>
    <w:rsid w:val="004F2781"/>
    <w:rsid w:val="00502635"/>
    <w:rsid w:val="00502BBE"/>
    <w:rsid w:val="005246D9"/>
    <w:rsid w:val="005253F8"/>
    <w:rsid w:val="005324B8"/>
    <w:rsid w:val="00533A3B"/>
    <w:rsid w:val="0053555D"/>
    <w:rsid w:val="005453C1"/>
    <w:rsid w:val="00552340"/>
    <w:rsid w:val="00554042"/>
    <w:rsid w:val="00554472"/>
    <w:rsid w:val="0056474D"/>
    <w:rsid w:val="005702E6"/>
    <w:rsid w:val="0057224E"/>
    <w:rsid w:val="00585302"/>
    <w:rsid w:val="00585BDA"/>
    <w:rsid w:val="00587420"/>
    <w:rsid w:val="005924F7"/>
    <w:rsid w:val="00596F12"/>
    <w:rsid w:val="00597C39"/>
    <w:rsid w:val="005A0F4C"/>
    <w:rsid w:val="005A30E9"/>
    <w:rsid w:val="005B44F8"/>
    <w:rsid w:val="005B5D35"/>
    <w:rsid w:val="005C5CE7"/>
    <w:rsid w:val="005E20A1"/>
    <w:rsid w:val="005E3593"/>
    <w:rsid w:val="005E377C"/>
    <w:rsid w:val="005F20AC"/>
    <w:rsid w:val="005F5462"/>
    <w:rsid w:val="005F66F1"/>
    <w:rsid w:val="00602983"/>
    <w:rsid w:val="00602E3C"/>
    <w:rsid w:val="00607406"/>
    <w:rsid w:val="006077A7"/>
    <w:rsid w:val="006221BF"/>
    <w:rsid w:val="0064272D"/>
    <w:rsid w:val="00644D27"/>
    <w:rsid w:val="00656FFF"/>
    <w:rsid w:val="006718AB"/>
    <w:rsid w:val="006A54C1"/>
    <w:rsid w:val="006B1D87"/>
    <w:rsid w:val="006B6EE0"/>
    <w:rsid w:val="006C1463"/>
    <w:rsid w:val="006D171F"/>
    <w:rsid w:val="006D38E0"/>
    <w:rsid w:val="006E3FF5"/>
    <w:rsid w:val="006E5DED"/>
    <w:rsid w:val="006F3E9F"/>
    <w:rsid w:val="0070235D"/>
    <w:rsid w:val="00707359"/>
    <w:rsid w:val="00716E2A"/>
    <w:rsid w:val="00720C4F"/>
    <w:rsid w:val="0072144E"/>
    <w:rsid w:val="007325E7"/>
    <w:rsid w:val="00734039"/>
    <w:rsid w:val="00734B73"/>
    <w:rsid w:val="00736A84"/>
    <w:rsid w:val="00743D79"/>
    <w:rsid w:val="00747B6A"/>
    <w:rsid w:val="00766875"/>
    <w:rsid w:val="007708D9"/>
    <w:rsid w:val="00773C2C"/>
    <w:rsid w:val="007762FB"/>
    <w:rsid w:val="00782360"/>
    <w:rsid w:val="007832A5"/>
    <w:rsid w:val="00783706"/>
    <w:rsid w:val="00796A70"/>
    <w:rsid w:val="007B3A92"/>
    <w:rsid w:val="007B48C3"/>
    <w:rsid w:val="007C6320"/>
    <w:rsid w:val="007D0A02"/>
    <w:rsid w:val="007D4460"/>
    <w:rsid w:val="007E0D0C"/>
    <w:rsid w:val="007E3E07"/>
    <w:rsid w:val="007E5F32"/>
    <w:rsid w:val="007F04B8"/>
    <w:rsid w:val="007F6C58"/>
    <w:rsid w:val="00800711"/>
    <w:rsid w:val="00805DC5"/>
    <w:rsid w:val="008167B2"/>
    <w:rsid w:val="008170C0"/>
    <w:rsid w:val="00832BD0"/>
    <w:rsid w:val="0083526F"/>
    <w:rsid w:val="0084340B"/>
    <w:rsid w:val="00855F37"/>
    <w:rsid w:val="008732FB"/>
    <w:rsid w:val="00882BAE"/>
    <w:rsid w:val="00884C60"/>
    <w:rsid w:val="008A2E08"/>
    <w:rsid w:val="008A50C9"/>
    <w:rsid w:val="008B3856"/>
    <w:rsid w:val="008C2ADB"/>
    <w:rsid w:val="008C6C37"/>
    <w:rsid w:val="008C7C8A"/>
    <w:rsid w:val="008D22BA"/>
    <w:rsid w:val="008E6A4A"/>
    <w:rsid w:val="008E730B"/>
    <w:rsid w:val="008F553C"/>
    <w:rsid w:val="00913ED3"/>
    <w:rsid w:val="00915DEA"/>
    <w:rsid w:val="00930F00"/>
    <w:rsid w:val="0093305B"/>
    <w:rsid w:val="00955698"/>
    <w:rsid w:val="00963BA2"/>
    <w:rsid w:val="00964EDE"/>
    <w:rsid w:val="0096615D"/>
    <w:rsid w:val="00967C8C"/>
    <w:rsid w:val="009704EA"/>
    <w:rsid w:val="0098375C"/>
    <w:rsid w:val="00984786"/>
    <w:rsid w:val="00997DC1"/>
    <w:rsid w:val="009A03F3"/>
    <w:rsid w:val="009A4DD9"/>
    <w:rsid w:val="009C2CF7"/>
    <w:rsid w:val="009C59C1"/>
    <w:rsid w:val="009C7167"/>
    <w:rsid w:val="009E0B0D"/>
    <w:rsid w:val="009E673E"/>
    <w:rsid w:val="009F7BC6"/>
    <w:rsid w:val="00A01C0B"/>
    <w:rsid w:val="00A06F80"/>
    <w:rsid w:val="00A12044"/>
    <w:rsid w:val="00A12D86"/>
    <w:rsid w:val="00A2476F"/>
    <w:rsid w:val="00A34C8D"/>
    <w:rsid w:val="00A40EE8"/>
    <w:rsid w:val="00A47A74"/>
    <w:rsid w:val="00A527CE"/>
    <w:rsid w:val="00A544AD"/>
    <w:rsid w:val="00A7220C"/>
    <w:rsid w:val="00A7428F"/>
    <w:rsid w:val="00A853A0"/>
    <w:rsid w:val="00AA7BD3"/>
    <w:rsid w:val="00AB0145"/>
    <w:rsid w:val="00AB32FF"/>
    <w:rsid w:val="00AB33D8"/>
    <w:rsid w:val="00AB409A"/>
    <w:rsid w:val="00AC2BAD"/>
    <w:rsid w:val="00AC798F"/>
    <w:rsid w:val="00AD4C15"/>
    <w:rsid w:val="00AE1C00"/>
    <w:rsid w:val="00B05E0C"/>
    <w:rsid w:val="00B1728F"/>
    <w:rsid w:val="00B1781F"/>
    <w:rsid w:val="00B25C8A"/>
    <w:rsid w:val="00B443DE"/>
    <w:rsid w:val="00B56E29"/>
    <w:rsid w:val="00B623EB"/>
    <w:rsid w:val="00B64F73"/>
    <w:rsid w:val="00B72599"/>
    <w:rsid w:val="00B72A6E"/>
    <w:rsid w:val="00B8306B"/>
    <w:rsid w:val="00B94737"/>
    <w:rsid w:val="00BA6D03"/>
    <w:rsid w:val="00BE1FB2"/>
    <w:rsid w:val="00BE7C3B"/>
    <w:rsid w:val="00C00265"/>
    <w:rsid w:val="00C1076E"/>
    <w:rsid w:val="00C349BD"/>
    <w:rsid w:val="00C363F2"/>
    <w:rsid w:val="00C400D6"/>
    <w:rsid w:val="00C4194A"/>
    <w:rsid w:val="00C540D0"/>
    <w:rsid w:val="00C61EE5"/>
    <w:rsid w:val="00C87BF7"/>
    <w:rsid w:val="00C95535"/>
    <w:rsid w:val="00C96FF1"/>
    <w:rsid w:val="00CA33E8"/>
    <w:rsid w:val="00CC2277"/>
    <w:rsid w:val="00CC48EC"/>
    <w:rsid w:val="00CD0301"/>
    <w:rsid w:val="00CE5D56"/>
    <w:rsid w:val="00CE681D"/>
    <w:rsid w:val="00D00D88"/>
    <w:rsid w:val="00D02F04"/>
    <w:rsid w:val="00D160CC"/>
    <w:rsid w:val="00D41397"/>
    <w:rsid w:val="00D425CC"/>
    <w:rsid w:val="00D5182F"/>
    <w:rsid w:val="00D52141"/>
    <w:rsid w:val="00D56141"/>
    <w:rsid w:val="00D63172"/>
    <w:rsid w:val="00D761F6"/>
    <w:rsid w:val="00D7659F"/>
    <w:rsid w:val="00DB508B"/>
    <w:rsid w:val="00DB69B3"/>
    <w:rsid w:val="00DC23B2"/>
    <w:rsid w:val="00DD2F9A"/>
    <w:rsid w:val="00DD5DC8"/>
    <w:rsid w:val="00DE1D3C"/>
    <w:rsid w:val="00DE2A5C"/>
    <w:rsid w:val="00DF159C"/>
    <w:rsid w:val="00E04F68"/>
    <w:rsid w:val="00E10A6E"/>
    <w:rsid w:val="00E212B5"/>
    <w:rsid w:val="00E27559"/>
    <w:rsid w:val="00E320F9"/>
    <w:rsid w:val="00E51A99"/>
    <w:rsid w:val="00E51E57"/>
    <w:rsid w:val="00E56BD5"/>
    <w:rsid w:val="00E620A3"/>
    <w:rsid w:val="00E70AF3"/>
    <w:rsid w:val="00E74BC2"/>
    <w:rsid w:val="00E768B3"/>
    <w:rsid w:val="00E92AC9"/>
    <w:rsid w:val="00E950B6"/>
    <w:rsid w:val="00EA0751"/>
    <w:rsid w:val="00EA07B3"/>
    <w:rsid w:val="00EA2038"/>
    <w:rsid w:val="00EB4C5E"/>
    <w:rsid w:val="00EE0ABE"/>
    <w:rsid w:val="00EE4CAE"/>
    <w:rsid w:val="00EE56C7"/>
    <w:rsid w:val="00EF1CA6"/>
    <w:rsid w:val="00EF5FFA"/>
    <w:rsid w:val="00EF6A45"/>
    <w:rsid w:val="00F03EC6"/>
    <w:rsid w:val="00F03F34"/>
    <w:rsid w:val="00F12C5F"/>
    <w:rsid w:val="00F13E1B"/>
    <w:rsid w:val="00F23F67"/>
    <w:rsid w:val="00F446A9"/>
    <w:rsid w:val="00F44C98"/>
    <w:rsid w:val="00F46E61"/>
    <w:rsid w:val="00F65E52"/>
    <w:rsid w:val="00F7153B"/>
    <w:rsid w:val="00F75A96"/>
    <w:rsid w:val="00F77123"/>
    <w:rsid w:val="00F83D8E"/>
    <w:rsid w:val="00F8728D"/>
    <w:rsid w:val="00F9180F"/>
    <w:rsid w:val="00FB0D39"/>
    <w:rsid w:val="00FB216E"/>
    <w:rsid w:val="00FB36D4"/>
    <w:rsid w:val="00FB4B23"/>
    <w:rsid w:val="00FC0462"/>
    <w:rsid w:val="00FD0F7A"/>
    <w:rsid w:val="00FE4AA0"/>
    <w:rsid w:val="00FF286E"/>
    <w:rsid w:val="00FF7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E8830"/>
  <w15:docId w15:val="{BB1F8ACE-7DFA-4E09-B452-7537F956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6F"/>
    <w:pPr>
      <w:spacing w:after="120"/>
    </w:pPr>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22152B"/>
    <w:pPr>
      <w:keepNext/>
      <w:keepLines/>
      <w:spacing w:before="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6FFF"/>
    <w:pPr>
      <w:spacing w:before="24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2152B"/>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656FFF"/>
    <w:rPr>
      <w:rFonts w:ascii="Georgia" w:hAnsi="Georgia"/>
      <w:b/>
      <w:bCs/>
      <w:sz w:val="24"/>
      <w:szCs w:val="24"/>
    </w:rPr>
  </w:style>
  <w:style w:type="table" w:styleId="TableGrid">
    <w:name w:val="Table Grid"/>
    <w:basedOn w:val="TableNormal"/>
    <w:rsid w:val="00FB36D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6141"/>
    <w:rPr>
      <w:color w:val="800080" w:themeColor="followedHyperlink"/>
      <w:u w:val="single"/>
    </w:rPr>
  </w:style>
  <w:style w:type="character" w:styleId="CommentReference">
    <w:name w:val="annotation reference"/>
    <w:basedOn w:val="DefaultParagraphFont"/>
    <w:uiPriority w:val="99"/>
    <w:semiHidden/>
    <w:unhideWhenUsed/>
    <w:rsid w:val="00F7153B"/>
    <w:rPr>
      <w:sz w:val="16"/>
      <w:szCs w:val="16"/>
    </w:rPr>
  </w:style>
  <w:style w:type="paragraph" w:styleId="CommentText">
    <w:name w:val="annotation text"/>
    <w:basedOn w:val="Normal"/>
    <w:link w:val="CommentTextChar"/>
    <w:uiPriority w:val="99"/>
    <w:unhideWhenUsed/>
    <w:rsid w:val="00F7153B"/>
    <w:rPr>
      <w:sz w:val="20"/>
      <w:szCs w:val="20"/>
    </w:rPr>
  </w:style>
  <w:style w:type="character" w:customStyle="1" w:styleId="CommentTextChar">
    <w:name w:val="Comment Text Char"/>
    <w:basedOn w:val="DefaultParagraphFont"/>
    <w:link w:val="CommentText"/>
    <w:uiPriority w:val="99"/>
    <w:rsid w:val="00F7153B"/>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F7153B"/>
    <w:rPr>
      <w:b/>
      <w:bCs/>
    </w:rPr>
  </w:style>
  <w:style w:type="character" w:customStyle="1" w:styleId="CommentSubjectChar">
    <w:name w:val="Comment Subject Char"/>
    <w:basedOn w:val="CommentTextChar"/>
    <w:link w:val="CommentSubject"/>
    <w:uiPriority w:val="99"/>
    <w:semiHidden/>
    <w:rsid w:val="00F7153B"/>
    <w:rPr>
      <w:rFonts w:ascii="Georgia" w:hAnsi="Georgia"/>
      <w:b/>
      <w:bCs/>
      <w:sz w:val="20"/>
      <w:szCs w:val="20"/>
    </w:rPr>
  </w:style>
  <w:style w:type="paragraph" w:styleId="Revision">
    <w:name w:val="Revision"/>
    <w:hidden/>
    <w:uiPriority w:val="99"/>
    <w:semiHidden/>
    <w:rsid w:val="00855F37"/>
    <w:rPr>
      <w:rFonts w:ascii="Georgia" w:hAnsi="Georgia"/>
    </w:rPr>
  </w:style>
  <w:style w:type="character" w:styleId="UnresolvedMention">
    <w:name w:val="Unresolved Mention"/>
    <w:basedOn w:val="DefaultParagraphFont"/>
    <w:uiPriority w:val="99"/>
    <w:semiHidden/>
    <w:unhideWhenUsed/>
    <w:rsid w:val="00882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59974">
      <w:bodyDiv w:val="1"/>
      <w:marLeft w:val="0"/>
      <w:marRight w:val="0"/>
      <w:marTop w:val="0"/>
      <w:marBottom w:val="0"/>
      <w:divBdr>
        <w:top w:val="none" w:sz="0" w:space="0" w:color="auto"/>
        <w:left w:val="none" w:sz="0" w:space="0" w:color="auto"/>
        <w:bottom w:val="none" w:sz="0" w:space="0" w:color="auto"/>
        <w:right w:val="none" w:sz="0" w:space="0" w:color="auto"/>
      </w:divBdr>
    </w:div>
    <w:div w:id="394671756">
      <w:bodyDiv w:val="1"/>
      <w:marLeft w:val="0"/>
      <w:marRight w:val="0"/>
      <w:marTop w:val="0"/>
      <w:marBottom w:val="0"/>
      <w:divBdr>
        <w:top w:val="none" w:sz="0" w:space="0" w:color="auto"/>
        <w:left w:val="none" w:sz="0" w:space="0" w:color="auto"/>
        <w:bottom w:val="none" w:sz="0" w:space="0" w:color="auto"/>
        <w:right w:val="none" w:sz="0" w:space="0" w:color="auto"/>
      </w:divBdr>
    </w:div>
    <w:div w:id="799036756">
      <w:bodyDiv w:val="1"/>
      <w:marLeft w:val="0"/>
      <w:marRight w:val="0"/>
      <w:marTop w:val="0"/>
      <w:marBottom w:val="0"/>
      <w:divBdr>
        <w:top w:val="none" w:sz="0" w:space="0" w:color="auto"/>
        <w:left w:val="none" w:sz="0" w:space="0" w:color="auto"/>
        <w:bottom w:val="none" w:sz="0" w:space="0" w:color="auto"/>
        <w:right w:val="none" w:sz="0" w:space="0" w:color="auto"/>
      </w:divBdr>
    </w:div>
    <w:div w:id="1440486710">
      <w:bodyDiv w:val="1"/>
      <w:marLeft w:val="0"/>
      <w:marRight w:val="0"/>
      <w:marTop w:val="0"/>
      <w:marBottom w:val="0"/>
      <w:divBdr>
        <w:top w:val="none" w:sz="0" w:space="0" w:color="auto"/>
        <w:left w:val="none" w:sz="0" w:space="0" w:color="auto"/>
        <w:bottom w:val="none" w:sz="0" w:space="0" w:color="auto"/>
        <w:right w:val="none" w:sz="0" w:space="0" w:color="auto"/>
      </w:divBdr>
    </w:div>
    <w:div w:id="19828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ass.gov/lists/eohhs-administrative-bulleti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SharedWithUsers xmlns="91f3e3b9-8052-4988-a4eb-24f16969dcab">
      <UserInfo>
        <DisplayName>Cassandra Martin</DisplayName>
        <AccountId>59</AccountId>
        <AccountType/>
      </UserInfo>
      <UserInfo>
        <DisplayName>Hyewon Lee</DisplayName>
        <AccountId>8</AccountId>
        <AccountType/>
      </UserInfo>
      <UserInfo>
        <DisplayName>Steven Freedman</DisplayName>
        <AccountId>6</AccountId>
        <AccountType/>
      </UserInfo>
    </SharedWithUsers>
    <TaxCatchAll xmlns="91f3e3b9-8052-4988-a4eb-24f16969dcab" xsi:nil="true"/>
  </documentManagement>
</p:properti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8E99D6C3-039E-43CE-9C75-2BE865D69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5ACEA-0E3A-42F0-8A33-5640CCF1BBD7}">
  <ds:schemaRefs>
    <ds:schemaRef ds:uri="d8ecd2c7-f42d-412b-950c-7056a0e524ed"/>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91f3e3b9-8052-4988-a4eb-24f16969dcab"/>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Martin</dc:creator>
  <cp:keywords/>
  <cp:lastModifiedBy>DeLeo, Dan (EHS)</cp:lastModifiedBy>
  <cp:revision>9</cp:revision>
  <cp:lastPrinted>2023-03-01T23:48:00Z</cp:lastPrinted>
  <dcterms:created xsi:type="dcterms:W3CDTF">2024-12-03T21:00:00Z</dcterms:created>
  <dcterms:modified xsi:type="dcterms:W3CDTF">2024-12-06T16:33:00Z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9600</vt:r8>
  </property>
  <property fmtid="{D5CDD505-2E9C-101B-9397-08002B2CF9AE}" pid="3" name="MediaServiceImageTags">
    <vt:lpwstr/>
  </property>
  <property fmtid="{D5CDD505-2E9C-101B-9397-08002B2CF9AE}" pid="4" name="ContentTypeId">
    <vt:lpwstr>0x0101004ACAA8BD88EB8945AAE04407B477030C</vt:lpwstr>
  </property>
</Properties>
</file>