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F167" w14:textId="77777777" w:rsidR="00EE4CAE" w:rsidRDefault="00EE4CAE" w:rsidP="00AC798F"/>
    <w:p w14:paraId="1CDEB79D" w14:textId="5390179F" w:rsidR="00533A3B" w:rsidRPr="00AC798F" w:rsidRDefault="00533A3B" w:rsidP="0052745B">
      <w:pPr>
        <w:pStyle w:val="Heading1"/>
      </w:pPr>
      <w:r w:rsidRPr="00AC798F">
        <w:t xml:space="preserve">Administrative Bulletin </w:t>
      </w:r>
      <w:r w:rsidR="00FB36D4" w:rsidRPr="0096615D">
        <w:t>2</w:t>
      </w:r>
      <w:r w:rsidR="00147710">
        <w:t>5</w:t>
      </w:r>
      <w:r w:rsidRPr="0096615D">
        <w:t>-</w:t>
      </w:r>
      <w:r w:rsidR="00ED37BD">
        <w:t>04</w:t>
      </w:r>
    </w:p>
    <w:p w14:paraId="2736C88B" w14:textId="77777777" w:rsidR="00533A3B" w:rsidRPr="00533A3B" w:rsidRDefault="00533A3B" w:rsidP="0052745B"/>
    <w:p w14:paraId="7BB85369" w14:textId="77777777" w:rsidR="00533A3B" w:rsidRDefault="00533A3B" w:rsidP="0052745B">
      <w:pPr>
        <w:jc w:val="center"/>
        <w:rPr>
          <w:b/>
          <w:bCs/>
          <w:i/>
          <w:iCs/>
          <w:sz w:val="24"/>
          <w:szCs w:val="24"/>
        </w:rPr>
      </w:pPr>
      <w:r w:rsidRPr="00796A70">
        <w:rPr>
          <w:b/>
          <w:bCs/>
          <w:sz w:val="24"/>
          <w:szCs w:val="24"/>
        </w:rPr>
        <w:t xml:space="preserve">101 CMR </w:t>
      </w:r>
      <w:r w:rsidR="00FB36D4">
        <w:rPr>
          <w:b/>
          <w:bCs/>
          <w:sz w:val="24"/>
          <w:szCs w:val="24"/>
        </w:rPr>
        <w:t>322</w:t>
      </w:r>
      <w:r w:rsidRPr="00796A70">
        <w:rPr>
          <w:b/>
          <w:bCs/>
          <w:sz w:val="24"/>
          <w:szCs w:val="24"/>
        </w:rPr>
        <w:t xml:space="preserve">.00: </w:t>
      </w:r>
      <w:r w:rsidR="00FB36D4">
        <w:rPr>
          <w:b/>
          <w:bCs/>
          <w:i/>
          <w:iCs/>
          <w:sz w:val="24"/>
          <w:szCs w:val="24"/>
        </w:rPr>
        <w:t xml:space="preserve">Rates for </w:t>
      </w:r>
      <w:bookmarkStart w:id="0" w:name="_Hlk159410726"/>
      <w:r w:rsidR="00FB36D4">
        <w:rPr>
          <w:b/>
          <w:bCs/>
          <w:i/>
          <w:iCs/>
          <w:sz w:val="24"/>
          <w:szCs w:val="24"/>
        </w:rPr>
        <w:t>Durable Medical Equipment, Oxygen and Respiratory Therapy Equipment</w:t>
      </w:r>
      <w:bookmarkEnd w:id="0"/>
    </w:p>
    <w:p w14:paraId="61BB4E0F" w14:textId="77777777" w:rsidR="0052745B" w:rsidRPr="00796A70" w:rsidRDefault="0052745B" w:rsidP="0052745B">
      <w:pPr>
        <w:jc w:val="center"/>
        <w:rPr>
          <w:b/>
          <w:bCs/>
          <w:sz w:val="24"/>
          <w:szCs w:val="24"/>
        </w:rPr>
      </w:pPr>
    </w:p>
    <w:p w14:paraId="5CBDB2BC" w14:textId="340E927D" w:rsidR="00533A3B" w:rsidRDefault="00533A3B" w:rsidP="0052745B">
      <w:pPr>
        <w:jc w:val="center"/>
        <w:rPr>
          <w:sz w:val="24"/>
          <w:szCs w:val="24"/>
        </w:rPr>
      </w:pPr>
      <w:r w:rsidRPr="00796A70">
        <w:rPr>
          <w:sz w:val="24"/>
          <w:szCs w:val="24"/>
        </w:rPr>
        <w:t xml:space="preserve">Effective </w:t>
      </w:r>
      <w:r w:rsidR="00147710">
        <w:rPr>
          <w:sz w:val="24"/>
          <w:szCs w:val="24"/>
        </w:rPr>
        <w:t>October 1, 2024</w:t>
      </w:r>
    </w:p>
    <w:p w14:paraId="65F2C467" w14:textId="77777777" w:rsidR="0052745B" w:rsidRDefault="0052745B" w:rsidP="0052745B">
      <w:pPr>
        <w:jc w:val="center"/>
        <w:rPr>
          <w:sz w:val="24"/>
          <w:szCs w:val="24"/>
        </w:rPr>
      </w:pPr>
    </w:p>
    <w:p w14:paraId="747EC33D" w14:textId="33D02979" w:rsidR="00D02F04" w:rsidRDefault="005924F7" w:rsidP="0052745B">
      <w:pPr>
        <w:jc w:val="center"/>
        <w:rPr>
          <w:b/>
          <w:bCs/>
          <w:sz w:val="24"/>
          <w:szCs w:val="24"/>
        </w:rPr>
      </w:pPr>
      <w:r w:rsidRPr="00D00D88">
        <w:rPr>
          <w:b/>
          <w:bCs/>
          <w:sz w:val="24"/>
          <w:szCs w:val="24"/>
        </w:rPr>
        <w:t>Coding Updates for Certain Durable Medical Equipment, Oxygen</w:t>
      </w:r>
      <w:r w:rsidR="00834DEC">
        <w:rPr>
          <w:b/>
          <w:bCs/>
          <w:sz w:val="24"/>
          <w:szCs w:val="24"/>
        </w:rPr>
        <w:t>,</w:t>
      </w:r>
      <w:r w:rsidRPr="00D00D88">
        <w:rPr>
          <w:b/>
          <w:bCs/>
          <w:sz w:val="24"/>
          <w:szCs w:val="24"/>
        </w:rPr>
        <w:t xml:space="preserve"> and Respiratory Therapy Equipment</w:t>
      </w:r>
    </w:p>
    <w:p w14:paraId="4697298C" w14:textId="77777777" w:rsidR="00264CCC" w:rsidRPr="00D00D88" w:rsidRDefault="00DB69B3" w:rsidP="00D00D88">
      <w:pPr>
        <w:spacing w:before="120" w:after="240"/>
        <w:rPr>
          <w:b/>
          <w:bCs/>
          <w:sz w:val="24"/>
          <w:szCs w:val="24"/>
        </w:rPr>
      </w:pPr>
      <w:r>
        <w:rPr>
          <w:b/>
          <w:bCs/>
          <w:sz w:val="24"/>
          <w:szCs w:val="24"/>
        </w:rPr>
        <w:t>Summary</w:t>
      </w:r>
    </w:p>
    <w:p w14:paraId="3021C7DC" w14:textId="60AD2947" w:rsidR="00FB36D4" w:rsidRPr="00834DEC" w:rsidRDefault="00FB36D4" w:rsidP="00FB36D4">
      <w:pPr>
        <w:autoSpaceDE w:val="0"/>
        <w:autoSpaceDN w:val="0"/>
        <w:adjustRightInd w:val="0"/>
        <w:contextualSpacing/>
        <w:rPr>
          <w:rFonts w:cs="Times New Roman"/>
        </w:rPr>
      </w:pPr>
      <w:r w:rsidRPr="00834DEC">
        <w:rPr>
          <w:rFonts w:cs="Times New Roman"/>
        </w:rPr>
        <w:t xml:space="preserve">In accordance with 101 CMR 322.01(6): </w:t>
      </w:r>
      <w:r w:rsidRPr="00834DEC">
        <w:rPr>
          <w:rFonts w:cs="Times New Roman"/>
          <w:i/>
          <w:iCs/>
        </w:rPr>
        <w:t xml:space="preserve">Coding Updates and Corrections, </w:t>
      </w:r>
      <w:r w:rsidRPr="00834DEC">
        <w:rPr>
          <w:rFonts w:cs="Times New Roman"/>
        </w:rPr>
        <w:t>the Executive Office of Health and Human Services (EOHHS) is adding new procedure codes, deleting outdated codes,</w:t>
      </w:r>
      <w:r w:rsidR="00147710" w:rsidRPr="00834DEC">
        <w:rPr>
          <w:rFonts w:cs="Times New Roman"/>
        </w:rPr>
        <w:t xml:space="preserve"> updating narratives for certain codes,</w:t>
      </w:r>
      <w:r w:rsidRPr="00834DEC">
        <w:rPr>
          <w:rFonts w:cs="Times New Roman"/>
        </w:rPr>
        <w:t xml:space="preserve"> </w:t>
      </w:r>
      <w:r w:rsidR="001A0A7B" w:rsidRPr="00834DEC">
        <w:rPr>
          <w:rFonts w:cs="Times New Roman"/>
        </w:rPr>
        <w:t xml:space="preserve">and </w:t>
      </w:r>
      <w:r w:rsidR="00147710" w:rsidRPr="00834DEC">
        <w:rPr>
          <w:rFonts w:cs="Times New Roman"/>
        </w:rPr>
        <w:t xml:space="preserve">adopting </w:t>
      </w:r>
      <w:r w:rsidR="46B8F58E" w:rsidRPr="00834DEC">
        <w:rPr>
          <w:rFonts w:cs="Times New Roman"/>
        </w:rPr>
        <w:t xml:space="preserve">a </w:t>
      </w:r>
      <w:r w:rsidR="00147710" w:rsidRPr="00834DEC">
        <w:rPr>
          <w:rFonts w:cs="Times New Roman"/>
        </w:rPr>
        <w:t>pre-existing code</w:t>
      </w:r>
      <w:r w:rsidR="006E3FF5" w:rsidRPr="00834DEC">
        <w:rPr>
          <w:rFonts w:cs="Times New Roman"/>
        </w:rPr>
        <w:t xml:space="preserve">, </w:t>
      </w:r>
      <w:r w:rsidRPr="00834DEC">
        <w:rPr>
          <w:rFonts w:cs="Times New Roman"/>
        </w:rPr>
        <w:t xml:space="preserve">effective for dates of service on or after </w:t>
      </w:r>
      <w:r w:rsidR="00147710" w:rsidRPr="00834DEC">
        <w:rPr>
          <w:rFonts w:cs="Times New Roman"/>
        </w:rPr>
        <w:t>October</w:t>
      </w:r>
      <w:r w:rsidR="007D4460" w:rsidRPr="00834DEC">
        <w:rPr>
          <w:rFonts w:cs="Times New Roman"/>
        </w:rPr>
        <w:t xml:space="preserve"> 1, 2024</w:t>
      </w:r>
      <w:r w:rsidR="00294A4D" w:rsidRPr="00834DEC">
        <w:rPr>
          <w:rFonts w:cs="Times New Roman"/>
        </w:rPr>
        <w:t>.</w:t>
      </w:r>
      <w:r w:rsidR="004D0A26" w:rsidRPr="00834DEC">
        <w:rPr>
          <w:rFonts w:cs="Times New Roman"/>
        </w:rPr>
        <w:t xml:space="preserve"> </w:t>
      </w:r>
      <w:r w:rsidRPr="00834DEC">
        <w:rPr>
          <w:rFonts w:cs="Times New Roman"/>
        </w:rPr>
        <w:t xml:space="preserve">The following lists specify codes that have been added, deleted, </w:t>
      </w:r>
      <w:r w:rsidR="00147710" w:rsidRPr="00834DEC">
        <w:rPr>
          <w:rFonts w:cs="Times New Roman"/>
        </w:rPr>
        <w:t>adopted, or have revised code descriptions.</w:t>
      </w:r>
    </w:p>
    <w:p w14:paraId="01C9EA6C" w14:textId="77777777" w:rsidR="00457868" w:rsidRPr="00834DEC" w:rsidRDefault="00457868" w:rsidP="00FB36D4">
      <w:pPr>
        <w:autoSpaceDE w:val="0"/>
        <w:autoSpaceDN w:val="0"/>
        <w:adjustRightInd w:val="0"/>
        <w:contextualSpacing/>
        <w:rPr>
          <w:rFonts w:cs="Times New Roman"/>
        </w:rPr>
      </w:pPr>
    </w:p>
    <w:p w14:paraId="3A32EFA6" w14:textId="74F14A8A" w:rsidR="00FB36D4" w:rsidRPr="00834DEC" w:rsidRDefault="00FB36D4" w:rsidP="00FB36D4">
      <w:pPr>
        <w:autoSpaceDE w:val="0"/>
        <w:autoSpaceDN w:val="0"/>
        <w:adjustRightInd w:val="0"/>
        <w:contextualSpacing/>
        <w:rPr>
          <w:rFonts w:cs="Times New Roman"/>
        </w:rPr>
      </w:pPr>
      <w:r w:rsidRPr="00834DEC">
        <w:rPr>
          <w:rFonts w:cs="Times New Roman"/>
        </w:rPr>
        <w:t xml:space="preserve">For entirely new codes with associated Medicare fees, payment rates are set at a percentage of prevailing Medicare fees as described in 101 CMR 322.03(16)(a). For entirely new codes without associated Medicare fees, individual consideration (IC) is applied to establish payment as described in 101 CMR 322.03(16)(b). </w:t>
      </w:r>
      <w:r w:rsidR="00F9180F" w:rsidRPr="00834DEC">
        <w:rPr>
          <w:rFonts w:cs="Times New Roman"/>
        </w:rPr>
        <w:t>Rates listed in this administrative bulletin are applicable until revised rates are issued by EOHHS.</w:t>
      </w:r>
      <w:r w:rsidR="00766DC1" w:rsidRPr="00834DEC">
        <w:t xml:space="preserve"> </w:t>
      </w:r>
    </w:p>
    <w:p w14:paraId="4F2098E9" w14:textId="77777777" w:rsidR="00FB36D4" w:rsidRPr="00834DEC" w:rsidRDefault="00FB36D4" w:rsidP="00FB36D4">
      <w:pPr>
        <w:autoSpaceDE w:val="0"/>
        <w:autoSpaceDN w:val="0"/>
        <w:adjustRightInd w:val="0"/>
        <w:contextualSpacing/>
        <w:rPr>
          <w:rFonts w:cs="Times New Roman"/>
        </w:rPr>
      </w:pPr>
    </w:p>
    <w:p w14:paraId="3096F8D0" w14:textId="77777777" w:rsidR="00C95535" w:rsidRPr="00834DEC" w:rsidRDefault="00FB36D4" w:rsidP="00FB36D4">
      <w:pPr>
        <w:autoSpaceDE w:val="0"/>
        <w:autoSpaceDN w:val="0"/>
        <w:adjustRightInd w:val="0"/>
        <w:contextualSpacing/>
      </w:pPr>
      <w:r w:rsidRPr="00834DEC">
        <w:rPr>
          <w:rFonts w:cs="Times New Roman"/>
        </w:rPr>
        <w:t>The appearance of a code in the tables below does not constitute authorization for, or approval of, the procedures or services for which rates are determined pursuant to 101 CMR 322.00. Governmental units that purchase care are responsible for the definition, authorization, and approval of care to publicly aided individuals.</w:t>
      </w:r>
      <w:r w:rsidR="00A527CE" w:rsidRPr="00834DEC">
        <w:t xml:space="preserve"> </w:t>
      </w:r>
    </w:p>
    <w:p w14:paraId="2FC27D49" w14:textId="67C584DE" w:rsidR="00533A3B" w:rsidRPr="000E095C" w:rsidRDefault="00FB36D4" w:rsidP="00656FFF">
      <w:pPr>
        <w:pStyle w:val="Heading2"/>
        <w:spacing w:before="240"/>
        <w:rPr>
          <w:rFonts w:cs="Times New Roman"/>
          <w:sz w:val="24"/>
          <w:szCs w:val="24"/>
        </w:rPr>
      </w:pPr>
      <w:r w:rsidRPr="000E095C">
        <w:rPr>
          <w:rFonts w:cs="Times New Roman"/>
          <w:sz w:val="24"/>
          <w:szCs w:val="24"/>
        </w:rPr>
        <w:t>Added Codes</w:t>
      </w:r>
    </w:p>
    <w:tbl>
      <w:tblPr>
        <w:tblStyle w:val="TableGrid"/>
        <w:tblW w:w="10255" w:type="dxa"/>
        <w:tblLook w:val="04A0" w:firstRow="1" w:lastRow="0" w:firstColumn="1" w:lastColumn="0" w:noHBand="0" w:noVBand="1"/>
      </w:tblPr>
      <w:tblGrid>
        <w:gridCol w:w="889"/>
        <w:gridCol w:w="1210"/>
        <w:gridCol w:w="6148"/>
        <w:gridCol w:w="2160"/>
      </w:tblGrid>
      <w:tr w:rsidR="00A94B5A" w:rsidRPr="00200549" w14:paraId="331CC9B5" w14:textId="77777777" w:rsidTr="00C55B71">
        <w:trPr>
          <w:trHeight w:val="288"/>
          <w:tblHeader/>
        </w:trPr>
        <w:tc>
          <w:tcPr>
            <w:tcW w:w="828" w:type="dxa"/>
            <w:noWrap/>
            <w:vAlign w:val="center"/>
            <w:hideMark/>
          </w:tcPr>
          <w:p w14:paraId="534D20A0" w14:textId="77777777" w:rsidR="00147710" w:rsidRPr="00200549" w:rsidRDefault="00147710">
            <w:pPr>
              <w:contextualSpacing/>
              <w:jc w:val="center"/>
              <w:rPr>
                <w:b/>
                <w:bCs/>
                <w:sz w:val="22"/>
                <w:szCs w:val="22"/>
              </w:rPr>
            </w:pPr>
            <w:r w:rsidRPr="00200549">
              <w:rPr>
                <w:b/>
                <w:bCs/>
                <w:sz w:val="22"/>
                <w:szCs w:val="22"/>
              </w:rPr>
              <w:t>Code</w:t>
            </w:r>
          </w:p>
        </w:tc>
        <w:tc>
          <w:tcPr>
            <w:tcW w:w="1119" w:type="dxa"/>
            <w:vAlign w:val="bottom"/>
          </w:tcPr>
          <w:p w14:paraId="20754A54" w14:textId="6A1E3ED5" w:rsidR="00147710" w:rsidRPr="00200549" w:rsidRDefault="00500A28" w:rsidP="00500A28">
            <w:pPr>
              <w:contextualSpacing/>
              <w:jc w:val="center"/>
              <w:rPr>
                <w:b/>
                <w:bCs/>
                <w:sz w:val="22"/>
                <w:szCs w:val="22"/>
              </w:rPr>
            </w:pPr>
            <w:r w:rsidRPr="00200549">
              <w:rPr>
                <w:b/>
                <w:bCs/>
                <w:sz w:val="22"/>
                <w:szCs w:val="22"/>
              </w:rPr>
              <w:t>Modifier</w:t>
            </w:r>
          </w:p>
        </w:tc>
        <w:tc>
          <w:tcPr>
            <w:tcW w:w="6148" w:type="dxa"/>
            <w:noWrap/>
            <w:vAlign w:val="center"/>
            <w:hideMark/>
          </w:tcPr>
          <w:p w14:paraId="50E9826D" w14:textId="7D00BD90" w:rsidR="00147710" w:rsidRPr="00200549" w:rsidRDefault="00147710">
            <w:pPr>
              <w:contextualSpacing/>
              <w:jc w:val="center"/>
              <w:rPr>
                <w:rFonts w:ascii="Times New Roman" w:hAnsi="Times New Roman"/>
                <w:b/>
                <w:bCs/>
                <w:sz w:val="22"/>
                <w:szCs w:val="22"/>
              </w:rPr>
            </w:pPr>
            <w:r w:rsidRPr="00200549">
              <w:rPr>
                <w:b/>
                <w:bCs/>
                <w:sz w:val="22"/>
                <w:szCs w:val="22"/>
              </w:rPr>
              <w:t>Description</w:t>
            </w:r>
          </w:p>
        </w:tc>
        <w:tc>
          <w:tcPr>
            <w:tcW w:w="2160" w:type="dxa"/>
            <w:noWrap/>
            <w:vAlign w:val="center"/>
            <w:hideMark/>
          </w:tcPr>
          <w:p w14:paraId="293D6372" w14:textId="77777777" w:rsidR="00147710" w:rsidRPr="00200549" w:rsidRDefault="00147710">
            <w:pPr>
              <w:contextualSpacing/>
              <w:jc w:val="center"/>
              <w:rPr>
                <w:rFonts w:ascii="Times New Roman" w:hAnsi="Times New Roman"/>
                <w:b/>
                <w:bCs/>
                <w:sz w:val="22"/>
                <w:szCs w:val="22"/>
              </w:rPr>
            </w:pPr>
            <w:r w:rsidRPr="00200549">
              <w:rPr>
                <w:b/>
                <w:bCs/>
                <w:sz w:val="22"/>
                <w:szCs w:val="22"/>
              </w:rPr>
              <w:t>Rate</w:t>
            </w:r>
          </w:p>
        </w:tc>
      </w:tr>
      <w:tr w:rsidR="00C55B71" w:rsidRPr="00200549" w14:paraId="1ECFE92E" w14:textId="77777777" w:rsidTr="000D412E">
        <w:trPr>
          <w:trHeight w:val="288"/>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2EE8E" w14:textId="5DE393A4" w:rsidR="00C55B71" w:rsidRPr="00200549" w:rsidRDefault="00C55B71" w:rsidP="000D412E">
            <w:pPr>
              <w:contextualSpacing/>
              <w:jc w:val="center"/>
              <w:rPr>
                <w:bCs/>
                <w:sz w:val="22"/>
                <w:szCs w:val="22"/>
              </w:rPr>
            </w:pPr>
            <w:r w:rsidRPr="00200549">
              <w:rPr>
                <w:rFonts w:cs="Arial"/>
                <w:color w:val="212529"/>
                <w:sz w:val="22"/>
                <w:szCs w:val="22"/>
              </w:rPr>
              <w:t>A4543</w:t>
            </w:r>
          </w:p>
        </w:tc>
        <w:tc>
          <w:tcPr>
            <w:tcW w:w="1119" w:type="dxa"/>
            <w:tcBorders>
              <w:top w:val="single" w:sz="4" w:space="0" w:color="auto"/>
              <w:left w:val="nil"/>
              <w:bottom w:val="single" w:sz="4" w:space="0" w:color="auto"/>
              <w:right w:val="nil"/>
            </w:tcBorders>
            <w:shd w:val="clear" w:color="auto" w:fill="auto"/>
            <w:vAlign w:val="center"/>
          </w:tcPr>
          <w:p w14:paraId="02D6C890" w14:textId="41DA2FD4" w:rsidR="00C55B71" w:rsidRPr="00200549" w:rsidRDefault="00C55B71" w:rsidP="000D412E">
            <w:pPr>
              <w:contextualSpacing/>
              <w:jc w:val="center"/>
              <w:rPr>
                <w:sz w:val="22"/>
                <w:szCs w:val="22"/>
              </w:rPr>
            </w:pPr>
          </w:p>
        </w:tc>
        <w:tc>
          <w:tcPr>
            <w:tcW w:w="6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6BA91" w14:textId="481A71AC" w:rsidR="00C55B71" w:rsidRPr="00200549" w:rsidRDefault="00200549" w:rsidP="00C55B71">
            <w:pPr>
              <w:contextualSpacing/>
              <w:rPr>
                <w:bCs/>
                <w:sz w:val="22"/>
                <w:szCs w:val="22"/>
              </w:rPr>
            </w:pPr>
            <w:r w:rsidRPr="00200549">
              <w:rPr>
                <w:rFonts w:cs="Arial"/>
                <w:color w:val="212529"/>
                <w:sz w:val="22"/>
                <w:szCs w:val="22"/>
              </w:rPr>
              <w:t>Supplies for transcutaneous electrical nerve stimulator, for nerves in the auricular region, per month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0259D" w14:textId="66FDC918" w:rsidR="00C55B71" w:rsidRPr="00200549" w:rsidRDefault="00C55B71" w:rsidP="00C55B71">
            <w:pPr>
              <w:contextualSpacing/>
              <w:jc w:val="center"/>
              <w:rPr>
                <w:bCs/>
                <w:sz w:val="22"/>
                <w:szCs w:val="22"/>
              </w:rPr>
            </w:pPr>
            <w:r w:rsidRPr="00200549">
              <w:rPr>
                <w:sz w:val="22"/>
                <w:szCs w:val="22"/>
              </w:rPr>
              <w:t xml:space="preserve">AAC + </w:t>
            </w:r>
            <w:r w:rsidR="00873E76" w:rsidRPr="00200549">
              <w:rPr>
                <w:sz w:val="22"/>
                <w:szCs w:val="22"/>
              </w:rPr>
              <w:t>20</w:t>
            </w:r>
            <w:r w:rsidRPr="00200549">
              <w:rPr>
                <w:sz w:val="22"/>
                <w:szCs w:val="22"/>
              </w:rPr>
              <w:t>%</w:t>
            </w:r>
          </w:p>
        </w:tc>
      </w:tr>
      <w:tr w:rsidR="00C55B71" w:rsidRPr="00200549" w14:paraId="1ED56A55"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93147D4" w14:textId="2547CF2D" w:rsidR="00C55B71" w:rsidRPr="00200549" w:rsidRDefault="00C55B71" w:rsidP="000D412E">
            <w:pPr>
              <w:contextualSpacing/>
              <w:jc w:val="center"/>
              <w:rPr>
                <w:bCs/>
                <w:sz w:val="22"/>
                <w:szCs w:val="22"/>
              </w:rPr>
            </w:pPr>
            <w:r w:rsidRPr="00200549">
              <w:rPr>
                <w:rFonts w:cs="Arial"/>
                <w:color w:val="212529"/>
                <w:sz w:val="22"/>
                <w:szCs w:val="22"/>
              </w:rPr>
              <w:t>A4544</w:t>
            </w:r>
          </w:p>
        </w:tc>
        <w:tc>
          <w:tcPr>
            <w:tcW w:w="1119" w:type="dxa"/>
            <w:tcBorders>
              <w:top w:val="nil"/>
              <w:left w:val="nil"/>
              <w:bottom w:val="single" w:sz="4" w:space="0" w:color="auto"/>
              <w:right w:val="nil"/>
            </w:tcBorders>
            <w:shd w:val="clear" w:color="auto" w:fill="auto"/>
            <w:vAlign w:val="center"/>
          </w:tcPr>
          <w:p w14:paraId="12541FF9" w14:textId="6A69C196"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629D59BE" w14:textId="22BB35BA" w:rsidR="00C55B71" w:rsidRPr="00200549" w:rsidRDefault="00200549" w:rsidP="00C55B71">
            <w:pPr>
              <w:contextualSpacing/>
              <w:rPr>
                <w:bCs/>
                <w:sz w:val="22"/>
                <w:szCs w:val="22"/>
              </w:rPr>
            </w:pPr>
            <w:r w:rsidRPr="00200549">
              <w:rPr>
                <w:rFonts w:cs="Arial"/>
                <w:color w:val="212529"/>
                <w:sz w:val="22"/>
                <w:szCs w:val="22"/>
              </w:rPr>
              <w:t>Electrode for external lower extremity nerve stimulator for restless legs syndrome </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988C409" w14:textId="44C8C2DE" w:rsidR="00C55B71" w:rsidRPr="00200549" w:rsidRDefault="000A707C" w:rsidP="00C55B71">
            <w:pPr>
              <w:contextualSpacing/>
              <w:jc w:val="center"/>
              <w:rPr>
                <w:bCs/>
                <w:sz w:val="22"/>
                <w:szCs w:val="22"/>
              </w:rPr>
            </w:pPr>
            <w:r w:rsidRPr="00200549">
              <w:rPr>
                <w:sz w:val="22"/>
                <w:szCs w:val="22"/>
              </w:rPr>
              <w:t>$5.16</w:t>
            </w:r>
          </w:p>
        </w:tc>
      </w:tr>
      <w:tr w:rsidR="00C55B71" w:rsidRPr="00200549" w14:paraId="578DED6C"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C5D0948" w14:textId="4F4DAACF" w:rsidR="00C55B71" w:rsidRPr="00200549" w:rsidRDefault="00C55B71" w:rsidP="000D412E">
            <w:pPr>
              <w:contextualSpacing/>
              <w:jc w:val="center"/>
              <w:rPr>
                <w:bCs/>
                <w:sz w:val="22"/>
                <w:szCs w:val="22"/>
              </w:rPr>
            </w:pPr>
            <w:r w:rsidRPr="00200549">
              <w:rPr>
                <w:rFonts w:cs="Arial"/>
                <w:color w:val="212529"/>
                <w:sz w:val="22"/>
                <w:szCs w:val="22"/>
              </w:rPr>
              <w:lastRenderedPageBreak/>
              <w:t>A4545</w:t>
            </w:r>
          </w:p>
        </w:tc>
        <w:tc>
          <w:tcPr>
            <w:tcW w:w="1119" w:type="dxa"/>
            <w:tcBorders>
              <w:top w:val="nil"/>
              <w:left w:val="nil"/>
              <w:bottom w:val="single" w:sz="4" w:space="0" w:color="auto"/>
              <w:right w:val="nil"/>
            </w:tcBorders>
            <w:shd w:val="clear" w:color="auto" w:fill="auto"/>
            <w:vAlign w:val="center"/>
          </w:tcPr>
          <w:p w14:paraId="09F046B0" w14:textId="76349512"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1839F729" w14:textId="06A44C0D" w:rsidR="00C55B71" w:rsidRPr="00200549" w:rsidRDefault="00200549" w:rsidP="00C55B71">
            <w:pPr>
              <w:contextualSpacing/>
              <w:rPr>
                <w:bCs/>
                <w:sz w:val="22"/>
                <w:szCs w:val="22"/>
              </w:rPr>
            </w:pPr>
            <w:r w:rsidRPr="00200549">
              <w:rPr>
                <w:rFonts w:cs="Arial"/>
                <w:color w:val="212529"/>
                <w:sz w:val="22"/>
                <w:szCs w:val="22"/>
              </w:rPr>
              <w:t>Supplies and accessories for external tibial nerve stimulator (e.g., socks, gel pads, electrodes, etc.), needed for one month </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2CB97DF" w14:textId="3B208EC7" w:rsidR="00C55B71" w:rsidRPr="00200549" w:rsidRDefault="00D53D5E" w:rsidP="00C55B71">
            <w:pPr>
              <w:contextualSpacing/>
              <w:jc w:val="center"/>
              <w:rPr>
                <w:bCs/>
                <w:sz w:val="22"/>
                <w:szCs w:val="22"/>
              </w:rPr>
            </w:pPr>
            <w:r w:rsidRPr="00200549">
              <w:rPr>
                <w:sz w:val="22"/>
                <w:szCs w:val="22"/>
              </w:rPr>
              <w:t>$31.37</w:t>
            </w:r>
          </w:p>
        </w:tc>
      </w:tr>
      <w:tr w:rsidR="00C55B71" w:rsidRPr="00200549" w14:paraId="740AB2A4"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ADA36E7" w14:textId="3137B877" w:rsidR="00C55B71" w:rsidRPr="00200549" w:rsidRDefault="00C55B71" w:rsidP="000D412E">
            <w:pPr>
              <w:contextualSpacing/>
              <w:jc w:val="center"/>
              <w:rPr>
                <w:bCs/>
                <w:sz w:val="22"/>
                <w:szCs w:val="22"/>
              </w:rPr>
            </w:pPr>
            <w:r w:rsidRPr="00200549">
              <w:rPr>
                <w:rFonts w:cs="Arial"/>
                <w:color w:val="212529"/>
                <w:sz w:val="22"/>
                <w:szCs w:val="22"/>
              </w:rPr>
              <w:t>A7021</w:t>
            </w:r>
          </w:p>
        </w:tc>
        <w:tc>
          <w:tcPr>
            <w:tcW w:w="1119" w:type="dxa"/>
            <w:tcBorders>
              <w:top w:val="nil"/>
              <w:left w:val="nil"/>
              <w:bottom w:val="single" w:sz="4" w:space="0" w:color="auto"/>
              <w:right w:val="nil"/>
            </w:tcBorders>
            <w:shd w:val="clear" w:color="auto" w:fill="auto"/>
            <w:vAlign w:val="center"/>
          </w:tcPr>
          <w:p w14:paraId="30A0AF3E" w14:textId="1295B16A" w:rsidR="00C55B71" w:rsidRPr="00200549" w:rsidRDefault="00C55B71" w:rsidP="000D412E">
            <w:pPr>
              <w:contextualSpacing/>
              <w:jc w:val="center"/>
              <w:rPr>
                <w:sz w:val="22"/>
                <w:szCs w:val="22"/>
              </w:rPr>
            </w:pPr>
            <w:r w:rsidRPr="00200549">
              <w:rPr>
                <w:rFonts w:cs="Arial"/>
                <w:color w:val="000000"/>
                <w:sz w:val="22"/>
                <w:szCs w:val="22"/>
              </w:rPr>
              <w:t>NU</w:t>
            </w: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207937A0" w14:textId="18F89D75" w:rsidR="00C55B71" w:rsidRPr="00200549" w:rsidRDefault="00200549" w:rsidP="00C55B71">
            <w:pPr>
              <w:contextualSpacing/>
              <w:rPr>
                <w:bCs/>
                <w:sz w:val="22"/>
                <w:szCs w:val="22"/>
              </w:rPr>
            </w:pPr>
            <w:r w:rsidRPr="00200549">
              <w:rPr>
                <w:rFonts w:cs="Arial"/>
                <w:color w:val="212529"/>
                <w:sz w:val="22"/>
                <w:szCs w:val="22"/>
              </w:rPr>
              <w:t>Supplies and accessories for lung expansion airway clearance, continuous high frequency oscillation, and nebulization device (e.g., handset, nebulizer kit, biofilter)</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557CAC4" w14:textId="7ECBDD93" w:rsidR="00C55B71" w:rsidRPr="00200549" w:rsidRDefault="00583041" w:rsidP="00C55B71">
            <w:pPr>
              <w:contextualSpacing/>
              <w:jc w:val="center"/>
              <w:rPr>
                <w:bCs/>
                <w:sz w:val="22"/>
                <w:szCs w:val="22"/>
              </w:rPr>
            </w:pPr>
            <w:r w:rsidRPr="00200549">
              <w:rPr>
                <w:sz w:val="22"/>
                <w:szCs w:val="22"/>
              </w:rPr>
              <w:t>$116.27</w:t>
            </w:r>
          </w:p>
        </w:tc>
      </w:tr>
      <w:tr w:rsidR="00C55B71" w:rsidRPr="00200549" w14:paraId="266DBACE"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59743DEE" w14:textId="5BD69B81" w:rsidR="00C55B71" w:rsidRPr="00200549" w:rsidRDefault="00C55B71" w:rsidP="000D412E">
            <w:pPr>
              <w:contextualSpacing/>
              <w:jc w:val="center"/>
              <w:rPr>
                <w:bCs/>
                <w:sz w:val="22"/>
                <w:szCs w:val="22"/>
              </w:rPr>
            </w:pPr>
            <w:r w:rsidRPr="00200549">
              <w:rPr>
                <w:rFonts w:cs="Arial"/>
                <w:color w:val="212529"/>
                <w:sz w:val="22"/>
                <w:szCs w:val="22"/>
              </w:rPr>
              <w:t>E0469</w:t>
            </w:r>
          </w:p>
        </w:tc>
        <w:tc>
          <w:tcPr>
            <w:tcW w:w="1119" w:type="dxa"/>
            <w:tcBorders>
              <w:top w:val="nil"/>
              <w:left w:val="nil"/>
              <w:bottom w:val="single" w:sz="4" w:space="0" w:color="auto"/>
              <w:right w:val="nil"/>
            </w:tcBorders>
            <w:shd w:val="clear" w:color="auto" w:fill="auto"/>
            <w:vAlign w:val="center"/>
          </w:tcPr>
          <w:p w14:paraId="184545B7" w14:textId="6EB7C742" w:rsidR="00C55B71" w:rsidRPr="00200549" w:rsidRDefault="00C55B71" w:rsidP="000D412E">
            <w:pPr>
              <w:contextualSpacing/>
              <w:jc w:val="center"/>
              <w:rPr>
                <w:sz w:val="22"/>
                <w:szCs w:val="22"/>
              </w:rPr>
            </w:pPr>
            <w:r w:rsidRPr="00200549">
              <w:rPr>
                <w:rFonts w:cs="Arial"/>
                <w:color w:val="000000"/>
                <w:sz w:val="22"/>
                <w:szCs w:val="22"/>
              </w:rPr>
              <w:t>NU</w:t>
            </w: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5B78B325" w14:textId="3E53A89A" w:rsidR="00C55B71" w:rsidRPr="00200549" w:rsidRDefault="00200549" w:rsidP="00C55B71">
            <w:pPr>
              <w:contextualSpacing/>
              <w:rPr>
                <w:bCs/>
                <w:sz w:val="22"/>
                <w:szCs w:val="22"/>
              </w:rPr>
            </w:pPr>
            <w:r w:rsidRPr="00200549">
              <w:rPr>
                <w:rFonts w:cs="Arial"/>
                <w:color w:val="212529"/>
                <w:sz w:val="22"/>
                <w:szCs w:val="22"/>
              </w:rPr>
              <w:t>Lung expansion airway clearance, continuous high frequency oscillation, and nebulization device</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07D6A8F" w14:textId="7A7A5376" w:rsidR="00C55B71" w:rsidRPr="00200549" w:rsidRDefault="00C55B71" w:rsidP="00C55B71">
            <w:pPr>
              <w:contextualSpacing/>
              <w:jc w:val="center"/>
              <w:rPr>
                <w:bCs/>
                <w:sz w:val="22"/>
                <w:szCs w:val="22"/>
              </w:rPr>
            </w:pPr>
            <w:r w:rsidRPr="00200549">
              <w:rPr>
                <w:sz w:val="22"/>
                <w:szCs w:val="22"/>
              </w:rPr>
              <w:t>$</w:t>
            </w:r>
            <w:r w:rsidR="00580628" w:rsidRPr="00200549">
              <w:rPr>
                <w:sz w:val="22"/>
                <w:szCs w:val="22"/>
              </w:rPr>
              <w:t>15,006.80</w:t>
            </w:r>
          </w:p>
        </w:tc>
      </w:tr>
      <w:tr w:rsidR="00C55B71" w:rsidRPr="00200549" w14:paraId="0CBE10D1"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5AA435EB" w14:textId="69BB5430" w:rsidR="00C55B71" w:rsidRPr="00200549" w:rsidRDefault="00C55B71" w:rsidP="000D412E">
            <w:pPr>
              <w:contextualSpacing/>
              <w:jc w:val="center"/>
              <w:rPr>
                <w:bCs/>
                <w:sz w:val="22"/>
                <w:szCs w:val="22"/>
              </w:rPr>
            </w:pPr>
            <w:r w:rsidRPr="00200549">
              <w:rPr>
                <w:rFonts w:cs="Arial"/>
                <w:color w:val="212529"/>
                <w:sz w:val="22"/>
                <w:szCs w:val="22"/>
              </w:rPr>
              <w:t>E0469</w:t>
            </w:r>
          </w:p>
        </w:tc>
        <w:tc>
          <w:tcPr>
            <w:tcW w:w="1119" w:type="dxa"/>
            <w:tcBorders>
              <w:top w:val="nil"/>
              <w:left w:val="nil"/>
              <w:bottom w:val="single" w:sz="4" w:space="0" w:color="auto"/>
              <w:right w:val="nil"/>
            </w:tcBorders>
            <w:shd w:val="clear" w:color="auto" w:fill="auto"/>
            <w:vAlign w:val="center"/>
          </w:tcPr>
          <w:p w14:paraId="1C2B87BD" w14:textId="6B3C6461" w:rsidR="00C55B71" w:rsidRPr="00200549" w:rsidRDefault="00C55B71" w:rsidP="000D412E">
            <w:pPr>
              <w:contextualSpacing/>
              <w:jc w:val="center"/>
              <w:rPr>
                <w:sz w:val="22"/>
                <w:szCs w:val="22"/>
              </w:rPr>
            </w:pPr>
            <w:r w:rsidRPr="00200549">
              <w:rPr>
                <w:rFonts w:cs="Arial"/>
                <w:color w:val="000000"/>
                <w:sz w:val="22"/>
                <w:szCs w:val="22"/>
              </w:rPr>
              <w:t>UE</w:t>
            </w: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68B56457" w14:textId="15EE3363" w:rsidR="00C55B71" w:rsidRPr="00200549" w:rsidRDefault="00200549" w:rsidP="00C55B71">
            <w:pPr>
              <w:contextualSpacing/>
              <w:rPr>
                <w:bCs/>
                <w:sz w:val="22"/>
                <w:szCs w:val="22"/>
              </w:rPr>
            </w:pPr>
            <w:r w:rsidRPr="00200549">
              <w:rPr>
                <w:rFonts w:cs="Arial"/>
                <w:color w:val="212529"/>
                <w:sz w:val="22"/>
                <w:szCs w:val="22"/>
              </w:rPr>
              <w:t>Lung expansion airway clearance, continuous high frequency oscillation, and nebulization device</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1D753FF" w14:textId="6B41C509" w:rsidR="00C55B71" w:rsidRPr="00200549" w:rsidRDefault="00580628" w:rsidP="00C55B71">
            <w:pPr>
              <w:contextualSpacing/>
              <w:jc w:val="center"/>
              <w:rPr>
                <w:bCs/>
                <w:sz w:val="22"/>
                <w:szCs w:val="22"/>
              </w:rPr>
            </w:pPr>
            <w:r w:rsidRPr="00200549">
              <w:rPr>
                <w:sz w:val="22"/>
                <w:szCs w:val="22"/>
              </w:rPr>
              <w:t>$</w:t>
            </w:r>
            <w:r w:rsidR="0073115A" w:rsidRPr="00200549">
              <w:rPr>
                <w:sz w:val="22"/>
                <w:szCs w:val="22"/>
              </w:rPr>
              <w:t>11,255.10</w:t>
            </w:r>
          </w:p>
        </w:tc>
      </w:tr>
      <w:tr w:rsidR="00C55B71" w:rsidRPr="00200549" w14:paraId="500274C5"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297D7B9" w14:textId="6ECCE88E" w:rsidR="00C55B71" w:rsidRPr="00200549" w:rsidRDefault="00C55B71" w:rsidP="000D412E">
            <w:pPr>
              <w:contextualSpacing/>
              <w:jc w:val="center"/>
              <w:rPr>
                <w:bCs/>
                <w:sz w:val="22"/>
                <w:szCs w:val="22"/>
              </w:rPr>
            </w:pPr>
            <w:r w:rsidRPr="00200549">
              <w:rPr>
                <w:rFonts w:cs="Arial"/>
                <w:color w:val="212529"/>
                <w:sz w:val="22"/>
                <w:szCs w:val="22"/>
              </w:rPr>
              <w:t>E0469</w:t>
            </w:r>
          </w:p>
        </w:tc>
        <w:tc>
          <w:tcPr>
            <w:tcW w:w="1119" w:type="dxa"/>
            <w:tcBorders>
              <w:top w:val="nil"/>
              <w:left w:val="nil"/>
              <w:bottom w:val="single" w:sz="4" w:space="0" w:color="auto"/>
              <w:right w:val="nil"/>
            </w:tcBorders>
            <w:shd w:val="clear" w:color="auto" w:fill="auto"/>
            <w:vAlign w:val="center"/>
          </w:tcPr>
          <w:p w14:paraId="0939A2F4" w14:textId="5530EA3F" w:rsidR="00C55B71" w:rsidRPr="00200549" w:rsidRDefault="00C55B71" w:rsidP="000D412E">
            <w:pPr>
              <w:contextualSpacing/>
              <w:jc w:val="center"/>
              <w:rPr>
                <w:sz w:val="22"/>
                <w:szCs w:val="22"/>
              </w:rPr>
            </w:pPr>
            <w:r w:rsidRPr="00200549">
              <w:rPr>
                <w:rFonts w:cs="Arial"/>
                <w:color w:val="000000"/>
                <w:sz w:val="22"/>
                <w:szCs w:val="22"/>
              </w:rPr>
              <w:t>K</w:t>
            </w:r>
            <w:r w:rsidR="00355E08" w:rsidRPr="00200549">
              <w:rPr>
                <w:rFonts w:cs="Arial"/>
                <w:color w:val="000000"/>
                <w:sz w:val="22"/>
                <w:szCs w:val="22"/>
              </w:rPr>
              <w:t>H</w:t>
            </w: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463BBE15" w14:textId="2BAE6A63" w:rsidR="00C55B71" w:rsidRPr="00200549" w:rsidRDefault="00200549" w:rsidP="00C55B71">
            <w:pPr>
              <w:contextualSpacing/>
              <w:rPr>
                <w:bCs/>
                <w:sz w:val="22"/>
                <w:szCs w:val="22"/>
              </w:rPr>
            </w:pPr>
            <w:r w:rsidRPr="00200549">
              <w:rPr>
                <w:rFonts w:cs="Arial"/>
                <w:color w:val="212529"/>
                <w:sz w:val="22"/>
                <w:szCs w:val="22"/>
              </w:rPr>
              <w:t>Lung expansion airway clearance, continuous high frequency oscillation, and nebulization device</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CF7F86D" w14:textId="58CBBD34" w:rsidR="00C55B71" w:rsidRPr="00200549" w:rsidRDefault="0073115A" w:rsidP="00C55B71">
            <w:pPr>
              <w:contextualSpacing/>
              <w:jc w:val="center"/>
              <w:rPr>
                <w:bCs/>
                <w:sz w:val="22"/>
                <w:szCs w:val="22"/>
              </w:rPr>
            </w:pPr>
            <w:r w:rsidRPr="00200549">
              <w:rPr>
                <w:sz w:val="22"/>
                <w:szCs w:val="22"/>
              </w:rPr>
              <w:t>$1,500.68</w:t>
            </w:r>
          </w:p>
        </w:tc>
      </w:tr>
      <w:tr w:rsidR="00C55B71" w:rsidRPr="00200549" w14:paraId="2D0BAB74"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946771F" w14:textId="30E220B5" w:rsidR="00C55B71" w:rsidRPr="00200549" w:rsidRDefault="00C55B71" w:rsidP="000D412E">
            <w:pPr>
              <w:contextualSpacing/>
              <w:jc w:val="center"/>
              <w:rPr>
                <w:bCs/>
                <w:sz w:val="22"/>
                <w:szCs w:val="22"/>
              </w:rPr>
            </w:pPr>
            <w:r w:rsidRPr="00200549">
              <w:rPr>
                <w:rFonts w:cs="Arial"/>
                <w:color w:val="212529"/>
                <w:sz w:val="22"/>
                <w:szCs w:val="22"/>
              </w:rPr>
              <w:t>E0469</w:t>
            </w:r>
          </w:p>
        </w:tc>
        <w:tc>
          <w:tcPr>
            <w:tcW w:w="1119" w:type="dxa"/>
            <w:tcBorders>
              <w:top w:val="nil"/>
              <w:left w:val="nil"/>
              <w:bottom w:val="single" w:sz="4" w:space="0" w:color="auto"/>
              <w:right w:val="nil"/>
            </w:tcBorders>
            <w:shd w:val="clear" w:color="auto" w:fill="auto"/>
            <w:vAlign w:val="center"/>
          </w:tcPr>
          <w:p w14:paraId="72A77090" w14:textId="1B26675C" w:rsidR="00C55B71" w:rsidRPr="00200549" w:rsidRDefault="00C55B71" w:rsidP="000D412E">
            <w:pPr>
              <w:contextualSpacing/>
              <w:jc w:val="center"/>
              <w:rPr>
                <w:sz w:val="22"/>
                <w:szCs w:val="22"/>
              </w:rPr>
            </w:pPr>
            <w:r w:rsidRPr="00200549">
              <w:rPr>
                <w:rFonts w:cs="Arial"/>
                <w:color w:val="000000"/>
                <w:sz w:val="22"/>
                <w:szCs w:val="22"/>
              </w:rPr>
              <w:t>K</w:t>
            </w:r>
            <w:r w:rsidR="00355E08" w:rsidRPr="00200549">
              <w:rPr>
                <w:rFonts w:cs="Arial"/>
                <w:color w:val="000000"/>
                <w:sz w:val="22"/>
                <w:szCs w:val="22"/>
              </w:rPr>
              <w:t>I</w:t>
            </w: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6F5493A9" w14:textId="5629483C" w:rsidR="00C55B71" w:rsidRPr="00200549" w:rsidRDefault="00200549" w:rsidP="00C55B71">
            <w:pPr>
              <w:contextualSpacing/>
              <w:rPr>
                <w:bCs/>
                <w:sz w:val="22"/>
                <w:szCs w:val="22"/>
              </w:rPr>
            </w:pPr>
            <w:r w:rsidRPr="00200549">
              <w:rPr>
                <w:rFonts w:cs="Arial"/>
                <w:color w:val="212529"/>
                <w:sz w:val="22"/>
                <w:szCs w:val="22"/>
              </w:rPr>
              <w:t>Lung expansion airway clearance, continuous high frequency oscillation, and nebulization device</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AB1AB77" w14:textId="65E11A4E" w:rsidR="00C55B71" w:rsidRPr="00200549" w:rsidRDefault="0073115A" w:rsidP="00C55B71">
            <w:pPr>
              <w:contextualSpacing/>
              <w:jc w:val="center"/>
              <w:rPr>
                <w:bCs/>
                <w:sz w:val="22"/>
                <w:szCs w:val="22"/>
              </w:rPr>
            </w:pPr>
            <w:r w:rsidRPr="00200549">
              <w:rPr>
                <w:sz w:val="22"/>
                <w:szCs w:val="22"/>
              </w:rPr>
              <w:t>$1,500.68</w:t>
            </w:r>
          </w:p>
        </w:tc>
      </w:tr>
      <w:tr w:rsidR="00C55B71" w:rsidRPr="00200549" w14:paraId="2BDC1CEB"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3BD55F6" w14:textId="24229AF7" w:rsidR="00C55B71" w:rsidRPr="00200549" w:rsidRDefault="00C55B71" w:rsidP="000D412E">
            <w:pPr>
              <w:contextualSpacing/>
              <w:jc w:val="center"/>
              <w:rPr>
                <w:bCs/>
                <w:sz w:val="22"/>
                <w:szCs w:val="22"/>
              </w:rPr>
            </w:pPr>
            <w:r w:rsidRPr="00200549">
              <w:rPr>
                <w:rFonts w:cs="Arial"/>
                <w:color w:val="212529"/>
                <w:sz w:val="22"/>
                <w:szCs w:val="22"/>
              </w:rPr>
              <w:t>E0469</w:t>
            </w:r>
          </w:p>
        </w:tc>
        <w:tc>
          <w:tcPr>
            <w:tcW w:w="1119" w:type="dxa"/>
            <w:tcBorders>
              <w:top w:val="nil"/>
              <w:left w:val="nil"/>
              <w:bottom w:val="single" w:sz="4" w:space="0" w:color="auto"/>
              <w:right w:val="nil"/>
            </w:tcBorders>
            <w:shd w:val="clear" w:color="auto" w:fill="auto"/>
            <w:vAlign w:val="center"/>
          </w:tcPr>
          <w:p w14:paraId="49656082" w14:textId="5E9FCC0C" w:rsidR="00C55B71" w:rsidRPr="00200549" w:rsidRDefault="00C55B71" w:rsidP="000D412E">
            <w:pPr>
              <w:contextualSpacing/>
              <w:jc w:val="center"/>
              <w:rPr>
                <w:sz w:val="22"/>
                <w:szCs w:val="22"/>
              </w:rPr>
            </w:pPr>
            <w:r w:rsidRPr="00200549">
              <w:rPr>
                <w:rFonts w:cs="Arial"/>
                <w:color w:val="000000"/>
                <w:sz w:val="22"/>
                <w:szCs w:val="22"/>
              </w:rPr>
              <w:t>KJ</w:t>
            </w: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01978986" w14:textId="0B58C1D1" w:rsidR="00C55B71" w:rsidRPr="00200549" w:rsidRDefault="00200549" w:rsidP="00C55B71">
            <w:pPr>
              <w:contextualSpacing/>
              <w:rPr>
                <w:bCs/>
                <w:sz w:val="22"/>
                <w:szCs w:val="22"/>
              </w:rPr>
            </w:pPr>
            <w:r w:rsidRPr="00200549">
              <w:rPr>
                <w:rFonts w:cs="Arial"/>
                <w:color w:val="212529"/>
                <w:sz w:val="22"/>
                <w:szCs w:val="22"/>
              </w:rPr>
              <w:t>Lung expansion airway clearance, continuous high frequency oscillation, and nebulization device</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D839446" w14:textId="2B9FB990" w:rsidR="00C55B71" w:rsidRPr="00200549" w:rsidRDefault="0073115A" w:rsidP="00C55B71">
            <w:pPr>
              <w:contextualSpacing/>
              <w:jc w:val="center"/>
              <w:rPr>
                <w:bCs/>
                <w:sz w:val="22"/>
                <w:szCs w:val="22"/>
              </w:rPr>
            </w:pPr>
            <w:r w:rsidRPr="00200549">
              <w:rPr>
                <w:sz w:val="22"/>
                <w:szCs w:val="22"/>
              </w:rPr>
              <w:t>$1,125.51</w:t>
            </w:r>
          </w:p>
        </w:tc>
      </w:tr>
      <w:tr w:rsidR="00C55B71" w:rsidRPr="00200549" w14:paraId="4D355E35"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64E4065" w14:textId="168DDFA6" w:rsidR="00C55B71" w:rsidRPr="00200549" w:rsidRDefault="00C55B71" w:rsidP="000D412E">
            <w:pPr>
              <w:contextualSpacing/>
              <w:jc w:val="center"/>
              <w:rPr>
                <w:bCs/>
                <w:sz w:val="22"/>
                <w:szCs w:val="22"/>
              </w:rPr>
            </w:pPr>
            <w:r w:rsidRPr="00200549">
              <w:rPr>
                <w:rFonts w:cs="Arial"/>
                <w:color w:val="212529"/>
                <w:sz w:val="22"/>
                <w:szCs w:val="22"/>
              </w:rPr>
              <w:t>E0683</w:t>
            </w:r>
          </w:p>
        </w:tc>
        <w:tc>
          <w:tcPr>
            <w:tcW w:w="1119" w:type="dxa"/>
            <w:tcBorders>
              <w:top w:val="nil"/>
              <w:left w:val="nil"/>
              <w:bottom w:val="single" w:sz="4" w:space="0" w:color="auto"/>
              <w:right w:val="nil"/>
            </w:tcBorders>
            <w:shd w:val="clear" w:color="auto" w:fill="auto"/>
            <w:vAlign w:val="center"/>
          </w:tcPr>
          <w:p w14:paraId="5B0FBCE8" w14:textId="5BC99FEC" w:rsidR="00C55B71" w:rsidRPr="00200549" w:rsidRDefault="00C55B71" w:rsidP="000D412E">
            <w:pPr>
              <w:contextualSpacing/>
              <w:jc w:val="center"/>
              <w:rPr>
                <w:sz w:val="22"/>
                <w:szCs w:val="22"/>
              </w:rPr>
            </w:pPr>
            <w:r w:rsidRPr="00200549">
              <w:rPr>
                <w:rFonts w:cs="Arial"/>
                <w:color w:val="000000"/>
                <w:sz w:val="22"/>
                <w:szCs w:val="22"/>
              </w:rPr>
              <w:t>NU</w:t>
            </w: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73093CCA" w14:textId="73044411" w:rsidR="00C55B71" w:rsidRPr="00200549" w:rsidRDefault="00200549" w:rsidP="00C55B71">
            <w:pPr>
              <w:contextualSpacing/>
              <w:rPr>
                <w:bCs/>
                <w:sz w:val="22"/>
                <w:szCs w:val="22"/>
              </w:rPr>
            </w:pPr>
            <w:r w:rsidRPr="00200549">
              <w:rPr>
                <w:rFonts w:cs="Arial"/>
                <w:color w:val="212529"/>
                <w:sz w:val="22"/>
                <w:szCs w:val="22"/>
              </w:rPr>
              <w:t>Non-pneumatic, non-sequential, peristaltic wave compression pump</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46E0EAA" w14:textId="7D824672" w:rsidR="00C55B71" w:rsidRPr="00200549" w:rsidRDefault="008C0A07" w:rsidP="00C55B71">
            <w:pPr>
              <w:contextualSpacing/>
              <w:jc w:val="center"/>
              <w:rPr>
                <w:bCs/>
                <w:sz w:val="22"/>
                <w:szCs w:val="22"/>
              </w:rPr>
            </w:pPr>
            <w:r w:rsidRPr="00200549">
              <w:rPr>
                <w:sz w:val="22"/>
                <w:szCs w:val="22"/>
              </w:rPr>
              <w:t>$780.60</w:t>
            </w:r>
          </w:p>
        </w:tc>
      </w:tr>
      <w:tr w:rsidR="00C55B71" w:rsidRPr="00200549" w14:paraId="0E8C3386"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136BF7EA" w14:textId="30340E91" w:rsidR="00C55B71" w:rsidRPr="00200549" w:rsidRDefault="00C55B71" w:rsidP="000D412E">
            <w:pPr>
              <w:contextualSpacing/>
              <w:jc w:val="center"/>
              <w:rPr>
                <w:bCs/>
                <w:sz w:val="22"/>
                <w:szCs w:val="22"/>
              </w:rPr>
            </w:pPr>
            <w:r w:rsidRPr="00200549">
              <w:rPr>
                <w:rFonts w:cs="Arial"/>
                <w:color w:val="212529"/>
                <w:sz w:val="22"/>
                <w:szCs w:val="22"/>
              </w:rPr>
              <w:t>E0683</w:t>
            </w:r>
          </w:p>
        </w:tc>
        <w:tc>
          <w:tcPr>
            <w:tcW w:w="1119" w:type="dxa"/>
            <w:tcBorders>
              <w:top w:val="nil"/>
              <w:left w:val="nil"/>
              <w:bottom w:val="single" w:sz="4" w:space="0" w:color="auto"/>
              <w:right w:val="nil"/>
            </w:tcBorders>
            <w:shd w:val="clear" w:color="auto" w:fill="auto"/>
            <w:vAlign w:val="center"/>
          </w:tcPr>
          <w:p w14:paraId="70233FF9" w14:textId="513982FF" w:rsidR="00C55B71" w:rsidRPr="00200549" w:rsidRDefault="00C55B71" w:rsidP="000D412E">
            <w:pPr>
              <w:contextualSpacing/>
              <w:jc w:val="center"/>
              <w:rPr>
                <w:sz w:val="22"/>
                <w:szCs w:val="22"/>
              </w:rPr>
            </w:pPr>
            <w:r w:rsidRPr="00200549">
              <w:rPr>
                <w:rFonts w:cs="Arial"/>
                <w:color w:val="000000"/>
                <w:sz w:val="22"/>
                <w:szCs w:val="22"/>
              </w:rPr>
              <w:t>UE</w:t>
            </w: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30128BA0" w14:textId="6E5323C7" w:rsidR="00C55B71" w:rsidRPr="00200549" w:rsidRDefault="00200549" w:rsidP="00C55B71">
            <w:pPr>
              <w:contextualSpacing/>
              <w:rPr>
                <w:bCs/>
                <w:sz w:val="22"/>
                <w:szCs w:val="22"/>
              </w:rPr>
            </w:pPr>
            <w:r w:rsidRPr="00200549">
              <w:rPr>
                <w:rFonts w:cs="Arial"/>
                <w:color w:val="212529"/>
                <w:sz w:val="22"/>
                <w:szCs w:val="22"/>
              </w:rPr>
              <w:t>Non-pneumatic, non-sequential, peristaltic wave compression pump</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28334C4" w14:textId="5BE57BA6" w:rsidR="00C55B71" w:rsidRPr="00200549" w:rsidRDefault="008C0A07" w:rsidP="00C55B71">
            <w:pPr>
              <w:contextualSpacing/>
              <w:jc w:val="center"/>
              <w:rPr>
                <w:bCs/>
                <w:sz w:val="22"/>
                <w:szCs w:val="22"/>
              </w:rPr>
            </w:pPr>
            <w:r w:rsidRPr="00200549">
              <w:rPr>
                <w:sz w:val="22"/>
                <w:szCs w:val="22"/>
              </w:rPr>
              <w:t>$585.45</w:t>
            </w:r>
          </w:p>
        </w:tc>
      </w:tr>
      <w:tr w:rsidR="00C55B71" w:rsidRPr="00200549" w14:paraId="53C3D460"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33A159DF" w14:textId="4AD0D49F" w:rsidR="00C55B71" w:rsidRPr="00200549" w:rsidRDefault="00C55B71" w:rsidP="000D412E">
            <w:pPr>
              <w:contextualSpacing/>
              <w:jc w:val="center"/>
              <w:rPr>
                <w:bCs/>
                <w:sz w:val="22"/>
                <w:szCs w:val="22"/>
              </w:rPr>
            </w:pPr>
            <w:r w:rsidRPr="00200549">
              <w:rPr>
                <w:rFonts w:cs="Arial"/>
                <w:color w:val="212529"/>
                <w:sz w:val="22"/>
                <w:szCs w:val="22"/>
              </w:rPr>
              <w:t>E0683</w:t>
            </w:r>
          </w:p>
        </w:tc>
        <w:tc>
          <w:tcPr>
            <w:tcW w:w="1119" w:type="dxa"/>
            <w:tcBorders>
              <w:top w:val="nil"/>
              <w:left w:val="nil"/>
              <w:bottom w:val="single" w:sz="4" w:space="0" w:color="auto"/>
              <w:right w:val="nil"/>
            </w:tcBorders>
            <w:shd w:val="clear" w:color="auto" w:fill="auto"/>
            <w:vAlign w:val="center"/>
          </w:tcPr>
          <w:p w14:paraId="02357D7E" w14:textId="7ED8DB8A" w:rsidR="00C55B71" w:rsidRPr="00200549" w:rsidRDefault="00C55B71" w:rsidP="000D412E">
            <w:pPr>
              <w:contextualSpacing/>
              <w:jc w:val="center"/>
              <w:rPr>
                <w:sz w:val="22"/>
                <w:szCs w:val="22"/>
              </w:rPr>
            </w:pPr>
            <w:r w:rsidRPr="00200549">
              <w:rPr>
                <w:rFonts w:cs="Arial"/>
                <w:color w:val="000000"/>
                <w:sz w:val="22"/>
                <w:szCs w:val="22"/>
              </w:rPr>
              <w:t>KH</w:t>
            </w: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500190B5" w14:textId="6EF261BF" w:rsidR="00C55B71" w:rsidRPr="00200549" w:rsidRDefault="00200549" w:rsidP="00C55B71">
            <w:pPr>
              <w:contextualSpacing/>
              <w:rPr>
                <w:bCs/>
                <w:sz w:val="22"/>
                <w:szCs w:val="22"/>
              </w:rPr>
            </w:pPr>
            <w:r w:rsidRPr="00200549">
              <w:rPr>
                <w:rFonts w:cs="Arial"/>
                <w:color w:val="212529"/>
                <w:sz w:val="22"/>
                <w:szCs w:val="22"/>
              </w:rPr>
              <w:t>Non-pneumatic, non-sequential, peristaltic wave compression pump</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71961A5" w14:textId="6B39CCC6" w:rsidR="00C55B71" w:rsidRPr="00200549" w:rsidRDefault="008C0A07" w:rsidP="00C55B71">
            <w:pPr>
              <w:contextualSpacing/>
              <w:jc w:val="center"/>
              <w:rPr>
                <w:bCs/>
                <w:sz w:val="22"/>
                <w:szCs w:val="22"/>
              </w:rPr>
            </w:pPr>
            <w:r w:rsidRPr="00200549">
              <w:rPr>
                <w:sz w:val="22"/>
                <w:szCs w:val="22"/>
              </w:rPr>
              <w:t>$</w:t>
            </w:r>
            <w:r w:rsidR="00CB4A21" w:rsidRPr="00200549">
              <w:rPr>
                <w:sz w:val="22"/>
                <w:szCs w:val="22"/>
              </w:rPr>
              <w:t>78.06</w:t>
            </w:r>
          </w:p>
        </w:tc>
      </w:tr>
      <w:tr w:rsidR="00C55B71" w:rsidRPr="00200549" w14:paraId="475A9BB1"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1AB75420" w14:textId="09AA659F" w:rsidR="00C55B71" w:rsidRPr="00200549" w:rsidRDefault="00C55B71" w:rsidP="000D412E">
            <w:pPr>
              <w:contextualSpacing/>
              <w:jc w:val="center"/>
              <w:rPr>
                <w:bCs/>
                <w:sz w:val="22"/>
                <w:szCs w:val="22"/>
              </w:rPr>
            </w:pPr>
            <w:r w:rsidRPr="00200549">
              <w:rPr>
                <w:rFonts w:cs="Arial"/>
                <w:color w:val="212529"/>
                <w:sz w:val="22"/>
                <w:szCs w:val="22"/>
              </w:rPr>
              <w:t>E0683</w:t>
            </w:r>
          </w:p>
        </w:tc>
        <w:tc>
          <w:tcPr>
            <w:tcW w:w="1119" w:type="dxa"/>
            <w:tcBorders>
              <w:top w:val="nil"/>
              <w:left w:val="nil"/>
              <w:bottom w:val="single" w:sz="4" w:space="0" w:color="auto"/>
              <w:right w:val="nil"/>
            </w:tcBorders>
            <w:shd w:val="clear" w:color="auto" w:fill="auto"/>
            <w:vAlign w:val="center"/>
          </w:tcPr>
          <w:p w14:paraId="2390BC6F" w14:textId="218E7008" w:rsidR="00C55B71" w:rsidRPr="00200549" w:rsidRDefault="00C55B71" w:rsidP="000D412E">
            <w:pPr>
              <w:contextualSpacing/>
              <w:jc w:val="center"/>
              <w:rPr>
                <w:sz w:val="22"/>
                <w:szCs w:val="22"/>
              </w:rPr>
            </w:pPr>
            <w:r w:rsidRPr="00200549">
              <w:rPr>
                <w:rFonts w:cs="Arial"/>
                <w:color w:val="000000"/>
                <w:sz w:val="22"/>
                <w:szCs w:val="22"/>
              </w:rPr>
              <w:t>KI</w:t>
            </w: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0622FCA9" w14:textId="0F74B079" w:rsidR="00C55B71" w:rsidRPr="00200549" w:rsidRDefault="00200549" w:rsidP="00C55B71">
            <w:pPr>
              <w:contextualSpacing/>
              <w:rPr>
                <w:bCs/>
                <w:sz w:val="22"/>
                <w:szCs w:val="22"/>
              </w:rPr>
            </w:pPr>
            <w:r w:rsidRPr="00200549">
              <w:rPr>
                <w:rFonts w:cs="Arial"/>
                <w:color w:val="212529"/>
                <w:sz w:val="22"/>
                <w:szCs w:val="22"/>
              </w:rPr>
              <w:t>Non-pneumatic, non-sequential, peristaltic wave compression pump</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743993E" w14:textId="5ADBE2EE" w:rsidR="00C55B71" w:rsidRPr="00200549" w:rsidRDefault="00CB4A21" w:rsidP="00C55B71">
            <w:pPr>
              <w:contextualSpacing/>
              <w:jc w:val="center"/>
              <w:rPr>
                <w:bCs/>
                <w:sz w:val="22"/>
                <w:szCs w:val="22"/>
              </w:rPr>
            </w:pPr>
            <w:r w:rsidRPr="00200549">
              <w:rPr>
                <w:sz w:val="22"/>
                <w:szCs w:val="22"/>
              </w:rPr>
              <w:t>$78.06</w:t>
            </w:r>
          </w:p>
        </w:tc>
      </w:tr>
      <w:tr w:rsidR="00C55B71" w:rsidRPr="00200549" w14:paraId="334FC860"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A13A9AB" w14:textId="1580A959" w:rsidR="00C55B71" w:rsidRPr="00200549" w:rsidRDefault="00C55B71" w:rsidP="000D412E">
            <w:pPr>
              <w:contextualSpacing/>
              <w:jc w:val="center"/>
              <w:rPr>
                <w:bCs/>
                <w:sz w:val="22"/>
                <w:szCs w:val="22"/>
              </w:rPr>
            </w:pPr>
            <w:r w:rsidRPr="00200549">
              <w:rPr>
                <w:rFonts w:cs="Arial"/>
                <w:color w:val="212529"/>
                <w:sz w:val="22"/>
                <w:szCs w:val="22"/>
              </w:rPr>
              <w:t>E0683</w:t>
            </w:r>
          </w:p>
        </w:tc>
        <w:tc>
          <w:tcPr>
            <w:tcW w:w="1119" w:type="dxa"/>
            <w:tcBorders>
              <w:top w:val="nil"/>
              <w:left w:val="nil"/>
              <w:bottom w:val="single" w:sz="4" w:space="0" w:color="auto"/>
              <w:right w:val="nil"/>
            </w:tcBorders>
            <w:shd w:val="clear" w:color="auto" w:fill="auto"/>
            <w:vAlign w:val="center"/>
          </w:tcPr>
          <w:p w14:paraId="5C2E7824" w14:textId="47E03FF0" w:rsidR="00C55B71" w:rsidRPr="00200549" w:rsidRDefault="00C55B71" w:rsidP="000D412E">
            <w:pPr>
              <w:contextualSpacing/>
              <w:jc w:val="center"/>
              <w:rPr>
                <w:sz w:val="22"/>
                <w:szCs w:val="22"/>
              </w:rPr>
            </w:pPr>
            <w:r w:rsidRPr="00200549">
              <w:rPr>
                <w:rFonts w:cs="Arial"/>
                <w:color w:val="000000"/>
                <w:sz w:val="22"/>
                <w:szCs w:val="22"/>
              </w:rPr>
              <w:t>KJ</w:t>
            </w: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5F60F330" w14:textId="1FD0B845" w:rsidR="00C55B71" w:rsidRPr="00200549" w:rsidRDefault="00200549" w:rsidP="00C55B71">
            <w:pPr>
              <w:contextualSpacing/>
              <w:rPr>
                <w:bCs/>
                <w:sz w:val="22"/>
                <w:szCs w:val="22"/>
              </w:rPr>
            </w:pPr>
            <w:r w:rsidRPr="00200549">
              <w:rPr>
                <w:rFonts w:cs="Arial"/>
                <w:color w:val="212529"/>
                <w:sz w:val="22"/>
                <w:szCs w:val="22"/>
              </w:rPr>
              <w:t>Non-pneumatic, non-sequential, peristaltic wave compression pump</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55E7233" w14:textId="60B9D6C0" w:rsidR="00C55B71" w:rsidRPr="00200549" w:rsidRDefault="00CB4A21" w:rsidP="00C55B71">
            <w:pPr>
              <w:contextualSpacing/>
              <w:jc w:val="center"/>
              <w:rPr>
                <w:bCs/>
                <w:sz w:val="22"/>
                <w:szCs w:val="22"/>
              </w:rPr>
            </w:pPr>
            <w:r w:rsidRPr="00200549">
              <w:rPr>
                <w:sz w:val="22"/>
                <w:szCs w:val="22"/>
              </w:rPr>
              <w:t>$58.55</w:t>
            </w:r>
          </w:p>
        </w:tc>
      </w:tr>
      <w:tr w:rsidR="00C55B71" w:rsidRPr="00200549" w14:paraId="27879AE1"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16C6C70C" w14:textId="3ACE71EC" w:rsidR="00C55B71" w:rsidRPr="00200549" w:rsidRDefault="00C55B71" w:rsidP="000D412E">
            <w:pPr>
              <w:contextualSpacing/>
              <w:jc w:val="center"/>
              <w:rPr>
                <w:bCs/>
                <w:sz w:val="22"/>
                <w:szCs w:val="22"/>
              </w:rPr>
            </w:pPr>
            <w:r w:rsidRPr="00200549">
              <w:rPr>
                <w:rFonts w:cs="Arial"/>
                <w:color w:val="212529"/>
                <w:sz w:val="22"/>
                <w:szCs w:val="22"/>
              </w:rPr>
              <w:t>E0715</w:t>
            </w:r>
          </w:p>
        </w:tc>
        <w:tc>
          <w:tcPr>
            <w:tcW w:w="1119" w:type="dxa"/>
            <w:tcBorders>
              <w:top w:val="nil"/>
              <w:left w:val="nil"/>
              <w:bottom w:val="single" w:sz="4" w:space="0" w:color="auto"/>
              <w:right w:val="nil"/>
            </w:tcBorders>
            <w:shd w:val="clear" w:color="auto" w:fill="auto"/>
            <w:vAlign w:val="center"/>
          </w:tcPr>
          <w:p w14:paraId="6020FB20" w14:textId="5A47BDDC"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62CEC55D" w14:textId="38AC208F" w:rsidR="00C55B71" w:rsidRPr="00200549" w:rsidRDefault="00200549" w:rsidP="00C55B71">
            <w:pPr>
              <w:contextualSpacing/>
              <w:rPr>
                <w:bCs/>
                <w:sz w:val="22"/>
                <w:szCs w:val="22"/>
              </w:rPr>
            </w:pPr>
            <w:r w:rsidRPr="00200549">
              <w:rPr>
                <w:rFonts w:cs="Arial"/>
                <w:color w:val="212529"/>
                <w:sz w:val="22"/>
                <w:szCs w:val="22"/>
              </w:rPr>
              <w:t xml:space="preserve">Intravaginal device intended to strengthen pelvic floor muscles during </w:t>
            </w:r>
            <w:proofErr w:type="spellStart"/>
            <w:r w:rsidRPr="00200549">
              <w:rPr>
                <w:rFonts w:cs="Arial"/>
                <w:color w:val="212529"/>
                <w:sz w:val="22"/>
                <w:szCs w:val="22"/>
              </w:rPr>
              <w:t>kegel</w:t>
            </w:r>
            <w:proofErr w:type="spellEnd"/>
            <w:r w:rsidRPr="00200549">
              <w:rPr>
                <w:rFonts w:cs="Arial"/>
                <w:color w:val="212529"/>
                <w:sz w:val="22"/>
                <w:szCs w:val="22"/>
              </w:rPr>
              <w:t xml:space="preserve"> exercises</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1766EDB" w14:textId="7572BF25" w:rsidR="00C55B71" w:rsidRPr="00200549" w:rsidRDefault="002B188A" w:rsidP="00C55B71">
            <w:pPr>
              <w:contextualSpacing/>
              <w:jc w:val="center"/>
              <w:rPr>
                <w:bCs/>
                <w:sz w:val="22"/>
                <w:szCs w:val="22"/>
              </w:rPr>
            </w:pPr>
            <w:r w:rsidRPr="00200549">
              <w:rPr>
                <w:sz w:val="22"/>
                <w:szCs w:val="22"/>
              </w:rPr>
              <w:t>AAC + 30%</w:t>
            </w:r>
          </w:p>
        </w:tc>
      </w:tr>
      <w:tr w:rsidR="00C55B71" w:rsidRPr="00200549" w14:paraId="2715EBF2"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184D82FB" w14:textId="3A50FAF8" w:rsidR="00C55B71" w:rsidRPr="00200549" w:rsidRDefault="00C55B71" w:rsidP="000D412E">
            <w:pPr>
              <w:contextualSpacing/>
              <w:jc w:val="center"/>
              <w:rPr>
                <w:bCs/>
                <w:sz w:val="22"/>
                <w:szCs w:val="22"/>
              </w:rPr>
            </w:pPr>
            <w:r w:rsidRPr="00200549">
              <w:rPr>
                <w:rFonts w:cs="Arial"/>
                <w:color w:val="212529"/>
                <w:sz w:val="22"/>
                <w:szCs w:val="22"/>
              </w:rPr>
              <w:t>E0716</w:t>
            </w:r>
          </w:p>
        </w:tc>
        <w:tc>
          <w:tcPr>
            <w:tcW w:w="1119" w:type="dxa"/>
            <w:tcBorders>
              <w:top w:val="nil"/>
              <w:left w:val="nil"/>
              <w:bottom w:val="single" w:sz="4" w:space="0" w:color="auto"/>
              <w:right w:val="nil"/>
            </w:tcBorders>
            <w:shd w:val="clear" w:color="auto" w:fill="auto"/>
            <w:vAlign w:val="center"/>
          </w:tcPr>
          <w:p w14:paraId="2B89793E" w14:textId="0D4B9789"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70A69778" w14:textId="4297FAF8" w:rsidR="00C55B71" w:rsidRPr="00200549" w:rsidRDefault="00200549" w:rsidP="00C55B71">
            <w:pPr>
              <w:contextualSpacing/>
              <w:rPr>
                <w:bCs/>
                <w:sz w:val="22"/>
                <w:szCs w:val="22"/>
              </w:rPr>
            </w:pPr>
            <w:r w:rsidRPr="00200549">
              <w:rPr>
                <w:rFonts w:cs="Arial"/>
                <w:color w:val="212529"/>
                <w:sz w:val="22"/>
                <w:szCs w:val="22"/>
              </w:rPr>
              <w:t xml:space="preserve">Supplies and accessories for intravaginal device intended to strengthen pelvic floor muscles during </w:t>
            </w:r>
            <w:proofErr w:type="spellStart"/>
            <w:r w:rsidRPr="00200549">
              <w:rPr>
                <w:rFonts w:cs="Arial"/>
                <w:color w:val="212529"/>
                <w:sz w:val="22"/>
                <w:szCs w:val="22"/>
              </w:rPr>
              <w:t>kegel</w:t>
            </w:r>
            <w:proofErr w:type="spellEnd"/>
            <w:r w:rsidRPr="00200549">
              <w:rPr>
                <w:rFonts w:cs="Arial"/>
                <w:color w:val="212529"/>
                <w:sz w:val="22"/>
                <w:szCs w:val="22"/>
              </w:rPr>
              <w:t xml:space="preserve"> exercises</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20DD0F4" w14:textId="209941F3" w:rsidR="00C55B71" w:rsidRPr="00200549" w:rsidRDefault="00E0773B" w:rsidP="00C55B71">
            <w:pPr>
              <w:contextualSpacing/>
              <w:jc w:val="center"/>
              <w:rPr>
                <w:bCs/>
                <w:sz w:val="22"/>
                <w:szCs w:val="22"/>
              </w:rPr>
            </w:pPr>
            <w:r w:rsidRPr="00200549">
              <w:rPr>
                <w:sz w:val="22"/>
                <w:szCs w:val="22"/>
              </w:rPr>
              <w:t>AAC + 20%</w:t>
            </w:r>
          </w:p>
        </w:tc>
      </w:tr>
      <w:tr w:rsidR="00C55B71" w:rsidRPr="00200549" w14:paraId="700A14AE"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0F096B73" w14:textId="34F9DFC7" w:rsidR="00C55B71" w:rsidRPr="00200549" w:rsidRDefault="00C55B71" w:rsidP="000D412E">
            <w:pPr>
              <w:contextualSpacing/>
              <w:jc w:val="center"/>
              <w:rPr>
                <w:bCs/>
                <w:sz w:val="22"/>
                <w:szCs w:val="22"/>
              </w:rPr>
            </w:pPr>
            <w:r w:rsidRPr="00200549">
              <w:rPr>
                <w:rFonts w:cs="Arial"/>
                <w:color w:val="212529"/>
                <w:sz w:val="22"/>
                <w:szCs w:val="22"/>
              </w:rPr>
              <w:t>E0721</w:t>
            </w:r>
          </w:p>
        </w:tc>
        <w:tc>
          <w:tcPr>
            <w:tcW w:w="1119" w:type="dxa"/>
            <w:tcBorders>
              <w:top w:val="nil"/>
              <w:left w:val="nil"/>
              <w:bottom w:val="single" w:sz="4" w:space="0" w:color="auto"/>
              <w:right w:val="nil"/>
            </w:tcBorders>
            <w:shd w:val="clear" w:color="auto" w:fill="auto"/>
            <w:vAlign w:val="center"/>
          </w:tcPr>
          <w:p w14:paraId="2E476788" w14:textId="28012ADA"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auto" w:fill="auto"/>
            <w:noWrap/>
            <w:vAlign w:val="center"/>
            <w:hideMark/>
          </w:tcPr>
          <w:p w14:paraId="776BC7A8" w14:textId="6BE9A109" w:rsidR="00C55B71" w:rsidRPr="00200549" w:rsidRDefault="00200549" w:rsidP="00C55B71">
            <w:pPr>
              <w:contextualSpacing/>
              <w:rPr>
                <w:bCs/>
                <w:sz w:val="22"/>
                <w:szCs w:val="22"/>
              </w:rPr>
            </w:pPr>
            <w:r w:rsidRPr="00200549">
              <w:rPr>
                <w:rFonts w:cs="Arial"/>
                <w:color w:val="212529"/>
                <w:sz w:val="22"/>
                <w:szCs w:val="22"/>
              </w:rPr>
              <w:t>Transcutaneous electrical nerve stimulator for nerves in the auricular region </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CD770AA" w14:textId="5CB8D465" w:rsidR="00C55B71" w:rsidRPr="00200549" w:rsidRDefault="00C55B71" w:rsidP="00C55B71">
            <w:pPr>
              <w:contextualSpacing/>
              <w:jc w:val="center"/>
              <w:rPr>
                <w:bCs/>
                <w:sz w:val="22"/>
                <w:szCs w:val="22"/>
              </w:rPr>
            </w:pPr>
            <w:r w:rsidRPr="00200549">
              <w:rPr>
                <w:sz w:val="22"/>
                <w:szCs w:val="22"/>
              </w:rPr>
              <w:t>AAC + 30%</w:t>
            </w:r>
          </w:p>
        </w:tc>
      </w:tr>
      <w:tr w:rsidR="00C55B71" w:rsidRPr="00200549" w14:paraId="106657D6"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DC838D8" w14:textId="6E686FA0" w:rsidR="00C55B71" w:rsidRPr="00200549" w:rsidRDefault="00C55B71" w:rsidP="000D412E">
            <w:pPr>
              <w:contextualSpacing/>
              <w:jc w:val="center"/>
              <w:rPr>
                <w:bCs/>
                <w:sz w:val="22"/>
                <w:szCs w:val="22"/>
              </w:rPr>
            </w:pPr>
            <w:r w:rsidRPr="00200549">
              <w:rPr>
                <w:rFonts w:cs="Arial"/>
                <w:color w:val="212529"/>
                <w:sz w:val="22"/>
                <w:szCs w:val="22"/>
              </w:rPr>
              <w:t>E0737</w:t>
            </w:r>
          </w:p>
        </w:tc>
        <w:tc>
          <w:tcPr>
            <w:tcW w:w="1119" w:type="dxa"/>
            <w:tcBorders>
              <w:top w:val="nil"/>
              <w:left w:val="nil"/>
              <w:bottom w:val="single" w:sz="4" w:space="0" w:color="auto"/>
              <w:right w:val="nil"/>
            </w:tcBorders>
            <w:shd w:val="clear" w:color="auto" w:fill="auto"/>
            <w:vAlign w:val="center"/>
          </w:tcPr>
          <w:p w14:paraId="463D07A7" w14:textId="4FD5BCFE"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15398406" w14:textId="5E905E5C" w:rsidR="00C55B71" w:rsidRPr="00200549" w:rsidRDefault="00200549" w:rsidP="00C55B71">
            <w:pPr>
              <w:contextualSpacing/>
              <w:rPr>
                <w:sz w:val="22"/>
                <w:szCs w:val="22"/>
              </w:rPr>
            </w:pPr>
            <w:r w:rsidRPr="00200549">
              <w:rPr>
                <w:rFonts w:cs="Arial"/>
                <w:color w:val="212529"/>
                <w:sz w:val="22"/>
                <w:szCs w:val="22"/>
              </w:rPr>
              <w:t>Transcutaneous tibial nerve stimulator, controlled by phone application</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A8A8D94" w14:textId="375127DF" w:rsidR="00C55B71" w:rsidRPr="00200549" w:rsidRDefault="008737EF" w:rsidP="00C55B71">
            <w:pPr>
              <w:contextualSpacing/>
              <w:jc w:val="center"/>
              <w:rPr>
                <w:sz w:val="22"/>
                <w:szCs w:val="22"/>
              </w:rPr>
            </w:pPr>
            <w:r w:rsidRPr="00200549">
              <w:rPr>
                <w:sz w:val="22"/>
                <w:szCs w:val="22"/>
              </w:rPr>
              <w:t>AAC + 30%</w:t>
            </w:r>
          </w:p>
        </w:tc>
      </w:tr>
      <w:tr w:rsidR="00C55B71" w:rsidRPr="00200549" w14:paraId="177236C8"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414463E4" w14:textId="7FAD0586" w:rsidR="00C55B71" w:rsidRPr="00200549" w:rsidRDefault="00C55B71" w:rsidP="000D412E">
            <w:pPr>
              <w:contextualSpacing/>
              <w:jc w:val="center"/>
              <w:rPr>
                <w:bCs/>
                <w:sz w:val="22"/>
                <w:szCs w:val="22"/>
              </w:rPr>
            </w:pPr>
            <w:r w:rsidRPr="00200549">
              <w:rPr>
                <w:rFonts w:cs="Arial"/>
                <w:color w:val="212529"/>
                <w:sz w:val="22"/>
                <w:szCs w:val="22"/>
              </w:rPr>
              <w:t>E0743</w:t>
            </w:r>
          </w:p>
        </w:tc>
        <w:tc>
          <w:tcPr>
            <w:tcW w:w="1119" w:type="dxa"/>
            <w:tcBorders>
              <w:top w:val="nil"/>
              <w:left w:val="nil"/>
              <w:bottom w:val="single" w:sz="4" w:space="0" w:color="auto"/>
              <w:right w:val="nil"/>
            </w:tcBorders>
            <w:shd w:val="clear" w:color="auto" w:fill="auto"/>
            <w:vAlign w:val="center"/>
          </w:tcPr>
          <w:p w14:paraId="02C83C75" w14:textId="13B537DF" w:rsidR="00C55B71" w:rsidRPr="00200549" w:rsidRDefault="00C55B71" w:rsidP="000D412E">
            <w:pPr>
              <w:contextualSpacing/>
              <w:jc w:val="center"/>
              <w:rPr>
                <w:sz w:val="22"/>
                <w:szCs w:val="22"/>
              </w:rPr>
            </w:pPr>
            <w:r w:rsidRPr="00200549">
              <w:rPr>
                <w:rFonts w:cs="Arial"/>
                <w:color w:val="000000"/>
                <w:sz w:val="22"/>
                <w:szCs w:val="22"/>
              </w:rPr>
              <w:t>NU</w:t>
            </w:r>
          </w:p>
        </w:tc>
        <w:tc>
          <w:tcPr>
            <w:tcW w:w="6148" w:type="dxa"/>
            <w:tcBorders>
              <w:top w:val="nil"/>
              <w:left w:val="single" w:sz="4" w:space="0" w:color="auto"/>
              <w:bottom w:val="single" w:sz="4" w:space="0" w:color="auto"/>
              <w:right w:val="single" w:sz="4" w:space="0" w:color="auto"/>
            </w:tcBorders>
            <w:shd w:val="clear" w:color="auto" w:fill="auto"/>
            <w:vAlign w:val="center"/>
            <w:hideMark/>
          </w:tcPr>
          <w:p w14:paraId="77B8EFAD" w14:textId="5EC1607E" w:rsidR="00C55B71" w:rsidRPr="00200549" w:rsidRDefault="00200549" w:rsidP="00C55B71">
            <w:pPr>
              <w:contextualSpacing/>
              <w:rPr>
                <w:bCs/>
                <w:sz w:val="22"/>
                <w:szCs w:val="22"/>
              </w:rPr>
            </w:pPr>
            <w:r w:rsidRPr="00200549">
              <w:rPr>
                <w:rFonts w:cs="Arial"/>
                <w:color w:val="000000"/>
                <w:sz w:val="22"/>
                <w:szCs w:val="22"/>
              </w:rPr>
              <w:t>External lower extremity nerve stimulator for restless legs syndrome, each</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CCFB57D" w14:textId="486928F5" w:rsidR="00C55B71" w:rsidRPr="00200549" w:rsidRDefault="00737878" w:rsidP="00C55B71">
            <w:pPr>
              <w:contextualSpacing/>
              <w:jc w:val="center"/>
              <w:rPr>
                <w:bCs/>
                <w:sz w:val="22"/>
                <w:szCs w:val="22"/>
              </w:rPr>
            </w:pPr>
            <w:r w:rsidRPr="00200549">
              <w:rPr>
                <w:sz w:val="22"/>
                <w:szCs w:val="22"/>
              </w:rPr>
              <w:t>$2,318.80</w:t>
            </w:r>
          </w:p>
        </w:tc>
      </w:tr>
      <w:tr w:rsidR="00C55B71" w:rsidRPr="00200549" w14:paraId="4D7F21F8"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13AC5D3E" w14:textId="20E3EED1" w:rsidR="00C55B71" w:rsidRPr="00200549" w:rsidRDefault="00C55B71" w:rsidP="000D412E">
            <w:pPr>
              <w:contextualSpacing/>
              <w:jc w:val="center"/>
              <w:rPr>
                <w:sz w:val="22"/>
                <w:szCs w:val="22"/>
              </w:rPr>
            </w:pPr>
            <w:r w:rsidRPr="00200549">
              <w:rPr>
                <w:rFonts w:cs="Arial"/>
                <w:color w:val="212529"/>
                <w:sz w:val="22"/>
                <w:szCs w:val="22"/>
              </w:rPr>
              <w:t>E0743</w:t>
            </w:r>
          </w:p>
        </w:tc>
        <w:tc>
          <w:tcPr>
            <w:tcW w:w="1119" w:type="dxa"/>
            <w:tcBorders>
              <w:top w:val="nil"/>
              <w:left w:val="nil"/>
              <w:bottom w:val="single" w:sz="4" w:space="0" w:color="auto"/>
              <w:right w:val="nil"/>
            </w:tcBorders>
            <w:shd w:val="clear" w:color="auto" w:fill="auto"/>
            <w:vAlign w:val="center"/>
          </w:tcPr>
          <w:p w14:paraId="37F1CB30" w14:textId="2E6A1141" w:rsidR="00C55B71" w:rsidRPr="00200549" w:rsidRDefault="00C55B71" w:rsidP="000D412E">
            <w:pPr>
              <w:contextualSpacing/>
              <w:jc w:val="center"/>
              <w:rPr>
                <w:sz w:val="22"/>
                <w:szCs w:val="22"/>
              </w:rPr>
            </w:pPr>
            <w:r w:rsidRPr="00200549">
              <w:rPr>
                <w:rFonts w:cs="Arial"/>
                <w:color w:val="000000"/>
                <w:sz w:val="22"/>
                <w:szCs w:val="22"/>
              </w:rPr>
              <w:t>UE</w:t>
            </w:r>
          </w:p>
        </w:tc>
        <w:tc>
          <w:tcPr>
            <w:tcW w:w="6148" w:type="dxa"/>
            <w:tcBorders>
              <w:top w:val="nil"/>
              <w:left w:val="single" w:sz="4" w:space="0" w:color="auto"/>
              <w:bottom w:val="single" w:sz="4" w:space="0" w:color="auto"/>
              <w:right w:val="single" w:sz="4" w:space="0" w:color="auto"/>
            </w:tcBorders>
            <w:shd w:val="clear" w:color="auto" w:fill="auto"/>
            <w:vAlign w:val="center"/>
          </w:tcPr>
          <w:p w14:paraId="5681CB0B" w14:textId="7857C2B7" w:rsidR="00C55B71" w:rsidRPr="00200549" w:rsidRDefault="00200549" w:rsidP="00C55B71">
            <w:pPr>
              <w:contextualSpacing/>
              <w:rPr>
                <w:sz w:val="22"/>
                <w:szCs w:val="22"/>
              </w:rPr>
            </w:pPr>
            <w:r w:rsidRPr="00200549">
              <w:rPr>
                <w:rFonts w:cs="Arial"/>
                <w:color w:val="000000"/>
                <w:sz w:val="22"/>
                <w:szCs w:val="22"/>
              </w:rPr>
              <w:t>External lower extremity nerve stimulator for restless legs syndrome, each</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4C5755B0" w14:textId="31F02017" w:rsidR="00C55B71" w:rsidRPr="00200549" w:rsidRDefault="00737878" w:rsidP="00C55B71">
            <w:pPr>
              <w:contextualSpacing/>
              <w:jc w:val="center"/>
              <w:rPr>
                <w:sz w:val="22"/>
                <w:szCs w:val="22"/>
              </w:rPr>
            </w:pPr>
            <w:r w:rsidRPr="00200549">
              <w:rPr>
                <w:sz w:val="22"/>
                <w:szCs w:val="22"/>
              </w:rPr>
              <w:t>$1,739.10</w:t>
            </w:r>
          </w:p>
        </w:tc>
      </w:tr>
      <w:tr w:rsidR="00C55B71" w:rsidRPr="00200549" w14:paraId="698FFF96"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2147098D" w14:textId="3B4F4ACA" w:rsidR="00C55B71" w:rsidRPr="00200549" w:rsidRDefault="00C55B71" w:rsidP="000D412E">
            <w:pPr>
              <w:contextualSpacing/>
              <w:jc w:val="center"/>
              <w:rPr>
                <w:sz w:val="22"/>
                <w:szCs w:val="22"/>
              </w:rPr>
            </w:pPr>
            <w:r w:rsidRPr="00200549">
              <w:rPr>
                <w:rFonts w:cs="Arial"/>
                <w:color w:val="212529"/>
                <w:sz w:val="22"/>
                <w:szCs w:val="22"/>
              </w:rPr>
              <w:t>E0743</w:t>
            </w:r>
          </w:p>
        </w:tc>
        <w:tc>
          <w:tcPr>
            <w:tcW w:w="1119" w:type="dxa"/>
            <w:tcBorders>
              <w:top w:val="nil"/>
              <w:left w:val="nil"/>
              <w:bottom w:val="single" w:sz="4" w:space="0" w:color="auto"/>
              <w:right w:val="nil"/>
            </w:tcBorders>
            <w:shd w:val="clear" w:color="auto" w:fill="auto"/>
            <w:vAlign w:val="center"/>
          </w:tcPr>
          <w:p w14:paraId="4F9EF8A1" w14:textId="2E207D34" w:rsidR="00C55B71" w:rsidRPr="00200549" w:rsidRDefault="00C55B71" w:rsidP="000D412E">
            <w:pPr>
              <w:contextualSpacing/>
              <w:jc w:val="center"/>
              <w:rPr>
                <w:sz w:val="22"/>
                <w:szCs w:val="22"/>
              </w:rPr>
            </w:pPr>
            <w:r w:rsidRPr="00200549">
              <w:rPr>
                <w:rFonts w:cs="Arial"/>
                <w:color w:val="000000"/>
                <w:sz w:val="22"/>
                <w:szCs w:val="22"/>
              </w:rPr>
              <w:t>KH</w:t>
            </w:r>
          </w:p>
        </w:tc>
        <w:tc>
          <w:tcPr>
            <w:tcW w:w="6148" w:type="dxa"/>
            <w:tcBorders>
              <w:top w:val="nil"/>
              <w:left w:val="single" w:sz="4" w:space="0" w:color="auto"/>
              <w:bottom w:val="single" w:sz="4" w:space="0" w:color="auto"/>
              <w:right w:val="single" w:sz="4" w:space="0" w:color="auto"/>
            </w:tcBorders>
            <w:shd w:val="clear" w:color="auto" w:fill="auto"/>
            <w:vAlign w:val="center"/>
          </w:tcPr>
          <w:p w14:paraId="3D4633A0" w14:textId="38A17AA3" w:rsidR="00C55B71" w:rsidRPr="00200549" w:rsidRDefault="00200549" w:rsidP="00C55B71">
            <w:pPr>
              <w:contextualSpacing/>
              <w:rPr>
                <w:sz w:val="22"/>
                <w:szCs w:val="22"/>
              </w:rPr>
            </w:pPr>
            <w:r w:rsidRPr="00200549">
              <w:rPr>
                <w:rFonts w:cs="Arial"/>
                <w:color w:val="000000"/>
                <w:sz w:val="22"/>
                <w:szCs w:val="22"/>
              </w:rPr>
              <w:t>External lower extremity nerve stimulator for restless legs syndrome, each</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49374CF4" w14:textId="37827692" w:rsidR="00C55B71" w:rsidRPr="00200549" w:rsidRDefault="00737878" w:rsidP="00C55B71">
            <w:pPr>
              <w:contextualSpacing/>
              <w:jc w:val="center"/>
              <w:rPr>
                <w:sz w:val="22"/>
                <w:szCs w:val="22"/>
              </w:rPr>
            </w:pPr>
            <w:r w:rsidRPr="00200549">
              <w:rPr>
                <w:sz w:val="22"/>
                <w:szCs w:val="22"/>
              </w:rPr>
              <w:t>$231.88</w:t>
            </w:r>
          </w:p>
        </w:tc>
      </w:tr>
      <w:tr w:rsidR="00C55B71" w:rsidRPr="00200549" w14:paraId="7497B02A"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544CFA41" w14:textId="7755E16A" w:rsidR="00C55B71" w:rsidRPr="00200549" w:rsidRDefault="00C55B71" w:rsidP="000D412E">
            <w:pPr>
              <w:contextualSpacing/>
              <w:jc w:val="center"/>
              <w:rPr>
                <w:sz w:val="22"/>
                <w:szCs w:val="22"/>
              </w:rPr>
            </w:pPr>
            <w:r w:rsidRPr="00200549">
              <w:rPr>
                <w:rFonts w:cs="Arial"/>
                <w:color w:val="212529"/>
                <w:sz w:val="22"/>
                <w:szCs w:val="22"/>
              </w:rPr>
              <w:t>E0743</w:t>
            </w:r>
          </w:p>
        </w:tc>
        <w:tc>
          <w:tcPr>
            <w:tcW w:w="1119" w:type="dxa"/>
            <w:tcBorders>
              <w:top w:val="nil"/>
              <w:left w:val="nil"/>
              <w:bottom w:val="single" w:sz="4" w:space="0" w:color="auto"/>
              <w:right w:val="nil"/>
            </w:tcBorders>
            <w:shd w:val="clear" w:color="auto" w:fill="auto"/>
            <w:vAlign w:val="center"/>
          </w:tcPr>
          <w:p w14:paraId="5D4AD529" w14:textId="3677DDF8" w:rsidR="00C55B71" w:rsidRPr="00200549" w:rsidRDefault="00C55B71" w:rsidP="000D412E">
            <w:pPr>
              <w:contextualSpacing/>
              <w:jc w:val="center"/>
              <w:rPr>
                <w:sz w:val="22"/>
                <w:szCs w:val="22"/>
              </w:rPr>
            </w:pPr>
            <w:r w:rsidRPr="00200549">
              <w:rPr>
                <w:rFonts w:cs="Arial"/>
                <w:color w:val="000000"/>
                <w:sz w:val="22"/>
                <w:szCs w:val="22"/>
              </w:rPr>
              <w:t>KI</w:t>
            </w:r>
          </w:p>
        </w:tc>
        <w:tc>
          <w:tcPr>
            <w:tcW w:w="6148" w:type="dxa"/>
            <w:tcBorders>
              <w:top w:val="nil"/>
              <w:left w:val="single" w:sz="4" w:space="0" w:color="auto"/>
              <w:bottom w:val="single" w:sz="4" w:space="0" w:color="auto"/>
              <w:right w:val="single" w:sz="4" w:space="0" w:color="auto"/>
            </w:tcBorders>
            <w:shd w:val="clear" w:color="auto" w:fill="auto"/>
            <w:vAlign w:val="center"/>
          </w:tcPr>
          <w:p w14:paraId="28296482" w14:textId="313E3F72" w:rsidR="00C55B71" w:rsidRPr="00200549" w:rsidRDefault="00200549" w:rsidP="00C55B71">
            <w:pPr>
              <w:contextualSpacing/>
              <w:rPr>
                <w:sz w:val="22"/>
                <w:szCs w:val="22"/>
              </w:rPr>
            </w:pPr>
            <w:r w:rsidRPr="00200549">
              <w:rPr>
                <w:rFonts w:cs="Arial"/>
                <w:color w:val="212529"/>
                <w:sz w:val="22"/>
                <w:szCs w:val="22"/>
              </w:rPr>
              <w:t>External lower extremity nerve stimulator for restless legs syndrome, each</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5701A159" w14:textId="0E67E7C0" w:rsidR="00C55B71" w:rsidRPr="00200549" w:rsidRDefault="00737878" w:rsidP="00C55B71">
            <w:pPr>
              <w:contextualSpacing/>
              <w:jc w:val="center"/>
              <w:rPr>
                <w:sz w:val="22"/>
                <w:szCs w:val="22"/>
              </w:rPr>
            </w:pPr>
            <w:r w:rsidRPr="00200549">
              <w:rPr>
                <w:sz w:val="22"/>
                <w:szCs w:val="22"/>
              </w:rPr>
              <w:t>$231.88</w:t>
            </w:r>
          </w:p>
        </w:tc>
      </w:tr>
      <w:tr w:rsidR="00C55B71" w:rsidRPr="00200549" w14:paraId="1806BE09"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7A4E3D7B" w14:textId="0CA06F2F" w:rsidR="00C55B71" w:rsidRPr="00200549" w:rsidRDefault="00C55B71" w:rsidP="000D412E">
            <w:pPr>
              <w:contextualSpacing/>
              <w:jc w:val="center"/>
              <w:rPr>
                <w:sz w:val="22"/>
                <w:szCs w:val="22"/>
              </w:rPr>
            </w:pPr>
            <w:r w:rsidRPr="00200549">
              <w:rPr>
                <w:rFonts w:cs="Arial"/>
                <w:color w:val="212529"/>
                <w:sz w:val="22"/>
                <w:szCs w:val="22"/>
              </w:rPr>
              <w:t>E0743</w:t>
            </w:r>
          </w:p>
        </w:tc>
        <w:tc>
          <w:tcPr>
            <w:tcW w:w="1119" w:type="dxa"/>
            <w:tcBorders>
              <w:top w:val="nil"/>
              <w:left w:val="nil"/>
              <w:bottom w:val="single" w:sz="4" w:space="0" w:color="auto"/>
              <w:right w:val="nil"/>
            </w:tcBorders>
            <w:shd w:val="clear" w:color="auto" w:fill="auto"/>
            <w:vAlign w:val="center"/>
          </w:tcPr>
          <w:p w14:paraId="2F690294" w14:textId="0B890A1D" w:rsidR="00C55B71" w:rsidRPr="00200549" w:rsidRDefault="00C55B71" w:rsidP="000D412E">
            <w:pPr>
              <w:contextualSpacing/>
              <w:jc w:val="center"/>
              <w:rPr>
                <w:sz w:val="22"/>
                <w:szCs w:val="22"/>
              </w:rPr>
            </w:pPr>
            <w:r w:rsidRPr="00200549">
              <w:rPr>
                <w:rFonts w:cs="Arial"/>
                <w:color w:val="000000"/>
                <w:sz w:val="22"/>
                <w:szCs w:val="22"/>
              </w:rPr>
              <w:t>KJ</w:t>
            </w:r>
          </w:p>
        </w:tc>
        <w:tc>
          <w:tcPr>
            <w:tcW w:w="6148" w:type="dxa"/>
            <w:tcBorders>
              <w:top w:val="nil"/>
              <w:left w:val="single" w:sz="4" w:space="0" w:color="auto"/>
              <w:bottom w:val="single" w:sz="4" w:space="0" w:color="auto"/>
              <w:right w:val="single" w:sz="4" w:space="0" w:color="auto"/>
            </w:tcBorders>
            <w:shd w:val="clear" w:color="auto" w:fill="auto"/>
            <w:vAlign w:val="center"/>
          </w:tcPr>
          <w:p w14:paraId="26998C33" w14:textId="01D66733" w:rsidR="00C55B71" w:rsidRPr="00200549" w:rsidRDefault="00200549" w:rsidP="00C55B71">
            <w:pPr>
              <w:contextualSpacing/>
              <w:rPr>
                <w:sz w:val="22"/>
                <w:szCs w:val="22"/>
              </w:rPr>
            </w:pPr>
            <w:r w:rsidRPr="00200549">
              <w:rPr>
                <w:rFonts w:cs="Arial"/>
                <w:color w:val="212529"/>
                <w:sz w:val="22"/>
                <w:szCs w:val="22"/>
              </w:rPr>
              <w:t>External lower extremity nerve stimulator for restless legs syndrome, each</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BA44562" w14:textId="47256C4F" w:rsidR="00C55B71" w:rsidRPr="00200549" w:rsidRDefault="00737878" w:rsidP="00C55B71">
            <w:pPr>
              <w:contextualSpacing/>
              <w:jc w:val="center"/>
              <w:rPr>
                <w:sz w:val="22"/>
                <w:szCs w:val="22"/>
              </w:rPr>
            </w:pPr>
            <w:r w:rsidRPr="00200549">
              <w:rPr>
                <w:sz w:val="22"/>
                <w:szCs w:val="22"/>
              </w:rPr>
              <w:t>$173.91</w:t>
            </w:r>
          </w:p>
        </w:tc>
      </w:tr>
      <w:tr w:rsidR="00C55B71" w:rsidRPr="00200549" w14:paraId="578418A1"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55B51571" w14:textId="2BBC1255" w:rsidR="00C55B71" w:rsidRPr="00200549" w:rsidRDefault="00C55B71" w:rsidP="000D412E">
            <w:pPr>
              <w:contextualSpacing/>
              <w:jc w:val="center"/>
              <w:rPr>
                <w:sz w:val="22"/>
                <w:szCs w:val="22"/>
              </w:rPr>
            </w:pPr>
            <w:r w:rsidRPr="00200549">
              <w:rPr>
                <w:rFonts w:cs="Arial"/>
                <w:color w:val="212529"/>
                <w:sz w:val="22"/>
                <w:szCs w:val="22"/>
              </w:rPr>
              <w:t>E0767</w:t>
            </w:r>
          </w:p>
        </w:tc>
        <w:tc>
          <w:tcPr>
            <w:tcW w:w="1119" w:type="dxa"/>
            <w:tcBorders>
              <w:top w:val="nil"/>
              <w:left w:val="nil"/>
              <w:bottom w:val="single" w:sz="4" w:space="0" w:color="auto"/>
              <w:right w:val="nil"/>
            </w:tcBorders>
            <w:shd w:val="clear" w:color="auto" w:fill="auto"/>
            <w:vAlign w:val="center"/>
          </w:tcPr>
          <w:p w14:paraId="665B99EC" w14:textId="55C04745"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auto" w:fill="auto"/>
            <w:vAlign w:val="center"/>
          </w:tcPr>
          <w:p w14:paraId="1F047668" w14:textId="0B97E6E5" w:rsidR="00C55B71" w:rsidRPr="00200549" w:rsidRDefault="00200549" w:rsidP="00C55B71">
            <w:pPr>
              <w:contextualSpacing/>
              <w:rPr>
                <w:sz w:val="22"/>
                <w:szCs w:val="22"/>
              </w:rPr>
            </w:pPr>
            <w:r w:rsidRPr="00200549">
              <w:rPr>
                <w:rFonts w:cs="Arial"/>
                <w:color w:val="212529"/>
                <w:sz w:val="22"/>
                <w:szCs w:val="22"/>
              </w:rPr>
              <w:t>Intrabuccal, systemic delivery of amplitude-modulated, radiofrequency electromagnetic field device, for cancer treatment, includes all accessories</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093F2BE8" w14:textId="6B48D9D8" w:rsidR="00C55B71" w:rsidRPr="00200549" w:rsidRDefault="00862BC4" w:rsidP="00C55B71">
            <w:pPr>
              <w:contextualSpacing/>
              <w:jc w:val="center"/>
              <w:rPr>
                <w:sz w:val="22"/>
                <w:szCs w:val="22"/>
              </w:rPr>
            </w:pPr>
            <w:r w:rsidRPr="00200549">
              <w:rPr>
                <w:sz w:val="22"/>
                <w:szCs w:val="22"/>
              </w:rPr>
              <w:t>AAC + 30%</w:t>
            </w:r>
          </w:p>
        </w:tc>
      </w:tr>
      <w:tr w:rsidR="00C55B71" w:rsidRPr="00200549" w14:paraId="4748104F"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01B1BEEB" w14:textId="240CE95F" w:rsidR="00C55B71" w:rsidRPr="00200549" w:rsidRDefault="00C55B71" w:rsidP="000D412E">
            <w:pPr>
              <w:contextualSpacing/>
              <w:jc w:val="center"/>
              <w:rPr>
                <w:sz w:val="22"/>
                <w:szCs w:val="22"/>
              </w:rPr>
            </w:pPr>
            <w:r w:rsidRPr="00200549">
              <w:rPr>
                <w:rFonts w:cs="Arial"/>
                <w:color w:val="000000"/>
                <w:sz w:val="22"/>
                <w:szCs w:val="22"/>
              </w:rPr>
              <w:t>E2513</w:t>
            </w:r>
          </w:p>
        </w:tc>
        <w:tc>
          <w:tcPr>
            <w:tcW w:w="1119" w:type="dxa"/>
            <w:tcBorders>
              <w:top w:val="nil"/>
              <w:left w:val="nil"/>
              <w:bottom w:val="single" w:sz="4" w:space="0" w:color="auto"/>
              <w:right w:val="nil"/>
            </w:tcBorders>
            <w:shd w:val="clear" w:color="auto" w:fill="auto"/>
            <w:vAlign w:val="center"/>
          </w:tcPr>
          <w:p w14:paraId="490A1111" w14:textId="22412CB4" w:rsidR="00C55B71" w:rsidRPr="00200549" w:rsidRDefault="00C55B71" w:rsidP="000D412E">
            <w:pPr>
              <w:contextualSpacing/>
              <w:jc w:val="center"/>
              <w:rPr>
                <w:sz w:val="22"/>
                <w:szCs w:val="22"/>
              </w:rPr>
            </w:pPr>
            <w:r w:rsidRPr="00200549">
              <w:rPr>
                <w:rFonts w:cs="Arial"/>
                <w:color w:val="000000"/>
                <w:sz w:val="22"/>
                <w:szCs w:val="22"/>
              </w:rPr>
              <w:t>NU</w:t>
            </w:r>
          </w:p>
        </w:tc>
        <w:tc>
          <w:tcPr>
            <w:tcW w:w="6148" w:type="dxa"/>
            <w:tcBorders>
              <w:top w:val="nil"/>
              <w:left w:val="single" w:sz="4" w:space="0" w:color="auto"/>
              <w:bottom w:val="single" w:sz="4" w:space="0" w:color="auto"/>
              <w:right w:val="single" w:sz="4" w:space="0" w:color="auto"/>
            </w:tcBorders>
            <w:shd w:val="clear" w:color="auto" w:fill="auto"/>
            <w:vAlign w:val="center"/>
          </w:tcPr>
          <w:p w14:paraId="1AF5FC77" w14:textId="4DDC07B1" w:rsidR="00C55B71" w:rsidRPr="00200549" w:rsidRDefault="00200549" w:rsidP="00C55B71">
            <w:pPr>
              <w:contextualSpacing/>
              <w:rPr>
                <w:sz w:val="22"/>
                <w:szCs w:val="22"/>
              </w:rPr>
            </w:pPr>
            <w:r w:rsidRPr="00200549">
              <w:rPr>
                <w:rFonts w:cs="Arial"/>
                <w:color w:val="212529"/>
                <w:sz w:val="22"/>
                <w:szCs w:val="22"/>
              </w:rPr>
              <w:t>Accessory for speech generating device, electromyographic sensor</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9E31275" w14:textId="1FF4D6B7" w:rsidR="00C55B71" w:rsidRPr="00200549" w:rsidRDefault="00D45F3A" w:rsidP="00C55B71">
            <w:pPr>
              <w:contextualSpacing/>
              <w:jc w:val="center"/>
              <w:rPr>
                <w:sz w:val="22"/>
                <w:szCs w:val="22"/>
              </w:rPr>
            </w:pPr>
            <w:r w:rsidRPr="00200549">
              <w:rPr>
                <w:sz w:val="22"/>
                <w:szCs w:val="22"/>
              </w:rPr>
              <w:t>$3,654.79</w:t>
            </w:r>
          </w:p>
        </w:tc>
      </w:tr>
      <w:tr w:rsidR="00C55B71" w:rsidRPr="00200549" w14:paraId="26B77BA9"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32A67F91" w14:textId="34878A25" w:rsidR="00C55B71" w:rsidRPr="00200549" w:rsidRDefault="00C55B71" w:rsidP="000D412E">
            <w:pPr>
              <w:contextualSpacing/>
              <w:jc w:val="center"/>
              <w:rPr>
                <w:sz w:val="22"/>
                <w:szCs w:val="22"/>
              </w:rPr>
            </w:pPr>
            <w:r w:rsidRPr="00200549">
              <w:rPr>
                <w:rFonts w:cs="Arial"/>
                <w:color w:val="000000"/>
                <w:sz w:val="22"/>
                <w:szCs w:val="22"/>
              </w:rPr>
              <w:lastRenderedPageBreak/>
              <w:t>E2513</w:t>
            </w:r>
          </w:p>
        </w:tc>
        <w:tc>
          <w:tcPr>
            <w:tcW w:w="1119" w:type="dxa"/>
            <w:tcBorders>
              <w:top w:val="nil"/>
              <w:left w:val="nil"/>
              <w:bottom w:val="single" w:sz="4" w:space="0" w:color="auto"/>
              <w:right w:val="nil"/>
            </w:tcBorders>
            <w:shd w:val="clear" w:color="auto" w:fill="auto"/>
            <w:vAlign w:val="center"/>
          </w:tcPr>
          <w:p w14:paraId="2D46C8C2" w14:textId="7264D791" w:rsidR="00C55B71" w:rsidRPr="00200549" w:rsidRDefault="00C55B71" w:rsidP="000D412E">
            <w:pPr>
              <w:contextualSpacing/>
              <w:jc w:val="center"/>
              <w:rPr>
                <w:sz w:val="22"/>
                <w:szCs w:val="22"/>
              </w:rPr>
            </w:pPr>
            <w:r w:rsidRPr="00200549">
              <w:rPr>
                <w:rFonts w:cs="Arial"/>
                <w:color w:val="000000"/>
                <w:sz w:val="22"/>
                <w:szCs w:val="22"/>
              </w:rPr>
              <w:t>UE</w:t>
            </w:r>
          </w:p>
        </w:tc>
        <w:tc>
          <w:tcPr>
            <w:tcW w:w="6148" w:type="dxa"/>
            <w:tcBorders>
              <w:top w:val="nil"/>
              <w:left w:val="single" w:sz="4" w:space="0" w:color="auto"/>
              <w:bottom w:val="single" w:sz="4" w:space="0" w:color="auto"/>
              <w:right w:val="single" w:sz="4" w:space="0" w:color="auto"/>
            </w:tcBorders>
            <w:shd w:val="clear" w:color="auto" w:fill="auto"/>
            <w:vAlign w:val="center"/>
          </w:tcPr>
          <w:p w14:paraId="3878A17D" w14:textId="1BCEDE4A" w:rsidR="00C55B71" w:rsidRPr="00200549" w:rsidRDefault="00200549" w:rsidP="00C55B71">
            <w:pPr>
              <w:contextualSpacing/>
              <w:rPr>
                <w:sz w:val="22"/>
                <w:szCs w:val="22"/>
              </w:rPr>
            </w:pPr>
            <w:r w:rsidRPr="00200549">
              <w:rPr>
                <w:rFonts w:cs="Arial"/>
                <w:color w:val="212529"/>
                <w:sz w:val="22"/>
                <w:szCs w:val="22"/>
              </w:rPr>
              <w:t>Accessory for speech generating device, electromyographic sensor</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06D7FAA7" w14:textId="752ABD0A" w:rsidR="00C55B71" w:rsidRPr="00200549" w:rsidRDefault="00D45F3A" w:rsidP="00C55B71">
            <w:pPr>
              <w:contextualSpacing/>
              <w:jc w:val="center"/>
              <w:rPr>
                <w:sz w:val="22"/>
                <w:szCs w:val="22"/>
              </w:rPr>
            </w:pPr>
            <w:r w:rsidRPr="00200549">
              <w:rPr>
                <w:sz w:val="22"/>
                <w:szCs w:val="22"/>
              </w:rPr>
              <w:t>$2,741.10</w:t>
            </w:r>
          </w:p>
        </w:tc>
      </w:tr>
      <w:tr w:rsidR="00C55B71" w:rsidRPr="00200549" w14:paraId="727786B9"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680FD590" w14:textId="475C1802" w:rsidR="00C55B71" w:rsidRPr="00200549" w:rsidRDefault="00C55B71" w:rsidP="000D412E">
            <w:pPr>
              <w:contextualSpacing/>
              <w:jc w:val="center"/>
              <w:rPr>
                <w:sz w:val="22"/>
                <w:szCs w:val="22"/>
              </w:rPr>
            </w:pPr>
            <w:r w:rsidRPr="00200549">
              <w:rPr>
                <w:rFonts w:cs="Arial"/>
                <w:color w:val="000000"/>
                <w:sz w:val="22"/>
                <w:szCs w:val="22"/>
              </w:rPr>
              <w:t>E2513</w:t>
            </w:r>
          </w:p>
        </w:tc>
        <w:tc>
          <w:tcPr>
            <w:tcW w:w="1119" w:type="dxa"/>
            <w:tcBorders>
              <w:top w:val="nil"/>
              <w:left w:val="nil"/>
              <w:bottom w:val="single" w:sz="4" w:space="0" w:color="auto"/>
              <w:right w:val="nil"/>
            </w:tcBorders>
            <w:shd w:val="clear" w:color="auto" w:fill="auto"/>
            <w:vAlign w:val="center"/>
          </w:tcPr>
          <w:p w14:paraId="375D6732" w14:textId="3311DDE4" w:rsidR="00C55B71" w:rsidRPr="00200549" w:rsidRDefault="00C55B71" w:rsidP="000D412E">
            <w:pPr>
              <w:contextualSpacing/>
              <w:jc w:val="center"/>
              <w:rPr>
                <w:sz w:val="22"/>
                <w:szCs w:val="22"/>
              </w:rPr>
            </w:pPr>
            <w:r w:rsidRPr="00200549">
              <w:rPr>
                <w:rFonts w:cs="Arial"/>
                <w:color w:val="000000"/>
                <w:sz w:val="22"/>
                <w:szCs w:val="22"/>
              </w:rPr>
              <w:t>RR</w:t>
            </w:r>
          </w:p>
        </w:tc>
        <w:tc>
          <w:tcPr>
            <w:tcW w:w="6148" w:type="dxa"/>
            <w:tcBorders>
              <w:top w:val="nil"/>
              <w:left w:val="single" w:sz="4" w:space="0" w:color="auto"/>
              <w:bottom w:val="single" w:sz="4" w:space="0" w:color="auto"/>
              <w:right w:val="single" w:sz="4" w:space="0" w:color="auto"/>
            </w:tcBorders>
            <w:shd w:val="clear" w:color="auto" w:fill="auto"/>
            <w:vAlign w:val="center"/>
          </w:tcPr>
          <w:p w14:paraId="4280E6FB" w14:textId="2C8045EC" w:rsidR="00C55B71" w:rsidRPr="00200549" w:rsidRDefault="00200549" w:rsidP="00C55B71">
            <w:pPr>
              <w:contextualSpacing/>
              <w:rPr>
                <w:sz w:val="22"/>
                <w:szCs w:val="22"/>
              </w:rPr>
            </w:pPr>
            <w:r w:rsidRPr="00200549">
              <w:rPr>
                <w:rFonts w:cs="Arial"/>
                <w:color w:val="212529"/>
                <w:sz w:val="22"/>
                <w:szCs w:val="22"/>
              </w:rPr>
              <w:t>Accessory for speech generating device, electromyographic sensor</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629F3B6" w14:textId="429A7DE6" w:rsidR="00C55B71" w:rsidRPr="00200549" w:rsidRDefault="00D45F3A" w:rsidP="00C55B71">
            <w:pPr>
              <w:contextualSpacing/>
              <w:jc w:val="center"/>
              <w:rPr>
                <w:sz w:val="22"/>
                <w:szCs w:val="22"/>
              </w:rPr>
            </w:pPr>
            <w:r w:rsidRPr="00200549">
              <w:rPr>
                <w:sz w:val="22"/>
                <w:szCs w:val="22"/>
              </w:rPr>
              <w:t>$365.49</w:t>
            </w:r>
          </w:p>
        </w:tc>
      </w:tr>
      <w:tr w:rsidR="00C55B71" w:rsidRPr="00200549" w14:paraId="465057D3"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6E785FD7" w14:textId="22E2A0B5" w:rsidR="00C55B71" w:rsidRPr="00200549" w:rsidRDefault="00C55B71" w:rsidP="000D412E">
            <w:pPr>
              <w:contextualSpacing/>
              <w:jc w:val="center"/>
              <w:rPr>
                <w:sz w:val="22"/>
                <w:szCs w:val="22"/>
              </w:rPr>
            </w:pPr>
            <w:r w:rsidRPr="00200549">
              <w:rPr>
                <w:rFonts w:cs="Arial"/>
                <w:color w:val="212529"/>
                <w:sz w:val="22"/>
                <w:szCs w:val="22"/>
              </w:rPr>
              <w:t>E3200</w:t>
            </w:r>
          </w:p>
        </w:tc>
        <w:tc>
          <w:tcPr>
            <w:tcW w:w="1119" w:type="dxa"/>
            <w:tcBorders>
              <w:top w:val="nil"/>
              <w:left w:val="nil"/>
              <w:bottom w:val="single" w:sz="4" w:space="0" w:color="auto"/>
              <w:right w:val="nil"/>
            </w:tcBorders>
            <w:shd w:val="clear" w:color="auto" w:fill="auto"/>
            <w:vAlign w:val="center"/>
          </w:tcPr>
          <w:p w14:paraId="3B244315" w14:textId="4C7B0A97"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1B01A608" w14:textId="4313FE6F" w:rsidR="00C55B71" w:rsidRPr="00200549" w:rsidRDefault="00200549" w:rsidP="00C55B71">
            <w:pPr>
              <w:contextualSpacing/>
              <w:rPr>
                <w:sz w:val="22"/>
                <w:szCs w:val="22"/>
              </w:rPr>
            </w:pPr>
            <w:r w:rsidRPr="00200549">
              <w:rPr>
                <w:rFonts w:cs="Arial"/>
                <w:color w:val="212529"/>
                <w:sz w:val="22"/>
                <w:szCs w:val="22"/>
              </w:rPr>
              <w:t>Gait modulation system, rhythmic auditory stimulation, including restricted therapy software, all components and accessories, prescription only</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294B3C2D" w14:textId="14C1C99F" w:rsidR="00C55B71" w:rsidRPr="00200549" w:rsidRDefault="00C55B71" w:rsidP="00C55B71">
            <w:pPr>
              <w:contextualSpacing/>
              <w:jc w:val="center"/>
              <w:rPr>
                <w:sz w:val="22"/>
                <w:szCs w:val="22"/>
              </w:rPr>
            </w:pPr>
            <w:r w:rsidRPr="00200549">
              <w:rPr>
                <w:sz w:val="22"/>
                <w:szCs w:val="22"/>
              </w:rPr>
              <w:t>AAC + 30%</w:t>
            </w:r>
          </w:p>
        </w:tc>
      </w:tr>
      <w:tr w:rsidR="00C55B71" w:rsidRPr="00200549" w14:paraId="389A9A01"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13460C73" w14:textId="504F233C" w:rsidR="00C55B71" w:rsidRPr="00200549" w:rsidRDefault="00C55B71" w:rsidP="000D412E">
            <w:pPr>
              <w:contextualSpacing/>
              <w:jc w:val="center"/>
              <w:rPr>
                <w:sz w:val="22"/>
                <w:szCs w:val="22"/>
              </w:rPr>
            </w:pPr>
            <w:r w:rsidRPr="00200549">
              <w:rPr>
                <w:rFonts w:cs="Arial"/>
                <w:color w:val="212529"/>
                <w:sz w:val="22"/>
                <w:szCs w:val="22"/>
              </w:rPr>
              <w:t>J0138</w:t>
            </w:r>
          </w:p>
        </w:tc>
        <w:tc>
          <w:tcPr>
            <w:tcW w:w="1119" w:type="dxa"/>
            <w:tcBorders>
              <w:top w:val="nil"/>
              <w:left w:val="nil"/>
              <w:bottom w:val="single" w:sz="4" w:space="0" w:color="auto"/>
              <w:right w:val="nil"/>
            </w:tcBorders>
            <w:shd w:val="clear" w:color="auto" w:fill="auto"/>
            <w:vAlign w:val="center"/>
          </w:tcPr>
          <w:p w14:paraId="7FA44330" w14:textId="27522B9B"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auto" w:fill="auto"/>
            <w:vAlign w:val="center"/>
          </w:tcPr>
          <w:p w14:paraId="0158669B" w14:textId="4532D957" w:rsidR="00C55B71" w:rsidRPr="00200549" w:rsidRDefault="00200549" w:rsidP="00C55B71">
            <w:pPr>
              <w:contextualSpacing/>
              <w:rPr>
                <w:sz w:val="22"/>
                <w:szCs w:val="22"/>
              </w:rPr>
            </w:pPr>
            <w:r w:rsidRPr="00200549">
              <w:rPr>
                <w:rFonts w:cs="Arial"/>
                <w:color w:val="000000"/>
                <w:sz w:val="22"/>
                <w:szCs w:val="22"/>
              </w:rPr>
              <w:t>Injection, acetaminophen 10 mg and ibuprofen 3 mg</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3764FF15" w14:textId="1E1B440A" w:rsidR="00C55B71" w:rsidRPr="00200549" w:rsidRDefault="001629EF" w:rsidP="00C55B71">
            <w:pPr>
              <w:contextualSpacing/>
              <w:jc w:val="center"/>
              <w:rPr>
                <w:sz w:val="22"/>
                <w:szCs w:val="22"/>
              </w:rPr>
            </w:pPr>
            <w:r w:rsidRPr="00200549">
              <w:rPr>
                <w:sz w:val="22"/>
                <w:szCs w:val="22"/>
              </w:rPr>
              <w:t>I.C.</w:t>
            </w:r>
          </w:p>
        </w:tc>
      </w:tr>
      <w:tr w:rsidR="00C55B71" w:rsidRPr="00200549" w14:paraId="648E18FE" w14:textId="77777777" w:rsidTr="000D412E">
        <w:trPr>
          <w:trHeight w:val="288"/>
        </w:trPr>
        <w:tc>
          <w:tcPr>
            <w:tcW w:w="828" w:type="dxa"/>
            <w:tcBorders>
              <w:top w:val="nil"/>
              <w:left w:val="single" w:sz="4" w:space="0" w:color="auto"/>
              <w:bottom w:val="single" w:sz="4" w:space="0" w:color="auto"/>
              <w:right w:val="single" w:sz="4" w:space="0" w:color="auto"/>
            </w:tcBorders>
            <w:shd w:val="clear" w:color="auto" w:fill="auto"/>
            <w:noWrap/>
            <w:vAlign w:val="center"/>
          </w:tcPr>
          <w:p w14:paraId="1E12E159" w14:textId="29160BBC" w:rsidR="00C55B71" w:rsidRPr="00200549" w:rsidRDefault="00C55B71" w:rsidP="000D412E">
            <w:pPr>
              <w:contextualSpacing/>
              <w:jc w:val="center"/>
              <w:rPr>
                <w:sz w:val="22"/>
                <w:szCs w:val="22"/>
              </w:rPr>
            </w:pPr>
            <w:r w:rsidRPr="00200549">
              <w:rPr>
                <w:rFonts w:cs="Arial"/>
                <w:color w:val="000000"/>
                <w:sz w:val="22"/>
                <w:szCs w:val="22"/>
              </w:rPr>
              <w:t>J1171</w:t>
            </w:r>
          </w:p>
        </w:tc>
        <w:tc>
          <w:tcPr>
            <w:tcW w:w="1119" w:type="dxa"/>
            <w:tcBorders>
              <w:top w:val="nil"/>
              <w:left w:val="nil"/>
              <w:bottom w:val="single" w:sz="4" w:space="0" w:color="auto"/>
              <w:right w:val="nil"/>
            </w:tcBorders>
            <w:shd w:val="clear" w:color="auto" w:fill="auto"/>
            <w:vAlign w:val="center"/>
          </w:tcPr>
          <w:p w14:paraId="6A679660" w14:textId="165FB09A"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555BC3A9" w14:textId="12D9EDC2" w:rsidR="00C55B71" w:rsidRPr="00200549" w:rsidRDefault="00200549" w:rsidP="00C55B71">
            <w:pPr>
              <w:contextualSpacing/>
              <w:rPr>
                <w:sz w:val="22"/>
                <w:szCs w:val="22"/>
              </w:rPr>
            </w:pPr>
            <w:r w:rsidRPr="00200549">
              <w:rPr>
                <w:rFonts w:cs="Arial"/>
                <w:color w:val="212529"/>
                <w:sz w:val="22"/>
                <w:szCs w:val="22"/>
              </w:rPr>
              <w:t>Injection, hydromorphone, 0.1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3C6E0A4E" w14:textId="0BB86B3A" w:rsidR="00C55B71" w:rsidRPr="00200549" w:rsidRDefault="00B501E1" w:rsidP="00C55B71">
            <w:pPr>
              <w:contextualSpacing/>
              <w:jc w:val="center"/>
              <w:rPr>
                <w:sz w:val="22"/>
                <w:szCs w:val="22"/>
              </w:rPr>
            </w:pPr>
            <w:r w:rsidRPr="00200549">
              <w:rPr>
                <w:sz w:val="22"/>
                <w:szCs w:val="22"/>
              </w:rPr>
              <w:t>$0.072</w:t>
            </w:r>
          </w:p>
        </w:tc>
      </w:tr>
      <w:tr w:rsidR="00C55B71" w:rsidRPr="00200549" w14:paraId="1F751BFA"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3A61AD21" w14:textId="184358AC" w:rsidR="00C55B71" w:rsidRPr="00200549" w:rsidRDefault="00C55B71" w:rsidP="000D412E">
            <w:pPr>
              <w:contextualSpacing/>
              <w:jc w:val="center"/>
              <w:rPr>
                <w:sz w:val="22"/>
                <w:szCs w:val="22"/>
              </w:rPr>
            </w:pPr>
            <w:r w:rsidRPr="00200549">
              <w:rPr>
                <w:rFonts w:cs="Arial"/>
                <w:color w:val="212529"/>
                <w:sz w:val="22"/>
                <w:szCs w:val="22"/>
              </w:rPr>
              <w:t>J1749</w:t>
            </w:r>
          </w:p>
        </w:tc>
        <w:tc>
          <w:tcPr>
            <w:tcW w:w="1119" w:type="dxa"/>
            <w:tcBorders>
              <w:top w:val="nil"/>
              <w:left w:val="nil"/>
              <w:bottom w:val="single" w:sz="4" w:space="0" w:color="auto"/>
              <w:right w:val="nil"/>
            </w:tcBorders>
            <w:shd w:val="clear" w:color="auto" w:fill="auto"/>
            <w:vAlign w:val="center"/>
          </w:tcPr>
          <w:p w14:paraId="71FE827F" w14:textId="7006CEDF"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503B9132" w14:textId="3419E100" w:rsidR="00C55B71" w:rsidRPr="00200549" w:rsidRDefault="00200549" w:rsidP="00C55B71">
            <w:pPr>
              <w:contextualSpacing/>
              <w:rPr>
                <w:sz w:val="22"/>
                <w:szCs w:val="22"/>
              </w:rPr>
            </w:pPr>
            <w:r w:rsidRPr="00200549">
              <w:rPr>
                <w:rFonts w:cs="Arial"/>
                <w:color w:val="212529"/>
                <w:sz w:val="22"/>
                <w:szCs w:val="22"/>
              </w:rPr>
              <w:t xml:space="preserve">Injection, </w:t>
            </w:r>
            <w:proofErr w:type="spellStart"/>
            <w:r w:rsidRPr="00200549">
              <w:rPr>
                <w:rFonts w:cs="Arial"/>
                <w:color w:val="212529"/>
                <w:sz w:val="22"/>
                <w:szCs w:val="22"/>
              </w:rPr>
              <w:t>iloprost</w:t>
            </w:r>
            <w:proofErr w:type="spellEnd"/>
            <w:r w:rsidRPr="00200549">
              <w:rPr>
                <w:rFonts w:cs="Arial"/>
                <w:color w:val="212529"/>
                <w:sz w:val="22"/>
                <w:szCs w:val="22"/>
              </w:rPr>
              <w:t>, 0.1 mcg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183E0C93" w14:textId="550DEC29" w:rsidR="00C55B71" w:rsidRPr="00200549" w:rsidRDefault="00C55B71" w:rsidP="00C55B71">
            <w:pPr>
              <w:contextualSpacing/>
              <w:jc w:val="center"/>
              <w:rPr>
                <w:sz w:val="22"/>
                <w:szCs w:val="22"/>
              </w:rPr>
            </w:pPr>
            <w:r w:rsidRPr="00200549">
              <w:rPr>
                <w:sz w:val="22"/>
                <w:szCs w:val="22"/>
              </w:rPr>
              <w:t>I.C.</w:t>
            </w:r>
          </w:p>
        </w:tc>
      </w:tr>
      <w:tr w:rsidR="00C55B71" w:rsidRPr="00200549" w14:paraId="1279B87C"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6ABEFE9D" w14:textId="6222459D" w:rsidR="00C55B71" w:rsidRPr="00200549" w:rsidRDefault="00C55B71" w:rsidP="000D412E">
            <w:pPr>
              <w:contextualSpacing/>
              <w:jc w:val="center"/>
              <w:rPr>
                <w:sz w:val="22"/>
                <w:szCs w:val="22"/>
              </w:rPr>
            </w:pPr>
            <w:r w:rsidRPr="00200549">
              <w:rPr>
                <w:rFonts w:cs="Arial"/>
                <w:color w:val="212529"/>
                <w:sz w:val="22"/>
                <w:szCs w:val="22"/>
              </w:rPr>
              <w:t>J2002</w:t>
            </w:r>
          </w:p>
        </w:tc>
        <w:tc>
          <w:tcPr>
            <w:tcW w:w="1119" w:type="dxa"/>
            <w:tcBorders>
              <w:top w:val="nil"/>
              <w:left w:val="nil"/>
              <w:bottom w:val="single" w:sz="4" w:space="0" w:color="auto"/>
              <w:right w:val="nil"/>
            </w:tcBorders>
            <w:shd w:val="clear" w:color="auto" w:fill="auto"/>
            <w:vAlign w:val="center"/>
          </w:tcPr>
          <w:p w14:paraId="1C1F70E7" w14:textId="503B336D"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3C3AC11A" w14:textId="32870074" w:rsidR="00C55B71" w:rsidRPr="00200549" w:rsidRDefault="00200549" w:rsidP="00C55B71">
            <w:pPr>
              <w:contextualSpacing/>
              <w:rPr>
                <w:sz w:val="22"/>
                <w:szCs w:val="22"/>
              </w:rPr>
            </w:pPr>
            <w:r w:rsidRPr="00200549">
              <w:rPr>
                <w:rFonts w:cs="Arial"/>
                <w:color w:val="212529"/>
                <w:sz w:val="22"/>
                <w:szCs w:val="22"/>
              </w:rPr>
              <w:t xml:space="preserve">Injection, lidocaine </w:t>
            </w:r>
            <w:proofErr w:type="spellStart"/>
            <w:r w:rsidRPr="00200549">
              <w:rPr>
                <w:rFonts w:cs="Arial"/>
                <w:color w:val="212529"/>
                <w:sz w:val="22"/>
                <w:szCs w:val="22"/>
              </w:rPr>
              <w:t>hcl</w:t>
            </w:r>
            <w:proofErr w:type="spellEnd"/>
            <w:r w:rsidRPr="00200549">
              <w:rPr>
                <w:rFonts w:cs="Arial"/>
                <w:color w:val="212529"/>
                <w:sz w:val="22"/>
                <w:szCs w:val="22"/>
              </w:rPr>
              <w:t xml:space="preserve"> in 5% dextrose, 1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350EC3C9" w14:textId="3738DDB4" w:rsidR="00C55B71" w:rsidRPr="00200549" w:rsidRDefault="00C55B71" w:rsidP="00C55B71">
            <w:pPr>
              <w:contextualSpacing/>
              <w:jc w:val="center"/>
              <w:rPr>
                <w:sz w:val="22"/>
                <w:szCs w:val="22"/>
              </w:rPr>
            </w:pPr>
            <w:r w:rsidRPr="00200549">
              <w:rPr>
                <w:sz w:val="22"/>
                <w:szCs w:val="22"/>
              </w:rPr>
              <w:t>$0.0026</w:t>
            </w:r>
          </w:p>
        </w:tc>
      </w:tr>
      <w:tr w:rsidR="00C55B71" w:rsidRPr="00200549" w14:paraId="2DE20A2F"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62A724F1" w14:textId="0A0C23AE" w:rsidR="00C55B71" w:rsidRPr="00200549" w:rsidRDefault="00C55B71" w:rsidP="000D412E">
            <w:pPr>
              <w:contextualSpacing/>
              <w:jc w:val="center"/>
              <w:rPr>
                <w:sz w:val="22"/>
                <w:szCs w:val="22"/>
              </w:rPr>
            </w:pPr>
            <w:r w:rsidRPr="00200549">
              <w:rPr>
                <w:rFonts w:cs="Arial"/>
                <w:color w:val="212529"/>
                <w:sz w:val="22"/>
                <w:szCs w:val="22"/>
              </w:rPr>
              <w:t>J2003</w:t>
            </w:r>
          </w:p>
        </w:tc>
        <w:tc>
          <w:tcPr>
            <w:tcW w:w="1119" w:type="dxa"/>
            <w:tcBorders>
              <w:top w:val="nil"/>
              <w:left w:val="nil"/>
              <w:bottom w:val="single" w:sz="4" w:space="0" w:color="auto"/>
              <w:right w:val="nil"/>
            </w:tcBorders>
            <w:shd w:val="clear" w:color="auto" w:fill="auto"/>
            <w:vAlign w:val="center"/>
          </w:tcPr>
          <w:p w14:paraId="5F184A2D" w14:textId="0A30C487"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41411EB9" w14:textId="49171C0B" w:rsidR="00C55B71" w:rsidRPr="00200549" w:rsidRDefault="00200549" w:rsidP="00C55B71">
            <w:pPr>
              <w:contextualSpacing/>
              <w:rPr>
                <w:sz w:val="22"/>
                <w:szCs w:val="22"/>
              </w:rPr>
            </w:pPr>
            <w:r w:rsidRPr="00200549">
              <w:rPr>
                <w:rFonts w:cs="Arial"/>
                <w:color w:val="212529"/>
                <w:sz w:val="22"/>
                <w:szCs w:val="22"/>
              </w:rPr>
              <w:t>Injection, lidocaine hydrochloride, 1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7A446BA1" w14:textId="4A2C8CAF" w:rsidR="00C55B71" w:rsidRPr="00200549" w:rsidRDefault="00C55B71" w:rsidP="00C55B71">
            <w:pPr>
              <w:contextualSpacing/>
              <w:jc w:val="center"/>
              <w:rPr>
                <w:sz w:val="22"/>
                <w:szCs w:val="22"/>
              </w:rPr>
            </w:pPr>
            <w:r w:rsidRPr="00200549">
              <w:rPr>
                <w:sz w:val="22"/>
                <w:szCs w:val="22"/>
              </w:rPr>
              <w:t>I.C.</w:t>
            </w:r>
          </w:p>
        </w:tc>
      </w:tr>
      <w:tr w:rsidR="00C55B71" w:rsidRPr="00200549" w14:paraId="0D985D11"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53AD68F1" w14:textId="468F4CA0" w:rsidR="00C55B71" w:rsidRPr="00200549" w:rsidRDefault="00C55B71" w:rsidP="000D412E">
            <w:pPr>
              <w:contextualSpacing/>
              <w:jc w:val="center"/>
              <w:rPr>
                <w:sz w:val="22"/>
                <w:szCs w:val="22"/>
              </w:rPr>
            </w:pPr>
            <w:r w:rsidRPr="00200549">
              <w:rPr>
                <w:rFonts w:cs="Arial"/>
                <w:color w:val="212529"/>
                <w:sz w:val="22"/>
                <w:szCs w:val="22"/>
              </w:rPr>
              <w:t>J2004</w:t>
            </w:r>
          </w:p>
        </w:tc>
        <w:tc>
          <w:tcPr>
            <w:tcW w:w="1119" w:type="dxa"/>
            <w:tcBorders>
              <w:top w:val="nil"/>
              <w:left w:val="nil"/>
              <w:bottom w:val="single" w:sz="4" w:space="0" w:color="auto"/>
              <w:right w:val="nil"/>
            </w:tcBorders>
            <w:shd w:val="clear" w:color="auto" w:fill="auto"/>
            <w:vAlign w:val="center"/>
          </w:tcPr>
          <w:p w14:paraId="2AFFF7E2" w14:textId="0BF0200D" w:rsidR="00C55B71" w:rsidRPr="00200549" w:rsidRDefault="00C55B71" w:rsidP="000D412E">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3E9FC469" w14:textId="6FE4F0BA" w:rsidR="00C55B71" w:rsidRPr="00200549" w:rsidRDefault="00200549" w:rsidP="00C55B71">
            <w:pPr>
              <w:contextualSpacing/>
              <w:rPr>
                <w:sz w:val="22"/>
                <w:szCs w:val="22"/>
              </w:rPr>
            </w:pPr>
            <w:r w:rsidRPr="00200549">
              <w:rPr>
                <w:rFonts w:cs="Arial"/>
                <w:color w:val="212529"/>
                <w:sz w:val="22"/>
                <w:szCs w:val="22"/>
              </w:rPr>
              <w:t xml:space="preserve">Injection, lidocaine </w:t>
            </w:r>
            <w:proofErr w:type="spellStart"/>
            <w:r w:rsidRPr="00200549">
              <w:rPr>
                <w:rFonts w:cs="Arial"/>
                <w:color w:val="212529"/>
                <w:sz w:val="22"/>
                <w:szCs w:val="22"/>
              </w:rPr>
              <w:t>hcl</w:t>
            </w:r>
            <w:proofErr w:type="spellEnd"/>
            <w:r w:rsidRPr="00200549">
              <w:rPr>
                <w:rFonts w:cs="Arial"/>
                <w:color w:val="212529"/>
                <w:sz w:val="22"/>
                <w:szCs w:val="22"/>
              </w:rPr>
              <w:t xml:space="preserve"> with epinephrine, 1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123EC857" w14:textId="57F278A3" w:rsidR="00C55B71" w:rsidRPr="00200549" w:rsidRDefault="00C55B71" w:rsidP="00C55B71">
            <w:pPr>
              <w:contextualSpacing/>
              <w:jc w:val="center"/>
              <w:rPr>
                <w:sz w:val="22"/>
                <w:szCs w:val="22"/>
              </w:rPr>
            </w:pPr>
            <w:r w:rsidRPr="00200549">
              <w:rPr>
                <w:sz w:val="22"/>
                <w:szCs w:val="22"/>
              </w:rPr>
              <w:t>I.C.</w:t>
            </w:r>
          </w:p>
        </w:tc>
      </w:tr>
      <w:tr w:rsidR="006B6F83" w:rsidRPr="00200549" w14:paraId="3D8D760E" w14:textId="77777777">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132BA882" w14:textId="70DCB9F5" w:rsidR="006B6F83" w:rsidRPr="00200549" w:rsidRDefault="006B6F83" w:rsidP="006B6F83">
            <w:pPr>
              <w:contextualSpacing/>
              <w:jc w:val="center"/>
              <w:rPr>
                <w:rFonts w:cs="Arial"/>
                <w:color w:val="212529"/>
                <w:sz w:val="22"/>
                <w:szCs w:val="22"/>
              </w:rPr>
            </w:pPr>
            <w:r w:rsidRPr="00200549">
              <w:rPr>
                <w:rFonts w:cs="Arial"/>
                <w:color w:val="212529"/>
                <w:sz w:val="22"/>
                <w:szCs w:val="22"/>
              </w:rPr>
              <w:t>J2251</w:t>
            </w:r>
          </w:p>
        </w:tc>
        <w:tc>
          <w:tcPr>
            <w:tcW w:w="1119" w:type="dxa"/>
            <w:tcBorders>
              <w:top w:val="nil"/>
              <w:left w:val="nil"/>
              <w:bottom w:val="single" w:sz="4" w:space="0" w:color="auto"/>
              <w:right w:val="nil"/>
            </w:tcBorders>
            <w:shd w:val="clear" w:color="auto" w:fill="auto"/>
            <w:vAlign w:val="center"/>
          </w:tcPr>
          <w:p w14:paraId="0CEC3FEC" w14:textId="77777777"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5E5CF927" w14:textId="4917F3A8" w:rsidR="006B6F83" w:rsidRPr="00200549" w:rsidRDefault="00200549" w:rsidP="006B6F83">
            <w:pPr>
              <w:contextualSpacing/>
              <w:rPr>
                <w:sz w:val="22"/>
                <w:szCs w:val="22"/>
              </w:rPr>
            </w:pPr>
            <w:r w:rsidRPr="00200549">
              <w:rPr>
                <w:rFonts w:cs="Arial"/>
                <w:color w:val="212529"/>
                <w:sz w:val="22"/>
                <w:szCs w:val="22"/>
              </w:rPr>
              <w:t>Injection, midazolam in 0.9% sodium chloride, intravenous, not therapeutically equivalent to j2250, 1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2FCF44C1" w14:textId="727EC99F" w:rsidR="006B6F83" w:rsidRPr="00200549" w:rsidRDefault="006B6F83" w:rsidP="006B6F83">
            <w:pPr>
              <w:contextualSpacing/>
              <w:jc w:val="center"/>
              <w:rPr>
                <w:sz w:val="22"/>
                <w:szCs w:val="22"/>
              </w:rPr>
            </w:pPr>
            <w:r w:rsidRPr="00200549">
              <w:rPr>
                <w:sz w:val="22"/>
                <w:szCs w:val="22"/>
              </w:rPr>
              <w:t>$0.15</w:t>
            </w:r>
          </w:p>
        </w:tc>
      </w:tr>
      <w:tr w:rsidR="006B6F83" w:rsidRPr="00200549" w14:paraId="16DF59E0"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329D07EB" w14:textId="77945694" w:rsidR="006B6F83" w:rsidRPr="00200549" w:rsidRDefault="006B6F83" w:rsidP="006B6F83">
            <w:pPr>
              <w:contextualSpacing/>
              <w:jc w:val="center"/>
              <w:rPr>
                <w:rFonts w:cs="Arial"/>
                <w:color w:val="212529"/>
                <w:sz w:val="22"/>
                <w:szCs w:val="22"/>
              </w:rPr>
            </w:pPr>
            <w:r w:rsidRPr="00200549">
              <w:rPr>
                <w:rFonts w:cs="Arial"/>
                <w:color w:val="212529"/>
                <w:sz w:val="22"/>
                <w:szCs w:val="22"/>
              </w:rPr>
              <w:t>J2252</w:t>
            </w:r>
          </w:p>
        </w:tc>
        <w:tc>
          <w:tcPr>
            <w:tcW w:w="1119" w:type="dxa"/>
            <w:tcBorders>
              <w:top w:val="nil"/>
              <w:left w:val="nil"/>
              <w:bottom w:val="single" w:sz="4" w:space="0" w:color="auto"/>
              <w:right w:val="nil"/>
            </w:tcBorders>
            <w:shd w:val="clear" w:color="auto" w:fill="auto"/>
            <w:vAlign w:val="center"/>
          </w:tcPr>
          <w:p w14:paraId="4D459CA9" w14:textId="160A3E42"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tcPr>
          <w:p w14:paraId="0297D484" w14:textId="7D1CC9E9" w:rsidR="006B6F83" w:rsidRPr="00200549" w:rsidRDefault="00200549" w:rsidP="006B6F83">
            <w:pPr>
              <w:contextualSpacing/>
              <w:rPr>
                <w:rFonts w:cs="Arial"/>
                <w:color w:val="212529"/>
                <w:sz w:val="22"/>
                <w:szCs w:val="22"/>
              </w:rPr>
            </w:pPr>
            <w:r w:rsidRPr="00200549">
              <w:rPr>
                <w:sz w:val="22"/>
                <w:szCs w:val="22"/>
              </w:rPr>
              <w:t>Injection, midazolam in 0.8% sodium chloride, intravenous, not therapeutically equivalent to j2250, 1 mg</w:t>
            </w:r>
          </w:p>
        </w:tc>
        <w:tc>
          <w:tcPr>
            <w:tcW w:w="2160" w:type="dxa"/>
            <w:tcBorders>
              <w:top w:val="nil"/>
              <w:left w:val="single" w:sz="4" w:space="0" w:color="auto"/>
              <w:bottom w:val="single" w:sz="4" w:space="0" w:color="auto"/>
              <w:right w:val="single" w:sz="4" w:space="0" w:color="auto"/>
            </w:tcBorders>
            <w:shd w:val="clear" w:color="000000" w:fill="FFFFFF"/>
            <w:noWrap/>
          </w:tcPr>
          <w:p w14:paraId="15C08C9F" w14:textId="4E6D64D3" w:rsidR="006B6F83" w:rsidRPr="00200549" w:rsidRDefault="00696166" w:rsidP="006B6F83">
            <w:pPr>
              <w:contextualSpacing/>
              <w:jc w:val="center"/>
              <w:rPr>
                <w:sz w:val="22"/>
                <w:szCs w:val="22"/>
              </w:rPr>
            </w:pPr>
            <w:r w:rsidRPr="00200549">
              <w:rPr>
                <w:sz w:val="22"/>
                <w:szCs w:val="22"/>
              </w:rPr>
              <w:t>I.C.</w:t>
            </w:r>
          </w:p>
        </w:tc>
      </w:tr>
      <w:tr w:rsidR="006B6F83" w:rsidRPr="00200549" w14:paraId="6A50435C"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29371624" w14:textId="311556CD" w:rsidR="006B6F83" w:rsidRPr="00200549" w:rsidRDefault="006B6F83" w:rsidP="006B6F83">
            <w:pPr>
              <w:contextualSpacing/>
              <w:jc w:val="center"/>
              <w:rPr>
                <w:sz w:val="22"/>
                <w:szCs w:val="22"/>
              </w:rPr>
            </w:pPr>
            <w:r w:rsidRPr="00200549">
              <w:rPr>
                <w:rFonts w:cs="Arial"/>
                <w:color w:val="212529"/>
                <w:sz w:val="22"/>
                <w:szCs w:val="22"/>
              </w:rPr>
              <w:t>J2253</w:t>
            </w:r>
          </w:p>
        </w:tc>
        <w:tc>
          <w:tcPr>
            <w:tcW w:w="1119" w:type="dxa"/>
            <w:tcBorders>
              <w:top w:val="nil"/>
              <w:left w:val="nil"/>
              <w:bottom w:val="single" w:sz="4" w:space="0" w:color="auto"/>
              <w:right w:val="nil"/>
            </w:tcBorders>
            <w:shd w:val="clear" w:color="auto" w:fill="auto"/>
            <w:vAlign w:val="center"/>
          </w:tcPr>
          <w:p w14:paraId="6DFDEC5C" w14:textId="220331E9"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41592910" w14:textId="0C897B69" w:rsidR="006B6F83" w:rsidRPr="00200549" w:rsidRDefault="00200549" w:rsidP="006B6F83">
            <w:pPr>
              <w:contextualSpacing/>
              <w:rPr>
                <w:sz w:val="22"/>
                <w:szCs w:val="22"/>
              </w:rPr>
            </w:pPr>
            <w:r w:rsidRPr="00200549">
              <w:rPr>
                <w:rFonts w:cs="Arial"/>
                <w:color w:val="212529"/>
                <w:sz w:val="22"/>
                <w:szCs w:val="22"/>
              </w:rPr>
              <w:t>Injection, midazolam (</w:t>
            </w:r>
            <w:proofErr w:type="spellStart"/>
            <w:r w:rsidRPr="00200549">
              <w:rPr>
                <w:rFonts w:cs="Arial"/>
                <w:color w:val="212529"/>
                <w:sz w:val="22"/>
                <w:szCs w:val="22"/>
              </w:rPr>
              <w:t>seizalam</w:t>
            </w:r>
            <w:proofErr w:type="spellEnd"/>
            <w:r w:rsidRPr="00200549">
              <w:rPr>
                <w:rFonts w:cs="Arial"/>
                <w:color w:val="212529"/>
                <w:sz w:val="22"/>
                <w:szCs w:val="22"/>
              </w:rPr>
              <w:t>), 1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14891751" w14:textId="1AED6D4D" w:rsidR="006B6F83" w:rsidRPr="00200549" w:rsidRDefault="006B6F83" w:rsidP="006B6F83">
            <w:pPr>
              <w:contextualSpacing/>
              <w:jc w:val="center"/>
              <w:rPr>
                <w:sz w:val="22"/>
                <w:szCs w:val="22"/>
              </w:rPr>
            </w:pPr>
            <w:r w:rsidRPr="00200549">
              <w:rPr>
                <w:sz w:val="22"/>
                <w:szCs w:val="22"/>
              </w:rPr>
              <w:t>I.C.</w:t>
            </w:r>
          </w:p>
        </w:tc>
      </w:tr>
      <w:tr w:rsidR="006B6F83" w:rsidRPr="00200549" w14:paraId="10A50244"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2434FE75" w14:textId="67C7E3A3" w:rsidR="006B6F83" w:rsidRPr="00200549" w:rsidRDefault="006B6F83" w:rsidP="006B6F83">
            <w:pPr>
              <w:contextualSpacing/>
              <w:jc w:val="center"/>
              <w:rPr>
                <w:sz w:val="22"/>
                <w:szCs w:val="22"/>
              </w:rPr>
            </w:pPr>
            <w:r w:rsidRPr="00200549">
              <w:rPr>
                <w:rFonts w:cs="Arial"/>
                <w:color w:val="212529"/>
                <w:sz w:val="22"/>
                <w:szCs w:val="22"/>
              </w:rPr>
              <w:t>J2601</w:t>
            </w:r>
          </w:p>
        </w:tc>
        <w:tc>
          <w:tcPr>
            <w:tcW w:w="1119" w:type="dxa"/>
            <w:tcBorders>
              <w:top w:val="nil"/>
              <w:left w:val="nil"/>
              <w:bottom w:val="single" w:sz="4" w:space="0" w:color="auto"/>
              <w:right w:val="nil"/>
            </w:tcBorders>
            <w:shd w:val="clear" w:color="auto" w:fill="auto"/>
            <w:vAlign w:val="center"/>
          </w:tcPr>
          <w:p w14:paraId="54A9645F" w14:textId="6F9E7981"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2012A6C6" w14:textId="4D57D9B3" w:rsidR="006B6F83" w:rsidRPr="00200549" w:rsidRDefault="00200549" w:rsidP="006B6F83">
            <w:pPr>
              <w:contextualSpacing/>
              <w:rPr>
                <w:sz w:val="22"/>
                <w:szCs w:val="22"/>
              </w:rPr>
            </w:pPr>
            <w:r w:rsidRPr="00200549">
              <w:rPr>
                <w:rFonts w:cs="Arial"/>
                <w:color w:val="212529"/>
                <w:sz w:val="22"/>
                <w:szCs w:val="22"/>
              </w:rPr>
              <w:t>Injection, vasopressin (</w:t>
            </w:r>
            <w:proofErr w:type="spellStart"/>
            <w:r w:rsidRPr="00200549">
              <w:rPr>
                <w:rFonts w:cs="Arial"/>
                <w:color w:val="212529"/>
                <w:sz w:val="22"/>
                <w:szCs w:val="22"/>
              </w:rPr>
              <w:t>baxter</w:t>
            </w:r>
            <w:proofErr w:type="spellEnd"/>
            <w:r w:rsidRPr="00200549">
              <w:rPr>
                <w:rFonts w:cs="Arial"/>
                <w:color w:val="212529"/>
                <w:sz w:val="22"/>
                <w:szCs w:val="22"/>
              </w:rPr>
              <w:t>), 1 unit</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0694AC5C" w14:textId="0FC65E4F" w:rsidR="006B6F83" w:rsidRPr="00200549" w:rsidRDefault="001713CF" w:rsidP="006B6F83">
            <w:pPr>
              <w:contextualSpacing/>
              <w:jc w:val="center"/>
              <w:rPr>
                <w:sz w:val="22"/>
                <w:szCs w:val="22"/>
              </w:rPr>
            </w:pPr>
            <w:r w:rsidRPr="00200549">
              <w:rPr>
                <w:sz w:val="22"/>
                <w:szCs w:val="22"/>
              </w:rPr>
              <w:t>I.C</w:t>
            </w:r>
            <w:r w:rsidR="00FB2087" w:rsidRPr="00200549">
              <w:rPr>
                <w:sz w:val="22"/>
                <w:szCs w:val="22"/>
              </w:rPr>
              <w:t>.</w:t>
            </w:r>
            <w:r w:rsidRPr="00200549" w:rsidDel="00745CC5">
              <w:rPr>
                <w:sz w:val="22"/>
                <w:szCs w:val="22"/>
              </w:rPr>
              <w:t xml:space="preserve"> </w:t>
            </w:r>
          </w:p>
        </w:tc>
      </w:tr>
      <w:tr w:rsidR="006B6F83" w:rsidRPr="00200549" w14:paraId="73713598"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2554B110" w14:textId="64E57EC0" w:rsidR="006B6F83" w:rsidRPr="00200549" w:rsidRDefault="006B6F83" w:rsidP="006B6F83">
            <w:pPr>
              <w:contextualSpacing/>
              <w:jc w:val="center"/>
              <w:rPr>
                <w:sz w:val="22"/>
                <w:szCs w:val="22"/>
              </w:rPr>
            </w:pPr>
            <w:r w:rsidRPr="00200549">
              <w:rPr>
                <w:rFonts w:cs="Arial"/>
                <w:color w:val="212529"/>
                <w:sz w:val="22"/>
                <w:szCs w:val="22"/>
              </w:rPr>
              <w:t>J8522</w:t>
            </w:r>
          </w:p>
        </w:tc>
        <w:tc>
          <w:tcPr>
            <w:tcW w:w="1119" w:type="dxa"/>
            <w:tcBorders>
              <w:top w:val="nil"/>
              <w:left w:val="nil"/>
              <w:bottom w:val="single" w:sz="4" w:space="0" w:color="auto"/>
              <w:right w:val="nil"/>
            </w:tcBorders>
            <w:shd w:val="clear" w:color="auto" w:fill="auto"/>
            <w:vAlign w:val="center"/>
          </w:tcPr>
          <w:p w14:paraId="1F5615DC" w14:textId="2DA83D1B"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3D197BCB" w14:textId="5B3671D3" w:rsidR="006B6F83" w:rsidRPr="00200549" w:rsidRDefault="00200549" w:rsidP="006B6F83">
            <w:pPr>
              <w:contextualSpacing/>
              <w:rPr>
                <w:sz w:val="22"/>
                <w:szCs w:val="22"/>
              </w:rPr>
            </w:pPr>
            <w:r w:rsidRPr="00200549">
              <w:rPr>
                <w:rFonts w:cs="Arial"/>
                <w:color w:val="212529"/>
                <w:sz w:val="22"/>
                <w:szCs w:val="22"/>
              </w:rPr>
              <w:t>Capecitabine, oral, 50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15AEF171" w14:textId="0FADDF60" w:rsidR="006B6F83" w:rsidRPr="00200549" w:rsidRDefault="001713CF" w:rsidP="006B6F83">
            <w:pPr>
              <w:contextualSpacing/>
              <w:jc w:val="center"/>
              <w:rPr>
                <w:sz w:val="22"/>
                <w:szCs w:val="22"/>
              </w:rPr>
            </w:pPr>
            <w:r w:rsidRPr="00200549">
              <w:rPr>
                <w:sz w:val="22"/>
                <w:szCs w:val="22"/>
              </w:rPr>
              <w:t>$0.0544</w:t>
            </w:r>
          </w:p>
        </w:tc>
      </w:tr>
      <w:tr w:rsidR="006B6F83" w:rsidRPr="00200549" w14:paraId="4D65FBB1"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5921F53D" w14:textId="59E2261A" w:rsidR="006B6F83" w:rsidRPr="00200549" w:rsidRDefault="006B6F83" w:rsidP="006B6F83">
            <w:pPr>
              <w:contextualSpacing/>
              <w:jc w:val="center"/>
              <w:rPr>
                <w:sz w:val="22"/>
                <w:szCs w:val="22"/>
              </w:rPr>
            </w:pPr>
            <w:r w:rsidRPr="00200549">
              <w:rPr>
                <w:rFonts w:cs="Arial"/>
                <w:color w:val="212529"/>
                <w:sz w:val="22"/>
                <w:szCs w:val="22"/>
              </w:rPr>
              <w:t>J8541</w:t>
            </w:r>
          </w:p>
        </w:tc>
        <w:tc>
          <w:tcPr>
            <w:tcW w:w="1119" w:type="dxa"/>
            <w:tcBorders>
              <w:top w:val="nil"/>
              <w:left w:val="nil"/>
              <w:bottom w:val="single" w:sz="4" w:space="0" w:color="auto"/>
              <w:right w:val="nil"/>
            </w:tcBorders>
            <w:shd w:val="clear" w:color="auto" w:fill="auto"/>
            <w:vAlign w:val="center"/>
          </w:tcPr>
          <w:p w14:paraId="14FBE46E" w14:textId="2A3CF65F"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06CA0A18" w14:textId="33375974" w:rsidR="006B6F83" w:rsidRPr="00200549" w:rsidRDefault="00200549" w:rsidP="006B6F83">
            <w:pPr>
              <w:contextualSpacing/>
              <w:rPr>
                <w:sz w:val="22"/>
                <w:szCs w:val="22"/>
              </w:rPr>
            </w:pPr>
            <w:r w:rsidRPr="00200549">
              <w:rPr>
                <w:rFonts w:cs="Arial"/>
                <w:color w:val="212529"/>
                <w:sz w:val="22"/>
                <w:szCs w:val="22"/>
              </w:rPr>
              <w:t>Dexamethasone (</w:t>
            </w:r>
            <w:proofErr w:type="spellStart"/>
            <w:r w:rsidRPr="00200549">
              <w:rPr>
                <w:rFonts w:cs="Arial"/>
                <w:color w:val="212529"/>
                <w:sz w:val="22"/>
                <w:szCs w:val="22"/>
              </w:rPr>
              <w:t>hemady</w:t>
            </w:r>
            <w:proofErr w:type="spellEnd"/>
            <w:r w:rsidRPr="00200549">
              <w:rPr>
                <w:rFonts w:cs="Arial"/>
                <w:color w:val="212529"/>
                <w:sz w:val="22"/>
                <w:szCs w:val="22"/>
              </w:rPr>
              <w:t>), oral, 0.25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0FF1E189" w14:textId="09F4657F" w:rsidR="006B6F83" w:rsidRPr="00200549" w:rsidRDefault="008E16F8" w:rsidP="006B6F83">
            <w:pPr>
              <w:contextualSpacing/>
              <w:jc w:val="center"/>
              <w:rPr>
                <w:sz w:val="22"/>
                <w:szCs w:val="22"/>
              </w:rPr>
            </w:pPr>
            <w:r w:rsidRPr="00200549">
              <w:rPr>
                <w:sz w:val="22"/>
                <w:szCs w:val="22"/>
              </w:rPr>
              <w:t>I.C</w:t>
            </w:r>
            <w:r w:rsidR="00FB2087" w:rsidRPr="00200549">
              <w:rPr>
                <w:sz w:val="22"/>
                <w:szCs w:val="22"/>
              </w:rPr>
              <w:t>.</w:t>
            </w:r>
          </w:p>
        </w:tc>
      </w:tr>
      <w:tr w:rsidR="006B6F83" w:rsidRPr="00200549" w14:paraId="12B1DED5"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4F9DAEA8" w14:textId="220A29D5" w:rsidR="006B6F83" w:rsidRPr="00200549" w:rsidRDefault="006B6F83" w:rsidP="006B6F83">
            <w:pPr>
              <w:contextualSpacing/>
              <w:jc w:val="center"/>
              <w:rPr>
                <w:rFonts w:cs="Arial"/>
                <w:color w:val="212529"/>
                <w:sz w:val="22"/>
                <w:szCs w:val="22"/>
              </w:rPr>
            </w:pPr>
            <w:r w:rsidRPr="00200549">
              <w:rPr>
                <w:rFonts w:cs="Arial"/>
                <w:color w:val="212529"/>
                <w:sz w:val="22"/>
                <w:szCs w:val="22"/>
              </w:rPr>
              <w:t>J9172</w:t>
            </w:r>
          </w:p>
        </w:tc>
        <w:tc>
          <w:tcPr>
            <w:tcW w:w="1119" w:type="dxa"/>
            <w:tcBorders>
              <w:top w:val="nil"/>
              <w:left w:val="nil"/>
              <w:bottom w:val="single" w:sz="4" w:space="0" w:color="auto"/>
              <w:right w:val="nil"/>
            </w:tcBorders>
            <w:shd w:val="clear" w:color="auto" w:fill="auto"/>
            <w:vAlign w:val="center"/>
          </w:tcPr>
          <w:p w14:paraId="6F423B12" w14:textId="77777777"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5AE10BC9" w14:textId="6B47E84B" w:rsidR="006B6F83" w:rsidRPr="00200549" w:rsidRDefault="00200549" w:rsidP="006B6F83">
            <w:pPr>
              <w:contextualSpacing/>
              <w:rPr>
                <w:rFonts w:cs="Arial"/>
                <w:color w:val="212529"/>
                <w:sz w:val="22"/>
                <w:szCs w:val="22"/>
              </w:rPr>
            </w:pPr>
            <w:r w:rsidRPr="00200549">
              <w:rPr>
                <w:rFonts w:cs="Arial"/>
                <w:color w:val="212529"/>
                <w:sz w:val="22"/>
                <w:szCs w:val="22"/>
              </w:rPr>
              <w:t>Injection, docetaxel (</w:t>
            </w:r>
            <w:proofErr w:type="spellStart"/>
            <w:r w:rsidRPr="00200549">
              <w:rPr>
                <w:rFonts w:cs="Arial"/>
                <w:color w:val="212529"/>
                <w:sz w:val="22"/>
                <w:szCs w:val="22"/>
              </w:rPr>
              <w:t>docivyx</w:t>
            </w:r>
            <w:proofErr w:type="spellEnd"/>
            <w:r w:rsidRPr="00200549">
              <w:rPr>
                <w:rFonts w:cs="Arial"/>
                <w:color w:val="212529"/>
                <w:sz w:val="22"/>
                <w:szCs w:val="22"/>
              </w:rPr>
              <w:t>), 1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068E0DBE" w14:textId="4C7AA0FD" w:rsidR="006B6F83" w:rsidRPr="00200549" w:rsidRDefault="006B6F83" w:rsidP="006B6F83">
            <w:pPr>
              <w:contextualSpacing/>
              <w:jc w:val="center"/>
              <w:rPr>
                <w:sz w:val="22"/>
                <w:szCs w:val="22"/>
              </w:rPr>
            </w:pPr>
            <w:r w:rsidRPr="00200549">
              <w:rPr>
                <w:sz w:val="22"/>
                <w:szCs w:val="22"/>
              </w:rPr>
              <w:t>I.C.</w:t>
            </w:r>
          </w:p>
        </w:tc>
      </w:tr>
      <w:tr w:rsidR="006B6F83" w:rsidRPr="00200549" w14:paraId="17BC061C"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5C75949C" w14:textId="1181B06F" w:rsidR="006B6F83" w:rsidRPr="00200549" w:rsidRDefault="006B6F83" w:rsidP="006B6F83">
            <w:pPr>
              <w:contextualSpacing/>
              <w:jc w:val="center"/>
              <w:rPr>
                <w:sz w:val="22"/>
                <w:szCs w:val="22"/>
              </w:rPr>
            </w:pPr>
            <w:r w:rsidRPr="00200549">
              <w:rPr>
                <w:rFonts w:cs="Arial"/>
                <w:color w:val="212529"/>
                <w:sz w:val="22"/>
                <w:szCs w:val="22"/>
              </w:rPr>
              <w:t>J9329</w:t>
            </w:r>
          </w:p>
        </w:tc>
        <w:tc>
          <w:tcPr>
            <w:tcW w:w="1119" w:type="dxa"/>
            <w:tcBorders>
              <w:top w:val="nil"/>
              <w:left w:val="nil"/>
              <w:bottom w:val="single" w:sz="4" w:space="0" w:color="auto"/>
              <w:right w:val="nil"/>
            </w:tcBorders>
            <w:shd w:val="clear" w:color="auto" w:fill="auto"/>
            <w:vAlign w:val="center"/>
          </w:tcPr>
          <w:p w14:paraId="57EE044C" w14:textId="7FC471E0"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25D30050" w14:textId="74C029A5" w:rsidR="006B6F83" w:rsidRPr="00200549" w:rsidRDefault="00200549" w:rsidP="006B6F83">
            <w:pPr>
              <w:contextualSpacing/>
              <w:rPr>
                <w:sz w:val="22"/>
                <w:szCs w:val="22"/>
              </w:rPr>
            </w:pPr>
            <w:r w:rsidRPr="00200549">
              <w:rPr>
                <w:rFonts w:cs="Arial"/>
                <w:color w:val="212529"/>
                <w:sz w:val="22"/>
                <w:szCs w:val="22"/>
              </w:rPr>
              <w:t>Injection, tislelizumab-</w:t>
            </w:r>
            <w:proofErr w:type="spellStart"/>
            <w:r w:rsidRPr="00200549">
              <w:rPr>
                <w:rFonts w:cs="Arial"/>
                <w:color w:val="212529"/>
                <w:sz w:val="22"/>
                <w:szCs w:val="22"/>
              </w:rPr>
              <w:t>jsgr</w:t>
            </w:r>
            <w:proofErr w:type="spellEnd"/>
            <w:r w:rsidRPr="00200549">
              <w:rPr>
                <w:rFonts w:cs="Arial"/>
                <w:color w:val="212529"/>
                <w:sz w:val="22"/>
                <w:szCs w:val="22"/>
              </w:rPr>
              <w:t>, 1mg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2ABFB629" w14:textId="2A7909D7" w:rsidR="006B6F83" w:rsidRPr="00200549" w:rsidRDefault="006B6F83" w:rsidP="006B6F83">
            <w:pPr>
              <w:contextualSpacing/>
              <w:jc w:val="center"/>
              <w:rPr>
                <w:sz w:val="22"/>
                <w:szCs w:val="22"/>
              </w:rPr>
            </w:pPr>
            <w:r w:rsidRPr="00200549">
              <w:rPr>
                <w:sz w:val="22"/>
                <w:szCs w:val="22"/>
              </w:rPr>
              <w:t>I.C.</w:t>
            </w:r>
          </w:p>
        </w:tc>
      </w:tr>
      <w:tr w:rsidR="006B6F83" w:rsidRPr="00200549" w14:paraId="6BC880FB"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6F527B1A" w14:textId="50685FF8" w:rsidR="006B6F83" w:rsidRPr="00200549" w:rsidRDefault="006B6F83" w:rsidP="006B6F83">
            <w:pPr>
              <w:contextualSpacing/>
              <w:jc w:val="center"/>
              <w:rPr>
                <w:rFonts w:cs="Arial"/>
                <w:color w:val="212529"/>
                <w:sz w:val="22"/>
                <w:szCs w:val="22"/>
              </w:rPr>
            </w:pPr>
            <w:r w:rsidRPr="00200549">
              <w:rPr>
                <w:rFonts w:cs="Arial"/>
                <w:color w:val="212529"/>
                <w:sz w:val="22"/>
                <w:szCs w:val="22"/>
              </w:rPr>
              <w:t>Q0519</w:t>
            </w:r>
          </w:p>
        </w:tc>
        <w:tc>
          <w:tcPr>
            <w:tcW w:w="1119" w:type="dxa"/>
            <w:tcBorders>
              <w:top w:val="nil"/>
              <w:left w:val="nil"/>
              <w:bottom w:val="single" w:sz="4" w:space="0" w:color="auto"/>
              <w:right w:val="nil"/>
            </w:tcBorders>
            <w:shd w:val="clear" w:color="auto" w:fill="auto"/>
            <w:vAlign w:val="center"/>
          </w:tcPr>
          <w:p w14:paraId="4A498822" w14:textId="2E5196A3"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tcPr>
          <w:p w14:paraId="01F86B94" w14:textId="59E351E2" w:rsidR="006B6F83" w:rsidRPr="00200549" w:rsidRDefault="00200549" w:rsidP="006B6F83">
            <w:pPr>
              <w:contextualSpacing/>
              <w:rPr>
                <w:rFonts w:cs="Arial"/>
                <w:color w:val="212529"/>
                <w:sz w:val="22"/>
                <w:szCs w:val="22"/>
              </w:rPr>
            </w:pPr>
            <w:r w:rsidRPr="00200549">
              <w:rPr>
                <w:sz w:val="22"/>
                <w:szCs w:val="22"/>
              </w:rPr>
              <w:t xml:space="preserve">Pharmacy supplying fee for </w:t>
            </w:r>
            <w:proofErr w:type="spellStart"/>
            <w:r w:rsidRPr="00200549">
              <w:rPr>
                <w:sz w:val="22"/>
                <w:szCs w:val="22"/>
              </w:rPr>
              <w:t>hiv</w:t>
            </w:r>
            <w:proofErr w:type="spellEnd"/>
            <w:r w:rsidRPr="00200549">
              <w:rPr>
                <w:sz w:val="22"/>
                <w:szCs w:val="22"/>
              </w:rPr>
              <w:t xml:space="preserve"> pre-exposure prophylaxis </w:t>
            </w:r>
            <w:proofErr w:type="spellStart"/>
            <w:r w:rsidRPr="00200549">
              <w:rPr>
                <w:sz w:val="22"/>
                <w:szCs w:val="22"/>
              </w:rPr>
              <w:t>fda</w:t>
            </w:r>
            <w:proofErr w:type="spellEnd"/>
            <w:r w:rsidRPr="00200549">
              <w:rPr>
                <w:sz w:val="22"/>
                <w:szCs w:val="22"/>
              </w:rPr>
              <w:t xml:space="preserve"> approved prescription injectable drug, per 30-days</w:t>
            </w:r>
          </w:p>
        </w:tc>
        <w:tc>
          <w:tcPr>
            <w:tcW w:w="2160" w:type="dxa"/>
            <w:tcBorders>
              <w:top w:val="nil"/>
              <w:left w:val="single" w:sz="4" w:space="0" w:color="auto"/>
              <w:bottom w:val="single" w:sz="4" w:space="0" w:color="auto"/>
              <w:right w:val="single" w:sz="4" w:space="0" w:color="auto"/>
            </w:tcBorders>
            <w:shd w:val="clear" w:color="000000" w:fill="FFFFFF"/>
            <w:noWrap/>
          </w:tcPr>
          <w:p w14:paraId="3243BD78" w14:textId="508D8D7D" w:rsidR="006B6F83" w:rsidRPr="00200549" w:rsidRDefault="009D0B9C" w:rsidP="006B6F83">
            <w:pPr>
              <w:contextualSpacing/>
              <w:jc w:val="center"/>
              <w:rPr>
                <w:sz w:val="22"/>
                <w:szCs w:val="22"/>
              </w:rPr>
            </w:pPr>
            <w:r w:rsidRPr="00200549">
              <w:rPr>
                <w:sz w:val="22"/>
                <w:szCs w:val="22"/>
              </w:rPr>
              <w:t>$20.40</w:t>
            </w:r>
          </w:p>
        </w:tc>
      </w:tr>
      <w:tr w:rsidR="006B6F83" w:rsidRPr="00200549" w14:paraId="743956BE"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23431107" w14:textId="288CD91B" w:rsidR="006B6F83" w:rsidRPr="00200549" w:rsidRDefault="006B6F83" w:rsidP="006B6F83">
            <w:pPr>
              <w:contextualSpacing/>
              <w:jc w:val="center"/>
              <w:rPr>
                <w:sz w:val="22"/>
                <w:szCs w:val="22"/>
              </w:rPr>
            </w:pPr>
            <w:r w:rsidRPr="00200549">
              <w:rPr>
                <w:rFonts w:cs="Arial"/>
                <w:color w:val="212529"/>
                <w:sz w:val="22"/>
                <w:szCs w:val="22"/>
              </w:rPr>
              <w:t>Q0520</w:t>
            </w:r>
          </w:p>
        </w:tc>
        <w:tc>
          <w:tcPr>
            <w:tcW w:w="1119" w:type="dxa"/>
            <w:tcBorders>
              <w:top w:val="nil"/>
              <w:left w:val="nil"/>
              <w:bottom w:val="single" w:sz="4" w:space="0" w:color="auto"/>
              <w:right w:val="nil"/>
            </w:tcBorders>
            <w:shd w:val="clear" w:color="auto" w:fill="auto"/>
            <w:vAlign w:val="center"/>
          </w:tcPr>
          <w:p w14:paraId="4B9B7144" w14:textId="0B0CB339"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5EF0FD80" w14:textId="422D459B" w:rsidR="006B6F83" w:rsidRPr="00200549" w:rsidRDefault="00200549" w:rsidP="006B6F83">
            <w:pPr>
              <w:contextualSpacing/>
              <w:rPr>
                <w:sz w:val="22"/>
                <w:szCs w:val="22"/>
              </w:rPr>
            </w:pPr>
            <w:r w:rsidRPr="00200549">
              <w:rPr>
                <w:rFonts w:cs="Arial"/>
                <w:color w:val="212529"/>
                <w:sz w:val="22"/>
                <w:szCs w:val="22"/>
              </w:rPr>
              <w:t xml:space="preserve">Pharmacy supplying fee for </w:t>
            </w:r>
            <w:proofErr w:type="spellStart"/>
            <w:r w:rsidRPr="00200549">
              <w:rPr>
                <w:rFonts w:cs="Arial"/>
                <w:color w:val="212529"/>
                <w:sz w:val="22"/>
                <w:szCs w:val="22"/>
              </w:rPr>
              <w:t>hiv</w:t>
            </w:r>
            <w:proofErr w:type="spellEnd"/>
            <w:r w:rsidRPr="00200549">
              <w:rPr>
                <w:rFonts w:cs="Arial"/>
                <w:color w:val="212529"/>
                <w:sz w:val="22"/>
                <w:szCs w:val="22"/>
              </w:rPr>
              <w:t xml:space="preserve"> pre-exposure prophylaxis </w:t>
            </w:r>
            <w:proofErr w:type="spellStart"/>
            <w:r w:rsidRPr="00200549">
              <w:rPr>
                <w:rFonts w:cs="Arial"/>
                <w:color w:val="212529"/>
                <w:sz w:val="22"/>
                <w:szCs w:val="22"/>
              </w:rPr>
              <w:t>fda</w:t>
            </w:r>
            <w:proofErr w:type="spellEnd"/>
            <w:r w:rsidRPr="00200549">
              <w:rPr>
                <w:rFonts w:cs="Arial"/>
                <w:color w:val="212529"/>
                <w:sz w:val="22"/>
                <w:szCs w:val="22"/>
              </w:rPr>
              <w:t xml:space="preserve"> approved prescription injectable drug, per 60-days</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5E3A0E09" w14:textId="17776F9C" w:rsidR="006B6F83" w:rsidRPr="00200549" w:rsidRDefault="009D0B9C" w:rsidP="006B6F83">
            <w:pPr>
              <w:contextualSpacing/>
              <w:jc w:val="center"/>
              <w:rPr>
                <w:sz w:val="22"/>
                <w:szCs w:val="22"/>
              </w:rPr>
            </w:pPr>
            <w:r w:rsidRPr="00200549">
              <w:rPr>
                <w:sz w:val="22"/>
                <w:szCs w:val="22"/>
              </w:rPr>
              <w:t>$20.40</w:t>
            </w:r>
          </w:p>
        </w:tc>
      </w:tr>
      <w:tr w:rsidR="006B6F83" w:rsidRPr="00200549" w14:paraId="175C5FB8"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56C1B14E" w14:textId="138DE3D2" w:rsidR="006B6F83" w:rsidRPr="00200549" w:rsidRDefault="006B6F83" w:rsidP="006B6F83">
            <w:pPr>
              <w:contextualSpacing/>
              <w:jc w:val="center"/>
              <w:rPr>
                <w:sz w:val="22"/>
                <w:szCs w:val="22"/>
              </w:rPr>
            </w:pPr>
            <w:r w:rsidRPr="00200549">
              <w:rPr>
                <w:rFonts w:cs="Arial"/>
                <w:color w:val="212529"/>
                <w:sz w:val="22"/>
                <w:szCs w:val="22"/>
              </w:rPr>
              <w:t>Q5135</w:t>
            </w:r>
          </w:p>
        </w:tc>
        <w:tc>
          <w:tcPr>
            <w:tcW w:w="1119" w:type="dxa"/>
            <w:tcBorders>
              <w:top w:val="nil"/>
              <w:left w:val="nil"/>
              <w:bottom w:val="single" w:sz="4" w:space="0" w:color="auto"/>
              <w:right w:val="nil"/>
            </w:tcBorders>
            <w:shd w:val="clear" w:color="auto" w:fill="auto"/>
            <w:vAlign w:val="center"/>
          </w:tcPr>
          <w:p w14:paraId="4E88C93E" w14:textId="01445A8B"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5FBBE7F5" w14:textId="30DE0635" w:rsidR="006B6F83" w:rsidRPr="00200549" w:rsidRDefault="00200549" w:rsidP="006B6F83">
            <w:pPr>
              <w:contextualSpacing/>
              <w:rPr>
                <w:sz w:val="22"/>
                <w:szCs w:val="22"/>
              </w:rPr>
            </w:pPr>
            <w:r w:rsidRPr="00200549">
              <w:rPr>
                <w:rFonts w:cs="Arial"/>
                <w:color w:val="212529"/>
                <w:sz w:val="22"/>
                <w:szCs w:val="22"/>
              </w:rPr>
              <w:t>Injection, tocilizumab-</w:t>
            </w:r>
            <w:proofErr w:type="spellStart"/>
            <w:r w:rsidRPr="00200549">
              <w:rPr>
                <w:rFonts w:cs="Arial"/>
                <w:color w:val="212529"/>
                <w:sz w:val="22"/>
                <w:szCs w:val="22"/>
              </w:rPr>
              <w:t>aazg</w:t>
            </w:r>
            <w:proofErr w:type="spellEnd"/>
            <w:r w:rsidRPr="00200549">
              <w:rPr>
                <w:rFonts w:cs="Arial"/>
                <w:color w:val="212529"/>
                <w:sz w:val="22"/>
                <w:szCs w:val="22"/>
              </w:rPr>
              <w:t xml:space="preserve"> (</w:t>
            </w:r>
            <w:proofErr w:type="spellStart"/>
            <w:r w:rsidRPr="00200549">
              <w:rPr>
                <w:rFonts w:cs="Arial"/>
                <w:color w:val="212529"/>
                <w:sz w:val="22"/>
                <w:szCs w:val="22"/>
              </w:rPr>
              <w:t>tyenne</w:t>
            </w:r>
            <w:proofErr w:type="spellEnd"/>
            <w:r w:rsidRPr="00200549">
              <w:rPr>
                <w:rFonts w:cs="Arial"/>
                <w:color w:val="212529"/>
                <w:sz w:val="22"/>
                <w:szCs w:val="22"/>
              </w:rPr>
              <w:t>), biosimilar, 1 mg</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46BE8E0D" w14:textId="3BFBD8B2" w:rsidR="006B6F83" w:rsidRPr="00200549" w:rsidRDefault="009D0B9C" w:rsidP="006B6F83">
            <w:pPr>
              <w:contextualSpacing/>
              <w:jc w:val="center"/>
              <w:rPr>
                <w:sz w:val="22"/>
                <w:szCs w:val="22"/>
              </w:rPr>
            </w:pPr>
            <w:r w:rsidRPr="00200549">
              <w:rPr>
                <w:sz w:val="22"/>
                <w:szCs w:val="22"/>
              </w:rPr>
              <w:t>I.C.</w:t>
            </w:r>
          </w:p>
        </w:tc>
      </w:tr>
      <w:tr w:rsidR="006B6F83" w:rsidRPr="00200549" w14:paraId="7C88BE3C" w14:textId="77777777" w:rsidTr="000D412E">
        <w:trPr>
          <w:trHeight w:val="288"/>
        </w:trPr>
        <w:tc>
          <w:tcPr>
            <w:tcW w:w="828" w:type="dxa"/>
            <w:tcBorders>
              <w:top w:val="nil"/>
              <w:left w:val="single" w:sz="4" w:space="0" w:color="auto"/>
              <w:bottom w:val="single" w:sz="4" w:space="0" w:color="auto"/>
              <w:right w:val="single" w:sz="4" w:space="0" w:color="auto"/>
            </w:tcBorders>
            <w:shd w:val="clear" w:color="000000" w:fill="FFFFFF"/>
            <w:noWrap/>
            <w:vAlign w:val="center"/>
          </w:tcPr>
          <w:p w14:paraId="4DD0C4E6" w14:textId="519106DB" w:rsidR="006B6F83" w:rsidRPr="00200549" w:rsidRDefault="006B6F83" w:rsidP="006B6F83">
            <w:pPr>
              <w:contextualSpacing/>
              <w:jc w:val="center"/>
              <w:rPr>
                <w:sz w:val="22"/>
                <w:szCs w:val="22"/>
              </w:rPr>
            </w:pPr>
            <w:r w:rsidRPr="00200549">
              <w:rPr>
                <w:rFonts w:cs="Arial"/>
                <w:color w:val="212529"/>
                <w:sz w:val="22"/>
                <w:szCs w:val="22"/>
              </w:rPr>
              <w:t>Q5136</w:t>
            </w:r>
          </w:p>
        </w:tc>
        <w:tc>
          <w:tcPr>
            <w:tcW w:w="1119" w:type="dxa"/>
            <w:tcBorders>
              <w:top w:val="nil"/>
              <w:left w:val="nil"/>
              <w:bottom w:val="single" w:sz="4" w:space="0" w:color="auto"/>
              <w:right w:val="nil"/>
            </w:tcBorders>
            <w:shd w:val="clear" w:color="auto" w:fill="auto"/>
            <w:vAlign w:val="center"/>
          </w:tcPr>
          <w:p w14:paraId="58F23ED3" w14:textId="365228E4" w:rsidR="006B6F83" w:rsidRPr="00200549" w:rsidRDefault="006B6F83" w:rsidP="006B6F83">
            <w:pPr>
              <w:contextualSpacing/>
              <w:jc w:val="center"/>
              <w:rPr>
                <w:sz w:val="22"/>
                <w:szCs w:val="22"/>
              </w:rPr>
            </w:pPr>
          </w:p>
        </w:tc>
        <w:tc>
          <w:tcPr>
            <w:tcW w:w="6148" w:type="dxa"/>
            <w:tcBorders>
              <w:top w:val="nil"/>
              <w:left w:val="single" w:sz="4" w:space="0" w:color="auto"/>
              <w:bottom w:val="single" w:sz="4" w:space="0" w:color="auto"/>
              <w:right w:val="single" w:sz="4" w:space="0" w:color="auto"/>
            </w:tcBorders>
            <w:shd w:val="clear" w:color="000000" w:fill="FFFFFF"/>
            <w:vAlign w:val="center"/>
          </w:tcPr>
          <w:p w14:paraId="5D1E8817" w14:textId="471146F7" w:rsidR="006B6F83" w:rsidRPr="00200549" w:rsidRDefault="00200549" w:rsidP="006B6F83">
            <w:pPr>
              <w:contextualSpacing/>
              <w:rPr>
                <w:sz w:val="22"/>
                <w:szCs w:val="22"/>
              </w:rPr>
            </w:pPr>
            <w:r w:rsidRPr="00200549">
              <w:rPr>
                <w:rFonts w:cs="Arial"/>
                <w:color w:val="212529"/>
                <w:sz w:val="22"/>
                <w:szCs w:val="22"/>
              </w:rPr>
              <w:t>Injection, denosumab-</w:t>
            </w:r>
            <w:proofErr w:type="spellStart"/>
            <w:r w:rsidRPr="00200549">
              <w:rPr>
                <w:rFonts w:cs="Arial"/>
                <w:color w:val="212529"/>
                <w:sz w:val="22"/>
                <w:szCs w:val="22"/>
              </w:rPr>
              <w:t>bbdz</w:t>
            </w:r>
            <w:proofErr w:type="spellEnd"/>
            <w:r w:rsidRPr="00200549">
              <w:rPr>
                <w:rFonts w:cs="Arial"/>
                <w:color w:val="212529"/>
                <w:sz w:val="22"/>
                <w:szCs w:val="22"/>
              </w:rPr>
              <w:t xml:space="preserve"> (</w:t>
            </w:r>
            <w:proofErr w:type="spellStart"/>
            <w:r w:rsidRPr="00200549">
              <w:rPr>
                <w:rFonts w:cs="Arial"/>
                <w:color w:val="212529"/>
                <w:sz w:val="22"/>
                <w:szCs w:val="22"/>
              </w:rPr>
              <w:t>jubbonti</w:t>
            </w:r>
            <w:proofErr w:type="spellEnd"/>
            <w:r w:rsidRPr="00200549">
              <w:rPr>
                <w:rFonts w:cs="Arial"/>
                <w:color w:val="212529"/>
                <w:sz w:val="22"/>
                <w:szCs w:val="22"/>
              </w:rPr>
              <w:t>/</w:t>
            </w:r>
            <w:proofErr w:type="spellStart"/>
            <w:r w:rsidRPr="00200549">
              <w:rPr>
                <w:rFonts w:cs="Arial"/>
                <w:color w:val="212529"/>
                <w:sz w:val="22"/>
                <w:szCs w:val="22"/>
              </w:rPr>
              <w:t>wyost</w:t>
            </w:r>
            <w:proofErr w:type="spellEnd"/>
            <w:r w:rsidRPr="00200549">
              <w:rPr>
                <w:rFonts w:cs="Arial"/>
                <w:color w:val="212529"/>
                <w:sz w:val="22"/>
                <w:szCs w:val="22"/>
              </w:rPr>
              <w:t xml:space="preserve">), biosimilar, 1 mg </w:t>
            </w:r>
          </w:p>
        </w:tc>
        <w:tc>
          <w:tcPr>
            <w:tcW w:w="2160" w:type="dxa"/>
            <w:tcBorders>
              <w:top w:val="nil"/>
              <w:left w:val="single" w:sz="4" w:space="0" w:color="auto"/>
              <w:bottom w:val="single" w:sz="4" w:space="0" w:color="auto"/>
              <w:right w:val="single" w:sz="4" w:space="0" w:color="auto"/>
            </w:tcBorders>
            <w:shd w:val="clear" w:color="000000" w:fill="FFFFFF"/>
            <w:noWrap/>
            <w:vAlign w:val="center"/>
          </w:tcPr>
          <w:p w14:paraId="7757C0B4" w14:textId="028F2F54" w:rsidR="006B6F83" w:rsidRPr="00200549" w:rsidRDefault="009D0B9C" w:rsidP="006B6F83">
            <w:pPr>
              <w:contextualSpacing/>
              <w:jc w:val="center"/>
              <w:rPr>
                <w:sz w:val="22"/>
                <w:szCs w:val="22"/>
              </w:rPr>
            </w:pPr>
            <w:r w:rsidRPr="00200549">
              <w:rPr>
                <w:sz w:val="22"/>
                <w:szCs w:val="22"/>
              </w:rPr>
              <w:t>I.C.</w:t>
            </w:r>
          </w:p>
        </w:tc>
      </w:tr>
    </w:tbl>
    <w:p w14:paraId="53E56D71" w14:textId="77777777" w:rsidR="00186DB2" w:rsidRPr="00A853A0" w:rsidRDefault="00186DB2" w:rsidP="00A853A0"/>
    <w:p w14:paraId="23A47479" w14:textId="77777777" w:rsidR="00533A3B" w:rsidRPr="000E095C" w:rsidRDefault="00B8306B" w:rsidP="00656FFF">
      <w:pPr>
        <w:pStyle w:val="Heading3"/>
        <w:rPr>
          <w:rFonts w:cs="Times New Roman"/>
        </w:rPr>
      </w:pPr>
      <w:r w:rsidRPr="000E095C">
        <w:rPr>
          <w:rFonts w:cs="Times New Roman"/>
        </w:rPr>
        <w:t>Deleted Codes:</w:t>
      </w:r>
    </w:p>
    <w:tbl>
      <w:tblPr>
        <w:tblStyle w:val="TableGrid"/>
        <w:tblW w:w="9715" w:type="dxa"/>
        <w:tblLook w:val="04A0" w:firstRow="1" w:lastRow="0" w:firstColumn="1" w:lastColumn="0" w:noHBand="0" w:noVBand="1"/>
      </w:tblPr>
      <w:tblGrid>
        <w:gridCol w:w="1482"/>
        <w:gridCol w:w="8233"/>
      </w:tblGrid>
      <w:tr w:rsidR="001A0A7B" w:rsidRPr="00200549" w14:paraId="05B6F76B" w14:textId="77777777" w:rsidTr="00500A28">
        <w:trPr>
          <w:trHeight w:val="290"/>
          <w:tblHeader/>
        </w:trPr>
        <w:tc>
          <w:tcPr>
            <w:tcW w:w="1482" w:type="dxa"/>
            <w:noWrap/>
            <w:vAlign w:val="center"/>
            <w:hideMark/>
          </w:tcPr>
          <w:p w14:paraId="7715196D" w14:textId="77777777" w:rsidR="001A0A7B" w:rsidRPr="00200549" w:rsidRDefault="001A0A7B">
            <w:pPr>
              <w:contextualSpacing/>
              <w:jc w:val="center"/>
              <w:rPr>
                <w:b/>
                <w:bCs/>
                <w:sz w:val="22"/>
                <w:szCs w:val="22"/>
              </w:rPr>
            </w:pPr>
            <w:r w:rsidRPr="00200549">
              <w:rPr>
                <w:b/>
                <w:bCs/>
                <w:sz w:val="22"/>
                <w:szCs w:val="22"/>
              </w:rPr>
              <w:t>Code</w:t>
            </w:r>
          </w:p>
        </w:tc>
        <w:tc>
          <w:tcPr>
            <w:tcW w:w="8233" w:type="dxa"/>
            <w:noWrap/>
            <w:vAlign w:val="center"/>
            <w:hideMark/>
          </w:tcPr>
          <w:p w14:paraId="7F7D51C5" w14:textId="77777777" w:rsidR="001A0A7B" w:rsidRPr="00200549" w:rsidRDefault="001A0A7B">
            <w:pPr>
              <w:contextualSpacing/>
              <w:jc w:val="center"/>
              <w:rPr>
                <w:b/>
                <w:bCs/>
                <w:sz w:val="22"/>
                <w:szCs w:val="22"/>
              </w:rPr>
            </w:pPr>
            <w:r w:rsidRPr="00200549">
              <w:rPr>
                <w:b/>
                <w:bCs/>
                <w:sz w:val="22"/>
                <w:szCs w:val="22"/>
              </w:rPr>
              <w:t>Description</w:t>
            </w:r>
          </w:p>
        </w:tc>
      </w:tr>
      <w:tr w:rsidR="00500A28" w:rsidRPr="00200549" w14:paraId="0A6F7659" w14:textId="77777777" w:rsidTr="00500A28">
        <w:trPr>
          <w:trHeight w:val="290"/>
        </w:trPr>
        <w:tc>
          <w:tcPr>
            <w:tcW w:w="1482" w:type="dxa"/>
            <w:noWrap/>
            <w:vAlign w:val="center"/>
            <w:hideMark/>
          </w:tcPr>
          <w:p w14:paraId="4FCD6B5B" w14:textId="77777777" w:rsidR="00500A28" w:rsidRPr="00200549" w:rsidRDefault="00500A28" w:rsidP="00500A28">
            <w:pPr>
              <w:jc w:val="center"/>
              <w:rPr>
                <w:rFonts w:cs="Arial"/>
                <w:color w:val="000000"/>
                <w:sz w:val="22"/>
                <w:szCs w:val="22"/>
              </w:rPr>
            </w:pPr>
            <w:r w:rsidRPr="00200549">
              <w:rPr>
                <w:rFonts w:cs="Arial"/>
                <w:color w:val="000000"/>
                <w:sz w:val="22"/>
                <w:szCs w:val="22"/>
              </w:rPr>
              <w:t>J1170</w:t>
            </w:r>
          </w:p>
        </w:tc>
        <w:tc>
          <w:tcPr>
            <w:tcW w:w="8233" w:type="dxa"/>
            <w:noWrap/>
            <w:hideMark/>
          </w:tcPr>
          <w:p w14:paraId="169C6F88" w14:textId="297CFB06" w:rsidR="00500A28" w:rsidRPr="00200549" w:rsidRDefault="00200549" w:rsidP="00500A28">
            <w:pPr>
              <w:rPr>
                <w:rFonts w:cs="Arial"/>
                <w:color w:val="000000"/>
                <w:sz w:val="22"/>
                <w:szCs w:val="22"/>
              </w:rPr>
            </w:pPr>
            <w:r w:rsidRPr="00200549">
              <w:rPr>
                <w:rFonts w:cs="Arial"/>
                <w:color w:val="000000"/>
                <w:sz w:val="22"/>
                <w:szCs w:val="22"/>
              </w:rPr>
              <w:t>Injection, hydromorphone, up to 4 mg</w:t>
            </w:r>
          </w:p>
        </w:tc>
      </w:tr>
      <w:tr w:rsidR="00500A28" w:rsidRPr="00200549" w14:paraId="47514A4C" w14:textId="77777777" w:rsidTr="00500A28">
        <w:trPr>
          <w:trHeight w:val="290"/>
        </w:trPr>
        <w:tc>
          <w:tcPr>
            <w:tcW w:w="1482" w:type="dxa"/>
            <w:noWrap/>
            <w:vAlign w:val="center"/>
            <w:hideMark/>
          </w:tcPr>
          <w:p w14:paraId="711BE1D0" w14:textId="77777777" w:rsidR="00500A28" w:rsidRPr="00200549" w:rsidRDefault="00500A28" w:rsidP="00500A28">
            <w:pPr>
              <w:jc w:val="center"/>
              <w:rPr>
                <w:rFonts w:cs="Arial"/>
                <w:color w:val="000000"/>
                <w:sz w:val="22"/>
                <w:szCs w:val="22"/>
              </w:rPr>
            </w:pPr>
            <w:r w:rsidRPr="00200549">
              <w:rPr>
                <w:rFonts w:cs="Arial"/>
                <w:color w:val="000000"/>
                <w:sz w:val="22"/>
                <w:szCs w:val="22"/>
              </w:rPr>
              <w:t>J2001</w:t>
            </w:r>
          </w:p>
        </w:tc>
        <w:tc>
          <w:tcPr>
            <w:tcW w:w="8233" w:type="dxa"/>
            <w:noWrap/>
            <w:hideMark/>
          </w:tcPr>
          <w:p w14:paraId="55B2CC37" w14:textId="55DEF24F" w:rsidR="00500A28" w:rsidRPr="00200549" w:rsidRDefault="00200549" w:rsidP="00500A28">
            <w:pPr>
              <w:rPr>
                <w:rFonts w:cs="Arial"/>
                <w:color w:val="000000"/>
                <w:sz w:val="22"/>
                <w:szCs w:val="22"/>
              </w:rPr>
            </w:pPr>
            <w:r w:rsidRPr="00200549">
              <w:rPr>
                <w:rFonts w:cs="Arial"/>
                <w:color w:val="000000"/>
                <w:sz w:val="22"/>
                <w:szCs w:val="22"/>
              </w:rPr>
              <w:t xml:space="preserve">Injection, lidocaine </w:t>
            </w:r>
            <w:proofErr w:type="spellStart"/>
            <w:r w:rsidRPr="00200549">
              <w:rPr>
                <w:rFonts w:cs="Arial"/>
                <w:color w:val="000000"/>
                <w:sz w:val="22"/>
                <w:szCs w:val="22"/>
              </w:rPr>
              <w:t>hcl</w:t>
            </w:r>
            <w:proofErr w:type="spellEnd"/>
            <w:r w:rsidRPr="00200549">
              <w:rPr>
                <w:rFonts w:cs="Arial"/>
                <w:color w:val="000000"/>
                <w:sz w:val="22"/>
                <w:szCs w:val="22"/>
              </w:rPr>
              <w:t xml:space="preserve"> for intravenous infusion, 10 mg</w:t>
            </w:r>
          </w:p>
        </w:tc>
      </w:tr>
      <w:tr w:rsidR="00500A28" w:rsidRPr="00200549" w14:paraId="16C34B89" w14:textId="77777777" w:rsidTr="00500A28">
        <w:trPr>
          <w:trHeight w:val="290"/>
        </w:trPr>
        <w:tc>
          <w:tcPr>
            <w:tcW w:w="1482" w:type="dxa"/>
            <w:noWrap/>
            <w:vAlign w:val="center"/>
            <w:hideMark/>
          </w:tcPr>
          <w:p w14:paraId="149C2A2B" w14:textId="77777777" w:rsidR="00500A28" w:rsidRPr="00200549" w:rsidRDefault="00500A28" w:rsidP="00500A28">
            <w:pPr>
              <w:jc w:val="center"/>
              <w:rPr>
                <w:rFonts w:cs="Arial"/>
                <w:color w:val="000000"/>
                <w:sz w:val="22"/>
                <w:szCs w:val="22"/>
              </w:rPr>
            </w:pPr>
            <w:r w:rsidRPr="00200549">
              <w:rPr>
                <w:rFonts w:cs="Arial"/>
                <w:color w:val="000000"/>
                <w:sz w:val="22"/>
                <w:szCs w:val="22"/>
              </w:rPr>
              <w:t>J8520</w:t>
            </w:r>
          </w:p>
        </w:tc>
        <w:tc>
          <w:tcPr>
            <w:tcW w:w="8233" w:type="dxa"/>
            <w:noWrap/>
            <w:hideMark/>
          </w:tcPr>
          <w:p w14:paraId="460A5DF5" w14:textId="32B851BC" w:rsidR="00500A28" w:rsidRPr="00200549" w:rsidRDefault="00200549" w:rsidP="00500A28">
            <w:pPr>
              <w:rPr>
                <w:rFonts w:cs="Arial"/>
                <w:color w:val="000000"/>
                <w:sz w:val="22"/>
                <w:szCs w:val="22"/>
              </w:rPr>
            </w:pPr>
            <w:r w:rsidRPr="00200549">
              <w:rPr>
                <w:rFonts w:cs="Arial"/>
                <w:color w:val="000000"/>
                <w:sz w:val="22"/>
                <w:szCs w:val="22"/>
              </w:rPr>
              <w:t>Capecitabine, oral, 150 mg</w:t>
            </w:r>
          </w:p>
        </w:tc>
      </w:tr>
      <w:tr w:rsidR="00500A28" w:rsidRPr="00200549" w14:paraId="1D46E618" w14:textId="77777777" w:rsidTr="00500A28">
        <w:trPr>
          <w:trHeight w:val="290"/>
        </w:trPr>
        <w:tc>
          <w:tcPr>
            <w:tcW w:w="1482" w:type="dxa"/>
            <w:noWrap/>
            <w:vAlign w:val="center"/>
            <w:hideMark/>
          </w:tcPr>
          <w:p w14:paraId="5D357DD7" w14:textId="77777777" w:rsidR="00500A28" w:rsidRPr="00200549" w:rsidRDefault="00500A28" w:rsidP="00500A28">
            <w:pPr>
              <w:jc w:val="center"/>
              <w:rPr>
                <w:rFonts w:cs="Arial"/>
                <w:color w:val="000000"/>
                <w:sz w:val="22"/>
                <w:szCs w:val="22"/>
              </w:rPr>
            </w:pPr>
            <w:r w:rsidRPr="00200549">
              <w:rPr>
                <w:rFonts w:cs="Arial"/>
                <w:color w:val="000000"/>
                <w:sz w:val="22"/>
                <w:szCs w:val="22"/>
              </w:rPr>
              <w:t>J8521</w:t>
            </w:r>
          </w:p>
        </w:tc>
        <w:tc>
          <w:tcPr>
            <w:tcW w:w="8233" w:type="dxa"/>
            <w:noWrap/>
            <w:hideMark/>
          </w:tcPr>
          <w:p w14:paraId="68298E59" w14:textId="61A1C294" w:rsidR="00500A28" w:rsidRPr="00200549" w:rsidRDefault="00200549" w:rsidP="00500A28">
            <w:pPr>
              <w:rPr>
                <w:rFonts w:cs="Arial"/>
                <w:color w:val="000000"/>
                <w:sz w:val="22"/>
                <w:szCs w:val="22"/>
              </w:rPr>
            </w:pPr>
            <w:r w:rsidRPr="00200549">
              <w:rPr>
                <w:rFonts w:cs="Arial"/>
                <w:color w:val="000000"/>
                <w:sz w:val="22"/>
                <w:szCs w:val="22"/>
              </w:rPr>
              <w:t>Capecitabine, oral, 500 mg</w:t>
            </w:r>
          </w:p>
        </w:tc>
      </w:tr>
      <w:tr w:rsidR="00500A28" w:rsidRPr="00200549" w14:paraId="16A2F0D7" w14:textId="77777777" w:rsidTr="00500A28">
        <w:trPr>
          <w:trHeight w:val="290"/>
        </w:trPr>
        <w:tc>
          <w:tcPr>
            <w:tcW w:w="1482" w:type="dxa"/>
            <w:noWrap/>
            <w:vAlign w:val="center"/>
            <w:hideMark/>
          </w:tcPr>
          <w:p w14:paraId="43F5E090" w14:textId="77777777" w:rsidR="00500A28" w:rsidRPr="00200549" w:rsidRDefault="00500A28" w:rsidP="00500A28">
            <w:pPr>
              <w:jc w:val="center"/>
              <w:rPr>
                <w:rFonts w:cs="Arial"/>
                <w:color w:val="000000"/>
                <w:sz w:val="22"/>
                <w:szCs w:val="22"/>
              </w:rPr>
            </w:pPr>
            <w:r w:rsidRPr="00200549">
              <w:rPr>
                <w:rFonts w:cs="Arial"/>
                <w:color w:val="000000"/>
                <w:sz w:val="22"/>
                <w:szCs w:val="22"/>
              </w:rPr>
              <w:t>J9258</w:t>
            </w:r>
          </w:p>
        </w:tc>
        <w:tc>
          <w:tcPr>
            <w:tcW w:w="8233" w:type="dxa"/>
            <w:noWrap/>
            <w:hideMark/>
          </w:tcPr>
          <w:p w14:paraId="4AB4D6D8" w14:textId="011F2F90" w:rsidR="00500A28" w:rsidRPr="00200549" w:rsidRDefault="00200549" w:rsidP="00500A28">
            <w:pPr>
              <w:rPr>
                <w:rFonts w:cs="Arial"/>
                <w:color w:val="000000"/>
                <w:sz w:val="22"/>
                <w:szCs w:val="22"/>
              </w:rPr>
            </w:pPr>
            <w:r w:rsidRPr="00200549">
              <w:rPr>
                <w:rFonts w:cs="Arial"/>
                <w:color w:val="000000"/>
                <w:sz w:val="22"/>
                <w:szCs w:val="22"/>
              </w:rPr>
              <w:t>Injection, paclitaxel protein-bound particles (</w:t>
            </w:r>
            <w:proofErr w:type="spellStart"/>
            <w:r w:rsidRPr="00200549">
              <w:rPr>
                <w:rFonts w:cs="Arial"/>
                <w:color w:val="000000"/>
                <w:sz w:val="22"/>
                <w:szCs w:val="22"/>
              </w:rPr>
              <w:t>teva</w:t>
            </w:r>
            <w:proofErr w:type="spellEnd"/>
            <w:r w:rsidRPr="00200549">
              <w:rPr>
                <w:rFonts w:cs="Arial"/>
                <w:color w:val="000000"/>
                <w:sz w:val="22"/>
                <w:szCs w:val="22"/>
              </w:rPr>
              <w:t>), not therapeutically equivalent to j9264, 1 mg</w:t>
            </w:r>
          </w:p>
        </w:tc>
      </w:tr>
    </w:tbl>
    <w:p w14:paraId="47001F4E" w14:textId="77777777" w:rsidR="00200549" w:rsidRDefault="00200549" w:rsidP="00500A28">
      <w:pPr>
        <w:pStyle w:val="Heading3"/>
        <w:rPr>
          <w:rFonts w:cs="Times New Roman"/>
        </w:rPr>
      </w:pPr>
      <w:r>
        <w:rPr>
          <w:rFonts w:cs="Times New Roman"/>
        </w:rPr>
        <w:br w:type="page"/>
      </w:r>
    </w:p>
    <w:p w14:paraId="34007E7E" w14:textId="4B84F6E2" w:rsidR="00500A28" w:rsidRPr="000E095C" w:rsidRDefault="00500A28" w:rsidP="00500A28">
      <w:pPr>
        <w:pStyle w:val="Heading3"/>
        <w:rPr>
          <w:rFonts w:cs="Times New Roman"/>
        </w:rPr>
      </w:pPr>
      <w:r w:rsidRPr="000E095C">
        <w:rPr>
          <w:rFonts w:cs="Times New Roman"/>
        </w:rPr>
        <w:lastRenderedPageBreak/>
        <w:t>Revised Code Descriptions:</w:t>
      </w:r>
    </w:p>
    <w:tbl>
      <w:tblPr>
        <w:tblStyle w:val="TableGrid"/>
        <w:tblW w:w="9715" w:type="dxa"/>
        <w:tblLook w:val="04A0" w:firstRow="1" w:lastRow="0" w:firstColumn="1" w:lastColumn="0" w:noHBand="0" w:noVBand="1"/>
      </w:tblPr>
      <w:tblGrid>
        <w:gridCol w:w="1482"/>
        <w:gridCol w:w="8233"/>
      </w:tblGrid>
      <w:tr w:rsidR="00500A28" w:rsidRPr="00200549" w14:paraId="46F885C2" w14:textId="77777777" w:rsidTr="0056036E">
        <w:trPr>
          <w:trHeight w:val="290"/>
          <w:tblHeader/>
        </w:trPr>
        <w:tc>
          <w:tcPr>
            <w:tcW w:w="1482" w:type="dxa"/>
            <w:noWrap/>
            <w:vAlign w:val="center"/>
            <w:hideMark/>
          </w:tcPr>
          <w:p w14:paraId="120188BC" w14:textId="77777777" w:rsidR="00500A28" w:rsidRPr="00200549" w:rsidRDefault="00500A28" w:rsidP="0056036E">
            <w:pPr>
              <w:contextualSpacing/>
              <w:jc w:val="center"/>
              <w:rPr>
                <w:b/>
                <w:bCs/>
                <w:sz w:val="22"/>
                <w:szCs w:val="22"/>
              </w:rPr>
            </w:pPr>
            <w:r w:rsidRPr="00200549">
              <w:rPr>
                <w:b/>
                <w:bCs/>
                <w:sz w:val="22"/>
                <w:szCs w:val="22"/>
              </w:rPr>
              <w:t>Code</w:t>
            </w:r>
          </w:p>
        </w:tc>
        <w:tc>
          <w:tcPr>
            <w:tcW w:w="8233" w:type="dxa"/>
            <w:noWrap/>
            <w:vAlign w:val="center"/>
            <w:hideMark/>
          </w:tcPr>
          <w:p w14:paraId="5FE7496B" w14:textId="77777777" w:rsidR="00500A28" w:rsidRPr="00200549" w:rsidRDefault="00500A28" w:rsidP="0056036E">
            <w:pPr>
              <w:contextualSpacing/>
              <w:jc w:val="center"/>
              <w:rPr>
                <w:b/>
                <w:bCs/>
                <w:sz w:val="22"/>
                <w:szCs w:val="22"/>
              </w:rPr>
            </w:pPr>
            <w:r w:rsidRPr="00200549">
              <w:rPr>
                <w:b/>
                <w:bCs/>
                <w:sz w:val="22"/>
                <w:szCs w:val="22"/>
              </w:rPr>
              <w:t>Description</w:t>
            </w:r>
          </w:p>
        </w:tc>
      </w:tr>
      <w:tr w:rsidR="00500A28" w:rsidRPr="00200549" w14:paraId="77991376" w14:textId="77777777" w:rsidTr="00500A28">
        <w:trPr>
          <w:trHeight w:val="290"/>
        </w:trPr>
        <w:tc>
          <w:tcPr>
            <w:tcW w:w="1482" w:type="dxa"/>
            <w:noWrap/>
            <w:vAlign w:val="center"/>
            <w:hideMark/>
          </w:tcPr>
          <w:p w14:paraId="47302EEE" w14:textId="22C8470E" w:rsidR="00500A28" w:rsidRPr="00200549" w:rsidRDefault="00500A28" w:rsidP="00500A28">
            <w:pPr>
              <w:jc w:val="center"/>
              <w:rPr>
                <w:rFonts w:cs="Arial"/>
                <w:color w:val="000000"/>
                <w:sz w:val="22"/>
                <w:szCs w:val="22"/>
              </w:rPr>
            </w:pPr>
            <w:r w:rsidRPr="00200549">
              <w:rPr>
                <w:rFonts w:cs="Arial"/>
                <w:color w:val="000000"/>
                <w:sz w:val="22"/>
                <w:szCs w:val="22"/>
              </w:rPr>
              <w:t>A4271</w:t>
            </w:r>
          </w:p>
        </w:tc>
        <w:tc>
          <w:tcPr>
            <w:tcW w:w="8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36EE" w14:textId="0706F5A9" w:rsidR="00500A28" w:rsidRPr="00200549" w:rsidRDefault="00200549" w:rsidP="00500A28">
            <w:pPr>
              <w:rPr>
                <w:rFonts w:cs="Arial"/>
                <w:color w:val="000000"/>
                <w:sz w:val="22"/>
                <w:szCs w:val="22"/>
              </w:rPr>
            </w:pPr>
            <w:r w:rsidRPr="00200549">
              <w:rPr>
                <w:rFonts w:cs="Arial"/>
                <w:color w:val="000000"/>
                <w:sz w:val="22"/>
                <w:szCs w:val="22"/>
              </w:rPr>
              <w:t>Integrated lancing and blood sample testing cartridges for home blood glucose monitor, per 50 tests</w:t>
            </w:r>
          </w:p>
        </w:tc>
      </w:tr>
      <w:tr w:rsidR="00500A28" w:rsidRPr="00200549" w14:paraId="236806F5" w14:textId="77777777" w:rsidTr="00500A28">
        <w:trPr>
          <w:trHeight w:val="290"/>
        </w:trPr>
        <w:tc>
          <w:tcPr>
            <w:tcW w:w="1482" w:type="dxa"/>
            <w:noWrap/>
            <w:vAlign w:val="center"/>
            <w:hideMark/>
          </w:tcPr>
          <w:p w14:paraId="468C8F40" w14:textId="47C2B1FB" w:rsidR="00500A28" w:rsidRPr="00200549" w:rsidRDefault="00500A28" w:rsidP="00500A28">
            <w:pPr>
              <w:jc w:val="center"/>
              <w:rPr>
                <w:rFonts w:cs="Arial"/>
                <w:color w:val="000000"/>
                <w:sz w:val="22"/>
                <w:szCs w:val="22"/>
              </w:rPr>
            </w:pPr>
            <w:r w:rsidRPr="00200549">
              <w:rPr>
                <w:rFonts w:cs="Arial"/>
                <w:color w:val="000000"/>
                <w:sz w:val="22"/>
                <w:szCs w:val="22"/>
              </w:rPr>
              <w:t>E0739</w:t>
            </w:r>
          </w:p>
        </w:tc>
        <w:tc>
          <w:tcPr>
            <w:tcW w:w="8233" w:type="dxa"/>
            <w:tcBorders>
              <w:top w:val="nil"/>
              <w:left w:val="single" w:sz="4" w:space="0" w:color="auto"/>
              <w:bottom w:val="single" w:sz="4" w:space="0" w:color="auto"/>
              <w:right w:val="single" w:sz="4" w:space="0" w:color="auto"/>
            </w:tcBorders>
            <w:shd w:val="clear" w:color="auto" w:fill="auto"/>
            <w:noWrap/>
            <w:vAlign w:val="bottom"/>
            <w:hideMark/>
          </w:tcPr>
          <w:p w14:paraId="19606DFB" w14:textId="4185A51A" w:rsidR="00500A28" w:rsidRPr="00200549" w:rsidRDefault="00200549" w:rsidP="00500A28">
            <w:pPr>
              <w:rPr>
                <w:rFonts w:cs="Arial"/>
                <w:color w:val="000000"/>
                <w:sz w:val="22"/>
                <w:szCs w:val="22"/>
              </w:rPr>
            </w:pPr>
            <w:r w:rsidRPr="00200549">
              <w:rPr>
                <w:rFonts w:cs="Arial"/>
                <w:color w:val="000000"/>
                <w:sz w:val="22"/>
                <w:szCs w:val="22"/>
              </w:rPr>
              <w:t>Rehabilitation system with interactive interface providing active assistance in rehabilitation therapy, includes all components and accessories, motors, microprocessors, sensors</w:t>
            </w:r>
          </w:p>
        </w:tc>
      </w:tr>
    </w:tbl>
    <w:p w14:paraId="5DC443CF" w14:textId="2379FD3E" w:rsidR="00B05E0C" w:rsidRPr="00AC798F" w:rsidRDefault="00B05E0C" w:rsidP="00200549">
      <w:pPr>
        <w:spacing w:before="960"/>
      </w:pPr>
    </w:p>
    <w:sectPr w:rsidR="00B05E0C" w:rsidRPr="00AC798F" w:rsidSect="00500A2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8AC9" w14:textId="77777777" w:rsidR="004B1CF7" w:rsidRDefault="004B1CF7" w:rsidP="00AC798F">
      <w:r>
        <w:separator/>
      </w:r>
    </w:p>
  </w:endnote>
  <w:endnote w:type="continuationSeparator" w:id="0">
    <w:p w14:paraId="1FB1DC5B" w14:textId="77777777" w:rsidR="004B1CF7" w:rsidRDefault="004B1CF7" w:rsidP="00AC798F">
      <w:r>
        <w:continuationSeparator/>
      </w:r>
    </w:p>
  </w:endnote>
  <w:endnote w:type="continuationNotice" w:id="1">
    <w:p w14:paraId="352BD50D" w14:textId="77777777" w:rsidR="004B1CF7" w:rsidRDefault="004B1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45026"/>
      <w:docPartObj>
        <w:docPartGallery w:val="Page Numbers (Bottom of Page)"/>
        <w:docPartUnique/>
      </w:docPartObj>
    </w:sdtPr>
    <w:sdtEndPr>
      <w:rPr>
        <w:noProof/>
      </w:rPr>
    </w:sdtEndPr>
    <w:sdtContent>
      <w:p w14:paraId="2FDF0AAC" w14:textId="77777777" w:rsidR="00D56141" w:rsidRDefault="00D56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93CDB" w14:textId="77777777" w:rsidR="00D56141" w:rsidRDefault="00D56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37198"/>
      <w:docPartObj>
        <w:docPartGallery w:val="Page Numbers (Bottom of Page)"/>
        <w:docPartUnique/>
      </w:docPartObj>
    </w:sdtPr>
    <w:sdtEndPr>
      <w:rPr>
        <w:noProof/>
      </w:rPr>
    </w:sdtEndPr>
    <w:sdtContent>
      <w:p w14:paraId="0A3FF231" w14:textId="77777777" w:rsidR="00D56141" w:rsidRDefault="00D56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AE863" w14:textId="77777777" w:rsidR="00D56141" w:rsidRDefault="00D5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35C3" w14:textId="77777777" w:rsidR="004B1CF7" w:rsidRDefault="004B1CF7" w:rsidP="00AC798F">
      <w:r>
        <w:separator/>
      </w:r>
    </w:p>
  </w:footnote>
  <w:footnote w:type="continuationSeparator" w:id="0">
    <w:p w14:paraId="7469F239" w14:textId="77777777" w:rsidR="004B1CF7" w:rsidRDefault="004B1CF7" w:rsidP="00AC798F">
      <w:r>
        <w:continuationSeparator/>
      </w:r>
    </w:p>
  </w:footnote>
  <w:footnote w:type="continuationNotice" w:id="1">
    <w:p w14:paraId="4D83AC91" w14:textId="77777777" w:rsidR="004B1CF7" w:rsidRDefault="004B1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A82C" w14:textId="77777777" w:rsidR="00427536" w:rsidRPr="00AC798F" w:rsidRDefault="00427536" w:rsidP="00427536">
    <w:pPr>
      <w:jc w:val="right"/>
    </w:pPr>
    <w:r w:rsidRPr="00AC798F">
      <w:t>EOHHS</w:t>
    </w:r>
  </w:p>
  <w:p w14:paraId="042B7D6D" w14:textId="650291FA" w:rsidR="00427536" w:rsidRPr="00AC798F" w:rsidRDefault="00427536" w:rsidP="00427536">
    <w:pPr>
      <w:jc w:val="right"/>
    </w:pPr>
    <w:r w:rsidRPr="00AC798F">
      <w:t xml:space="preserve">Administrative Bulletin </w:t>
    </w:r>
    <w:r>
      <w:t>2</w:t>
    </w:r>
    <w:r w:rsidR="008F4934">
      <w:t>5</w:t>
    </w:r>
    <w:r w:rsidRPr="0034643D">
      <w:t>-</w:t>
    </w:r>
    <w:r w:rsidR="00ED37BD">
      <w:t>04</w:t>
    </w:r>
  </w:p>
  <w:p w14:paraId="13775F1F" w14:textId="72B26AAE" w:rsidR="00427536" w:rsidRPr="00AC798F" w:rsidRDefault="00427536" w:rsidP="008F4934">
    <w:pPr>
      <w:jc w:val="right"/>
    </w:pPr>
    <w:r w:rsidRPr="00AC798F">
      <w:t xml:space="preserve">Effective </w:t>
    </w:r>
    <w:r w:rsidR="008F4934">
      <w:t>October</w:t>
    </w:r>
    <w:r>
      <w:t xml:space="preserve"> 1, 2024</w:t>
    </w:r>
  </w:p>
  <w:p w14:paraId="6588D54B" w14:textId="77777777" w:rsidR="00427536" w:rsidRDefault="00427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B506" w14:textId="77777777" w:rsidR="00B1781F" w:rsidRPr="006E5DED" w:rsidRDefault="00B1781F" w:rsidP="00B1781F">
    <w:pPr>
      <w:pStyle w:val="Header"/>
      <w:rPr>
        <w:noProof/>
      </w:rPr>
    </w:pPr>
    <w:r>
      <w:rPr>
        <w:noProof/>
        <w:color w:val="1F497D" w:themeColor="text2"/>
      </w:rPr>
      <w:drawing>
        <wp:anchor distT="0" distB="0" distL="114300" distR="114300" simplePos="0" relativeHeight="251658241" behindDoc="0" locked="0" layoutInCell="1" allowOverlap="1" wp14:anchorId="47329B1C" wp14:editId="7B756B31">
          <wp:simplePos x="0" y="0"/>
          <wp:positionH relativeFrom="column">
            <wp:posOffset>4798695</wp:posOffset>
          </wp:positionH>
          <wp:positionV relativeFrom="paragraph">
            <wp:posOffset>123825</wp:posOffset>
          </wp:positionV>
          <wp:extent cx="1174115" cy="621665"/>
          <wp:effectExtent l="0" t="0" r="698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8240" behindDoc="0" locked="0" layoutInCell="1" allowOverlap="1" wp14:anchorId="629E37D3" wp14:editId="6AD091C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3C83EB9" w14:textId="77777777" w:rsidR="00B1781F" w:rsidRPr="00AC798F" w:rsidRDefault="00B1781F" w:rsidP="00B1781F">
                          <w:pPr>
                            <w:pStyle w:val="Header"/>
                            <w:jc w:val="center"/>
                            <w:rPr>
                              <w:color w:val="4F81BD" w:themeColor="accent1"/>
                              <w:sz w:val="20"/>
                            </w:rPr>
                          </w:pPr>
                          <w:r w:rsidRPr="00AC798F">
                            <w:rPr>
                              <w:color w:val="4F81BD" w:themeColor="accent1"/>
                            </w:rPr>
                            <w:t>EXECUTIVE OFFICE OF HEALTH AND HUMAN SERVICES</w:t>
                          </w:r>
                        </w:p>
                        <w:p w14:paraId="041AFF6D" w14:textId="77777777" w:rsidR="00B1781F" w:rsidRPr="00AC798F" w:rsidRDefault="00B1781F" w:rsidP="00B1781F">
                          <w:pPr>
                            <w:pStyle w:val="Header"/>
                            <w:jc w:val="center"/>
                            <w:rPr>
                              <w:b/>
                              <w:bCs/>
                              <w:color w:val="4F81BD" w:themeColor="accent1"/>
                            </w:rPr>
                          </w:pPr>
                          <w:r w:rsidRPr="00AC798F">
                            <w:rPr>
                              <w:b/>
                              <w:bCs/>
                              <w:color w:val="4F81BD" w:themeColor="accent1"/>
                            </w:rPr>
                            <w:t>COMMONWEALTH OF MASSACHUSETTS</w:t>
                          </w:r>
                        </w:p>
                        <w:p w14:paraId="1AC59F43" w14:textId="77777777" w:rsidR="00B1781F" w:rsidRDefault="00B1781F" w:rsidP="00B1781F">
                          <w:pPr>
                            <w:pStyle w:val="Header"/>
                            <w:jc w:val="center"/>
                            <w:rPr>
                              <w:color w:val="4F81BD" w:themeColor="accent1"/>
                            </w:rPr>
                          </w:pPr>
                          <w:r w:rsidRPr="00AC798F">
                            <w:rPr>
                              <w:color w:val="4F81BD" w:themeColor="accent1"/>
                            </w:rPr>
                            <w:t>ONE ASHBURTON PLACE, BOSTON, MA 02108</w:t>
                          </w:r>
                        </w:p>
                        <w:p w14:paraId="2A7B9CB1" w14:textId="77777777" w:rsidR="00B1781F" w:rsidRPr="00AC798F" w:rsidRDefault="00B1781F" w:rsidP="00B1781F">
                          <w:pPr>
                            <w:pStyle w:val="Header"/>
                            <w:jc w:val="center"/>
                            <w:rPr>
                              <w:color w:val="4F81BD" w:themeColor="accent1"/>
                            </w:rPr>
                          </w:pPr>
                          <w:r>
                            <w:rPr>
                              <w:color w:val="4F81BD" w:themeColor="accent1"/>
                            </w:rPr>
                            <w:t>(617) 573-1600</w:t>
                          </w:r>
                        </w:p>
                        <w:p w14:paraId="6336F37D" w14:textId="77777777" w:rsidR="00B1781F" w:rsidRDefault="00B1781F" w:rsidP="00B178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E37D3"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13C83EB9" w14:textId="77777777" w:rsidR="00B1781F" w:rsidRPr="00AC798F" w:rsidRDefault="00B1781F" w:rsidP="00B1781F">
                    <w:pPr>
                      <w:pStyle w:val="Header"/>
                      <w:jc w:val="center"/>
                      <w:rPr>
                        <w:color w:val="4F81BD" w:themeColor="accent1"/>
                        <w:sz w:val="20"/>
                      </w:rPr>
                    </w:pPr>
                    <w:r w:rsidRPr="00AC798F">
                      <w:rPr>
                        <w:color w:val="4F81BD" w:themeColor="accent1"/>
                      </w:rPr>
                      <w:t>EXECUTIVE OFFICE OF HEALTH AND HUMAN SERVICES</w:t>
                    </w:r>
                  </w:p>
                  <w:p w14:paraId="041AFF6D" w14:textId="77777777" w:rsidR="00B1781F" w:rsidRPr="00AC798F" w:rsidRDefault="00B1781F" w:rsidP="00B1781F">
                    <w:pPr>
                      <w:pStyle w:val="Header"/>
                      <w:jc w:val="center"/>
                      <w:rPr>
                        <w:b/>
                        <w:bCs/>
                        <w:color w:val="4F81BD" w:themeColor="accent1"/>
                      </w:rPr>
                    </w:pPr>
                    <w:r w:rsidRPr="00AC798F">
                      <w:rPr>
                        <w:b/>
                        <w:bCs/>
                        <w:color w:val="4F81BD" w:themeColor="accent1"/>
                      </w:rPr>
                      <w:t>COMMONWEALTH OF MASSACHUSETTS</w:t>
                    </w:r>
                  </w:p>
                  <w:p w14:paraId="1AC59F43" w14:textId="77777777" w:rsidR="00B1781F" w:rsidRDefault="00B1781F" w:rsidP="00B1781F">
                    <w:pPr>
                      <w:pStyle w:val="Header"/>
                      <w:jc w:val="center"/>
                      <w:rPr>
                        <w:color w:val="4F81BD" w:themeColor="accent1"/>
                      </w:rPr>
                    </w:pPr>
                    <w:r w:rsidRPr="00AC798F">
                      <w:rPr>
                        <w:color w:val="4F81BD" w:themeColor="accent1"/>
                      </w:rPr>
                      <w:t>ONE ASHBURTON PLACE, BOSTON, MA 02108</w:t>
                    </w:r>
                  </w:p>
                  <w:p w14:paraId="2A7B9CB1" w14:textId="77777777" w:rsidR="00B1781F" w:rsidRPr="00AC798F" w:rsidRDefault="00B1781F" w:rsidP="00B1781F">
                    <w:pPr>
                      <w:pStyle w:val="Header"/>
                      <w:jc w:val="center"/>
                      <w:rPr>
                        <w:color w:val="4F81BD" w:themeColor="accent1"/>
                      </w:rPr>
                    </w:pPr>
                    <w:r>
                      <w:rPr>
                        <w:color w:val="4F81BD" w:themeColor="accent1"/>
                      </w:rPr>
                      <w:t>(617) 573-1600</w:t>
                    </w:r>
                  </w:p>
                  <w:p w14:paraId="6336F37D" w14:textId="77777777" w:rsidR="00B1781F" w:rsidRDefault="00B1781F" w:rsidP="00B1781F"/>
                </w:txbxContent>
              </v:textbox>
            </v:shape>
          </w:pict>
        </mc:Fallback>
      </mc:AlternateContent>
    </w:r>
    <w:r>
      <w:rPr>
        <w:noProof/>
      </w:rPr>
      <w:drawing>
        <wp:inline distT="0" distB="0" distL="0" distR="0" wp14:anchorId="5E74C632" wp14:editId="40E45CC8">
          <wp:extent cx="1164590" cy="1377950"/>
          <wp:effectExtent l="0" t="0" r="0" b="0"/>
          <wp:docPr id="8" name="Picture 8" descr="A black and white logo of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 of a person holding a spear&#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4F2806C" w14:textId="77777777" w:rsidR="00B1781F" w:rsidRDefault="00B1781F" w:rsidP="00B1781F">
    <w:pPr>
      <w:pStyle w:val="Header"/>
    </w:pPr>
    <w:r>
      <w:ptab w:relativeTo="margin" w:alignment="right" w:leader="none"/>
    </w:r>
  </w:p>
  <w:p w14:paraId="56356F86" w14:textId="77777777" w:rsidR="00B1781F" w:rsidRPr="00AC798F" w:rsidRDefault="00B1781F" w:rsidP="00B1781F">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5B043BAC" w14:textId="77777777" w:rsidR="00B1781F" w:rsidRPr="00AC798F" w:rsidRDefault="00B1781F" w:rsidP="00B1781F">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C722713" w14:textId="77777777" w:rsidR="00B1781F" w:rsidRPr="00AC798F" w:rsidRDefault="00B1781F" w:rsidP="00B1781F">
    <w:pPr>
      <w:pStyle w:val="Header"/>
      <w:rPr>
        <w:color w:val="1F497D" w:themeColor="text2"/>
      </w:rPr>
    </w:pPr>
  </w:p>
  <w:p w14:paraId="5251EBD4" w14:textId="77777777" w:rsidR="00B1781F" w:rsidRPr="00AC798F" w:rsidRDefault="00B1781F" w:rsidP="00B1781F">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BD0FB62" w14:textId="77777777" w:rsidR="00B1781F" w:rsidRPr="00AC798F" w:rsidRDefault="00B1781F" w:rsidP="00B1781F">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0B48B080" w14:textId="77777777" w:rsidR="00AC798F" w:rsidRPr="00B1781F" w:rsidRDefault="00B1781F" w:rsidP="00AC798F">
    <w:pPr>
      <w:pStyle w:val="Header"/>
      <w:rPr>
        <w:color w:val="1F497D" w:themeColor="text2"/>
      </w:rPr>
    </w:pPr>
    <w:r w:rsidRPr="00AC798F">
      <w:rPr>
        <w:color w:val="1F497D" w:themeColor="text2"/>
      </w:rPr>
      <w:tab/>
    </w:r>
    <w:r w:rsidRPr="00AC798F">
      <w:rPr>
        <w:color w:val="1F497D" w:themeColor="text2"/>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014"/>
    <w:rsid w:val="00007C23"/>
    <w:rsid w:val="00013F78"/>
    <w:rsid w:val="00024809"/>
    <w:rsid w:val="0005024B"/>
    <w:rsid w:val="00052A5E"/>
    <w:rsid w:val="000545C7"/>
    <w:rsid w:val="00070AFF"/>
    <w:rsid w:val="000722C4"/>
    <w:rsid w:val="00091857"/>
    <w:rsid w:val="00097D87"/>
    <w:rsid w:val="000A707C"/>
    <w:rsid w:val="000B3478"/>
    <w:rsid w:val="000C00FF"/>
    <w:rsid w:val="000C2912"/>
    <w:rsid w:val="000D36A8"/>
    <w:rsid w:val="000D412E"/>
    <w:rsid w:val="000E095C"/>
    <w:rsid w:val="000E5DD6"/>
    <w:rsid w:val="000F4F14"/>
    <w:rsid w:val="00102CD0"/>
    <w:rsid w:val="00105685"/>
    <w:rsid w:val="00126D21"/>
    <w:rsid w:val="00134730"/>
    <w:rsid w:val="00134791"/>
    <w:rsid w:val="001374B1"/>
    <w:rsid w:val="00141EFC"/>
    <w:rsid w:val="00146C2F"/>
    <w:rsid w:val="00147710"/>
    <w:rsid w:val="00151526"/>
    <w:rsid w:val="00151FFE"/>
    <w:rsid w:val="00153DCE"/>
    <w:rsid w:val="00154CA9"/>
    <w:rsid w:val="001574AC"/>
    <w:rsid w:val="001629EF"/>
    <w:rsid w:val="001713CF"/>
    <w:rsid w:val="00174EB0"/>
    <w:rsid w:val="00176A07"/>
    <w:rsid w:val="00177443"/>
    <w:rsid w:val="00177D7B"/>
    <w:rsid w:val="0018077F"/>
    <w:rsid w:val="001833D4"/>
    <w:rsid w:val="00185152"/>
    <w:rsid w:val="00186DB2"/>
    <w:rsid w:val="00187047"/>
    <w:rsid w:val="00193236"/>
    <w:rsid w:val="00193348"/>
    <w:rsid w:val="00194B19"/>
    <w:rsid w:val="00195C12"/>
    <w:rsid w:val="001A0A7B"/>
    <w:rsid w:val="001A2AC0"/>
    <w:rsid w:val="001A7742"/>
    <w:rsid w:val="001B68EE"/>
    <w:rsid w:val="001C15F8"/>
    <w:rsid w:val="001C520C"/>
    <w:rsid w:val="001D628B"/>
    <w:rsid w:val="001F390D"/>
    <w:rsid w:val="001F772D"/>
    <w:rsid w:val="00200549"/>
    <w:rsid w:val="00213272"/>
    <w:rsid w:val="00216EDE"/>
    <w:rsid w:val="0022152B"/>
    <w:rsid w:val="002325D3"/>
    <w:rsid w:val="0024154F"/>
    <w:rsid w:val="002439A3"/>
    <w:rsid w:val="002448DD"/>
    <w:rsid w:val="002608CC"/>
    <w:rsid w:val="00264CCC"/>
    <w:rsid w:val="00266B97"/>
    <w:rsid w:val="00267923"/>
    <w:rsid w:val="00271D28"/>
    <w:rsid w:val="00284238"/>
    <w:rsid w:val="00294A4D"/>
    <w:rsid w:val="002A3129"/>
    <w:rsid w:val="002A4CFC"/>
    <w:rsid w:val="002A779E"/>
    <w:rsid w:val="002B188A"/>
    <w:rsid w:val="002B6E8B"/>
    <w:rsid w:val="002C0540"/>
    <w:rsid w:val="002D0B3F"/>
    <w:rsid w:val="002E761F"/>
    <w:rsid w:val="002E792A"/>
    <w:rsid w:val="002F6D51"/>
    <w:rsid w:val="003113E4"/>
    <w:rsid w:val="00324B18"/>
    <w:rsid w:val="0033130A"/>
    <w:rsid w:val="00343502"/>
    <w:rsid w:val="00345836"/>
    <w:rsid w:val="0034643D"/>
    <w:rsid w:val="00351564"/>
    <w:rsid w:val="00355E08"/>
    <w:rsid w:val="00360646"/>
    <w:rsid w:val="00363517"/>
    <w:rsid w:val="00370C8A"/>
    <w:rsid w:val="0037246E"/>
    <w:rsid w:val="00373D08"/>
    <w:rsid w:val="00395759"/>
    <w:rsid w:val="00395B10"/>
    <w:rsid w:val="003A2975"/>
    <w:rsid w:val="003A3882"/>
    <w:rsid w:val="003D267E"/>
    <w:rsid w:val="003D3754"/>
    <w:rsid w:val="003E1BDB"/>
    <w:rsid w:val="003F0097"/>
    <w:rsid w:val="003F6AAE"/>
    <w:rsid w:val="0041044A"/>
    <w:rsid w:val="00412F35"/>
    <w:rsid w:val="0041466F"/>
    <w:rsid w:val="00426EBB"/>
    <w:rsid w:val="00427536"/>
    <w:rsid w:val="00431B1A"/>
    <w:rsid w:val="004321FD"/>
    <w:rsid w:val="0043417F"/>
    <w:rsid w:val="004361AB"/>
    <w:rsid w:val="00443CDB"/>
    <w:rsid w:val="00457868"/>
    <w:rsid w:val="00465D4F"/>
    <w:rsid w:val="00465E5A"/>
    <w:rsid w:val="00470AB9"/>
    <w:rsid w:val="00482BEC"/>
    <w:rsid w:val="004925A0"/>
    <w:rsid w:val="00492E60"/>
    <w:rsid w:val="004B1CF7"/>
    <w:rsid w:val="004C04A2"/>
    <w:rsid w:val="004C0FC9"/>
    <w:rsid w:val="004C233C"/>
    <w:rsid w:val="004C5805"/>
    <w:rsid w:val="004D0A26"/>
    <w:rsid w:val="004D48D7"/>
    <w:rsid w:val="004E2612"/>
    <w:rsid w:val="004F2781"/>
    <w:rsid w:val="00500A28"/>
    <w:rsid w:val="00502635"/>
    <w:rsid w:val="00502BBE"/>
    <w:rsid w:val="00523508"/>
    <w:rsid w:val="005246D9"/>
    <w:rsid w:val="0052575A"/>
    <w:rsid w:val="0052745B"/>
    <w:rsid w:val="005324B8"/>
    <w:rsid w:val="00533A3B"/>
    <w:rsid w:val="0053555D"/>
    <w:rsid w:val="00540161"/>
    <w:rsid w:val="00554042"/>
    <w:rsid w:val="00554472"/>
    <w:rsid w:val="0056036E"/>
    <w:rsid w:val="0056474D"/>
    <w:rsid w:val="005664C4"/>
    <w:rsid w:val="005702E6"/>
    <w:rsid w:val="0057224E"/>
    <w:rsid w:val="00580628"/>
    <w:rsid w:val="00583041"/>
    <w:rsid w:val="00585302"/>
    <w:rsid w:val="00587420"/>
    <w:rsid w:val="00591927"/>
    <w:rsid w:val="005924F7"/>
    <w:rsid w:val="00596F12"/>
    <w:rsid w:val="00597C39"/>
    <w:rsid w:val="005A0F4C"/>
    <w:rsid w:val="005A5A6A"/>
    <w:rsid w:val="005B44F8"/>
    <w:rsid w:val="005B5D35"/>
    <w:rsid w:val="005C066B"/>
    <w:rsid w:val="005C594C"/>
    <w:rsid w:val="005C5A6F"/>
    <w:rsid w:val="005C5CE7"/>
    <w:rsid w:val="005C758F"/>
    <w:rsid w:val="005E3593"/>
    <w:rsid w:val="005E377C"/>
    <w:rsid w:val="005E4F49"/>
    <w:rsid w:val="005F20AC"/>
    <w:rsid w:val="005F66F1"/>
    <w:rsid w:val="00600EBB"/>
    <w:rsid w:val="00602E3C"/>
    <w:rsid w:val="00607406"/>
    <w:rsid w:val="006077A7"/>
    <w:rsid w:val="00616013"/>
    <w:rsid w:val="006221BF"/>
    <w:rsid w:val="0064272D"/>
    <w:rsid w:val="00644D27"/>
    <w:rsid w:val="00656FFF"/>
    <w:rsid w:val="006718AB"/>
    <w:rsid w:val="00673544"/>
    <w:rsid w:val="00696166"/>
    <w:rsid w:val="006B1D87"/>
    <w:rsid w:val="006B6EE0"/>
    <w:rsid w:val="006B6F83"/>
    <w:rsid w:val="006C1463"/>
    <w:rsid w:val="006D38E0"/>
    <w:rsid w:val="006E3FF5"/>
    <w:rsid w:val="006E5DED"/>
    <w:rsid w:val="006F1040"/>
    <w:rsid w:val="0070235D"/>
    <w:rsid w:val="00711614"/>
    <w:rsid w:val="00716E2A"/>
    <w:rsid w:val="00720C4F"/>
    <w:rsid w:val="0073115A"/>
    <w:rsid w:val="00734039"/>
    <w:rsid w:val="00734B73"/>
    <w:rsid w:val="00736A84"/>
    <w:rsid w:val="00737878"/>
    <w:rsid w:val="00745CC5"/>
    <w:rsid w:val="00747B6A"/>
    <w:rsid w:val="0075529E"/>
    <w:rsid w:val="00766DC1"/>
    <w:rsid w:val="007708D9"/>
    <w:rsid w:val="00773C2C"/>
    <w:rsid w:val="00782360"/>
    <w:rsid w:val="007832A5"/>
    <w:rsid w:val="00783706"/>
    <w:rsid w:val="00796A70"/>
    <w:rsid w:val="007A4884"/>
    <w:rsid w:val="007B3A92"/>
    <w:rsid w:val="007B48C3"/>
    <w:rsid w:val="007C6320"/>
    <w:rsid w:val="007D0A02"/>
    <w:rsid w:val="007D4460"/>
    <w:rsid w:val="007E3E07"/>
    <w:rsid w:val="007E423A"/>
    <w:rsid w:val="007E5F32"/>
    <w:rsid w:val="007F04B8"/>
    <w:rsid w:val="007F6C58"/>
    <w:rsid w:val="00800711"/>
    <w:rsid w:val="00805DC5"/>
    <w:rsid w:val="008167B2"/>
    <w:rsid w:val="008170C0"/>
    <w:rsid w:val="00834DEC"/>
    <w:rsid w:val="00855F37"/>
    <w:rsid w:val="00862BC4"/>
    <w:rsid w:val="008732FB"/>
    <w:rsid w:val="008737EF"/>
    <w:rsid w:val="00873E76"/>
    <w:rsid w:val="008802E6"/>
    <w:rsid w:val="008839D8"/>
    <w:rsid w:val="00891199"/>
    <w:rsid w:val="008A50C9"/>
    <w:rsid w:val="008B3856"/>
    <w:rsid w:val="008C0A07"/>
    <w:rsid w:val="008C2ADB"/>
    <w:rsid w:val="008C6C37"/>
    <w:rsid w:val="008C7C8A"/>
    <w:rsid w:val="008D22BA"/>
    <w:rsid w:val="008E16F8"/>
    <w:rsid w:val="008E6A4A"/>
    <w:rsid w:val="008F4934"/>
    <w:rsid w:val="00915DEA"/>
    <w:rsid w:val="00920360"/>
    <w:rsid w:val="00930F00"/>
    <w:rsid w:val="0093305B"/>
    <w:rsid w:val="00955698"/>
    <w:rsid w:val="00964EDE"/>
    <w:rsid w:val="0096615D"/>
    <w:rsid w:val="00967C8C"/>
    <w:rsid w:val="009704EA"/>
    <w:rsid w:val="0098375C"/>
    <w:rsid w:val="00984786"/>
    <w:rsid w:val="00997DC1"/>
    <w:rsid w:val="009A03F3"/>
    <w:rsid w:val="009C2CF7"/>
    <w:rsid w:val="009C59C1"/>
    <w:rsid w:val="009C7167"/>
    <w:rsid w:val="009D0B9C"/>
    <w:rsid w:val="009E0B0D"/>
    <w:rsid w:val="009F7BC6"/>
    <w:rsid w:val="00A06F80"/>
    <w:rsid w:val="00A12044"/>
    <w:rsid w:val="00A12D86"/>
    <w:rsid w:val="00A13876"/>
    <w:rsid w:val="00A169A8"/>
    <w:rsid w:val="00A2476F"/>
    <w:rsid w:val="00A34C8D"/>
    <w:rsid w:val="00A40EE8"/>
    <w:rsid w:val="00A46EAC"/>
    <w:rsid w:val="00A47A74"/>
    <w:rsid w:val="00A527CE"/>
    <w:rsid w:val="00A544AD"/>
    <w:rsid w:val="00A7220C"/>
    <w:rsid w:val="00A722E5"/>
    <w:rsid w:val="00A853A0"/>
    <w:rsid w:val="00A94B5A"/>
    <w:rsid w:val="00AA7BD3"/>
    <w:rsid w:val="00AB0145"/>
    <w:rsid w:val="00AB32FF"/>
    <w:rsid w:val="00AB33D8"/>
    <w:rsid w:val="00AB36B2"/>
    <w:rsid w:val="00AB3C1A"/>
    <w:rsid w:val="00AB409A"/>
    <w:rsid w:val="00AB756C"/>
    <w:rsid w:val="00AC2BAD"/>
    <w:rsid w:val="00AC798F"/>
    <w:rsid w:val="00AE1C00"/>
    <w:rsid w:val="00B013A1"/>
    <w:rsid w:val="00B023A6"/>
    <w:rsid w:val="00B05E0C"/>
    <w:rsid w:val="00B07A96"/>
    <w:rsid w:val="00B1728F"/>
    <w:rsid w:val="00B1781F"/>
    <w:rsid w:val="00B32828"/>
    <w:rsid w:val="00B443DE"/>
    <w:rsid w:val="00B501E1"/>
    <w:rsid w:val="00B623EB"/>
    <w:rsid w:val="00B72599"/>
    <w:rsid w:val="00B74B0B"/>
    <w:rsid w:val="00B8306B"/>
    <w:rsid w:val="00B854BC"/>
    <w:rsid w:val="00B90AA9"/>
    <w:rsid w:val="00B94737"/>
    <w:rsid w:val="00BA6D03"/>
    <w:rsid w:val="00BB0CD5"/>
    <w:rsid w:val="00BC13AB"/>
    <w:rsid w:val="00BE1FB2"/>
    <w:rsid w:val="00BE7C3B"/>
    <w:rsid w:val="00BF7672"/>
    <w:rsid w:val="00C1076E"/>
    <w:rsid w:val="00C113AB"/>
    <w:rsid w:val="00C363F2"/>
    <w:rsid w:val="00C400D6"/>
    <w:rsid w:val="00C4194A"/>
    <w:rsid w:val="00C42C30"/>
    <w:rsid w:val="00C540D0"/>
    <w:rsid w:val="00C55B71"/>
    <w:rsid w:val="00C61EE5"/>
    <w:rsid w:val="00C65E8A"/>
    <w:rsid w:val="00C85396"/>
    <w:rsid w:val="00C87BF7"/>
    <w:rsid w:val="00C95535"/>
    <w:rsid w:val="00CB4A21"/>
    <w:rsid w:val="00CC2277"/>
    <w:rsid w:val="00CC4732"/>
    <w:rsid w:val="00CD0301"/>
    <w:rsid w:val="00CE681D"/>
    <w:rsid w:val="00CF589E"/>
    <w:rsid w:val="00D00D88"/>
    <w:rsid w:val="00D02B1A"/>
    <w:rsid w:val="00D02F04"/>
    <w:rsid w:val="00D03F4A"/>
    <w:rsid w:val="00D160CC"/>
    <w:rsid w:val="00D41397"/>
    <w:rsid w:val="00D425CC"/>
    <w:rsid w:val="00D45F3A"/>
    <w:rsid w:val="00D5182F"/>
    <w:rsid w:val="00D52141"/>
    <w:rsid w:val="00D53D5E"/>
    <w:rsid w:val="00D56141"/>
    <w:rsid w:val="00D63172"/>
    <w:rsid w:val="00D761F6"/>
    <w:rsid w:val="00D7659F"/>
    <w:rsid w:val="00DB508B"/>
    <w:rsid w:val="00DB69B3"/>
    <w:rsid w:val="00DD2F9A"/>
    <w:rsid w:val="00DD42DE"/>
    <w:rsid w:val="00DE1D3C"/>
    <w:rsid w:val="00DE2A5C"/>
    <w:rsid w:val="00E04F68"/>
    <w:rsid w:val="00E0773B"/>
    <w:rsid w:val="00E10A6E"/>
    <w:rsid w:val="00E212B5"/>
    <w:rsid w:val="00E27559"/>
    <w:rsid w:val="00E320F9"/>
    <w:rsid w:val="00E51E57"/>
    <w:rsid w:val="00E56BD5"/>
    <w:rsid w:val="00E620A3"/>
    <w:rsid w:val="00E74BC2"/>
    <w:rsid w:val="00E768B3"/>
    <w:rsid w:val="00E92AC9"/>
    <w:rsid w:val="00EA0751"/>
    <w:rsid w:val="00EA07B3"/>
    <w:rsid w:val="00EA2038"/>
    <w:rsid w:val="00EB4C5E"/>
    <w:rsid w:val="00ED1F43"/>
    <w:rsid w:val="00ED37BD"/>
    <w:rsid w:val="00EE0ABE"/>
    <w:rsid w:val="00EE4CAE"/>
    <w:rsid w:val="00EE73CF"/>
    <w:rsid w:val="00EF1CA6"/>
    <w:rsid w:val="00EF5FFA"/>
    <w:rsid w:val="00EF7EAB"/>
    <w:rsid w:val="00F03EC6"/>
    <w:rsid w:val="00F03F34"/>
    <w:rsid w:val="00F12C5F"/>
    <w:rsid w:val="00F13955"/>
    <w:rsid w:val="00F13E1B"/>
    <w:rsid w:val="00F15F97"/>
    <w:rsid w:val="00F235F8"/>
    <w:rsid w:val="00F23F67"/>
    <w:rsid w:val="00F446A9"/>
    <w:rsid w:val="00F44C98"/>
    <w:rsid w:val="00F46E61"/>
    <w:rsid w:val="00F477EE"/>
    <w:rsid w:val="00F51898"/>
    <w:rsid w:val="00F63E02"/>
    <w:rsid w:val="00F65E52"/>
    <w:rsid w:val="00F665A3"/>
    <w:rsid w:val="00F66B27"/>
    <w:rsid w:val="00F7153B"/>
    <w:rsid w:val="00F77123"/>
    <w:rsid w:val="00F83D8E"/>
    <w:rsid w:val="00F8728D"/>
    <w:rsid w:val="00F9180F"/>
    <w:rsid w:val="00F97AE5"/>
    <w:rsid w:val="00FB0D39"/>
    <w:rsid w:val="00FB2087"/>
    <w:rsid w:val="00FB216E"/>
    <w:rsid w:val="00FB36D4"/>
    <w:rsid w:val="00FD0F7A"/>
    <w:rsid w:val="00FE4AA0"/>
    <w:rsid w:val="00FF286E"/>
    <w:rsid w:val="00FF6019"/>
    <w:rsid w:val="00FF72DC"/>
    <w:rsid w:val="46B8F58E"/>
    <w:rsid w:val="6F869B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8A61C"/>
  <w15:docId w15:val="{2BB5F346-CCDE-4F83-8C5B-6F147668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28"/>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table" w:styleId="TableGrid">
    <w:name w:val="Table Grid"/>
    <w:basedOn w:val="TableNormal"/>
    <w:rsid w:val="00FB36D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6141"/>
    <w:rPr>
      <w:color w:val="800080" w:themeColor="followedHyperlink"/>
      <w:u w:val="single"/>
    </w:rPr>
  </w:style>
  <w:style w:type="character" w:styleId="CommentReference">
    <w:name w:val="annotation reference"/>
    <w:basedOn w:val="DefaultParagraphFont"/>
    <w:uiPriority w:val="99"/>
    <w:semiHidden/>
    <w:unhideWhenUsed/>
    <w:rsid w:val="00F7153B"/>
    <w:rPr>
      <w:sz w:val="16"/>
      <w:szCs w:val="16"/>
    </w:rPr>
  </w:style>
  <w:style w:type="paragraph" w:styleId="CommentText">
    <w:name w:val="annotation text"/>
    <w:basedOn w:val="Normal"/>
    <w:link w:val="CommentTextChar"/>
    <w:uiPriority w:val="99"/>
    <w:unhideWhenUsed/>
    <w:rsid w:val="00F7153B"/>
    <w:rPr>
      <w:sz w:val="20"/>
      <w:szCs w:val="20"/>
    </w:rPr>
  </w:style>
  <w:style w:type="character" w:customStyle="1" w:styleId="CommentTextChar">
    <w:name w:val="Comment Text Char"/>
    <w:basedOn w:val="DefaultParagraphFont"/>
    <w:link w:val="CommentText"/>
    <w:uiPriority w:val="99"/>
    <w:rsid w:val="00F7153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F7153B"/>
    <w:rPr>
      <w:b/>
      <w:bCs/>
    </w:rPr>
  </w:style>
  <w:style w:type="character" w:customStyle="1" w:styleId="CommentSubjectChar">
    <w:name w:val="Comment Subject Char"/>
    <w:basedOn w:val="CommentTextChar"/>
    <w:link w:val="CommentSubject"/>
    <w:uiPriority w:val="99"/>
    <w:semiHidden/>
    <w:rsid w:val="00F7153B"/>
    <w:rPr>
      <w:rFonts w:ascii="Georgia" w:hAnsi="Georgia"/>
      <w:b/>
      <w:bCs/>
      <w:sz w:val="20"/>
      <w:szCs w:val="20"/>
    </w:rPr>
  </w:style>
  <w:style w:type="paragraph" w:styleId="Revision">
    <w:name w:val="Revision"/>
    <w:hidden/>
    <w:uiPriority w:val="99"/>
    <w:semiHidden/>
    <w:rsid w:val="00855F37"/>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9974">
      <w:bodyDiv w:val="1"/>
      <w:marLeft w:val="0"/>
      <w:marRight w:val="0"/>
      <w:marTop w:val="0"/>
      <w:marBottom w:val="0"/>
      <w:divBdr>
        <w:top w:val="none" w:sz="0" w:space="0" w:color="auto"/>
        <w:left w:val="none" w:sz="0" w:space="0" w:color="auto"/>
        <w:bottom w:val="none" w:sz="0" w:space="0" w:color="auto"/>
        <w:right w:val="none" w:sz="0" w:space="0" w:color="auto"/>
      </w:divBdr>
    </w:div>
    <w:div w:id="312955627">
      <w:bodyDiv w:val="1"/>
      <w:marLeft w:val="0"/>
      <w:marRight w:val="0"/>
      <w:marTop w:val="0"/>
      <w:marBottom w:val="0"/>
      <w:divBdr>
        <w:top w:val="none" w:sz="0" w:space="0" w:color="auto"/>
        <w:left w:val="none" w:sz="0" w:space="0" w:color="auto"/>
        <w:bottom w:val="none" w:sz="0" w:space="0" w:color="auto"/>
        <w:right w:val="none" w:sz="0" w:space="0" w:color="auto"/>
      </w:divBdr>
    </w:div>
    <w:div w:id="338241836">
      <w:bodyDiv w:val="1"/>
      <w:marLeft w:val="0"/>
      <w:marRight w:val="0"/>
      <w:marTop w:val="0"/>
      <w:marBottom w:val="0"/>
      <w:divBdr>
        <w:top w:val="none" w:sz="0" w:space="0" w:color="auto"/>
        <w:left w:val="none" w:sz="0" w:space="0" w:color="auto"/>
        <w:bottom w:val="none" w:sz="0" w:space="0" w:color="auto"/>
        <w:right w:val="none" w:sz="0" w:space="0" w:color="auto"/>
      </w:divBdr>
    </w:div>
    <w:div w:id="394671756">
      <w:bodyDiv w:val="1"/>
      <w:marLeft w:val="0"/>
      <w:marRight w:val="0"/>
      <w:marTop w:val="0"/>
      <w:marBottom w:val="0"/>
      <w:divBdr>
        <w:top w:val="none" w:sz="0" w:space="0" w:color="auto"/>
        <w:left w:val="none" w:sz="0" w:space="0" w:color="auto"/>
        <w:bottom w:val="none" w:sz="0" w:space="0" w:color="auto"/>
        <w:right w:val="none" w:sz="0" w:space="0" w:color="auto"/>
      </w:divBdr>
    </w:div>
    <w:div w:id="647368576">
      <w:bodyDiv w:val="1"/>
      <w:marLeft w:val="0"/>
      <w:marRight w:val="0"/>
      <w:marTop w:val="0"/>
      <w:marBottom w:val="0"/>
      <w:divBdr>
        <w:top w:val="none" w:sz="0" w:space="0" w:color="auto"/>
        <w:left w:val="none" w:sz="0" w:space="0" w:color="auto"/>
        <w:bottom w:val="none" w:sz="0" w:space="0" w:color="auto"/>
        <w:right w:val="none" w:sz="0" w:space="0" w:color="auto"/>
      </w:divBdr>
    </w:div>
    <w:div w:id="799036756">
      <w:bodyDiv w:val="1"/>
      <w:marLeft w:val="0"/>
      <w:marRight w:val="0"/>
      <w:marTop w:val="0"/>
      <w:marBottom w:val="0"/>
      <w:divBdr>
        <w:top w:val="none" w:sz="0" w:space="0" w:color="auto"/>
        <w:left w:val="none" w:sz="0" w:space="0" w:color="auto"/>
        <w:bottom w:val="none" w:sz="0" w:space="0" w:color="auto"/>
        <w:right w:val="none" w:sz="0" w:space="0" w:color="auto"/>
      </w:divBdr>
    </w:div>
    <w:div w:id="815991128">
      <w:bodyDiv w:val="1"/>
      <w:marLeft w:val="0"/>
      <w:marRight w:val="0"/>
      <w:marTop w:val="0"/>
      <w:marBottom w:val="0"/>
      <w:divBdr>
        <w:top w:val="none" w:sz="0" w:space="0" w:color="auto"/>
        <w:left w:val="none" w:sz="0" w:space="0" w:color="auto"/>
        <w:bottom w:val="none" w:sz="0" w:space="0" w:color="auto"/>
        <w:right w:val="none" w:sz="0" w:space="0" w:color="auto"/>
      </w:divBdr>
    </w:div>
    <w:div w:id="1245607771">
      <w:bodyDiv w:val="1"/>
      <w:marLeft w:val="0"/>
      <w:marRight w:val="0"/>
      <w:marTop w:val="0"/>
      <w:marBottom w:val="0"/>
      <w:divBdr>
        <w:top w:val="none" w:sz="0" w:space="0" w:color="auto"/>
        <w:left w:val="none" w:sz="0" w:space="0" w:color="auto"/>
        <w:bottom w:val="none" w:sz="0" w:space="0" w:color="auto"/>
        <w:right w:val="none" w:sz="0" w:space="0" w:color="auto"/>
      </w:divBdr>
    </w:div>
    <w:div w:id="1436755460">
      <w:bodyDiv w:val="1"/>
      <w:marLeft w:val="0"/>
      <w:marRight w:val="0"/>
      <w:marTop w:val="0"/>
      <w:marBottom w:val="0"/>
      <w:divBdr>
        <w:top w:val="none" w:sz="0" w:space="0" w:color="auto"/>
        <w:left w:val="none" w:sz="0" w:space="0" w:color="auto"/>
        <w:bottom w:val="none" w:sz="0" w:space="0" w:color="auto"/>
        <w:right w:val="none" w:sz="0" w:space="0" w:color="auto"/>
      </w:divBdr>
    </w:div>
    <w:div w:id="1440486710">
      <w:bodyDiv w:val="1"/>
      <w:marLeft w:val="0"/>
      <w:marRight w:val="0"/>
      <w:marTop w:val="0"/>
      <w:marBottom w:val="0"/>
      <w:divBdr>
        <w:top w:val="none" w:sz="0" w:space="0" w:color="auto"/>
        <w:left w:val="none" w:sz="0" w:space="0" w:color="auto"/>
        <w:bottom w:val="none" w:sz="0" w:space="0" w:color="auto"/>
        <w:right w:val="none" w:sz="0" w:space="0" w:color="auto"/>
      </w:divBdr>
    </w:div>
    <w:div w:id="1814758294">
      <w:bodyDiv w:val="1"/>
      <w:marLeft w:val="0"/>
      <w:marRight w:val="0"/>
      <w:marTop w:val="0"/>
      <w:marBottom w:val="0"/>
      <w:divBdr>
        <w:top w:val="none" w:sz="0" w:space="0" w:color="auto"/>
        <w:left w:val="none" w:sz="0" w:space="0" w:color="auto"/>
        <w:bottom w:val="none" w:sz="0" w:space="0" w:color="auto"/>
        <w:right w:val="none" w:sz="0" w:space="0" w:color="auto"/>
      </w:divBdr>
    </w:div>
    <w:div w:id="1951888866">
      <w:bodyDiv w:val="1"/>
      <w:marLeft w:val="0"/>
      <w:marRight w:val="0"/>
      <w:marTop w:val="0"/>
      <w:marBottom w:val="0"/>
      <w:divBdr>
        <w:top w:val="none" w:sz="0" w:space="0" w:color="auto"/>
        <w:left w:val="none" w:sz="0" w:space="0" w:color="auto"/>
        <w:bottom w:val="none" w:sz="0" w:space="0" w:color="auto"/>
        <w:right w:val="none" w:sz="0" w:space="0" w:color="auto"/>
      </w:divBdr>
    </w:div>
    <w:div w:id="19828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Cassandra Martin</DisplayName>
        <AccountId>59</AccountId>
        <AccountType/>
      </UserInfo>
      <UserInfo>
        <DisplayName>Hyewon Lee</DisplayName>
        <AccountId>8</AccountId>
        <AccountType/>
      </UserInfo>
      <UserInfo>
        <DisplayName>Steven Freedman</DisplayName>
        <AccountId>6</AccountId>
        <AccountType/>
      </UserInfo>
    </SharedWithUsers>
    <Date xmlns="0772689b-326b-46a5-b84c-c726c57fb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3.xml><?xml version="1.0" encoding="utf-8"?>
<ds:datastoreItem xmlns:ds="http://schemas.openxmlformats.org/officeDocument/2006/customXml" ds:itemID="{CF8962D7-65A5-4FFE-A2AD-92CE6840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Martin</dc:creator>
  <cp:keywords/>
  <cp:lastModifiedBy>Eisan, Jenna (EHS)</cp:lastModifiedBy>
  <cp:revision>13</cp:revision>
  <cp:lastPrinted>2023-03-01T23:48:00Z</cp:lastPrinted>
  <dcterms:created xsi:type="dcterms:W3CDTF">2025-02-07T18:53:00Z</dcterms:created>
  <dcterms:modified xsi:type="dcterms:W3CDTF">2025-03-28T14:32:00Z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9600</vt:r8>
  </property>
  <property fmtid="{D5CDD505-2E9C-101B-9397-08002B2CF9AE}" pid="4" name="MediaServiceImageTags">
    <vt:lpwstr/>
  </property>
</Properties>
</file>