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1F9B" w14:textId="70770BD3" w:rsidR="00EE4CAE" w:rsidRDefault="00EE4CAE" w:rsidP="00AC798F"/>
    <w:p w14:paraId="7DD57EAB" w14:textId="1DAC2F4E" w:rsidR="00533A3B" w:rsidRPr="00AC798F" w:rsidRDefault="00533A3B" w:rsidP="00D749B1">
      <w:pPr>
        <w:pStyle w:val="Heading1"/>
      </w:pPr>
      <w:r w:rsidRPr="00AC798F">
        <w:t xml:space="preserve">Administrative Bulletin </w:t>
      </w:r>
      <w:r w:rsidR="00B85B72" w:rsidRPr="00B85B72">
        <w:t>2</w:t>
      </w:r>
      <w:r w:rsidR="00EF2675">
        <w:t>5</w:t>
      </w:r>
      <w:r w:rsidRPr="00B85B72">
        <w:t>-</w:t>
      </w:r>
      <w:r w:rsidR="009A65F0">
        <w:t>05</w:t>
      </w:r>
      <w:r w:rsidRPr="00AC798F">
        <w:t xml:space="preserve"> </w:t>
      </w:r>
    </w:p>
    <w:p w14:paraId="02695039" w14:textId="77777777" w:rsidR="00533A3B" w:rsidRPr="00533A3B" w:rsidRDefault="00533A3B" w:rsidP="00D749B1"/>
    <w:p w14:paraId="1D3755FA" w14:textId="7BD76398" w:rsidR="00533A3B" w:rsidRDefault="00533A3B" w:rsidP="00D749B1">
      <w:pPr>
        <w:jc w:val="center"/>
        <w:rPr>
          <w:b/>
          <w:bCs/>
          <w:sz w:val="24"/>
          <w:szCs w:val="24"/>
        </w:rPr>
      </w:pPr>
      <w:r w:rsidRPr="00796A70">
        <w:rPr>
          <w:b/>
          <w:bCs/>
          <w:sz w:val="24"/>
          <w:szCs w:val="24"/>
        </w:rPr>
        <w:t xml:space="preserve">101 CMR </w:t>
      </w:r>
      <w:r w:rsidR="00151EF5">
        <w:rPr>
          <w:b/>
          <w:bCs/>
          <w:sz w:val="24"/>
          <w:szCs w:val="24"/>
        </w:rPr>
        <w:t>334</w:t>
      </w:r>
      <w:r w:rsidRPr="00796A70">
        <w:rPr>
          <w:b/>
          <w:bCs/>
          <w:sz w:val="24"/>
          <w:szCs w:val="24"/>
        </w:rPr>
        <w:t xml:space="preserve">.00: </w:t>
      </w:r>
      <w:r w:rsidR="00113B5B">
        <w:rPr>
          <w:b/>
          <w:bCs/>
          <w:sz w:val="24"/>
          <w:szCs w:val="24"/>
        </w:rPr>
        <w:t xml:space="preserve">Rates for </w:t>
      </w:r>
      <w:r w:rsidR="00151EF5" w:rsidRPr="00E92DC8">
        <w:rPr>
          <w:b/>
          <w:bCs/>
          <w:sz w:val="24"/>
          <w:szCs w:val="24"/>
        </w:rPr>
        <w:t>Prostheses, Prosthetic Devices</w:t>
      </w:r>
      <w:r w:rsidR="006F6D58">
        <w:rPr>
          <w:b/>
          <w:bCs/>
          <w:sz w:val="24"/>
          <w:szCs w:val="24"/>
        </w:rPr>
        <w:t>,</w:t>
      </w:r>
      <w:r w:rsidR="00151EF5" w:rsidRPr="00E92DC8">
        <w:rPr>
          <w:b/>
          <w:bCs/>
          <w:sz w:val="24"/>
          <w:szCs w:val="24"/>
        </w:rPr>
        <w:t xml:space="preserve"> and Orthotic Devices </w:t>
      </w:r>
    </w:p>
    <w:p w14:paraId="5E59FA33" w14:textId="77777777" w:rsidR="00D749B1" w:rsidRPr="00113B5B" w:rsidRDefault="00D749B1" w:rsidP="00D749B1">
      <w:pPr>
        <w:jc w:val="center"/>
        <w:rPr>
          <w:sz w:val="24"/>
          <w:szCs w:val="24"/>
        </w:rPr>
      </w:pPr>
    </w:p>
    <w:p w14:paraId="27A5BE69" w14:textId="3FED2F61" w:rsidR="00533A3B" w:rsidRDefault="00533A3B" w:rsidP="00D749B1">
      <w:pPr>
        <w:jc w:val="center"/>
        <w:rPr>
          <w:sz w:val="24"/>
          <w:szCs w:val="24"/>
        </w:rPr>
      </w:pPr>
      <w:r w:rsidRPr="00796A70">
        <w:rPr>
          <w:sz w:val="24"/>
          <w:szCs w:val="24"/>
        </w:rPr>
        <w:t xml:space="preserve">Effective </w:t>
      </w:r>
      <w:r w:rsidR="0081602A">
        <w:rPr>
          <w:sz w:val="24"/>
          <w:szCs w:val="24"/>
        </w:rPr>
        <w:t>October 1, 2024</w:t>
      </w:r>
    </w:p>
    <w:p w14:paraId="0854CB56" w14:textId="77777777" w:rsidR="00D749B1" w:rsidRDefault="00D749B1" w:rsidP="00D749B1">
      <w:pPr>
        <w:jc w:val="center"/>
        <w:rPr>
          <w:sz w:val="24"/>
          <w:szCs w:val="24"/>
        </w:rPr>
      </w:pPr>
    </w:p>
    <w:p w14:paraId="7520AEF2" w14:textId="5DBE9092" w:rsidR="009C649B" w:rsidRDefault="009C649B" w:rsidP="00D749B1">
      <w:pPr>
        <w:jc w:val="center"/>
        <w:rPr>
          <w:b/>
          <w:bCs/>
          <w:sz w:val="24"/>
          <w:szCs w:val="24"/>
        </w:rPr>
      </w:pPr>
      <w:r>
        <w:rPr>
          <w:b/>
          <w:bCs/>
          <w:sz w:val="24"/>
          <w:szCs w:val="24"/>
        </w:rPr>
        <w:t xml:space="preserve">Code Updates for Certain </w:t>
      </w:r>
      <w:r w:rsidR="00F514A6">
        <w:rPr>
          <w:b/>
          <w:bCs/>
          <w:sz w:val="24"/>
          <w:szCs w:val="24"/>
        </w:rPr>
        <w:t>Prostheses and Orthotic Devices</w:t>
      </w:r>
    </w:p>
    <w:p w14:paraId="595E0330" w14:textId="77777777" w:rsidR="00D749B1" w:rsidRPr="00DC640F" w:rsidRDefault="00D749B1" w:rsidP="00D749B1">
      <w:pPr>
        <w:jc w:val="center"/>
        <w:rPr>
          <w:b/>
          <w:bCs/>
          <w:sz w:val="24"/>
          <w:szCs w:val="24"/>
        </w:rPr>
      </w:pPr>
    </w:p>
    <w:p w14:paraId="5312410E" w14:textId="0E75D80A" w:rsidR="003F7A86" w:rsidRPr="00E92DC8" w:rsidRDefault="003F7A86" w:rsidP="00B85B72">
      <w:pPr>
        <w:rPr>
          <w:rFonts w:cs="Times New Roman"/>
          <w:b/>
          <w:bCs/>
          <w:sz w:val="24"/>
          <w:szCs w:val="24"/>
        </w:rPr>
      </w:pPr>
      <w:r w:rsidRPr="00E92DC8">
        <w:rPr>
          <w:rFonts w:cs="Times New Roman"/>
          <w:b/>
          <w:bCs/>
          <w:sz w:val="24"/>
          <w:szCs w:val="24"/>
        </w:rPr>
        <w:t>Summary</w:t>
      </w:r>
    </w:p>
    <w:p w14:paraId="3771CEC6" w14:textId="77777777" w:rsidR="007720D1" w:rsidRPr="00E92DC8" w:rsidRDefault="007720D1" w:rsidP="00B85B72">
      <w:pPr>
        <w:rPr>
          <w:rFonts w:cs="Times New Roman"/>
          <w:b/>
          <w:bCs/>
          <w:sz w:val="24"/>
          <w:szCs w:val="24"/>
        </w:rPr>
      </w:pPr>
    </w:p>
    <w:p w14:paraId="197D7DC0" w14:textId="3A900710" w:rsidR="00B85B72" w:rsidRPr="00E12EA7" w:rsidRDefault="00B85B72" w:rsidP="00B85B72">
      <w:pPr>
        <w:rPr>
          <w:rFonts w:cs="Times New Roman"/>
        </w:rPr>
      </w:pPr>
      <w:r w:rsidRPr="00E12EA7">
        <w:rPr>
          <w:rFonts w:cs="Times New Roman"/>
        </w:rPr>
        <w:t>Under the authority of 101 CMR 334.01(</w:t>
      </w:r>
      <w:r w:rsidR="005E25B6" w:rsidRPr="00E12EA7">
        <w:rPr>
          <w:rFonts w:cs="Times New Roman"/>
        </w:rPr>
        <w:t>5</w:t>
      </w:r>
      <w:r w:rsidRPr="00E12EA7">
        <w:rPr>
          <w:rFonts w:cs="Times New Roman"/>
        </w:rPr>
        <w:t>)</w:t>
      </w:r>
      <w:r w:rsidR="00996E2B">
        <w:rPr>
          <w:rFonts w:cs="Times New Roman"/>
        </w:rPr>
        <w:t xml:space="preserve">: </w:t>
      </w:r>
      <w:r w:rsidR="00996E2B" w:rsidRPr="00DD6D6F">
        <w:rPr>
          <w:rFonts w:cs="Times New Roman"/>
          <w:i/>
          <w:iCs/>
        </w:rPr>
        <w:t>Coding Updates and Corrections</w:t>
      </w:r>
      <w:r w:rsidRPr="00E12EA7">
        <w:rPr>
          <w:rFonts w:cs="Times New Roman"/>
        </w:rPr>
        <w:t xml:space="preserve">, the Executive Office of Health and Human Services </w:t>
      </w:r>
      <w:r w:rsidR="00873574">
        <w:rPr>
          <w:rFonts w:cs="Times New Roman"/>
        </w:rPr>
        <w:t xml:space="preserve">(EOHHS) </w:t>
      </w:r>
      <w:r w:rsidRPr="00E12EA7">
        <w:rPr>
          <w:rFonts w:cs="Times New Roman"/>
        </w:rPr>
        <w:t>is adding new service codes and revising code descriptions</w:t>
      </w:r>
      <w:r w:rsidR="00D01508" w:rsidRPr="00E12EA7">
        <w:rPr>
          <w:rFonts w:cs="Times New Roman"/>
        </w:rPr>
        <w:t>,</w:t>
      </w:r>
      <w:r w:rsidRPr="00E12EA7">
        <w:rPr>
          <w:rFonts w:cs="Times New Roman"/>
        </w:rPr>
        <w:t xml:space="preserve"> effective for dates of service on or after </w:t>
      </w:r>
      <w:r w:rsidR="00B73E8B" w:rsidRPr="00E12EA7">
        <w:rPr>
          <w:rFonts w:cs="Times New Roman"/>
        </w:rPr>
        <w:t>October</w:t>
      </w:r>
      <w:r w:rsidRPr="00E12EA7">
        <w:rPr>
          <w:rFonts w:cs="Times New Roman"/>
        </w:rPr>
        <w:t xml:space="preserve"> 1, 202</w:t>
      </w:r>
      <w:r w:rsidR="00B73E8B" w:rsidRPr="00E12EA7">
        <w:rPr>
          <w:rFonts w:cs="Times New Roman"/>
        </w:rPr>
        <w:t>4</w:t>
      </w:r>
      <w:r w:rsidRPr="00E12EA7">
        <w:rPr>
          <w:rFonts w:cs="Times New Roman"/>
        </w:rPr>
        <w:t xml:space="preserve">.   </w:t>
      </w:r>
    </w:p>
    <w:p w14:paraId="7E4DEE23" w14:textId="77777777" w:rsidR="00B85B72" w:rsidRPr="00E12EA7" w:rsidRDefault="00B85B72" w:rsidP="00B85B72">
      <w:pPr>
        <w:jc w:val="center"/>
        <w:rPr>
          <w:rFonts w:eastAsia="Times" w:cs="Times New Roman"/>
        </w:rPr>
      </w:pPr>
      <w:r w:rsidRPr="00E12EA7">
        <w:rPr>
          <w:rFonts w:cs="Times New Roman"/>
        </w:rPr>
        <w:t> </w:t>
      </w:r>
    </w:p>
    <w:p w14:paraId="0EB5A82F" w14:textId="58901BCA" w:rsidR="00B85B72" w:rsidRPr="00E12EA7" w:rsidRDefault="00B85B72" w:rsidP="00B85B72">
      <w:pPr>
        <w:rPr>
          <w:rFonts w:cs="Times New Roman"/>
        </w:rPr>
      </w:pPr>
      <w:r w:rsidRPr="00E12EA7">
        <w:rPr>
          <w:rFonts w:cs="Times New Roman"/>
        </w:rPr>
        <w:t>In accordance with 101 CMR 334.0</w:t>
      </w:r>
      <w:r w:rsidR="00FD334E" w:rsidRPr="00E12EA7">
        <w:rPr>
          <w:rFonts w:cs="Times New Roman"/>
        </w:rPr>
        <w:t>3(2)</w:t>
      </w:r>
      <w:r w:rsidR="005600CF">
        <w:rPr>
          <w:rFonts w:cs="Times New Roman"/>
        </w:rPr>
        <w:t xml:space="preserve">: </w:t>
      </w:r>
      <w:r w:rsidR="005600CF" w:rsidRPr="00DD6D6F">
        <w:rPr>
          <w:rFonts w:cs="Times New Roman"/>
          <w:i/>
          <w:iCs/>
        </w:rPr>
        <w:t>Rates for new codes</w:t>
      </w:r>
      <w:r w:rsidRPr="00E12EA7">
        <w:rPr>
          <w:rFonts w:cs="Times New Roman"/>
        </w:rPr>
        <w:t>, for new codes for which there are Medicare fees, payment rates will be set at a percentage of prevailing Medicare fees. For new codes for which there are no Medicare fees available, rates are set at individual consideration</w:t>
      </w:r>
      <w:r w:rsidR="008F7F6C" w:rsidRPr="00E12EA7">
        <w:rPr>
          <w:rFonts w:cs="Times New Roman"/>
        </w:rPr>
        <w:t xml:space="preserve"> (</w:t>
      </w:r>
      <w:r w:rsidR="002121CC" w:rsidRPr="00E12EA7">
        <w:rPr>
          <w:rFonts w:cs="Times New Roman"/>
        </w:rPr>
        <w:t>IC)</w:t>
      </w:r>
      <w:r w:rsidRPr="00E12EA7">
        <w:rPr>
          <w:rFonts w:cs="Times New Roman"/>
        </w:rPr>
        <w:t xml:space="preserve">, </w:t>
      </w:r>
      <w:r w:rsidR="002121CC" w:rsidRPr="00E12EA7">
        <w:rPr>
          <w:rFonts w:cs="Times New Roman"/>
        </w:rPr>
        <w:t xml:space="preserve">pursuant to 101 CMR 334.03(2)(d) and </w:t>
      </w:r>
      <w:r w:rsidRPr="00E12EA7">
        <w:rPr>
          <w:rFonts w:cs="Times New Roman"/>
        </w:rPr>
        <w:t>as defined in 101 CMR 334.02. Rates listed in this administrative bulletin are applicable until revised rates are issued by EOHHS.</w:t>
      </w:r>
      <w:r w:rsidR="00CF369E" w:rsidRPr="00E12EA7">
        <w:t xml:space="preserve"> </w:t>
      </w:r>
    </w:p>
    <w:p w14:paraId="6A01C31A" w14:textId="77777777" w:rsidR="00B85B72" w:rsidRPr="00E12EA7" w:rsidRDefault="00B85B72" w:rsidP="00B85B72">
      <w:pPr>
        <w:rPr>
          <w:rFonts w:cs="Times New Roman"/>
        </w:rPr>
      </w:pPr>
    </w:p>
    <w:p w14:paraId="60A6A6D8" w14:textId="77777777" w:rsidR="00B85B72" w:rsidRPr="00E12EA7" w:rsidRDefault="00B85B72" w:rsidP="00B85B72">
      <w:pPr>
        <w:rPr>
          <w:rFonts w:eastAsia="Times" w:cs="Times New Roman"/>
        </w:rPr>
      </w:pPr>
      <w:r w:rsidRPr="00E12EA7">
        <w:rPr>
          <w:rFonts w:eastAsia="Times" w:cs="Times New Roman"/>
        </w:rPr>
        <w:t>The appearance of a code in the tables below does not constitute authorization for, or approval of, the procedures or services for which rates are determined pursuant to 101 CMR 334.00. Governmental units that purchase care are responsible for the definition, authorization, and approval of care to publicly aided individuals.</w:t>
      </w:r>
    </w:p>
    <w:p w14:paraId="7FFA0430" w14:textId="77777777" w:rsidR="0066370A" w:rsidRPr="00E12EA7" w:rsidRDefault="0066370A" w:rsidP="00B85B72">
      <w:pPr>
        <w:rPr>
          <w:rFonts w:eastAsia="Times" w:cs="Times New Roman"/>
        </w:rPr>
      </w:pPr>
    </w:p>
    <w:p w14:paraId="701886E0" w14:textId="2B86F006" w:rsidR="00533A3B" w:rsidRPr="00E92DC8" w:rsidRDefault="00B85B72" w:rsidP="00656FFF">
      <w:pPr>
        <w:pStyle w:val="Heading2"/>
        <w:spacing w:before="240"/>
        <w:rPr>
          <w:rFonts w:cs="Times New Roman"/>
          <w:sz w:val="24"/>
          <w:szCs w:val="24"/>
        </w:rPr>
      </w:pPr>
      <w:r w:rsidRPr="00E92DC8">
        <w:rPr>
          <w:rFonts w:cs="Times New Roman"/>
          <w:sz w:val="24"/>
          <w:szCs w:val="24"/>
        </w:rPr>
        <w:t>Added Codes</w:t>
      </w:r>
    </w:p>
    <w:tbl>
      <w:tblPr>
        <w:tblStyle w:val="TableGrid"/>
        <w:tblW w:w="10075" w:type="dxa"/>
        <w:tblLook w:val="04A0" w:firstRow="1" w:lastRow="0" w:firstColumn="1" w:lastColumn="0" w:noHBand="0" w:noVBand="1"/>
      </w:tblPr>
      <w:tblGrid>
        <w:gridCol w:w="1005"/>
        <w:gridCol w:w="7500"/>
        <w:gridCol w:w="1570"/>
      </w:tblGrid>
      <w:tr w:rsidR="00D27F17" w:rsidRPr="00FC5124" w14:paraId="1EBE457E" w14:textId="193BD2AA" w:rsidTr="001820A9">
        <w:trPr>
          <w:trHeight w:val="260"/>
          <w:tblHeader/>
        </w:trPr>
        <w:tc>
          <w:tcPr>
            <w:tcW w:w="1005" w:type="dxa"/>
            <w:noWrap/>
            <w:vAlign w:val="bottom"/>
            <w:hideMark/>
          </w:tcPr>
          <w:p w14:paraId="76289D80" w14:textId="735AF7A1" w:rsidR="00D27F17" w:rsidRPr="00D749B1" w:rsidRDefault="00D27F17" w:rsidP="007A72C3">
            <w:pPr>
              <w:spacing w:after="120" w:line="276" w:lineRule="auto"/>
              <w:jc w:val="center"/>
              <w:rPr>
                <w:rFonts w:cs="Times New Roman"/>
                <w:b/>
                <w:bCs/>
              </w:rPr>
            </w:pPr>
            <w:r w:rsidRPr="00D749B1">
              <w:rPr>
                <w:rFonts w:cs="Times New Roman"/>
                <w:b/>
                <w:bCs/>
              </w:rPr>
              <w:t>Code</w:t>
            </w:r>
          </w:p>
        </w:tc>
        <w:tc>
          <w:tcPr>
            <w:tcW w:w="7500" w:type="dxa"/>
            <w:vAlign w:val="bottom"/>
          </w:tcPr>
          <w:p w14:paraId="0CB62B1E" w14:textId="72FACC50" w:rsidR="00D27F17" w:rsidRPr="00D749B1" w:rsidRDefault="00D27F17" w:rsidP="007A72C3">
            <w:pPr>
              <w:spacing w:after="120" w:line="276" w:lineRule="auto"/>
              <w:jc w:val="center"/>
              <w:rPr>
                <w:rFonts w:cs="Times New Roman"/>
                <w:b/>
                <w:bCs/>
              </w:rPr>
            </w:pPr>
            <w:r w:rsidRPr="00D749B1">
              <w:rPr>
                <w:rFonts w:cs="Times New Roman"/>
                <w:b/>
                <w:bCs/>
                <w:color w:val="000000"/>
              </w:rPr>
              <w:t>Description</w:t>
            </w:r>
          </w:p>
        </w:tc>
        <w:tc>
          <w:tcPr>
            <w:tcW w:w="1570" w:type="dxa"/>
            <w:vAlign w:val="bottom"/>
          </w:tcPr>
          <w:p w14:paraId="270D8EEA" w14:textId="6281C341" w:rsidR="00D27F17" w:rsidRPr="00D749B1" w:rsidRDefault="00D27F17" w:rsidP="007A72C3">
            <w:pPr>
              <w:spacing w:after="120" w:line="276" w:lineRule="auto"/>
              <w:jc w:val="center"/>
              <w:rPr>
                <w:rFonts w:cs="Times New Roman"/>
                <w:b/>
                <w:bCs/>
                <w:color w:val="000000"/>
              </w:rPr>
            </w:pPr>
            <w:r w:rsidRPr="00D749B1">
              <w:rPr>
                <w:rFonts w:cs="Times New Roman"/>
                <w:b/>
                <w:bCs/>
                <w:color w:val="000000"/>
              </w:rPr>
              <w:t>Rate</w:t>
            </w:r>
          </w:p>
        </w:tc>
      </w:tr>
      <w:tr w:rsidR="004F614D" w:rsidRPr="00E12EA7" w14:paraId="192206CE" w14:textId="473E6FD9" w:rsidTr="001820A9">
        <w:trPr>
          <w:trHeight w:val="300"/>
        </w:trPr>
        <w:tc>
          <w:tcPr>
            <w:tcW w:w="1005" w:type="dxa"/>
            <w:noWrap/>
            <w:vAlign w:val="center"/>
            <w:hideMark/>
          </w:tcPr>
          <w:p w14:paraId="70413461" w14:textId="49274233" w:rsidR="004F614D" w:rsidRPr="00E12EA7" w:rsidRDefault="00CF544A" w:rsidP="004F614D">
            <w:pPr>
              <w:spacing w:after="120" w:line="276" w:lineRule="auto"/>
              <w:jc w:val="center"/>
              <w:rPr>
                <w:rFonts w:cs="Times New Roman"/>
              </w:rPr>
            </w:pPr>
            <w:r w:rsidRPr="00E12EA7">
              <w:rPr>
                <w:rFonts w:cs="Times New Roman"/>
              </w:rPr>
              <w:t>L1006</w:t>
            </w:r>
          </w:p>
        </w:tc>
        <w:tc>
          <w:tcPr>
            <w:tcW w:w="7500" w:type="dxa"/>
            <w:vAlign w:val="center"/>
          </w:tcPr>
          <w:p w14:paraId="744F1352" w14:textId="51CE672C" w:rsidR="004F614D" w:rsidRPr="00E12EA7" w:rsidRDefault="00CF544A" w:rsidP="004F614D">
            <w:pPr>
              <w:spacing w:after="120" w:line="276" w:lineRule="auto"/>
              <w:rPr>
                <w:rFonts w:cs="Times New Roman"/>
              </w:rPr>
            </w:pPr>
            <w:r w:rsidRPr="00E12EA7">
              <w:rPr>
                <w:rFonts w:cs="Times New Roman"/>
                <w:color w:val="000000"/>
              </w:rPr>
              <w:t xml:space="preserve">Scoliosis orthosis, sagittal-coronal control provided by a rigid lateral frame, extends from axilla to trochanter, includes all accessory pads, straps and interface, prefabricated item that has been trimmed, bent, molded, </w:t>
            </w:r>
            <w:r w:rsidRPr="00E12EA7">
              <w:rPr>
                <w:rFonts w:cs="Times New Roman"/>
                <w:color w:val="000000"/>
              </w:rPr>
              <w:lastRenderedPageBreak/>
              <w:t>assembled, or otherwise customized to fit a specific patient by an individual with expertise</w:t>
            </w:r>
          </w:p>
        </w:tc>
        <w:tc>
          <w:tcPr>
            <w:tcW w:w="1570" w:type="dxa"/>
            <w:vAlign w:val="center"/>
          </w:tcPr>
          <w:p w14:paraId="4155A349" w14:textId="698BC13E" w:rsidR="004F614D" w:rsidRPr="00E12EA7" w:rsidRDefault="00CF544A" w:rsidP="004F614D">
            <w:pPr>
              <w:spacing w:after="120" w:line="276" w:lineRule="auto"/>
              <w:jc w:val="center"/>
              <w:rPr>
                <w:rFonts w:cs="Times New Roman"/>
                <w:color w:val="000000"/>
              </w:rPr>
            </w:pPr>
            <w:r w:rsidRPr="00E12EA7">
              <w:rPr>
                <w:rFonts w:cs="Times New Roman"/>
              </w:rPr>
              <w:lastRenderedPageBreak/>
              <w:t>$1,027.74</w:t>
            </w:r>
          </w:p>
        </w:tc>
      </w:tr>
      <w:tr w:rsidR="004F614D" w:rsidRPr="00E12EA7" w14:paraId="7BF0AABE" w14:textId="0D65FDFD" w:rsidTr="001820A9">
        <w:trPr>
          <w:trHeight w:val="300"/>
        </w:trPr>
        <w:tc>
          <w:tcPr>
            <w:tcW w:w="1005" w:type="dxa"/>
            <w:noWrap/>
            <w:vAlign w:val="center"/>
            <w:hideMark/>
          </w:tcPr>
          <w:p w14:paraId="496BD584" w14:textId="14E2DAA8" w:rsidR="004F614D" w:rsidRPr="00E12EA7" w:rsidRDefault="00CF544A" w:rsidP="004F614D">
            <w:pPr>
              <w:spacing w:after="120" w:line="276" w:lineRule="auto"/>
              <w:jc w:val="center"/>
              <w:rPr>
                <w:rFonts w:cs="Times New Roman"/>
              </w:rPr>
            </w:pPr>
            <w:r w:rsidRPr="00E12EA7">
              <w:rPr>
                <w:rFonts w:cs="Times New Roman"/>
              </w:rPr>
              <w:t>L1653</w:t>
            </w:r>
          </w:p>
        </w:tc>
        <w:tc>
          <w:tcPr>
            <w:tcW w:w="7500" w:type="dxa"/>
            <w:vAlign w:val="center"/>
          </w:tcPr>
          <w:p w14:paraId="12F6A1CD" w14:textId="0535D3AE" w:rsidR="004F614D" w:rsidRPr="00E12EA7" w:rsidRDefault="00CF544A" w:rsidP="004F614D">
            <w:pPr>
              <w:spacing w:after="120" w:line="276" w:lineRule="auto"/>
              <w:rPr>
                <w:rFonts w:cs="Times New Roman"/>
              </w:rPr>
            </w:pPr>
            <w:r w:rsidRPr="00E12EA7">
              <w:rPr>
                <w:rFonts w:cs="Times New Roman"/>
                <w:color w:val="000000"/>
              </w:rPr>
              <w:t>Hip orthosis, bilateral thigh cuffs with adjustable abductor spreader bar, adult size, prefabricated, off the shelf</w:t>
            </w:r>
          </w:p>
        </w:tc>
        <w:tc>
          <w:tcPr>
            <w:tcW w:w="1570" w:type="dxa"/>
            <w:vAlign w:val="center"/>
          </w:tcPr>
          <w:p w14:paraId="1CCD9DEA" w14:textId="3FB08CA9" w:rsidR="004F614D" w:rsidRPr="00E12EA7" w:rsidRDefault="00CF544A" w:rsidP="004F614D">
            <w:pPr>
              <w:spacing w:after="120" w:line="276" w:lineRule="auto"/>
              <w:jc w:val="center"/>
              <w:rPr>
                <w:rFonts w:cs="Times New Roman"/>
                <w:color w:val="000000"/>
              </w:rPr>
            </w:pPr>
            <w:r w:rsidRPr="00E12EA7">
              <w:rPr>
                <w:rFonts w:cs="Times New Roman"/>
              </w:rPr>
              <w:t>$289.66</w:t>
            </w:r>
          </w:p>
        </w:tc>
      </w:tr>
      <w:tr w:rsidR="00AF35A5" w:rsidRPr="00E12EA7" w14:paraId="05606EFD" w14:textId="77777777" w:rsidTr="001820A9">
        <w:trPr>
          <w:trHeight w:val="300"/>
        </w:trPr>
        <w:tc>
          <w:tcPr>
            <w:tcW w:w="1005" w:type="dxa"/>
            <w:noWrap/>
            <w:vAlign w:val="center"/>
          </w:tcPr>
          <w:p w14:paraId="0998CF69" w14:textId="46BBE704" w:rsidR="00AF35A5" w:rsidRPr="00E12EA7" w:rsidRDefault="00AF35A5" w:rsidP="00AF35A5">
            <w:pPr>
              <w:spacing w:after="120" w:line="276" w:lineRule="auto"/>
              <w:jc w:val="center"/>
              <w:rPr>
                <w:rFonts w:cs="Times New Roman"/>
              </w:rPr>
            </w:pPr>
            <w:r w:rsidRPr="00E12EA7">
              <w:rPr>
                <w:rFonts w:cs="Times New Roman"/>
              </w:rPr>
              <w:t>L1821</w:t>
            </w:r>
          </w:p>
        </w:tc>
        <w:tc>
          <w:tcPr>
            <w:tcW w:w="7500" w:type="dxa"/>
            <w:vAlign w:val="center"/>
          </w:tcPr>
          <w:p w14:paraId="4659A94A" w14:textId="319A4DA9" w:rsidR="00AF35A5" w:rsidRPr="00E12EA7" w:rsidRDefault="00AF35A5" w:rsidP="00AF35A5">
            <w:pPr>
              <w:spacing w:after="120" w:line="276" w:lineRule="auto"/>
              <w:rPr>
                <w:rFonts w:cs="Times New Roman"/>
                <w:color w:val="000000"/>
              </w:rPr>
            </w:pPr>
            <w:r w:rsidRPr="00E12EA7">
              <w:rPr>
                <w:rFonts w:cs="Times New Roman"/>
                <w:color w:val="000000"/>
              </w:rPr>
              <w:t>Knee Orthosis, elastic with condylar pads and joints, with or without patellar control, prefabricated, off the shelf</w:t>
            </w:r>
          </w:p>
        </w:tc>
        <w:tc>
          <w:tcPr>
            <w:tcW w:w="1570" w:type="dxa"/>
            <w:vAlign w:val="center"/>
          </w:tcPr>
          <w:p w14:paraId="78C053EC" w14:textId="07A211A2" w:rsidR="00AF35A5" w:rsidRPr="00E12EA7" w:rsidRDefault="00AF35A5" w:rsidP="00AF35A5">
            <w:pPr>
              <w:spacing w:after="120" w:line="276" w:lineRule="auto"/>
              <w:jc w:val="center"/>
              <w:rPr>
                <w:rFonts w:cs="Times New Roman"/>
              </w:rPr>
            </w:pPr>
            <w:r w:rsidRPr="00E12EA7">
              <w:rPr>
                <w:rFonts w:cs="Times New Roman"/>
              </w:rPr>
              <w:t>$118.50</w:t>
            </w:r>
          </w:p>
        </w:tc>
      </w:tr>
      <w:tr w:rsidR="00AF35A5" w:rsidRPr="00E12EA7" w14:paraId="0018EB1A" w14:textId="77777777" w:rsidTr="001820A9">
        <w:trPr>
          <w:trHeight w:val="300"/>
        </w:trPr>
        <w:tc>
          <w:tcPr>
            <w:tcW w:w="1005" w:type="dxa"/>
            <w:noWrap/>
            <w:vAlign w:val="center"/>
          </w:tcPr>
          <w:p w14:paraId="06C09D89" w14:textId="28CE9D39" w:rsidR="00AF35A5" w:rsidRPr="00E12EA7" w:rsidRDefault="00AF35A5" w:rsidP="00AF35A5">
            <w:pPr>
              <w:spacing w:after="120" w:line="276" w:lineRule="auto"/>
              <w:jc w:val="center"/>
              <w:rPr>
                <w:rFonts w:cs="Times New Roman"/>
              </w:rPr>
            </w:pPr>
            <w:r w:rsidRPr="00E12EA7">
              <w:rPr>
                <w:rFonts w:cs="Times New Roman"/>
              </w:rPr>
              <w:t>L8720</w:t>
            </w:r>
          </w:p>
        </w:tc>
        <w:tc>
          <w:tcPr>
            <w:tcW w:w="7500" w:type="dxa"/>
            <w:vAlign w:val="center"/>
          </w:tcPr>
          <w:p w14:paraId="2668563B" w14:textId="0DBAB553" w:rsidR="00AF35A5" w:rsidRPr="00E12EA7" w:rsidRDefault="00AF35A5" w:rsidP="00AF35A5">
            <w:pPr>
              <w:spacing w:after="120" w:line="276" w:lineRule="auto"/>
              <w:rPr>
                <w:rFonts w:cs="Times New Roman"/>
                <w:color w:val="000000"/>
              </w:rPr>
            </w:pPr>
            <w:r w:rsidRPr="00E12EA7">
              <w:rPr>
                <w:rFonts w:cs="Times New Roman"/>
                <w:color w:val="000000"/>
              </w:rPr>
              <w:t>External lower extremity sensory prosthesis, cutaneous stimulation of mechanoreceptors proximal to the ankle, per leg</w:t>
            </w:r>
          </w:p>
        </w:tc>
        <w:tc>
          <w:tcPr>
            <w:tcW w:w="1570" w:type="dxa"/>
            <w:vAlign w:val="center"/>
          </w:tcPr>
          <w:p w14:paraId="0BC0D786" w14:textId="15ADCF9A" w:rsidR="00AF35A5" w:rsidRPr="00E12EA7" w:rsidRDefault="00AF35A5" w:rsidP="00AF35A5">
            <w:pPr>
              <w:spacing w:after="120" w:line="276" w:lineRule="auto"/>
              <w:jc w:val="center"/>
              <w:rPr>
                <w:rFonts w:cs="Times New Roman"/>
              </w:rPr>
            </w:pPr>
            <w:r w:rsidRPr="00E12EA7">
              <w:rPr>
                <w:rFonts w:cs="Times New Roman"/>
              </w:rPr>
              <w:t>AAC + 50%</w:t>
            </w:r>
          </w:p>
        </w:tc>
      </w:tr>
      <w:tr w:rsidR="00AF35A5" w:rsidRPr="00E12EA7" w14:paraId="3B5AC06B" w14:textId="77777777" w:rsidTr="001820A9">
        <w:trPr>
          <w:trHeight w:val="665"/>
        </w:trPr>
        <w:tc>
          <w:tcPr>
            <w:tcW w:w="1005" w:type="dxa"/>
            <w:noWrap/>
            <w:vAlign w:val="center"/>
          </w:tcPr>
          <w:p w14:paraId="5FCA8B8C" w14:textId="249F72FC" w:rsidR="00AF35A5" w:rsidRPr="00E12EA7" w:rsidRDefault="00AF35A5" w:rsidP="00AF35A5">
            <w:pPr>
              <w:spacing w:after="120" w:line="276" w:lineRule="auto"/>
              <w:jc w:val="center"/>
              <w:rPr>
                <w:rFonts w:cs="Times New Roman"/>
              </w:rPr>
            </w:pPr>
            <w:r w:rsidRPr="00E12EA7">
              <w:rPr>
                <w:rFonts w:cs="Times New Roman"/>
              </w:rPr>
              <w:t>L8721</w:t>
            </w:r>
          </w:p>
        </w:tc>
        <w:tc>
          <w:tcPr>
            <w:tcW w:w="7500" w:type="dxa"/>
            <w:vAlign w:val="center"/>
          </w:tcPr>
          <w:p w14:paraId="785859EA" w14:textId="6579B8B9" w:rsidR="00AF35A5" w:rsidRPr="00E12EA7" w:rsidRDefault="00AF35A5" w:rsidP="00AF35A5">
            <w:pPr>
              <w:spacing w:after="120" w:line="276" w:lineRule="auto"/>
              <w:rPr>
                <w:rFonts w:cs="Times New Roman"/>
                <w:color w:val="000000"/>
              </w:rPr>
            </w:pPr>
            <w:r w:rsidRPr="00E12EA7">
              <w:rPr>
                <w:rFonts w:cs="Times New Roman"/>
                <w:color w:val="000000"/>
              </w:rPr>
              <w:t>Receptor sole for use with L8720, replacement, each</w:t>
            </w:r>
          </w:p>
        </w:tc>
        <w:tc>
          <w:tcPr>
            <w:tcW w:w="1570" w:type="dxa"/>
            <w:vAlign w:val="center"/>
          </w:tcPr>
          <w:p w14:paraId="707E60F6" w14:textId="0D97E26E" w:rsidR="00AF35A5" w:rsidRPr="00E12EA7" w:rsidRDefault="00AF35A5" w:rsidP="00AF35A5">
            <w:pPr>
              <w:spacing w:after="120" w:line="276" w:lineRule="auto"/>
              <w:jc w:val="center"/>
              <w:rPr>
                <w:rFonts w:cs="Times New Roman"/>
              </w:rPr>
            </w:pPr>
            <w:r w:rsidRPr="00E12EA7">
              <w:rPr>
                <w:rFonts w:cs="Times New Roman"/>
              </w:rPr>
              <w:t>AAC + 50%</w:t>
            </w:r>
          </w:p>
        </w:tc>
      </w:tr>
    </w:tbl>
    <w:p w14:paraId="39650493" w14:textId="72B2CF46" w:rsidR="00D27F17" w:rsidRPr="0049798C" w:rsidRDefault="00D27F17" w:rsidP="00D27F17">
      <w:pPr>
        <w:pStyle w:val="Heading3"/>
        <w:rPr>
          <w:rFonts w:cs="Times New Roman"/>
        </w:rPr>
      </w:pPr>
      <w:r w:rsidRPr="0049798C">
        <w:rPr>
          <w:rFonts w:cs="Times New Roman"/>
        </w:rPr>
        <w:t>Revised Code Descriptions</w:t>
      </w:r>
    </w:p>
    <w:tbl>
      <w:tblPr>
        <w:tblW w:w="101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9110"/>
      </w:tblGrid>
      <w:tr w:rsidR="00D27F17" w:rsidRPr="00D749B1" w14:paraId="608C6DCF" w14:textId="77777777" w:rsidTr="001820A9">
        <w:trPr>
          <w:trHeight w:val="467"/>
          <w:tblHeader/>
        </w:trPr>
        <w:tc>
          <w:tcPr>
            <w:tcW w:w="990" w:type="dxa"/>
          </w:tcPr>
          <w:p w14:paraId="57A6BA7F" w14:textId="77777777" w:rsidR="00D27F17" w:rsidRPr="00D749B1" w:rsidRDefault="00D27F17" w:rsidP="007A72C3">
            <w:pPr>
              <w:autoSpaceDE w:val="0"/>
              <w:autoSpaceDN w:val="0"/>
              <w:adjustRightInd w:val="0"/>
              <w:jc w:val="center"/>
              <w:rPr>
                <w:rFonts w:cs="Times New Roman"/>
                <w:b/>
                <w:bCs/>
              </w:rPr>
            </w:pPr>
            <w:r w:rsidRPr="00D749B1">
              <w:rPr>
                <w:rFonts w:cs="Times New Roman"/>
                <w:b/>
                <w:bCs/>
              </w:rPr>
              <w:t>Code</w:t>
            </w:r>
          </w:p>
        </w:tc>
        <w:tc>
          <w:tcPr>
            <w:tcW w:w="9110" w:type="dxa"/>
          </w:tcPr>
          <w:p w14:paraId="324D74F3" w14:textId="721E6EF0" w:rsidR="00D27F17" w:rsidRPr="00D749B1" w:rsidRDefault="00D27F17" w:rsidP="007A72C3">
            <w:pPr>
              <w:autoSpaceDE w:val="0"/>
              <w:autoSpaceDN w:val="0"/>
              <w:adjustRightInd w:val="0"/>
              <w:jc w:val="center"/>
              <w:rPr>
                <w:rFonts w:cs="Times New Roman"/>
                <w:b/>
                <w:bCs/>
              </w:rPr>
            </w:pPr>
            <w:r w:rsidRPr="00D749B1">
              <w:rPr>
                <w:rFonts w:cs="Times New Roman"/>
                <w:b/>
                <w:bCs/>
              </w:rPr>
              <w:t>Description</w:t>
            </w:r>
          </w:p>
        </w:tc>
      </w:tr>
      <w:tr w:rsidR="00AF35A5" w:rsidRPr="0049798C" w14:paraId="36C8C036" w14:textId="77777777" w:rsidTr="001820A9">
        <w:trPr>
          <w:trHeight w:val="530"/>
          <w:tblHeader/>
        </w:trPr>
        <w:tc>
          <w:tcPr>
            <w:tcW w:w="990" w:type="dxa"/>
            <w:vAlign w:val="center"/>
          </w:tcPr>
          <w:p w14:paraId="0ABFB075" w14:textId="138B04DD" w:rsidR="00AF35A5" w:rsidRPr="00E12EA7" w:rsidRDefault="00AF35A5" w:rsidP="00AF35A5">
            <w:pPr>
              <w:autoSpaceDE w:val="0"/>
              <w:autoSpaceDN w:val="0"/>
              <w:adjustRightInd w:val="0"/>
              <w:jc w:val="center"/>
              <w:rPr>
                <w:rFonts w:cs="Times New Roman"/>
                <w:color w:val="000000"/>
              </w:rPr>
            </w:pPr>
            <w:r w:rsidRPr="00E12EA7">
              <w:rPr>
                <w:rFonts w:eastAsiaTheme="minorEastAsia" w:cs="Times New Roman"/>
              </w:rPr>
              <w:t>L1652</w:t>
            </w:r>
          </w:p>
        </w:tc>
        <w:tc>
          <w:tcPr>
            <w:tcW w:w="9110" w:type="dxa"/>
            <w:tcBorders>
              <w:top w:val="nil"/>
              <w:left w:val="nil"/>
              <w:bottom w:val="single" w:sz="4" w:space="0" w:color="auto"/>
              <w:right w:val="single" w:sz="4" w:space="0" w:color="auto"/>
            </w:tcBorders>
            <w:shd w:val="clear" w:color="auto" w:fill="auto"/>
            <w:vAlign w:val="center"/>
          </w:tcPr>
          <w:p w14:paraId="76E12802" w14:textId="5746453C" w:rsidR="00AF35A5" w:rsidRPr="00E12EA7" w:rsidRDefault="00AF35A5" w:rsidP="00AF35A5">
            <w:pPr>
              <w:autoSpaceDE w:val="0"/>
              <w:autoSpaceDN w:val="0"/>
              <w:adjustRightInd w:val="0"/>
              <w:rPr>
                <w:rFonts w:cs="Times New Roman"/>
                <w:color w:val="000000"/>
              </w:rPr>
            </w:pPr>
            <w:r w:rsidRPr="00E12EA7">
              <w:rPr>
                <w:rFonts w:cs="Times New Roman"/>
                <w:color w:val="000000"/>
              </w:rPr>
              <w:t>Hip orthosis, bilateral thigh cuffs with adjustable abductor spreader bar, adult size, prefabricated, includes fitting and adjustment, prefabricated item that has been trimmed, bent, molded, assembled, or otherwise customized to fit a specific patient by an individual with expertise</w:t>
            </w:r>
          </w:p>
        </w:tc>
      </w:tr>
      <w:tr w:rsidR="00AF35A5" w:rsidRPr="0049798C" w14:paraId="1DA48399" w14:textId="77777777" w:rsidTr="001820A9">
        <w:trPr>
          <w:trHeight w:val="530"/>
          <w:tblHeader/>
        </w:trPr>
        <w:tc>
          <w:tcPr>
            <w:tcW w:w="990" w:type="dxa"/>
            <w:vAlign w:val="center"/>
          </w:tcPr>
          <w:p w14:paraId="065D8EBF" w14:textId="4BB1D626" w:rsidR="00AF35A5" w:rsidRPr="00E12EA7" w:rsidRDefault="00AF35A5" w:rsidP="00AF35A5">
            <w:pPr>
              <w:autoSpaceDE w:val="0"/>
              <w:autoSpaceDN w:val="0"/>
              <w:adjustRightInd w:val="0"/>
              <w:jc w:val="center"/>
              <w:rPr>
                <w:rFonts w:eastAsiaTheme="minorEastAsia" w:cs="Times New Roman"/>
              </w:rPr>
            </w:pPr>
            <w:r w:rsidRPr="00E12EA7">
              <w:rPr>
                <w:rFonts w:cs="Times New Roman"/>
                <w:color w:val="000000"/>
              </w:rPr>
              <w:t>L1820</w:t>
            </w:r>
          </w:p>
        </w:tc>
        <w:tc>
          <w:tcPr>
            <w:tcW w:w="9110" w:type="dxa"/>
            <w:tcBorders>
              <w:top w:val="nil"/>
              <w:left w:val="nil"/>
              <w:bottom w:val="single" w:sz="4" w:space="0" w:color="auto"/>
              <w:right w:val="single" w:sz="4" w:space="0" w:color="auto"/>
            </w:tcBorders>
            <w:shd w:val="clear" w:color="auto" w:fill="auto"/>
            <w:vAlign w:val="center"/>
          </w:tcPr>
          <w:p w14:paraId="4E39E21E" w14:textId="74F4DE1C" w:rsidR="00AF35A5" w:rsidRPr="00E12EA7" w:rsidRDefault="00AF35A5" w:rsidP="00AF35A5">
            <w:pPr>
              <w:autoSpaceDE w:val="0"/>
              <w:autoSpaceDN w:val="0"/>
              <w:adjustRightInd w:val="0"/>
              <w:rPr>
                <w:rFonts w:cs="Times New Roman"/>
              </w:rPr>
            </w:pPr>
            <w:r w:rsidRPr="00E12EA7">
              <w:rPr>
                <w:rFonts w:cs="Times New Roman"/>
                <w:color w:val="000000"/>
              </w:rPr>
              <w:t xml:space="preserve">Knee orthosis, elastic with condylar pads and joints, with or without patellar control, prefabricated item that has been trimmed, bent, molded, assembled, or otherwise customized to fit a specific patient by an individual with expertise </w:t>
            </w:r>
          </w:p>
        </w:tc>
      </w:tr>
    </w:tbl>
    <w:p w14:paraId="51185019" w14:textId="77777777" w:rsidR="00525E78" w:rsidRDefault="00525E78" w:rsidP="00EF2675"/>
    <w:p w14:paraId="3510E15E" w14:textId="77777777" w:rsidR="00525E78" w:rsidRDefault="00525E78" w:rsidP="00EF2675"/>
    <w:p w14:paraId="6E91C898" w14:textId="77777777" w:rsidR="00525E78" w:rsidRDefault="00525E78" w:rsidP="00EF2675"/>
    <w:p w14:paraId="6E0C87D7" w14:textId="77777777" w:rsidR="00525E78" w:rsidRDefault="00525E78" w:rsidP="00EF2675"/>
    <w:p w14:paraId="101DAD9F" w14:textId="77777777" w:rsidR="00525E78" w:rsidRDefault="00525E78" w:rsidP="00EF2675"/>
    <w:p w14:paraId="06C6D1B3" w14:textId="77777777" w:rsidR="00525E78" w:rsidRPr="00EF2675" w:rsidRDefault="00525E78" w:rsidP="00EF2675"/>
    <w:sectPr w:rsidR="00525E78" w:rsidRPr="00EF2675" w:rsidSect="00F843A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E23C" w14:textId="77777777" w:rsidR="006441D0" w:rsidRDefault="006441D0" w:rsidP="00AC798F">
      <w:r>
        <w:separator/>
      </w:r>
    </w:p>
  </w:endnote>
  <w:endnote w:type="continuationSeparator" w:id="0">
    <w:p w14:paraId="54CD6B71" w14:textId="77777777" w:rsidR="006441D0" w:rsidRDefault="006441D0" w:rsidP="00AC798F">
      <w:r>
        <w:continuationSeparator/>
      </w:r>
    </w:p>
  </w:endnote>
  <w:endnote w:type="continuationNotice" w:id="1">
    <w:p w14:paraId="741DDA4E" w14:textId="77777777" w:rsidR="006441D0" w:rsidRDefault="00644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478558"/>
      <w:docPartObj>
        <w:docPartGallery w:val="Page Numbers (Bottom of Page)"/>
        <w:docPartUnique/>
      </w:docPartObj>
    </w:sdtPr>
    <w:sdtEndPr>
      <w:rPr>
        <w:noProof/>
      </w:rPr>
    </w:sdtEndPr>
    <w:sdtContent>
      <w:p w14:paraId="22C70684" w14:textId="2EC4AB50" w:rsidR="00D44DF0" w:rsidRDefault="00D44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55F38A" w14:textId="77777777" w:rsidR="00D44DF0" w:rsidRDefault="00D44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660097"/>
      <w:docPartObj>
        <w:docPartGallery w:val="Page Numbers (Bottom of Page)"/>
        <w:docPartUnique/>
      </w:docPartObj>
    </w:sdtPr>
    <w:sdtEndPr>
      <w:rPr>
        <w:noProof/>
      </w:rPr>
    </w:sdtEndPr>
    <w:sdtContent>
      <w:p w14:paraId="12E2A59B" w14:textId="0F5107AC" w:rsidR="001470A3" w:rsidRDefault="001470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42846" w14:textId="77777777" w:rsidR="00616CB3" w:rsidRDefault="00616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AA63" w14:textId="77777777" w:rsidR="006441D0" w:rsidRDefault="006441D0" w:rsidP="00AC798F">
      <w:r>
        <w:separator/>
      </w:r>
    </w:p>
  </w:footnote>
  <w:footnote w:type="continuationSeparator" w:id="0">
    <w:p w14:paraId="5310441E" w14:textId="77777777" w:rsidR="006441D0" w:rsidRDefault="006441D0" w:rsidP="00AC798F">
      <w:r>
        <w:continuationSeparator/>
      </w:r>
    </w:p>
  </w:footnote>
  <w:footnote w:type="continuationNotice" w:id="1">
    <w:p w14:paraId="7D2E6CEA" w14:textId="77777777" w:rsidR="006441D0" w:rsidRDefault="00644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2D65" w14:textId="77777777" w:rsidR="00572791" w:rsidRPr="00AC798F" w:rsidRDefault="00572791" w:rsidP="00572791">
    <w:pPr>
      <w:jc w:val="right"/>
    </w:pPr>
    <w:r w:rsidRPr="00AC798F">
      <w:t>EOHHS</w:t>
    </w:r>
  </w:p>
  <w:p w14:paraId="28C03EC1" w14:textId="79C67919" w:rsidR="00572791" w:rsidRPr="00AC798F" w:rsidRDefault="00572791" w:rsidP="00572791">
    <w:pPr>
      <w:jc w:val="right"/>
    </w:pPr>
    <w:r w:rsidRPr="00AC798F">
      <w:t xml:space="preserve">Administrative Bulletin </w:t>
    </w:r>
    <w:r>
      <w:t>2</w:t>
    </w:r>
    <w:r w:rsidR="00EF2675">
      <w:t>5</w:t>
    </w:r>
    <w:r w:rsidRPr="00DD6D6F">
      <w:t>-</w:t>
    </w:r>
    <w:r w:rsidR="009A65F0">
      <w:t>05</w:t>
    </w:r>
  </w:p>
  <w:p w14:paraId="695405E5" w14:textId="2AFF8A61" w:rsidR="00616CB3" w:rsidRDefault="00572791" w:rsidP="00572791">
    <w:pPr>
      <w:jc w:val="right"/>
    </w:pPr>
    <w:r w:rsidRPr="00AC798F">
      <w:t xml:space="preserve">Effective </w:t>
    </w:r>
    <w:r w:rsidR="00164E26">
      <w:t>October 1, 2024</w:t>
    </w:r>
  </w:p>
  <w:p w14:paraId="68A02754" w14:textId="77777777" w:rsidR="00572791" w:rsidRPr="001470A3" w:rsidRDefault="00572791" w:rsidP="00572791">
    <w:pPr>
      <w:jc w:val="right"/>
      <w:rPr>
        <w:color w:val="1F497D" w:themeColor="tex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AD1F" w14:textId="77777777" w:rsidR="001470A3" w:rsidRPr="006E5DED" w:rsidRDefault="001470A3" w:rsidP="001470A3">
    <w:pPr>
      <w:pStyle w:val="Header"/>
      <w:rPr>
        <w:noProof/>
      </w:rPr>
    </w:pPr>
    <w:r>
      <w:rPr>
        <w:noProof/>
        <w:color w:val="1F497D" w:themeColor="text2"/>
      </w:rPr>
      <w:drawing>
        <wp:anchor distT="0" distB="0" distL="114300" distR="114300" simplePos="0" relativeHeight="251658241" behindDoc="0" locked="0" layoutInCell="1" allowOverlap="1" wp14:anchorId="0FF4ACB6" wp14:editId="38926E1A">
          <wp:simplePos x="0" y="0"/>
          <wp:positionH relativeFrom="column">
            <wp:posOffset>4798695</wp:posOffset>
          </wp:positionH>
          <wp:positionV relativeFrom="paragraph">
            <wp:posOffset>123825</wp:posOffset>
          </wp:positionV>
          <wp:extent cx="1174115" cy="621665"/>
          <wp:effectExtent l="0" t="0" r="6985" b="6985"/>
          <wp:wrapNone/>
          <wp:docPr id="1900183622" name="Picture 19001836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Pr="006E5DED">
      <w:rPr>
        <w:noProof/>
      </w:rPr>
      <mc:AlternateContent>
        <mc:Choice Requires="wps">
          <w:drawing>
            <wp:anchor distT="0" distB="0" distL="114300" distR="114300" simplePos="0" relativeHeight="251658240" behindDoc="0" locked="0" layoutInCell="1" allowOverlap="1" wp14:anchorId="6496A6D2" wp14:editId="028ABC28">
              <wp:simplePos x="0" y="0"/>
              <wp:positionH relativeFrom="column">
                <wp:posOffset>1228090</wp:posOffset>
              </wp:positionH>
              <wp:positionV relativeFrom="paragraph">
                <wp:posOffset>95250</wp:posOffset>
              </wp:positionV>
              <wp:extent cx="3589020" cy="1403985"/>
              <wp:effectExtent l="0" t="0" r="0" b="1270"/>
              <wp:wrapNone/>
              <wp:docPr id="305038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28445015" w14:textId="77777777" w:rsidR="001470A3" w:rsidRPr="00AC798F" w:rsidRDefault="001470A3" w:rsidP="001470A3">
                          <w:pPr>
                            <w:pStyle w:val="Header"/>
                            <w:jc w:val="center"/>
                            <w:rPr>
                              <w:color w:val="4F81BD" w:themeColor="accent1"/>
                              <w:sz w:val="20"/>
                            </w:rPr>
                          </w:pPr>
                          <w:r w:rsidRPr="00AC798F">
                            <w:rPr>
                              <w:color w:val="4F81BD" w:themeColor="accent1"/>
                            </w:rPr>
                            <w:t>EXECUTIVE OFFICE OF HEALTH AND HUMAN SERVICES</w:t>
                          </w:r>
                        </w:p>
                        <w:p w14:paraId="5FC1026E" w14:textId="77777777" w:rsidR="001470A3" w:rsidRPr="00AC798F" w:rsidRDefault="001470A3" w:rsidP="001470A3">
                          <w:pPr>
                            <w:pStyle w:val="Header"/>
                            <w:jc w:val="center"/>
                            <w:rPr>
                              <w:b/>
                              <w:bCs/>
                              <w:color w:val="4F81BD" w:themeColor="accent1"/>
                            </w:rPr>
                          </w:pPr>
                          <w:r w:rsidRPr="00AC798F">
                            <w:rPr>
                              <w:b/>
                              <w:bCs/>
                              <w:color w:val="4F81BD" w:themeColor="accent1"/>
                            </w:rPr>
                            <w:t>COMMONWEALTH OF MASSACHUSETTS</w:t>
                          </w:r>
                        </w:p>
                        <w:p w14:paraId="0A8716C6" w14:textId="77777777" w:rsidR="001470A3" w:rsidRDefault="001470A3" w:rsidP="001470A3">
                          <w:pPr>
                            <w:pStyle w:val="Header"/>
                            <w:jc w:val="center"/>
                            <w:rPr>
                              <w:color w:val="4F81BD" w:themeColor="accent1"/>
                            </w:rPr>
                          </w:pPr>
                          <w:r w:rsidRPr="00AC798F">
                            <w:rPr>
                              <w:color w:val="4F81BD" w:themeColor="accent1"/>
                            </w:rPr>
                            <w:t>ONE ASHBURTON PLACE, BOSTON, MA 02108</w:t>
                          </w:r>
                        </w:p>
                        <w:p w14:paraId="7B81511D" w14:textId="77777777" w:rsidR="001470A3" w:rsidRPr="00AC798F" w:rsidRDefault="001470A3" w:rsidP="001470A3">
                          <w:pPr>
                            <w:pStyle w:val="Header"/>
                            <w:jc w:val="center"/>
                            <w:rPr>
                              <w:color w:val="4F81BD" w:themeColor="accent1"/>
                            </w:rPr>
                          </w:pPr>
                          <w:r>
                            <w:rPr>
                              <w:color w:val="4F81BD" w:themeColor="accent1"/>
                            </w:rPr>
                            <w:t>(617) 573-1600</w:t>
                          </w:r>
                        </w:p>
                        <w:p w14:paraId="2B11C5AA" w14:textId="77777777" w:rsidR="001470A3" w:rsidRDefault="001470A3" w:rsidP="001470A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96A6D2"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28445015" w14:textId="77777777" w:rsidR="001470A3" w:rsidRPr="00AC798F" w:rsidRDefault="001470A3" w:rsidP="001470A3">
                    <w:pPr>
                      <w:pStyle w:val="Header"/>
                      <w:jc w:val="center"/>
                      <w:rPr>
                        <w:color w:val="4F81BD" w:themeColor="accent1"/>
                        <w:sz w:val="20"/>
                      </w:rPr>
                    </w:pPr>
                    <w:r w:rsidRPr="00AC798F">
                      <w:rPr>
                        <w:color w:val="4F81BD" w:themeColor="accent1"/>
                      </w:rPr>
                      <w:t>EXECUTIVE OFFICE OF HEALTH AND HUMAN SERVICES</w:t>
                    </w:r>
                  </w:p>
                  <w:p w14:paraId="5FC1026E" w14:textId="77777777" w:rsidR="001470A3" w:rsidRPr="00AC798F" w:rsidRDefault="001470A3" w:rsidP="001470A3">
                    <w:pPr>
                      <w:pStyle w:val="Header"/>
                      <w:jc w:val="center"/>
                      <w:rPr>
                        <w:b/>
                        <w:bCs/>
                        <w:color w:val="4F81BD" w:themeColor="accent1"/>
                      </w:rPr>
                    </w:pPr>
                    <w:r w:rsidRPr="00AC798F">
                      <w:rPr>
                        <w:b/>
                        <w:bCs/>
                        <w:color w:val="4F81BD" w:themeColor="accent1"/>
                      </w:rPr>
                      <w:t>COMMONWEALTH OF MASSACHUSETTS</w:t>
                    </w:r>
                  </w:p>
                  <w:p w14:paraId="0A8716C6" w14:textId="77777777" w:rsidR="001470A3" w:rsidRDefault="001470A3" w:rsidP="001470A3">
                    <w:pPr>
                      <w:pStyle w:val="Header"/>
                      <w:jc w:val="center"/>
                      <w:rPr>
                        <w:color w:val="4F81BD" w:themeColor="accent1"/>
                      </w:rPr>
                    </w:pPr>
                    <w:r w:rsidRPr="00AC798F">
                      <w:rPr>
                        <w:color w:val="4F81BD" w:themeColor="accent1"/>
                      </w:rPr>
                      <w:t>ONE ASHBURTON PLACE, BOSTON, MA 02108</w:t>
                    </w:r>
                  </w:p>
                  <w:p w14:paraId="7B81511D" w14:textId="77777777" w:rsidR="001470A3" w:rsidRPr="00AC798F" w:rsidRDefault="001470A3" w:rsidP="001470A3">
                    <w:pPr>
                      <w:pStyle w:val="Header"/>
                      <w:jc w:val="center"/>
                      <w:rPr>
                        <w:color w:val="4F81BD" w:themeColor="accent1"/>
                      </w:rPr>
                    </w:pPr>
                    <w:r>
                      <w:rPr>
                        <w:color w:val="4F81BD" w:themeColor="accent1"/>
                      </w:rPr>
                      <w:t>(617) 573-1600</w:t>
                    </w:r>
                  </w:p>
                  <w:p w14:paraId="2B11C5AA" w14:textId="77777777" w:rsidR="001470A3" w:rsidRDefault="001470A3" w:rsidP="001470A3"/>
                </w:txbxContent>
              </v:textbox>
            </v:shape>
          </w:pict>
        </mc:Fallback>
      </mc:AlternateContent>
    </w:r>
    <w:r>
      <w:rPr>
        <w:noProof/>
      </w:rPr>
      <w:drawing>
        <wp:inline distT="0" distB="0" distL="0" distR="0" wp14:anchorId="1F60F34B" wp14:editId="656256E4">
          <wp:extent cx="1164590" cy="1377950"/>
          <wp:effectExtent l="0" t="0" r="0" b="0"/>
          <wp:docPr id="1298596055" name="Picture 1298596055" descr="A black and white logo of a person holding a sp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96055" name="Picture 1298596055" descr="A black and white logo of a person holding a spear&#10;&#10;Description automatically generated"/>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400943DF" w14:textId="77777777" w:rsidR="001470A3" w:rsidRDefault="001470A3" w:rsidP="001470A3">
    <w:pPr>
      <w:pStyle w:val="Header"/>
    </w:pPr>
    <w:r>
      <w:ptab w:relativeTo="margin" w:alignment="right" w:leader="none"/>
    </w:r>
  </w:p>
  <w:p w14:paraId="3E7D9209" w14:textId="77777777" w:rsidR="001470A3" w:rsidRPr="00AC798F" w:rsidRDefault="001470A3" w:rsidP="001470A3">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72583CCE" w14:textId="77777777" w:rsidR="001470A3" w:rsidRPr="00AC798F" w:rsidRDefault="001470A3" w:rsidP="001470A3">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3E21AD5D" w14:textId="77777777" w:rsidR="001470A3" w:rsidRPr="00AC798F" w:rsidRDefault="001470A3" w:rsidP="001470A3">
    <w:pPr>
      <w:pStyle w:val="Header"/>
      <w:rPr>
        <w:color w:val="1F497D" w:themeColor="text2"/>
      </w:rPr>
    </w:pPr>
  </w:p>
  <w:p w14:paraId="2D048C72" w14:textId="77777777" w:rsidR="001470A3" w:rsidRPr="00AC798F" w:rsidRDefault="001470A3" w:rsidP="001470A3">
    <w:pPr>
      <w:pStyle w:val="Header"/>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228CCC14" w14:textId="77777777" w:rsidR="001470A3" w:rsidRPr="00AC798F" w:rsidRDefault="001470A3" w:rsidP="001470A3">
    <w:pPr>
      <w:pStyle w:val="Header"/>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532E26F6" w14:textId="23061A0A" w:rsidR="00AC798F" w:rsidRPr="001470A3" w:rsidRDefault="001470A3" w:rsidP="00AC798F">
    <w:pPr>
      <w:pStyle w:val="Header"/>
      <w:rPr>
        <w:color w:val="1F497D" w:themeColor="text2"/>
      </w:rPr>
    </w:pPr>
    <w:r w:rsidRPr="00AC798F">
      <w:rPr>
        <w:color w:val="1F497D" w:themeColor="text2"/>
      </w:rPr>
      <w:tab/>
    </w:r>
    <w:r w:rsidRPr="00AC798F">
      <w:rPr>
        <w:color w:val="1F497D" w:themeColor="text2"/>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0ACE"/>
    <w:rsid w:val="00007C23"/>
    <w:rsid w:val="00015233"/>
    <w:rsid w:val="00024809"/>
    <w:rsid w:val="000319E7"/>
    <w:rsid w:val="00041CF3"/>
    <w:rsid w:val="000546A1"/>
    <w:rsid w:val="0005502C"/>
    <w:rsid w:val="000722C4"/>
    <w:rsid w:val="000A49CE"/>
    <w:rsid w:val="000B3478"/>
    <w:rsid w:val="000D3CCD"/>
    <w:rsid w:val="000E4F3A"/>
    <w:rsid w:val="00102CD0"/>
    <w:rsid w:val="00113B5B"/>
    <w:rsid w:val="0011643F"/>
    <w:rsid w:val="00120158"/>
    <w:rsid w:val="00131EA4"/>
    <w:rsid w:val="00134791"/>
    <w:rsid w:val="00146C2F"/>
    <w:rsid w:val="001470A3"/>
    <w:rsid w:val="00151EF5"/>
    <w:rsid w:val="00151FFE"/>
    <w:rsid w:val="00153DCE"/>
    <w:rsid w:val="00154CA9"/>
    <w:rsid w:val="00164E26"/>
    <w:rsid w:val="00172896"/>
    <w:rsid w:val="00176811"/>
    <w:rsid w:val="00177D7B"/>
    <w:rsid w:val="001820A9"/>
    <w:rsid w:val="00183F54"/>
    <w:rsid w:val="00193348"/>
    <w:rsid w:val="001A7742"/>
    <w:rsid w:val="001B30A3"/>
    <w:rsid w:val="001B7097"/>
    <w:rsid w:val="001D4E55"/>
    <w:rsid w:val="001D628B"/>
    <w:rsid w:val="00202ED3"/>
    <w:rsid w:val="002115C9"/>
    <w:rsid w:val="002121CC"/>
    <w:rsid w:val="00213272"/>
    <w:rsid w:val="0022152B"/>
    <w:rsid w:val="00223918"/>
    <w:rsid w:val="002448DD"/>
    <w:rsid w:val="0025050E"/>
    <w:rsid w:val="00266B97"/>
    <w:rsid w:val="00271D28"/>
    <w:rsid w:val="00275176"/>
    <w:rsid w:val="002818A2"/>
    <w:rsid w:val="00284238"/>
    <w:rsid w:val="002A779E"/>
    <w:rsid w:val="002E3CD6"/>
    <w:rsid w:val="002F3CD5"/>
    <w:rsid w:val="00303E55"/>
    <w:rsid w:val="003113E4"/>
    <w:rsid w:val="00322E12"/>
    <w:rsid w:val="0033130A"/>
    <w:rsid w:val="003364EE"/>
    <w:rsid w:val="00351564"/>
    <w:rsid w:val="00362F1E"/>
    <w:rsid w:val="0037514C"/>
    <w:rsid w:val="0037564B"/>
    <w:rsid w:val="003A3882"/>
    <w:rsid w:val="003A4603"/>
    <w:rsid w:val="003C2557"/>
    <w:rsid w:val="003C7D41"/>
    <w:rsid w:val="003E1BDB"/>
    <w:rsid w:val="003F6AAE"/>
    <w:rsid w:val="003F7A86"/>
    <w:rsid w:val="00401825"/>
    <w:rsid w:val="0040314F"/>
    <w:rsid w:val="00405F98"/>
    <w:rsid w:val="00412B1A"/>
    <w:rsid w:val="0041466F"/>
    <w:rsid w:val="00433BD4"/>
    <w:rsid w:val="00443CDB"/>
    <w:rsid w:val="00465E5A"/>
    <w:rsid w:val="004777B8"/>
    <w:rsid w:val="0049798C"/>
    <w:rsid w:val="004D48D7"/>
    <w:rsid w:val="004D794F"/>
    <w:rsid w:val="004F614D"/>
    <w:rsid w:val="005246D9"/>
    <w:rsid w:val="00525E78"/>
    <w:rsid w:val="00531A84"/>
    <w:rsid w:val="00533A3B"/>
    <w:rsid w:val="00534E06"/>
    <w:rsid w:val="0053555D"/>
    <w:rsid w:val="005600CF"/>
    <w:rsid w:val="00562B6D"/>
    <w:rsid w:val="0056474D"/>
    <w:rsid w:val="005702E6"/>
    <w:rsid w:val="0057224E"/>
    <w:rsid w:val="00572791"/>
    <w:rsid w:val="005733E5"/>
    <w:rsid w:val="00585302"/>
    <w:rsid w:val="00597C39"/>
    <w:rsid w:val="005A5A6A"/>
    <w:rsid w:val="005B5D35"/>
    <w:rsid w:val="005C5DFA"/>
    <w:rsid w:val="005C7362"/>
    <w:rsid w:val="005D6AEA"/>
    <w:rsid w:val="005E25B6"/>
    <w:rsid w:val="005F20AC"/>
    <w:rsid w:val="005F66F1"/>
    <w:rsid w:val="00607406"/>
    <w:rsid w:val="00616CB3"/>
    <w:rsid w:val="00632D38"/>
    <w:rsid w:val="00636C0B"/>
    <w:rsid w:val="0064272D"/>
    <w:rsid w:val="006441D0"/>
    <w:rsid w:val="00656FFF"/>
    <w:rsid w:val="0066370A"/>
    <w:rsid w:val="006718AB"/>
    <w:rsid w:val="00682648"/>
    <w:rsid w:val="00685BCD"/>
    <w:rsid w:val="006B1D87"/>
    <w:rsid w:val="006B2D32"/>
    <w:rsid w:val="006B33C9"/>
    <w:rsid w:val="006B555C"/>
    <w:rsid w:val="006B6EE0"/>
    <w:rsid w:val="006C53B3"/>
    <w:rsid w:val="006E5DED"/>
    <w:rsid w:val="006F6D58"/>
    <w:rsid w:val="0070235D"/>
    <w:rsid w:val="00720C4F"/>
    <w:rsid w:val="00734039"/>
    <w:rsid w:val="007345F1"/>
    <w:rsid w:val="0077181C"/>
    <w:rsid w:val="007720D1"/>
    <w:rsid w:val="00782360"/>
    <w:rsid w:val="00786315"/>
    <w:rsid w:val="00796A70"/>
    <w:rsid w:val="007A72C3"/>
    <w:rsid w:val="007B1832"/>
    <w:rsid w:val="007B237A"/>
    <w:rsid w:val="007B48C3"/>
    <w:rsid w:val="007E2F53"/>
    <w:rsid w:val="007F04B8"/>
    <w:rsid w:val="007F6FCD"/>
    <w:rsid w:val="00800711"/>
    <w:rsid w:val="0081602A"/>
    <w:rsid w:val="00851BCF"/>
    <w:rsid w:val="00873574"/>
    <w:rsid w:val="008A50C9"/>
    <w:rsid w:val="008B4AA7"/>
    <w:rsid w:val="008C7C36"/>
    <w:rsid w:val="008C7C8A"/>
    <w:rsid w:val="008D4889"/>
    <w:rsid w:val="008D68E8"/>
    <w:rsid w:val="008F7F6C"/>
    <w:rsid w:val="00920360"/>
    <w:rsid w:val="0094087B"/>
    <w:rsid w:val="00964EDE"/>
    <w:rsid w:val="00975D14"/>
    <w:rsid w:val="00981D4E"/>
    <w:rsid w:val="00984786"/>
    <w:rsid w:val="00996E2B"/>
    <w:rsid w:val="009A4A69"/>
    <w:rsid w:val="009A65F0"/>
    <w:rsid w:val="009B2D8F"/>
    <w:rsid w:val="009C5B2A"/>
    <w:rsid w:val="009C649B"/>
    <w:rsid w:val="00A00A6C"/>
    <w:rsid w:val="00A021AA"/>
    <w:rsid w:val="00A06F80"/>
    <w:rsid w:val="00A34C8D"/>
    <w:rsid w:val="00A4300E"/>
    <w:rsid w:val="00A609CE"/>
    <w:rsid w:val="00AB33D8"/>
    <w:rsid w:val="00AC798F"/>
    <w:rsid w:val="00AE2C8B"/>
    <w:rsid w:val="00AF35A5"/>
    <w:rsid w:val="00B0005F"/>
    <w:rsid w:val="00B05E0C"/>
    <w:rsid w:val="00B4369F"/>
    <w:rsid w:val="00B623EB"/>
    <w:rsid w:val="00B656BC"/>
    <w:rsid w:val="00B73E8B"/>
    <w:rsid w:val="00B83E40"/>
    <w:rsid w:val="00B85B72"/>
    <w:rsid w:val="00B92252"/>
    <w:rsid w:val="00BA6D03"/>
    <w:rsid w:val="00BC0E9C"/>
    <w:rsid w:val="00BC46B3"/>
    <w:rsid w:val="00BD597C"/>
    <w:rsid w:val="00BE1FB2"/>
    <w:rsid w:val="00C1076E"/>
    <w:rsid w:val="00C1171B"/>
    <w:rsid w:val="00C16AE0"/>
    <w:rsid w:val="00C337B9"/>
    <w:rsid w:val="00C400D6"/>
    <w:rsid w:val="00C401A0"/>
    <w:rsid w:val="00C4194A"/>
    <w:rsid w:val="00C87BF7"/>
    <w:rsid w:val="00CA0EC0"/>
    <w:rsid w:val="00CA4894"/>
    <w:rsid w:val="00CC3B68"/>
    <w:rsid w:val="00CD4E65"/>
    <w:rsid w:val="00CE372B"/>
    <w:rsid w:val="00CE590B"/>
    <w:rsid w:val="00CF369E"/>
    <w:rsid w:val="00CF544A"/>
    <w:rsid w:val="00D01508"/>
    <w:rsid w:val="00D020C6"/>
    <w:rsid w:val="00D160CC"/>
    <w:rsid w:val="00D27F17"/>
    <w:rsid w:val="00D34669"/>
    <w:rsid w:val="00D37B33"/>
    <w:rsid w:val="00D44DF0"/>
    <w:rsid w:val="00D5182F"/>
    <w:rsid w:val="00D63172"/>
    <w:rsid w:val="00D74838"/>
    <w:rsid w:val="00D749B1"/>
    <w:rsid w:val="00D761F6"/>
    <w:rsid w:val="00DB13DB"/>
    <w:rsid w:val="00DB1F1C"/>
    <w:rsid w:val="00DB28FF"/>
    <w:rsid w:val="00DB59E9"/>
    <w:rsid w:val="00DC5A35"/>
    <w:rsid w:val="00DC640F"/>
    <w:rsid w:val="00DD6D6F"/>
    <w:rsid w:val="00DF17CC"/>
    <w:rsid w:val="00E10A6E"/>
    <w:rsid w:val="00E12EA7"/>
    <w:rsid w:val="00E27559"/>
    <w:rsid w:val="00E320F9"/>
    <w:rsid w:val="00E335C6"/>
    <w:rsid w:val="00E4729F"/>
    <w:rsid w:val="00E56695"/>
    <w:rsid w:val="00E56BD5"/>
    <w:rsid w:val="00E60C44"/>
    <w:rsid w:val="00E620A3"/>
    <w:rsid w:val="00E74BC2"/>
    <w:rsid w:val="00E80B6F"/>
    <w:rsid w:val="00E92AC9"/>
    <w:rsid w:val="00E92DC8"/>
    <w:rsid w:val="00E960CB"/>
    <w:rsid w:val="00EA1941"/>
    <w:rsid w:val="00ED31F2"/>
    <w:rsid w:val="00ED53A2"/>
    <w:rsid w:val="00EE0CEA"/>
    <w:rsid w:val="00EE4CAE"/>
    <w:rsid w:val="00EF2675"/>
    <w:rsid w:val="00F03F34"/>
    <w:rsid w:val="00F1266B"/>
    <w:rsid w:val="00F12C5F"/>
    <w:rsid w:val="00F31850"/>
    <w:rsid w:val="00F432EC"/>
    <w:rsid w:val="00F44C98"/>
    <w:rsid w:val="00F514A6"/>
    <w:rsid w:val="00F65E52"/>
    <w:rsid w:val="00F7006D"/>
    <w:rsid w:val="00F73E65"/>
    <w:rsid w:val="00F843AE"/>
    <w:rsid w:val="00F8728D"/>
    <w:rsid w:val="00FB216E"/>
    <w:rsid w:val="00FC5124"/>
    <w:rsid w:val="00FD334E"/>
    <w:rsid w:val="00FE4AA0"/>
    <w:rsid w:val="03FDE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F17"/>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22152B"/>
    <w:pPr>
      <w:keepNext/>
      <w:keepLines/>
      <w:spacing w:before="12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56FFF"/>
    <w:pPr>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22152B"/>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656FFF"/>
    <w:rPr>
      <w:rFonts w:ascii="Georgia" w:hAnsi="Georgia"/>
      <w:b/>
      <w:bCs/>
      <w:sz w:val="24"/>
      <w:szCs w:val="24"/>
    </w:rPr>
  </w:style>
  <w:style w:type="table" w:styleId="TableGrid">
    <w:name w:val="Table Grid"/>
    <w:basedOn w:val="TableNormal"/>
    <w:uiPriority w:val="59"/>
    <w:rsid w:val="00B85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4A69"/>
    <w:rPr>
      <w:sz w:val="16"/>
      <w:szCs w:val="16"/>
    </w:rPr>
  </w:style>
  <w:style w:type="paragraph" w:styleId="CommentText">
    <w:name w:val="annotation text"/>
    <w:basedOn w:val="Normal"/>
    <w:link w:val="CommentTextChar"/>
    <w:uiPriority w:val="99"/>
    <w:unhideWhenUsed/>
    <w:rsid w:val="009A4A69"/>
    <w:rPr>
      <w:sz w:val="20"/>
      <w:szCs w:val="20"/>
    </w:rPr>
  </w:style>
  <w:style w:type="character" w:customStyle="1" w:styleId="CommentTextChar">
    <w:name w:val="Comment Text Char"/>
    <w:basedOn w:val="DefaultParagraphFont"/>
    <w:link w:val="CommentText"/>
    <w:uiPriority w:val="99"/>
    <w:rsid w:val="009A4A69"/>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9A4A69"/>
    <w:rPr>
      <w:b/>
      <w:bCs/>
    </w:rPr>
  </w:style>
  <w:style w:type="character" w:customStyle="1" w:styleId="CommentSubjectChar">
    <w:name w:val="Comment Subject Char"/>
    <w:basedOn w:val="CommentTextChar"/>
    <w:link w:val="CommentSubject"/>
    <w:uiPriority w:val="99"/>
    <w:semiHidden/>
    <w:rsid w:val="009A4A69"/>
    <w:rPr>
      <w:rFonts w:ascii="Georgia" w:hAnsi="Georgia"/>
      <w:b/>
      <w:bCs/>
      <w:sz w:val="20"/>
      <w:szCs w:val="20"/>
    </w:rPr>
  </w:style>
  <w:style w:type="paragraph" w:styleId="Revision">
    <w:name w:val="Revision"/>
    <w:hidden/>
    <w:uiPriority w:val="99"/>
    <w:semiHidden/>
    <w:rsid w:val="00DB1F1C"/>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878">
      <w:bodyDiv w:val="1"/>
      <w:marLeft w:val="0"/>
      <w:marRight w:val="0"/>
      <w:marTop w:val="0"/>
      <w:marBottom w:val="0"/>
      <w:divBdr>
        <w:top w:val="none" w:sz="0" w:space="0" w:color="auto"/>
        <w:left w:val="none" w:sz="0" w:space="0" w:color="auto"/>
        <w:bottom w:val="none" w:sz="0" w:space="0" w:color="auto"/>
        <w:right w:val="none" w:sz="0" w:space="0" w:color="auto"/>
      </w:divBdr>
    </w:div>
    <w:div w:id="97920415">
      <w:bodyDiv w:val="1"/>
      <w:marLeft w:val="0"/>
      <w:marRight w:val="0"/>
      <w:marTop w:val="0"/>
      <w:marBottom w:val="0"/>
      <w:divBdr>
        <w:top w:val="none" w:sz="0" w:space="0" w:color="auto"/>
        <w:left w:val="none" w:sz="0" w:space="0" w:color="auto"/>
        <w:bottom w:val="none" w:sz="0" w:space="0" w:color="auto"/>
        <w:right w:val="none" w:sz="0" w:space="0" w:color="auto"/>
      </w:divBdr>
    </w:div>
    <w:div w:id="226494935">
      <w:bodyDiv w:val="1"/>
      <w:marLeft w:val="0"/>
      <w:marRight w:val="0"/>
      <w:marTop w:val="0"/>
      <w:marBottom w:val="0"/>
      <w:divBdr>
        <w:top w:val="none" w:sz="0" w:space="0" w:color="auto"/>
        <w:left w:val="none" w:sz="0" w:space="0" w:color="auto"/>
        <w:bottom w:val="none" w:sz="0" w:space="0" w:color="auto"/>
        <w:right w:val="none" w:sz="0" w:space="0" w:color="auto"/>
      </w:divBdr>
    </w:div>
    <w:div w:id="618495328">
      <w:bodyDiv w:val="1"/>
      <w:marLeft w:val="0"/>
      <w:marRight w:val="0"/>
      <w:marTop w:val="0"/>
      <w:marBottom w:val="0"/>
      <w:divBdr>
        <w:top w:val="none" w:sz="0" w:space="0" w:color="auto"/>
        <w:left w:val="none" w:sz="0" w:space="0" w:color="auto"/>
        <w:bottom w:val="none" w:sz="0" w:space="0" w:color="auto"/>
        <w:right w:val="none" w:sz="0" w:space="0" w:color="auto"/>
      </w:divBdr>
    </w:div>
    <w:div w:id="1197741470">
      <w:bodyDiv w:val="1"/>
      <w:marLeft w:val="0"/>
      <w:marRight w:val="0"/>
      <w:marTop w:val="0"/>
      <w:marBottom w:val="0"/>
      <w:divBdr>
        <w:top w:val="none" w:sz="0" w:space="0" w:color="auto"/>
        <w:left w:val="none" w:sz="0" w:space="0" w:color="auto"/>
        <w:bottom w:val="none" w:sz="0" w:space="0" w:color="auto"/>
        <w:right w:val="none" w:sz="0" w:space="0" w:color="auto"/>
      </w:divBdr>
    </w:div>
    <w:div w:id="1938563677">
      <w:bodyDiv w:val="1"/>
      <w:marLeft w:val="0"/>
      <w:marRight w:val="0"/>
      <w:marTop w:val="0"/>
      <w:marBottom w:val="0"/>
      <w:divBdr>
        <w:top w:val="none" w:sz="0" w:space="0" w:color="auto"/>
        <w:left w:val="none" w:sz="0" w:space="0" w:color="auto"/>
        <w:bottom w:val="none" w:sz="0" w:space="0" w:color="auto"/>
        <w:right w:val="none" w:sz="0" w:space="0" w:color="auto"/>
      </w:divBdr>
    </w:div>
    <w:div w:id="210090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Cassandra Martin</DisplayName>
        <AccountId>59</AccountId>
        <AccountType/>
      </UserInfo>
      <UserInfo>
        <DisplayName>Hyewon Lee</DisplayName>
        <AccountId>8</AccountId>
        <AccountType/>
      </UserInfo>
      <UserInfo>
        <DisplayName>Steven Freedman</DisplayName>
        <AccountId>6</AccountId>
        <AccountType/>
      </UserInfo>
    </SharedWithUsers>
    <Date xmlns="0772689b-326b-46a5-b84c-c726c57fbc8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84FB8CBB-DE8F-42D5-B982-4CFD677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Eisan, Jenna (EHS)</cp:lastModifiedBy>
  <cp:revision>12</cp:revision>
  <cp:lastPrinted>2023-03-01T20:48:00Z</cp:lastPrinted>
  <dcterms:created xsi:type="dcterms:W3CDTF">2025-02-07T18:46:00Z</dcterms:created>
  <dcterms:modified xsi:type="dcterms:W3CDTF">2025-03-28T14:34:00Z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Order">
    <vt:r8>9600</vt:r8>
  </property>
  <property fmtid="{D5CDD505-2E9C-101B-9397-08002B2CF9AE}" pid="4" name="MediaServiceImageTags">
    <vt:lpwstr/>
  </property>
</Properties>
</file>