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7CBF465B" w:rsidR="00533A3B" w:rsidRDefault="00533A3B" w:rsidP="00A72FAD">
      <w:pPr>
        <w:pStyle w:val="Heading1"/>
        <w:spacing w:before="120" w:after="0"/>
      </w:pPr>
      <w:r w:rsidRPr="00A11317">
        <w:t xml:space="preserve">Administrative Bulletin </w:t>
      </w:r>
      <w:r w:rsidR="0054222D" w:rsidRPr="00A11317">
        <w:t>2</w:t>
      </w:r>
      <w:r w:rsidR="00FD76CE">
        <w:t>5-</w:t>
      </w:r>
      <w:r w:rsidR="00443D44">
        <w:t>06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54056265" w:rsidR="00533A3B" w:rsidRDefault="00533A3B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254BBD">
        <w:rPr>
          <w:b/>
          <w:bCs/>
          <w:sz w:val="24"/>
          <w:szCs w:val="24"/>
        </w:rPr>
        <w:t>320</w:t>
      </w:r>
      <w:r w:rsidR="008D1B58">
        <w:rPr>
          <w:b/>
          <w:bCs/>
          <w:sz w:val="24"/>
          <w:szCs w:val="24"/>
        </w:rPr>
        <w:t>.00</w:t>
      </w:r>
      <w:r w:rsidR="00254BBD">
        <w:rPr>
          <w:b/>
          <w:bCs/>
          <w:sz w:val="24"/>
          <w:szCs w:val="24"/>
        </w:rPr>
        <w:t>: Rates for Clinical Laboratory Services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6D9C9AB9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>Effective</w:t>
      </w:r>
      <w:r w:rsidR="00254BBD">
        <w:rPr>
          <w:sz w:val="24"/>
          <w:szCs w:val="24"/>
        </w:rPr>
        <w:t xml:space="preserve"> January 1, 202</w:t>
      </w:r>
      <w:r w:rsidR="00FD76CE">
        <w:rPr>
          <w:sz w:val="24"/>
          <w:szCs w:val="24"/>
        </w:rPr>
        <w:t>5</w:t>
      </w:r>
    </w:p>
    <w:p w14:paraId="02B0D633" w14:textId="77777777" w:rsidR="00A72FAD" w:rsidRPr="00A72FAD" w:rsidRDefault="00A72FAD" w:rsidP="00A72FAD">
      <w:pPr>
        <w:spacing w:after="0"/>
      </w:pPr>
    </w:p>
    <w:p w14:paraId="7673694D" w14:textId="6789F3D9" w:rsidR="00F44E10" w:rsidRPr="00F44E10" w:rsidRDefault="00BE6F69" w:rsidP="00100E5C">
      <w:pPr>
        <w:pStyle w:val="SubjectLine"/>
        <w:spacing w:before="0" w:after="0" w:line="240" w:lineRule="auto"/>
      </w:pPr>
      <w:r>
        <w:t>202</w:t>
      </w:r>
      <w:r w:rsidR="00FD76CE">
        <w:t>5</w:t>
      </w:r>
      <w:r>
        <w:t xml:space="preserve"> </w:t>
      </w:r>
      <w:r w:rsidR="00254BBD">
        <w:t>CPT Cod</w:t>
      </w:r>
      <w:r w:rsidR="000F385D">
        <w:t>ing</w:t>
      </w:r>
      <w:r w:rsidR="00254BBD">
        <w:t xml:space="preserve"> Updates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963A2" w14:textId="2BE8A9D6" w:rsidR="00852E4B" w:rsidRPr="00F53E96" w:rsidRDefault="003575DF" w:rsidP="00DA095C">
      <w:pPr>
        <w:pStyle w:val="Heading2"/>
        <w:rPr>
          <w:sz w:val="24"/>
          <w:szCs w:val="24"/>
        </w:rPr>
      </w:pPr>
      <w:r w:rsidRPr="00F53E96">
        <w:rPr>
          <w:sz w:val="24"/>
          <w:szCs w:val="24"/>
        </w:rPr>
        <w:t>Summary</w:t>
      </w:r>
    </w:p>
    <w:p w14:paraId="6F3A2735" w14:textId="443C6125" w:rsidR="004B0AA6" w:rsidRDefault="00AE1A07" w:rsidP="00F53E96">
      <w:pPr>
        <w:rPr>
          <w:sz w:val="24"/>
          <w:szCs w:val="24"/>
        </w:rPr>
      </w:pPr>
      <w:r>
        <w:t>Under the authority of</w:t>
      </w:r>
      <w:r w:rsidR="000254AF" w:rsidRPr="00F53E96">
        <w:rPr>
          <w:sz w:val="24"/>
          <w:szCs w:val="24"/>
        </w:rPr>
        <w:t xml:space="preserve"> 101 CMR 320.01(4)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Coding Updates and Corrections</w:t>
      </w:r>
      <w:r w:rsidR="000254AF" w:rsidRPr="00F53E96">
        <w:rPr>
          <w:sz w:val="24"/>
          <w:szCs w:val="24"/>
        </w:rPr>
        <w:t>, the Executive Office of Health and Human Services (EOHHS) is adding new service codes</w:t>
      </w:r>
      <w:r w:rsidR="0002136A" w:rsidRPr="00F53E96">
        <w:rPr>
          <w:sz w:val="24"/>
          <w:szCs w:val="24"/>
        </w:rPr>
        <w:t xml:space="preserve"> and deleting outdated codes</w:t>
      </w:r>
      <w:r w:rsidR="0056541E" w:rsidRPr="00F53E96">
        <w:rPr>
          <w:sz w:val="24"/>
          <w:szCs w:val="24"/>
        </w:rPr>
        <w:t>,</w:t>
      </w:r>
      <w:r w:rsidR="000254AF" w:rsidRPr="00F53E96">
        <w:rPr>
          <w:sz w:val="24"/>
          <w:szCs w:val="24"/>
        </w:rPr>
        <w:t xml:space="preserve"> effective for dates of service on and after January 1, 202</w:t>
      </w:r>
      <w:r w:rsidR="00FD76CE" w:rsidRPr="00F53E96">
        <w:rPr>
          <w:sz w:val="24"/>
          <w:szCs w:val="24"/>
        </w:rPr>
        <w:t>5</w:t>
      </w:r>
      <w:r w:rsidR="000254AF" w:rsidRPr="00F53E96">
        <w:rPr>
          <w:sz w:val="24"/>
          <w:szCs w:val="24"/>
        </w:rPr>
        <w:t>.</w:t>
      </w:r>
    </w:p>
    <w:p w14:paraId="2C8E6385" w14:textId="4CDDD9BD" w:rsidR="004B0AA6" w:rsidRDefault="006B32FA" w:rsidP="004B0AA6">
      <w:pPr>
        <w:spacing w:after="240"/>
      </w:pPr>
      <w:r w:rsidRPr="00F53E96">
        <w:rPr>
          <w:sz w:val="24"/>
          <w:szCs w:val="24"/>
        </w:rPr>
        <w:t>For</w:t>
      </w:r>
      <w:r w:rsidR="00AE1A07" w:rsidRPr="00F53E96">
        <w:rPr>
          <w:sz w:val="24"/>
          <w:szCs w:val="24"/>
        </w:rPr>
        <w:t xml:space="preserve"> </w:t>
      </w:r>
      <w:r w:rsidRPr="00F53E96">
        <w:rPr>
          <w:sz w:val="24"/>
          <w:szCs w:val="24"/>
        </w:rPr>
        <w:t xml:space="preserve">entirely new codes that require new pricing and have Medicare </w:t>
      </w:r>
      <w:r w:rsidR="006C7877">
        <w:rPr>
          <w:sz w:val="24"/>
          <w:szCs w:val="24"/>
        </w:rPr>
        <w:t>fees</w:t>
      </w:r>
      <w:r w:rsidRPr="00F53E96">
        <w:rPr>
          <w:sz w:val="24"/>
          <w:szCs w:val="24"/>
        </w:rPr>
        <w:t xml:space="preserve">, rates are calculated according to the rate methodology used in setting rates under </w:t>
      </w:r>
      <w:hyperlink r:id="rId14" w:history="1">
        <w:r w:rsidRPr="00D743AE">
          <w:rPr>
            <w:rStyle w:val="Hyperlink"/>
            <w:sz w:val="24"/>
            <w:szCs w:val="24"/>
          </w:rPr>
          <w:t>1</w:t>
        </w:r>
        <w:r w:rsidRPr="00D743AE">
          <w:rPr>
            <w:rStyle w:val="Hyperlink"/>
            <w:sz w:val="24"/>
            <w:szCs w:val="24"/>
          </w:rPr>
          <w:t>0</w:t>
        </w:r>
        <w:r w:rsidRPr="00D743AE">
          <w:rPr>
            <w:rStyle w:val="Hyperlink"/>
            <w:sz w:val="24"/>
            <w:szCs w:val="24"/>
          </w:rPr>
          <w:t xml:space="preserve">1 CMR </w:t>
        </w:r>
        <w:r w:rsidR="00400FD9" w:rsidRPr="00D743AE">
          <w:rPr>
            <w:rStyle w:val="Hyperlink"/>
            <w:sz w:val="24"/>
            <w:szCs w:val="24"/>
          </w:rPr>
          <w:t>320.00</w:t>
        </w:r>
        <w:r w:rsidR="004B0AA6" w:rsidRPr="00D743AE">
          <w:rPr>
            <w:rStyle w:val="Hyperlink"/>
            <w:sz w:val="24"/>
            <w:szCs w:val="24"/>
          </w:rPr>
          <w:t xml:space="preserve">: </w:t>
        </w:r>
        <w:r w:rsidR="004B0AA6" w:rsidRPr="00D743AE">
          <w:rPr>
            <w:rStyle w:val="Hyperlink"/>
            <w:i/>
            <w:iCs/>
            <w:sz w:val="24"/>
            <w:szCs w:val="24"/>
          </w:rPr>
          <w:t>Rates for Clinical Laboratory Services</w:t>
        </w:r>
      </w:hyperlink>
      <w:r w:rsidR="00400FD9" w:rsidRPr="00F53E96">
        <w:rPr>
          <w:sz w:val="24"/>
          <w:szCs w:val="24"/>
        </w:rPr>
        <w:t>.</w:t>
      </w:r>
      <w:r w:rsidR="004D08DF">
        <w:rPr>
          <w:sz w:val="24"/>
          <w:szCs w:val="24"/>
        </w:rPr>
        <w:t xml:space="preserve"> </w:t>
      </w:r>
      <w:r w:rsidR="002C453D" w:rsidRPr="00F53E96">
        <w:rPr>
          <w:sz w:val="24"/>
          <w:szCs w:val="24"/>
        </w:rPr>
        <w:t xml:space="preserve">Rates listed in this administrative bulletin are applicable until revised rates are issued by EOHHS. </w:t>
      </w:r>
      <w:r w:rsidR="006C7877" w:rsidRPr="00AE1A07">
        <w:rPr>
          <w:sz w:val="24"/>
          <w:szCs w:val="24"/>
        </w:rPr>
        <w:t xml:space="preserve">When Medicare </w:t>
      </w:r>
      <w:r w:rsidR="006C7877">
        <w:rPr>
          <w:sz w:val="24"/>
          <w:szCs w:val="24"/>
        </w:rPr>
        <w:t>fees</w:t>
      </w:r>
      <w:r w:rsidR="006C7877" w:rsidRPr="00AE1A07">
        <w:rPr>
          <w:sz w:val="24"/>
          <w:szCs w:val="24"/>
        </w:rPr>
        <w:t xml:space="preserve"> are not available, EOHHS may apply individual consideration (I.C.) in reimbursing for these codes until appropriate rates can be developed. </w:t>
      </w:r>
      <w:r w:rsidR="002C453D" w:rsidRPr="00F53E96">
        <w:rPr>
          <w:sz w:val="24"/>
          <w:szCs w:val="24"/>
        </w:rPr>
        <w:t>Deleted codes are not available for use for dates of service after December 31, 2024.</w:t>
      </w:r>
    </w:p>
    <w:p w14:paraId="74D9A0F8" w14:textId="4E51A0B0" w:rsidR="000254AF" w:rsidRPr="004B0AA6" w:rsidRDefault="000254AF" w:rsidP="004B0AA6">
      <w:pPr>
        <w:rPr>
          <w:b/>
          <w:bCs/>
        </w:rPr>
      </w:pPr>
      <w:r w:rsidRPr="004B0AA6">
        <w:rPr>
          <w:b/>
          <w:bCs/>
          <w:sz w:val="24"/>
          <w:szCs w:val="24"/>
        </w:rPr>
        <w:t>Added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504"/>
        <w:gridCol w:w="6655"/>
      </w:tblGrid>
      <w:tr w:rsidR="00E91C4D" w:rsidRPr="00B00080" w14:paraId="501D3843" w14:textId="77777777" w:rsidTr="00D35546">
        <w:trPr>
          <w:trHeight w:val="629"/>
          <w:tblHeader/>
        </w:trPr>
        <w:tc>
          <w:tcPr>
            <w:tcW w:w="1191" w:type="dxa"/>
            <w:noWrap/>
            <w:vAlign w:val="center"/>
            <w:hideMark/>
          </w:tcPr>
          <w:p w14:paraId="7E37B9F4" w14:textId="77777777" w:rsidR="00E91C4D" w:rsidRPr="00B00080" w:rsidRDefault="00E91C4D" w:rsidP="00A51E07">
            <w:pPr>
              <w:spacing w:after="0" w:line="276" w:lineRule="auto"/>
              <w:jc w:val="center"/>
              <w:rPr>
                <w:b/>
                <w:bCs/>
              </w:rPr>
            </w:pPr>
            <w:r w:rsidRPr="00B00080">
              <w:rPr>
                <w:b/>
                <w:bCs/>
              </w:rPr>
              <w:t>Codes</w:t>
            </w:r>
          </w:p>
        </w:tc>
        <w:tc>
          <w:tcPr>
            <w:tcW w:w="1504" w:type="dxa"/>
            <w:vAlign w:val="center"/>
            <w:hideMark/>
          </w:tcPr>
          <w:p w14:paraId="3AE5D175" w14:textId="77777777" w:rsidR="00E91C4D" w:rsidRPr="00B00080" w:rsidRDefault="00E91C4D" w:rsidP="00A51E07">
            <w:pPr>
              <w:spacing w:after="0" w:line="276" w:lineRule="auto"/>
              <w:jc w:val="center"/>
              <w:rPr>
                <w:b/>
                <w:bCs/>
              </w:rPr>
            </w:pPr>
            <w:r w:rsidRPr="00B00080">
              <w:rPr>
                <w:b/>
                <w:bCs/>
              </w:rPr>
              <w:t>Rate</w:t>
            </w:r>
          </w:p>
        </w:tc>
        <w:tc>
          <w:tcPr>
            <w:tcW w:w="6655" w:type="dxa"/>
            <w:noWrap/>
            <w:vAlign w:val="center"/>
            <w:hideMark/>
          </w:tcPr>
          <w:p w14:paraId="1DA14D3F" w14:textId="77777777" w:rsidR="00E91C4D" w:rsidRPr="00B00080" w:rsidRDefault="00E91C4D" w:rsidP="00A51E07">
            <w:pPr>
              <w:spacing w:after="0" w:line="276" w:lineRule="auto"/>
              <w:jc w:val="center"/>
              <w:rPr>
                <w:b/>
                <w:bCs/>
              </w:rPr>
            </w:pPr>
            <w:r w:rsidRPr="00B00080">
              <w:rPr>
                <w:b/>
                <w:bCs/>
              </w:rPr>
              <w:t>Description</w:t>
            </w:r>
          </w:p>
        </w:tc>
      </w:tr>
      <w:tr w:rsidR="00E91C4D" w:rsidRPr="00B00080" w14:paraId="03BBF556" w14:textId="77777777" w:rsidTr="00D35546">
        <w:trPr>
          <w:trHeight w:val="290"/>
        </w:trPr>
        <w:tc>
          <w:tcPr>
            <w:tcW w:w="1191" w:type="dxa"/>
            <w:noWrap/>
            <w:vAlign w:val="center"/>
            <w:hideMark/>
          </w:tcPr>
          <w:p w14:paraId="037E4385" w14:textId="0877B73B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81</w:t>
            </w:r>
            <w:r w:rsidR="00FD76CE">
              <w:t>515</w:t>
            </w:r>
          </w:p>
        </w:tc>
        <w:tc>
          <w:tcPr>
            <w:tcW w:w="1504" w:type="dxa"/>
            <w:noWrap/>
            <w:vAlign w:val="center"/>
            <w:hideMark/>
          </w:tcPr>
          <w:p w14:paraId="1DF0EDC8" w14:textId="43815BA2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</w:t>
            </w:r>
            <w:r w:rsidR="00A41982">
              <w:t>231.93</w:t>
            </w:r>
          </w:p>
        </w:tc>
        <w:tc>
          <w:tcPr>
            <w:tcW w:w="6655" w:type="dxa"/>
            <w:noWrap/>
            <w:vAlign w:val="center"/>
            <w:hideMark/>
          </w:tcPr>
          <w:p w14:paraId="3EDEC86E" w14:textId="163DFE95" w:rsidR="00E91C4D" w:rsidRPr="00B00080" w:rsidRDefault="00FD76CE" w:rsidP="00821D57">
            <w:pPr>
              <w:spacing w:line="276" w:lineRule="auto"/>
            </w:pPr>
            <w:r w:rsidRPr="00FD76CE">
              <w:t xml:space="preserve">Infectious disease, bacterial vaginosis and vaginitis, real-time PCR amplification of DNA markers for </w:t>
            </w:r>
            <w:proofErr w:type="spellStart"/>
            <w:r w:rsidRPr="00FD76CE">
              <w:t>Atopobium</w:t>
            </w:r>
            <w:proofErr w:type="spellEnd"/>
            <w:r w:rsidRPr="00FD76CE">
              <w:t xml:space="preserve"> </w:t>
            </w:r>
            <w:proofErr w:type="spellStart"/>
            <w:r w:rsidRPr="00FD76CE">
              <w:t>vaginae</w:t>
            </w:r>
            <w:proofErr w:type="spellEnd"/>
            <w:r w:rsidRPr="00FD76CE">
              <w:t xml:space="preserve">, </w:t>
            </w:r>
            <w:proofErr w:type="spellStart"/>
            <w:r w:rsidRPr="00FD76CE">
              <w:t>Atopobium</w:t>
            </w:r>
            <w:proofErr w:type="spellEnd"/>
            <w:r w:rsidRPr="00FD76CE">
              <w:t xml:space="preserve"> species, </w:t>
            </w:r>
            <w:proofErr w:type="spellStart"/>
            <w:r w:rsidRPr="00FD76CE">
              <w:t>Megasphaera</w:t>
            </w:r>
            <w:proofErr w:type="spellEnd"/>
            <w:r w:rsidRPr="00FD76CE">
              <w:t xml:space="preserve"> type 1, and Bacterial Vaginosis Associated Bacteria-2 (BVAB-2), utilizing vaginal-fluid specimens, algorithm reported as positive or negative for high likelihood of bacterial vaginosis, includes separate detection of Trichomonas vaginalis </w:t>
            </w:r>
            <w:r w:rsidRPr="00FD76CE">
              <w:lastRenderedPageBreak/>
              <w:t xml:space="preserve">and Candida species (C. albicans, C. tropicalis, C. </w:t>
            </w:r>
            <w:proofErr w:type="spellStart"/>
            <w:r w:rsidRPr="00FD76CE">
              <w:t>parapsilosis</w:t>
            </w:r>
            <w:proofErr w:type="spellEnd"/>
            <w:r w:rsidRPr="00FD76CE">
              <w:t xml:space="preserve">, C. </w:t>
            </w:r>
            <w:proofErr w:type="spellStart"/>
            <w:r w:rsidRPr="00FD76CE">
              <w:t>dubliniensis</w:t>
            </w:r>
            <w:proofErr w:type="spellEnd"/>
            <w:r w:rsidRPr="00FD76CE">
              <w:t xml:space="preserve">), Candida glabrata/Candida </w:t>
            </w:r>
            <w:proofErr w:type="spellStart"/>
            <w:r w:rsidRPr="00FD76CE">
              <w:t>krusei</w:t>
            </w:r>
            <w:proofErr w:type="spellEnd"/>
            <w:r w:rsidRPr="00FD76CE">
              <w:t>, when reported</w:t>
            </w:r>
          </w:p>
        </w:tc>
      </w:tr>
      <w:tr w:rsidR="00E91C4D" w:rsidRPr="00B00080" w14:paraId="3B0CED5D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5CBFA1C2" w14:textId="326A6154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lastRenderedPageBreak/>
              <w:t>8</w:t>
            </w:r>
            <w:r w:rsidR="00FD76CE">
              <w:t>2233</w:t>
            </w:r>
          </w:p>
        </w:tc>
        <w:tc>
          <w:tcPr>
            <w:tcW w:w="1504" w:type="dxa"/>
            <w:noWrap/>
            <w:vAlign w:val="center"/>
            <w:hideMark/>
          </w:tcPr>
          <w:p w14:paraId="3EAD6E30" w14:textId="5AF13166" w:rsidR="00E91C4D" w:rsidRPr="00B00080" w:rsidRDefault="00F53E96" w:rsidP="00821D57">
            <w:pPr>
              <w:spacing w:line="276" w:lineRule="auto"/>
              <w:jc w:val="center"/>
            </w:pPr>
            <w:r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1E68F1B2" w14:textId="02BB7822" w:rsidR="00E91C4D" w:rsidRPr="00B00080" w:rsidRDefault="00FD76CE" w:rsidP="00821D57">
            <w:pPr>
              <w:spacing w:line="276" w:lineRule="auto"/>
            </w:pPr>
            <w:r w:rsidRPr="00FD76CE">
              <w:t>Beta-amyloid; 1-40 (Abeta 40)</w:t>
            </w:r>
          </w:p>
        </w:tc>
      </w:tr>
      <w:tr w:rsidR="00E91C4D" w:rsidRPr="00B00080" w14:paraId="33ADEB32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79FAEF5C" w14:textId="03100ADD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2234</w:t>
            </w:r>
          </w:p>
        </w:tc>
        <w:tc>
          <w:tcPr>
            <w:tcW w:w="1504" w:type="dxa"/>
            <w:noWrap/>
            <w:vAlign w:val="center"/>
            <w:hideMark/>
          </w:tcPr>
          <w:p w14:paraId="2ABD8FD0" w14:textId="0DEE52F2" w:rsidR="00E91C4D" w:rsidRPr="00B00080" w:rsidRDefault="00F53E96" w:rsidP="00821D57">
            <w:pPr>
              <w:spacing w:line="276" w:lineRule="auto"/>
              <w:jc w:val="center"/>
            </w:pPr>
            <w:r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4542EDE9" w14:textId="4B6B42AB" w:rsidR="00E91C4D" w:rsidRPr="00B00080" w:rsidRDefault="00FD76CE" w:rsidP="00821D57">
            <w:pPr>
              <w:spacing w:line="276" w:lineRule="auto"/>
            </w:pPr>
            <w:r w:rsidRPr="00FD76CE">
              <w:t>Beta-amyloid; 1-42 (Abeta 42)</w:t>
            </w:r>
          </w:p>
        </w:tc>
      </w:tr>
      <w:tr w:rsidR="00E91C4D" w:rsidRPr="00B00080" w14:paraId="0FDCF976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3224B80E" w14:textId="424D946C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3884</w:t>
            </w:r>
          </w:p>
        </w:tc>
        <w:tc>
          <w:tcPr>
            <w:tcW w:w="1504" w:type="dxa"/>
            <w:noWrap/>
            <w:vAlign w:val="center"/>
            <w:hideMark/>
          </w:tcPr>
          <w:p w14:paraId="45B5B139" w14:textId="17F61489" w:rsidR="00E91C4D" w:rsidRPr="00B00080" w:rsidRDefault="00F53E96" w:rsidP="00821D57">
            <w:pPr>
              <w:spacing w:line="276" w:lineRule="auto"/>
              <w:jc w:val="center"/>
            </w:pPr>
            <w:r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665CC420" w14:textId="6BBD8086" w:rsidR="00E91C4D" w:rsidRPr="00B00080" w:rsidRDefault="00FD76CE" w:rsidP="00821D57">
            <w:pPr>
              <w:spacing w:line="276" w:lineRule="auto"/>
            </w:pPr>
            <w:r w:rsidRPr="00FD76CE">
              <w:t>Neurofilament light chain (</w:t>
            </w:r>
            <w:proofErr w:type="spellStart"/>
            <w:r w:rsidRPr="00FD76CE">
              <w:t>NfL</w:t>
            </w:r>
            <w:proofErr w:type="spellEnd"/>
            <w:r w:rsidRPr="00FD76CE">
              <w:t>)</w:t>
            </w:r>
          </w:p>
        </w:tc>
      </w:tr>
      <w:tr w:rsidR="00E91C4D" w:rsidRPr="00B00080" w14:paraId="0FC7F46A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2B5AE4AF" w14:textId="78F14A9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4393</w:t>
            </w:r>
          </w:p>
        </w:tc>
        <w:tc>
          <w:tcPr>
            <w:tcW w:w="1504" w:type="dxa"/>
            <w:noWrap/>
            <w:vAlign w:val="center"/>
            <w:hideMark/>
          </w:tcPr>
          <w:p w14:paraId="5903C59F" w14:textId="10552D45" w:rsidR="00E91C4D" w:rsidRPr="00B00080" w:rsidRDefault="00F53E96" w:rsidP="00821D57">
            <w:pPr>
              <w:spacing w:line="276" w:lineRule="auto"/>
              <w:jc w:val="center"/>
            </w:pPr>
            <w:r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00C13983" w14:textId="7C7E338E" w:rsidR="00E91C4D" w:rsidRPr="00B00080" w:rsidRDefault="00FD76CE" w:rsidP="00821D57">
            <w:pPr>
              <w:spacing w:line="276" w:lineRule="auto"/>
            </w:pPr>
            <w:r w:rsidRPr="00FD76CE">
              <w:t>Tau, phosphorylated (</w:t>
            </w:r>
            <w:proofErr w:type="spellStart"/>
            <w:r w:rsidRPr="00FD76CE">
              <w:t>eg</w:t>
            </w:r>
            <w:proofErr w:type="spellEnd"/>
            <w:r w:rsidRPr="00FD76CE">
              <w:t xml:space="preserve">, </w:t>
            </w:r>
            <w:proofErr w:type="spellStart"/>
            <w:r w:rsidRPr="00FD76CE">
              <w:t>pTau</w:t>
            </w:r>
            <w:proofErr w:type="spellEnd"/>
            <w:r w:rsidRPr="00FD76CE">
              <w:t xml:space="preserve"> 181, </w:t>
            </w:r>
            <w:proofErr w:type="spellStart"/>
            <w:r w:rsidRPr="00FD76CE">
              <w:t>pTau</w:t>
            </w:r>
            <w:proofErr w:type="spellEnd"/>
            <w:r w:rsidRPr="00FD76CE">
              <w:t xml:space="preserve"> 217), each</w:t>
            </w:r>
          </w:p>
        </w:tc>
      </w:tr>
      <w:tr w:rsidR="00E91C4D" w:rsidRPr="00B00080" w14:paraId="04F6BA32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04F8453A" w14:textId="7A6345B6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4394</w:t>
            </w:r>
          </w:p>
        </w:tc>
        <w:tc>
          <w:tcPr>
            <w:tcW w:w="1504" w:type="dxa"/>
            <w:noWrap/>
            <w:vAlign w:val="center"/>
            <w:hideMark/>
          </w:tcPr>
          <w:p w14:paraId="43848252" w14:textId="13CC60EA" w:rsidR="00E91C4D" w:rsidRPr="00B00080" w:rsidRDefault="00F53E96" w:rsidP="00821D57">
            <w:pPr>
              <w:spacing w:line="276" w:lineRule="auto"/>
              <w:jc w:val="center"/>
            </w:pPr>
            <w:r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4D88677B" w14:textId="3063C4FB" w:rsidR="00E91C4D" w:rsidRPr="00B00080" w:rsidRDefault="00BE3F7E" w:rsidP="00821D57">
            <w:pPr>
              <w:spacing w:line="276" w:lineRule="auto"/>
            </w:pPr>
            <w:r w:rsidRPr="00BE3F7E">
              <w:t>Tau, total (</w:t>
            </w:r>
            <w:proofErr w:type="spellStart"/>
            <w:r w:rsidRPr="00BE3F7E">
              <w:t>tTau</w:t>
            </w:r>
            <w:proofErr w:type="spellEnd"/>
            <w:r w:rsidRPr="00BE3F7E">
              <w:t>)</w:t>
            </w:r>
          </w:p>
        </w:tc>
      </w:tr>
      <w:tr w:rsidR="00E91C4D" w:rsidRPr="00B00080" w14:paraId="01A2A8F1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0851C1D8" w14:textId="3C4409C1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6581</w:t>
            </w:r>
          </w:p>
        </w:tc>
        <w:tc>
          <w:tcPr>
            <w:tcW w:w="1504" w:type="dxa"/>
            <w:noWrap/>
            <w:vAlign w:val="center"/>
            <w:hideMark/>
          </w:tcPr>
          <w:p w14:paraId="43863F5B" w14:textId="144367AB" w:rsidR="00E91C4D" w:rsidRPr="00B00080" w:rsidRDefault="00F53E96" w:rsidP="00821D57">
            <w:pPr>
              <w:spacing w:line="276" w:lineRule="auto"/>
              <w:jc w:val="center"/>
            </w:pPr>
            <w:r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10394F44" w14:textId="48206F0A" w:rsidR="00E91C4D" w:rsidRPr="00B00080" w:rsidRDefault="00BE3F7E" w:rsidP="00821D57">
            <w:pPr>
              <w:spacing w:line="276" w:lineRule="auto"/>
            </w:pPr>
            <w:r w:rsidRPr="00BE3F7E">
              <w:t>Streptococcus pneumoniae antibody (IgG), serotypes, multiplex immunoassay, quantitative</w:t>
            </w:r>
          </w:p>
        </w:tc>
      </w:tr>
      <w:tr w:rsidR="00E91C4D" w:rsidRPr="00B00080" w14:paraId="52446C11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5837D2BB" w14:textId="7FD71972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7513</w:t>
            </w:r>
          </w:p>
        </w:tc>
        <w:tc>
          <w:tcPr>
            <w:tcW w:w="1504" w:type="dxa"/>
            <w:noWrap/>
            <w:vAlign w:val="center"/>
            <w:hideMark/>
          </w:tcPr>
          <w:p w14:paraId="709C3E14" w14:textId="3A5C5AB6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</w:t>
            </w:r>
            <w:r w:rsidR="00A41982">
              <w:t>30</w:t>
            </w:r>
            <w:r w:rsidR="00BE3F7E">
              <w:t>.</w:t>
            </w:r>
            <w:r w:rsidR="00A41982">
              <w:t>95</w:t>
            </w:r>
          </w:p>
        </w:tc>
        <w:tc>
          <w:tcPr>
            <w:tcW w:w="6655" w:type="dxa"/>
            <w:noWrap/>
            <w:vAlign w:val="center"/>
            <w:hideMark/>
          </w:tcPr>
          <w:p w14:paraId="35066B05" w14:textId="32D13E88" w:rsidR="00E91C4D" w:rsidRPr="00B00080" w:rsidRDefault="003F04DD" w:rsidP="00821D57">
            <w:pPr>
              <w:spacing w:line="276" w:lineRule="auto"/>
            </w:pPr>
            <w:r>
              <w:t xml:space="preserve">Infectious agent detection by nucleic acid (DNA or RNA); </w:t>
            </w:r>
            <w:r w:rsidR="00BE3F7E" w:rsidRPr="00BE3F7E">
              <w:t>Helicobacter pylori (H. pylori), clarithromycin resistance, amplified probe technique</w:t>
            </w:r>
          </w:p>
        </w:tc>
      </w:tr>
      <w:tr w:rsidR="00E91C4D" w:rsidRPr="00B00080" w14:paraId="263911DD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25F2AC6F" w14:textId="66F838D1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7564</w:t>
            </w:r>
          </w:p>
        </w:tc>
        <w:tc>
          <w:tcPr>
            <w:tcW w:w="1504" w:type="dxa"/>
            <w:noWrap/>
            <w:vAlign w:val="center"/>
            <w:hideMark/>
          </w:tcPr>
          <w:p w14:paraId="69CDD325" w14:textId="1D00C5DA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</w:t>
            </w:r>
            <w:r w:rsidR="00A41982">
              <w:t>67.70</w:t>
            </w:r>
          </w:p>
        </w:tc>
        <w:tc>
          <w:tcPr>
            <w:tcW w:w="6655" w:type="dxa"/>
            <w:noWrap/>
            <w:vAlign w:val="center"/>
            <w:hideMark/>
          </w:tcPr>
          <w:p w14:paraId="182A34D2" w14:textId="7E285430" w:rsidR="00E91C4D" w:rsidRPr="00B00080" w:rsidRDefault="003F04DD" w:rsidP="00821D57">
            <w:pPr>
              <w:spacing w:line="276" w:lineRule="auto"/>
            </w:pPr>
            <w:r>
              <w:t xml:space="preserve">Infectious agent detection by nucleic acid (DNA or RNA); </w:t>
            </w:r>
            <w:r w:rsidR="00BE3F7E" w:rsidRPr="00BE3F7E">
              <w:t>Mycobacterium tuberculosis, rifampin resistance, amplified probe technique</w:t>
            </w:r>
          </w:p>
        </w:tc>
      </w:tr>
      <w:tr w:rsidR="00E91C4D" w:rsidRPr="00B00080" w14:paraId="3E5C77EB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766F2040" w14:textId="61C439B3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7594</w:t>
            </w:r>
          </w:p>
        </w:tc>
        <w:tc>
          <w:tcPr>
            <w:tcW w:w="1504" w:type="dxa"/>
            <w:noWrap/>
            <w:vAlign w:val="center"/>
            <w:hideMark/>
          </w:tcPr>
          <w:p w14:paraId="203536B5" w14:textId="095A480A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</w:t>
            </w:r>
            <w:r w:rsidR="00A41982">
              <w:t>30.95</w:t>
            </w:r>
          </w:p>
        </w:tc>
        <w:tc>
          <w:tcPr>
            <w:tcW w:w="6655" w:type="dxa"/>
            <w:noWrap/>
            <w:vAlign w:val="center"/>
            <w:hideMark/>
          </w:tcPr>
          <w:p w14:paraId="3480702F" w14:textId="75AD9E3F" w:rsidR="00E91C4D" w:rsidRPr="00B00080" w:rsidRDefault="003F04DD" w:rsidP="00821D57">
            <w:pPr>
              <w:spacing w:line="276" w:lineRule="auto"/>
            </w:pPr>
            <w:r>
              <w:t xml:space="preserve">Infectious agent detection by nucleic acid (DNA or RNA); </w:t>
            </w:r>
            <w:r w:rsidR="00BE3F7E" w:rsidRPr="00BE3F7E">
              <w:t xml:space="preserve">Pneumocystis </w:t>
            </w:r>
            <w:proofErr w:type="spellStart"/>
            <w:r w:rsidR="00BE3F7E" w:rsidRPr="00BE3F7E">
              <w:t>jirovecii</w:t>
            </w:r>
            <w:proofErr w:type="spellEnd"/>
            <w:r w:rsidR="00BE3F7E" w:rsidRPr="00BE3F7E">
              <w:t>, amplified probe technique</w:t>
            </w:r>
          </w:p>
        </w:tc>
      </w:tr>
      <w:tr w:rsidR="00E91C4D" w:rsidRPr="00B00080" w14:paraId="46F433AD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7C7138BA" w14:textId="6CFF6D63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</w:t>
            </w:r>
            <w:r w:rsidR="00FD76CE">
              <w:t>7626</w:t>
            </w:r>
          </w:p>
        </w:tc>
        <w:tc>
          <w:tcPr>
            <w:tcW w:w="1504" w:type="dxa"/>
            <w:noWrap/>
            <w:vAlign w:val="center"/>
            <w:hideMark/>
          </w:tcPr>
          <w:p w14:paraId="1E9A26EB" w14:textId="2C1C5393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</w:t>
            </w:r>
            <w:r w:rsidR="00A41982">
              <w:t>61.91</w:t>
            </w:r>
          </w:p>
        </w:tc>
        <w:tc>
          <w:tcPr>
            <w:tcW w:w="6655" w:type="dxa"/>
            <w:noWrap/>
            <w:vAlign w:val="center"/>
            <w:hideMark/>
          </w:tcPr>
          <w:p w14:paraId="1AD3B5DA" w14:textId="02A3AF7B" w:rsidR="00E91C4D" w:rsidRPr="00B00080" w:rsidRDefault="003F04DD" w:rsidP="00821D57">
            <w:pPr>
              <w:spacing w:line="276" w:lineRule="auto"/>
            </w:pPr>
            <w:r>
              <w:t xml:space="preserve">Infectious agent detection by nucleic acid (DNA or RNA); </w:t>
            </w:r>
            <w:r w:rsidR="00BE3F7E" w:rsidRPr="00BE3F7E">
              <w:t>Human Papillomavirus (HPV), separately reported high-risk types (e</w:t>
            </w:r>
            <w:r w:rsidR="00F57B0D">
              <w:t>.</w:t>
            </w:r>
            <w:r w:rsidR="00BE3F7E" w:rsidRPr="00BE3F7E">
              <w:t>g</w:t>
            </w:r>
            <w:r w:rsidR="00F57B0D">
              <w:t>.</w:t>
            </w:r>
            <w:r w:rsidR="00BE3F7E" w:rsidRPr="00BE3F7E">
              <w:t>, 16, 18, 31, 45, 51, 52) and high-risk pooled result(s)</w:t>
            </w:r>
          </w:p>
        </w:tc>
      </w:tr>
    </w:tbl>
    <w:p w14:paraId="788EAFC1" w14:textId="18DCFB7E" w:rsidR="00E964C3" w:rsidRDefault="00E964C3" w:rsidP="00656FFF">
      <w:pPr>
        <w:spacing w:line="276" w:lineRule="auto"/>
      </w:pPr>
    </w:p>
    <w:p w14:paraId="61E0B33F" w14:textId="7C1EAB85" w:rsidR="004E39B1" w:rsidRDefault="004E39B1" w:rsidP="004E39B1">
      <w:pPr>
        <w:pStyle w:val="Heading3"/>
        <w:tabs>
          <w:tab w:val="left" w:pos="7905"/>
        </w:tabs>
      </w:pPr>
      <w:r>
        <w:t>Deleted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4E39B1" w14:paraId="36C97CCB" w14:textId="77777777" w:rsidTr="00A51E07">
        <w:trPr>
          <w:trHeight w:val="566"/>
          <w:tblHeader/>
        </w:trPr>
        <w:tc>
          <w:tcPr>
            <w:tcW w:w="1615" w:type="dxa"/>
            <w:vAlign w:val="center"/>
          </w:tcPr>
          <w:p w14:paraId="5832F34C" w14:textId="17656B0A" w:rsidR="004E39B1" w:rsidRPr="004E39B1" w:rsidRDefault="004E39B1" w:rsidP="00A51E07">
            <w:pPr>
              <w:spacing w:after="0" w:line="276" w:lineRule="auto"/>
              <w:jc w:val="center"/>
              <w:rPr>
                <w:b/>
                <w:bCs/>
              </w:rPr>
            </w:pPr>
            <w:r w:rsidRPr="004E39B1">
              <w:rPr>
                <w:b/>
                <w:bCs/>
              </w:rPr>
              <w:t>Codes</w:t>
            </w:r>
          </w:p>
        </w:tc>
        <w:tc>
          <w:tcPr>
            <w:tcW w:w="7735" w:type="dxa"/>
            <w:vAlign w:val="center"/>
          </w:tcPr>
          <w:p w14:paraId="35AC8726" w14:textId="1086B63C" w:rsidR="004E39B1" w:rsidRPr="004E39B1" w:rsidRDefault="004E39B1" w:rsidP="00A51E07">
            <w:pPr>
              <w:spacing w:after="0" w:line="276" w:lineRule="auto"/>
              <w:jc w:val="center"/>
              <w:rPr>
                <w:b/>
                <w:bCs/>
              </w:rPr>
            </w:pPr>
            <w:r w:rsidRPr="004E39B1">
              <w:rPr>
                <w:b/>
                <w:bCs/>
              </w:rPr>
              <w:t>Description</w:t>
            </w:r>
          </w:p>
        </w:tc>
      </w:tr>
      <w:tr w:rsidR="004E39B1" w14:paraId="59F4FEDE" w14:textId="77777777" w:rsidTr="00D35546">
        <w:tc>
          <w:tcPr>
            <w:tcW w:w="1615" w:type="dxa"/>
            <w:vAlign w:val="center"/>
          </w:tcPr>
          <w:p w14:paraId="6AC5563A" w14:textId="36EAF017" w:rsidR="004E39B1" w:rsidRDefault="00AD7E8F" w:rsidP="00D35546">
            <w:pPr>
              <w:spacing w:line="276" w:lineRule="auto"/>
              <w:jc w:val="center"/>
            </w:pPr>
            <w:r>
              <w:t>81433</w:t>
            </w:r>
          </w:p>
        </w:tc>
        <w:tc>
          <w:tcPr>
            <w:tcW w:w="7735" w:type="dxa"/>
            <w:vAlign w:val="center"/>
          </w:tcPr>
          <w:p w14:paraId="2F89F126" w14:textId="191F2BE1" w:rsidR="004E39B1" w:rsidRDefault="00AD7E8F" w:rsidP="00656FFF">
            <w:pPr>
              <w:spacing w:line="276" w:lineRule="auto"/>
            </w:pPr>
            <w:r w:rsidRPr="00AD7E8F">
              <w:t>Hereditary breast cancer-related disorders (e</w:t>
            </w:r>
            <w:r w:rsidR="001E2037">
              <w:t>.</w:t>
            </w:r>
            <w:r w:rsidRPr="00AD7E8F">
              <w:t>g</w:t>
            </w:r>
            <w:r w:rsidR="001E2037">
              <w:t>.</w:t>
            </w:r>
            <w:r w:rsidRPr="00AD7E8F">
              <w:t>, hereditary breast cancer, hereditary ovarian cancer, hereditary endometrial cancer); duplication/deletion analysis panel, must include analyses for BRCA1, BRCA2, MLH1, MSH2, and STK11</w:t>
            </w:r>
          </w:p>
        </w:tc>
      </w:tr>
      <w:tr w:rsidR="004E39B1" w14:paraId="30AAD913" w14:textId="77777777" w:rsidTr="00D35546">
        <w:tc>
          <w:tcPr>
            <w:tcW w:w="1615" w:type="dxa"/>
            <w:vAlign w:val="center"/>
          </w:tcPr>
          <w:p w14:paraId="26E2701A" w14:textId="27E14020" w:rsidR="004E39B1" w:rsidRDefault="00AD7E8F" w:rsidP="00D35546">
            <w:pPr>
              <w:spacing w:line="276" w:lineRule="auto"/>
              <w:jc w:val="center"/>
            </w:pPr>
            <w:r>
              <w:t>81436</w:t>
            </w:r>
          </w:p>
        </w:tc>
        <w:tc>
          <w:tcPr>
            <w:tcW w:w="7735" w:type="dxa"/>
            <w:vAlign w:val="center"/>
          </w:tcPr>
          <w:p w14:paraId="57F36D09" w14:textId="22DD269D" w:rsidR="004E39B1" w:rsidRDefault="00AD7E8F" w:rsidP="00656FFF">
            <w:pPr>
              <w:spacing w:line="276" w:lineRule="auto"/>
            </w:pPr>
            <w:r w:rsidRPr="00AD7E8F">
              <w:t>Hereditary colon cancer disorders (e</w:t>
            </w:r>
            <w:r w:rsidR="001E2037">
              <w:t>.</w:t>
            </w:r>
            <w:r w:rsidRPr="00AD7E8F">
              <w:t>g</w:t>
            </w:r>
            <w:r w:rsidR="001E2037">
              <w:t>.</w:t>
            </w:r>
            <w:r w:rsidRPr="00AD7E8F">
              <w:t>, Lynch syndrome, PTEN hamartoma syndrome, Cowden syndrome, familial adenomatosis polyposis); duplication/deletion analysis panel, must include analysis of at least 5 genes, including MLH1, MSH2, EPCAM, SMAD4, and STK11</w:t>
            </w:r>
          </w:p>
        </w:tc>
      </w:tr>
      <w:tr w:rsidR="004E39B1" w14:paraId="7E9F4B39" w14:textId="77777777" w:rsidTr="00D35546">
        <w:tc>
          <w:tcPr>
            <w:tcW w:w="1615" w:type="dxa"/>
            <w:vAlign w:val="center"/>
          </w:tcPr>
          <w:p w14:paraId="25566979" w14:textId="583626E5" w:rsidR="004E39B1" w:rsidRDefault="00AD7E8F" w:rsidP="00D35546">
            <w:pPr>
              <w:spacing w:line="276" w:lineRule="auto"/>
              <w:jc w:val="center"/>
            </w:pPr>
            <w:r>
              <w:lastRenderedPageBreak/>
              <w:t>81438</w:t>
            </w:r>
          </w:p>
        </w:tc>
        <w:tc>
          <w:tcPr>
            <w:tcW w:w="7735" w:type="dxa"/>
            <w:vAlign w:val="center"/>
          </w:tcPr>
          <w:p w14:paraId="7F1909F0" w14:textId="72F457E7" w:rsidR="004E39B1" w:rsidRDefault="00AD7E8F" w:rsidP="00656FFF">
            <w:pPr>
              <w:spacing w:line="276" w:lineRule="auto"/>
            </w:pPr>
            <w:r w:rsidRPr="00AD7E8F">
              <w:t>Hereditary neuroendocrine tumor disorders (e</w:t>
            </w:r>
            <w:r w:rsidR="001E2037">
              <w:t>.</w:t>
            </w:r>
            <w:r w:rsidRPr="00AD7E8F">
              <w:t>g</w:t>
            </w:r>
            <w:r w:rsidR="001E2037">
              <w:t>.</w:t>
            </w:r>
            <w:r w:rsidRPr="00AD7E8F">
              <w:t>, medullary thyroid carcinoma, parathyroid carcinoma, malignant pheochromocytoma or paraganglioma); duplication/deletion analysis panel, must include analyses for SDHB, SDHC, SDHD, and VHL</w:t>
            </w:r>
          </w:p>
        </w:tc>
      </w:tr>
      <w:tr w:rsidR="00AD7E8F" w14:paraId="73B6FA1F" w14:textId="77777777" w:rsidTr="00F53E96">
        <w:tc>
          <w:tcPr>
            <w:tcW w:w="1615" w:type="dxa"/>
          </w:tcPr>
          <w:p w14:paraId="5E20DBCA" w14:textId="41A3BA7B" w:rsidR="00AD7E8F" w:rsidRDefault="00AD7E8F" w:rsidP="00D35546">
            <w:pPr>
              <w:spacing w:line="276" w:lineRule="auto"/>
              <w:jc w:val="center"/>
            </w:pPr>
            <w:r>
              <w:t>86327</w:t>
            </w:r>
          </w:p>
        </w:tc>
        <w:tc>
          <w:tcPr>
            <w:tcW w:w="7735" w:type="dxa"/>
          </w:tcPr>
          <w:p w14:paraId="2D9CCED1" w14:textId="4135E96F" w:rsidR="00AD7E8F" w:rsidRPr="004E39B1" w:rsidRDefault="00AD7E8F" w:rsidP="00AD7E8F">
            <w:pPr>
              <w:spacing w:line="276" w:lineRule="auto"/>
            </w:pPr>
            <w:r w:rsidRPr="001E30B4">
              <w:t>Immunoelectrophoresis; crossed (2-dimensional assay)</w:t>
            </w:r>
          </w:p>
        </w:tc>
      </w:tr>
      <w:tr w:rsidR="00AD7E8F" w14:paraId="018DF602" w14:textId="77777777" w:rsidTr="00F53E96">
        <w:tc>
          <w:tcPr>
            <w:tcW w:w="1615" w:type="dxa"/>
          </w:tcPr>
          <w:p w14:paraId="66456FBE" w14:textId="0FBBA16A" w:rsidR="00AD7E8F" w:rsidRDefault="00AD7E8F" w:rsidP="00D35546">
            <w:pPr>
              <w:spacing w:line="276" w:lineRule="auto"/>
              <w:jc w:val="center"/>
            </w:pPr>
            <w:r>
              <w:t>86490</w:t>
            </w:r>
          </w:p>
        </w:tc>
        <w:tc>
          <w:tcPr>
            <w:tcW w:w="7735" w:type="dxa"/>
          </w:tcPr>
          <w:p w14:paraId="10DCCC15" w14:textId="2C2C2963" w:rsidR="00AD7E8F" w:rsidRPr="004E39B1" w:rsidRDefault="00AD7E8F" w:rsidP="00AD7E8F">
            <w:pPr>
              <w:spacing w:line="276" w:lineRule="auto"/>
            </w:pPr>
            <w:r>
              <w:t xml:space="preserve">Skin test; </w:t>
            </w:r>
            <w:r w:rsidRPr="004E39B1">
              <w:t>coccidioidomycosis</w:t>
            </w:r>
          </w:p>
        </w:tc>
      </w:tr>
      <w:tr w:rsidR="00AD7E8F" w14:paraId="4E04FF05" w14:textId="77777777" w:rsidTr="00F53E96">
        <w:tc>
          <w:tcPr>
            <w:tcW w:w="1615" w:type="dxa"/>
          </w:tcPr>
          <w:p w14:paraId="3644EB07" w14:textId="1AF64539" w:rsidR="00AD7E8F" w:rsidRDefault="00AD7E8F" w:rsidP="00D35546">
            <w:pPr>
              <w:spacing w:line="276" w:lineRule="auto"/>
              <w:jc w:val="center"/>
            </w:pPr>
            <w:r>
              <w:t>88388</w:t>
            </w:r>
          </w:p>
        </w:tc>
        <w:tc>
          <w:tcPr>
            <w:tcW w:w="7735" w:type="dxa"/>
          </w:tcPr>
          <w:p w14:paraId="0CF92B76" w14:textId="1C5211CF" w:rsidR="00AD7E8F" w:rsidRPr="004E39B1" w:rsidRDefault="00AD7E8F" w:rsidP="00AD7E8F">
            <w:pPr>
              <w:spacing w:line="276" w:lineRule="auto"/>
            </w:pPr>
            <w:r w:rsidRPr="004E39B1">
              <w:t xml:space="preserve">Macroscopic examination, dissection, and preparation of </w:t>
            </w:r>
            <w:proofErr w:type="gramStart"/>
            <w:r w:rsidRPr="004E39B1">
              <w:t>tissue</w:t>
            </w:r>
            <w:proofErr w:type="gramEnd"/>
            <w:r w:rsidRPr="004E39B1">
              <w:t xml:space="preserve"> for non-microscopic analytical studies (</w:t>
            </w:r>
            <w:r w:rsidR="00F57B0D" w:rsidRPr="004E39B1">
              <w:t>e.g.</w:t>
            </w:r>
            <w:r w:rsidRPr="004E39B1">
              <w:t>, nucleic acid-based molecular studies); in conjunction with a touch imprint, intraoperative consultation, or frozen section, each tissue preparation (</w:t>
            </w:r>
            <w:r w:rsidR="00F57B0D" w:rsidRPr="004E39B1">
              <w:t>e.g.</w:t>
            </w:r>
            <w:r w:rsidRPr="004E39B1">
              <w:t xml:space="preserve">, a single lymph node) </w:t>
            </w:r>
            <w:r>
              <w:t>(List separately in addition to code for primary procedure)</w:t>
            </w:r>
          </w:p>
        </w:tc>
      </w:tr>
    </w:tbl>
    <w:p w14:paraId="6150391C" w14:textId="77777777" w:rsidR="002C453D" w:rsidRDefault="002C453D" w:rsidP="00F57B0D">
      <w:pPr>
        <w:spacing w:after="1680" w:line="276" w:lineRule="auto"/>
      </w:pPr>
    </w:p>
    <w:p w14:paraId="12B7360E" w14:textId="1FD438DC" w:rsidR="0041466F" w:rsidRPr="0041466F" w:rsidRDefault="0041466F" w:rsidP="00AC798F"/>
    <w:sectPr w:rsidR="0041466F" w:rsidRPr="0041466F" w:rsidSect="00E964C3">
      <w:headerReference w:type="default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01E9" w14:textId="77777777" w:rsidR="00B1344A" w:rsidRDefault="00B1344A" w:rsidP="00AC798F">
      <w:r>
        <w:separator/>
      </w:r>
    </w:p>
    <w:p w14:paraId="0E4D14C0" w14:textId="77777777" w:rsidR="00B1344A" w:rsidRDefault="00B1344A"/>
  </w:endnote>
  <w:endnote w:type="continuationSeparator" w:id="0">
    <w:p w14:paraId="2EDE11D2" w14:textId="77777777" w:rsidR="00B1344A" w:rsidRDefault="00B1344A" w:rsidP="00AC798F">
      <w:r>
        <w:continuationSeparator/>
      </w:r>
    </w:p>
    <w:p w14:paraId="185E808E" w14:textId="77777777" w:rsidR="00B1344A" w:rsidRDefault="00B13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75AA" w14:textId="77777777" w:rsidR="00B1344A" w:rsidRDefault="00B1344A" w:rsidP="00AC798F">
      <w:r>
        <w:separator/>
      </w:r>
    </w:p>
    <w:p w14:paraId="71B0C622" w14:textId="77777777" w:rsidR="00B1344A" w:rsidRDefault="00B1344A"/>
  </w:footnote>
  <w:footnote w:type="continuationSeparator" w:id="0">
    <w:p w14:paraId="1EB1992F" w14:textId="77777777" w:rsidR="00B1344A" w:rsidRDefault="00B1344A" w:rsidP="00AC798F">
      <w:r>
        <w:continuationSeparator/>
      </w:r>
    </w:p>
    <w:p w14:paraId="1E4E5354" w14:textId="77777777" w:rsidR="00B1344A" w:rsidRDefault="00B13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11317" w:rsidRDefault="00E964C3" w:rsidP="0071737A">
    <w:pPr>
      <w:spacing w:after="0" w:line="276" w:lineRule="auto"/>
      <w:jc w:val="right"/>
    </w:pPr>
    <w:r w:rsidRPr="00A11317">
      <w:t>EOHHS</w:t>
    </w:r>
  </w:p>
  <w:p w14:paraId="035EBA9C" w14:textId="6EBE1864" w:rsidR="00E964C3" w:rsidRPr="00A11317" w:rsidRDefault="00E964C3" w:rsidP="0071737A">
    <w:pPr>
      <w:spacing w:after="0" w:line="276" w:lineRule="auto"/>
      <w:jc w:val="right"/>
    </w:pPr>
    <w:r w:rsidRPr="00A11317">
      <w:t xml:space="preserve">Administrative Bulletin </w:t>
    </w:r>
    <w:r w:rsidR="00D25E9F" w:rsidRPr="00A11317">
      <w:t>2</w:t>
    </w:r>
    <w:r w:rsidR="00BE3F7E">
      <w:t>5</w:t>
    </w:r>
    <w:r w:rsidR="00D25E9F" w:rsidRPr="00A11317">
      <w:t>-</w:t>
    </w:r>
    <w:r w:rsidR="00BF5042">
      <w:t>06</w:t>
    </w:r>
  </w:p>
  <w:p w14:paraId="64299DFB" w14:textId="03778823" w:rsidR="00E964C3" w:rsidRPr="00AC798F" w:rsidRDefault="00E964C3" w:rsidP="0071737A">
    <w:pPr>
      <w:spacing w:after="0" w:line="276" w:lineRule="auto"/>
      <w:jc w:val="right"/>
    </w:pPr>
    <w:r w:rsidRPr="00A11317">
      <w:t xml:space="preserve">Effective </w:t>
    </w:r>
    <w:r w:rsidR="009E3858" w:rsidRPr="00A11317">
      <w:t>January 1, 202</w:t>
    </w:r>
    <w:r w:rsidR="00BE3F7E">
      <w:t>5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136A"/>
    <w:rsid w:val="00024809"/>
    <w:rsid w:val="000254AF"/>
    <w:rsid w:val="000722C4"/>
    <w:rsid w:val="000B3478"/>
    <w:rsid w:val="000C7EE0"/>
    <w:rsid w:val="000F1B4A"/>
    <w:rsid w:val="000F385D"/>
    <w:rsid w:val="00100E5C"/>
    <w:rsid w:val="00103746"/>
    <w:rsid w:val="001124C4"/>
    <w:rsid w:val="00130559"/>
    <w:rsid w:val="00134791"/>
    <w:rsid w:val="00146C2F"/>
    <w:rsid w:val="00153DCE"/>
    <w:rsid w:val="00154CA9"/>
    <w:rsid w:val="0016321D"/>
    <w:rsid w:val="00193348"/>
    <w:rsid w:val="001A7742"/>
    <w:rsid w:val="001A7A68"/>
    <w:rsid w:val="001D628B"/>
    <w:rsid w:val="001E2037"/>
    <w:rsid w:val="001E30B4"/>
    <w:rsid w:val="002135BC"/>
    <w:rsid w:val="0022152B"/>
    <w:rsid w:val="002448DD"/>
    <w:rsid w:val="00251361"/>
    <w:rsid w:val="00254BBD"/>
    <w:rsid w:val="00266B97"/>
    <w:rsid w:val="00271D28"/>
    <w:rsid w:val="0027639F"/>
    <w:rsid w:val="00284238"/>
    <w:rsid w:val="00291039"/>
    <w:rsid w:val="002A779E"/>
    <w:rsid w:val="002C453D"/>
    <w:rsid w:val="003113E4"/>
    <w:rsid w:val="0033130A"/>
    <w:rsid w:val="00351564"/>
    <w:rsid w:val="00355C86"/>
    <w:rsid w:val="00355F41"/>
    <w:rsid w:val="003575DF"/>
    <w:rsid w:val="00395F5B"/>
    <w:rsid w:val="003A3882"/>
    <w:rsid w:val="003B0112"/>
    <w:rsid w:val="003D04E7"/>
    <w:rsid w:val="003F02D0"/>
    <w:rsid w:val="003F04DD"/>
    <w:rsid w:val="003F6AAE"/>
    <w:rsid w:val="00400FD9"/>
    <w:rsid w:val="0041466F"/>
    <w:rsid w:val="00417159"/>
    <w:rsid w:val="0041715C"/>
    <w:rsid w:val="00421B27"/>
    <w:rsid w:val="004226F6"/>
    <w:rsid w:val="00425A72"/>
    <w:rsid w:val="0043744D"/>
    <w:rsid w:val="00443CDB"/>
    <w:rsid w:val="00443D44"/>
    <w:rsid w:val="00465E5A"/>
    <w:rsid w:val="00470F5A"/>
    <w:rsid w:val="00474AE9"/>
    <w:rsid w:val="004919A2"/>
    <w:rsid w:val="004B0AA6"/>
    <w:rsid w:val="004D08DF"/>
    <w:rsid w:val="004D48D7"/>
    <w:rsid w:val="004E39B1"/>
    <w:rsid w:val="004F18B4"/>
    <w:rsid w:val="005246D9"/>
    <w:rsid w:val="00532227"/>
    <w:rsid w:val="00533A3B"/>
    <w:rsid w:val="0053555D"/>
    <w:rsid w:val="0054222D"/>
    <w:rsid w:val="0056474D"/>
    <w:rsid w:val="0056541E"/>
    <w:rsid w:val="005702E6"/>
    <w:rsid w:val="0057224E"/>
    <w:rsid w:val="00585302"/>
    <w:rsid w:val="00597C39"/>
    <w:rsid w:val="005A0C7D"/>
    <w:rsid w:val="005B5D35"/>
    <w:rsid w:val="005D790E"/>
    <w:rsid w:val="005E40F5"/>
    <w:rsid w:val="005F20AC"/>
    <w:rsid w:val="005F66F1"/>
    <w:rsid w:val="00607406"/>
    <w:rsid w:val="00637F9F"/>
    <w:rsid w:val="0064272D"/>
    <w:rsid w:val="00656FFF"/>
    <w:rsid w:val="006718AB"/>
    <w:rsid w:val="0069594B"/>
    <w:rsid w:val="006A20C2"/>
    <w:rsid w:val="006B1D87"/>
    <w:rsid w:val="006B32FA"/>
    <w:rsid w:val="006B6EE0"/>
    <w:rsid w:val="006C4379"/>
    <w:rsid w:val="006C7877"/>
    <w:rsid w:val="006D5209"/>
    <w:rsid w:val="006E5DED"/>
    <w:rsid w:val="006E64A6"/>
    <w:rsid w:val="0070235D"/>
    <w:rsid w:val="0071737A"/>
    <w:rsid w:val="00720C4F"/>
    <w:rsid w:val="00721578"/>
    <w:rsid w:val="00734039"/>
    <w:rsid w:val="00752C54"/>
    <w:rsid w:val="00781174"/>
    <w:rsid w:val="00782360"/>
    <w:rsid w:val="00796A70"/>
    <w:rsid w:val="007A44FF"/>
    <w:rsid w:val="007B48C3"/>
    <w:rsid w:val="007D533E"/>
    <w:rsid w:val="007F04B8"/>
    <w:rsid w:val="00800711"/>
    <w:rsid w:val="00835677"/>
    <w:rsid w:val="0085209F"/>
    <w:rsid w:val="00852E4B"/>
    <w:rsid w:val="008669CB"/>
    <w:rsid w:val="00897DD4"/>
    <w:rsid w:val="008A50C9"/>
    <w:rsid w:val="008C7C8A"/>
    <w:rsid w:val="008C7CF5"/>
    <w:rsid w:val="008D1B58"/>
    <w:rsid w:val="008F7224"/>
    <w:rsid w:val="00917343"/>
    <w:rsid w:val="00923150"/>
    <w:rsid w:val="00955099"/>
    <w:rsid w:val="00964EDE"/>
    <w:rsid w:val="00984786"/>
    <w:rsid w:val="009A3538"/>
    <w:rsid w:val="009B4D27"/>
    <w:rsid w:val="009D73BE"/>
    <w:rsid w:val="009E3858"/>
    <w:rsid w:val="00A01877"/>
    <w:rsid w:val="00A01D8C"/>
    <w:rsid w:val="00A03926"/>
    <w:rsid w:val="00A06F80"/>
    <w:rsid w:val="00A11317"/>
    <w:rsid w:val="00A1367C"/>
    <w:rsid w:val="00A30A29"/>
    <w:rsid w:val="00A34C8D"/>
    <w:rsid w:val="00A40622"/>
    <w:rsid w:val="00A41982"/>
    <w:rsid w:val="00A51E07"/>
    <w:rsid w:val="00A53F91"/>
    <w:rsid w:val="00A72FAD"/>
    <w:rsid w:val="00A747F5"/>
    <w:rsid w:val="00A75CD6"/>
    <w:rsid w:val="00A75FAB"/>
    <w:rsid w:val="00A940E8"/>
    <w:rsid w:val="00AB33D8"/>
    <w:rsid w:val="00AC659A"/>
    <w:rsid w:val="00AC798F"/>
    <w:rsid w:val="00AD1945"/>
    <w:rsid w:val="00AD7E8F"/>
    <w:rsid w:val="00AE1A07"/>
    <w:rsid w:val="00AE610F"/>
    <w:rsid w:val="00B0173B"/>
    <w:rsid w:val="00B02372"/>
    <w:rsid w:val="00B05E0C"/>
    <w:rsid w:val="00B1344A"/>
    <w:rsid w:val="00B45016"/>
    <w:rsid w:val="00B61D29"/>
    <w:rsid w:val="00B623EB"/>
    <w:rsid w:val="00B910B0"/>
    <w:rsid w:val="00BA0563"/>
    <w:rsid w:val="00BA6D03"/>
    <w:rsid w:val="00BB4E8A"/>
    <w:rsid w:val="00BE1FB2"/>
    <w:rsid w:val="00BE3F7E"/>
    <w:rsid w:val="00BE6F69"/>
    <w:rsid w:val="00BF5042"/>
    <w:rsid w:val="00C1076E"/>
    <w:rsid w:val="00C400D6"/>
    <w:rsid w:val="00C4194A"/>
    <w:rsid w:val="00C773D1"/>
    <w:rsid w:val="00C861AE"/>
    <w:rsid w:val="00C87BF7"/>
    <w:rsid w:val="00CC1439"/>
    <w:rsid w:val="00CC665B"/>
    <w:rsid w:val="00CD0456"/>
    <w:rsid w:val="00CD3CA7"/>
    <w:rsid w:val="00CE022B"/>
    <w:rsid w:val="00D160CC"/>
    <w:rsid w:val="00D25E9F"/>
    <w:rsid w:val="00D35546"/>
    <w:rsid w:val="00D35714"/>
    <w:rsid w:val="00D35E47"/>
    <w:rsid w:val="00D5182F"/>
    <w:rsid w:val="00D63172"/>
    <w:rsid w:val="00D732B8"/>
    <w:rsid w:val="00D743AE"/>
    <w:rsid w:val="00D761F6"/>
    <w:rsid w:val="00D934FF"/>
    <w:rsid w:val="00DA095C"/>
    <w:rsid w:val="00DD5510"/>
    <w:rsid w:val="00DF21B5"/>
    <w:rsid w:val="00E10A6E"/>
    <w:rsid w:val="00E20CD9"/>
    <w:rsid w:val="00E27559"/>
    <w:rsid w:val="00E320F9"/>
    <w:rsid w:val="00E51C14"/>
    <w:rsid w:val="00E56BD5"/>
    <w:rsid w:val="00E620A3"/>
    <w:rsid w:val="00E74BC2"/>
    <w:rsid w:val="00E87ECE"/>
    <w:rsid w:val="00E91C4D"/>
    <w:rsid w:val="00E92AC9"/>
    <w:rsid w:val="00E964C3"/>
    <w:rsid w:val="00EE4CAE"/>
    <w:rsid w:val="00F02C99"/>
    <w:rsid w:val="00F12503"/>
    <w:rsid w:val="00F12C5F"/>
    <w:rsid w:val="00F247CB"/>
    <w:rsid w:val="00F30AF6"/>
    <w:rsid w:val="00F360B1"/>
    <w:rsid w:val="00F44C98"/>
    <w:rsid w:val="00F44E10"/>
    <w:rsid w:val="00F531D7"/>
    <w:rsid w:val="00F53E96"/>
    <w:rsid w:val="00F56AC3"/>
    <w:rsid w:val="00F57B0D"/>
    <w:rsid w:val="00F60649"/>
    <w:rsid w:val="00F65E52"/>
    <w:rsid w:val="00F8728D"/>
    <w:rsid w:val="00F87992"/>
    <w:rsid w:val="00FB216E"/>
    <w:rsid w:val="00FD76C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E9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7DD4"/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AE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A0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A07"/>
    <w:rPr>
      <w:rFonts w:ascii="Georgia" w:hAnsi="Georg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43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3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regulations/101-CMR-32000-rates-for-clinical-laboratory-services?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Date xmlns="0772689b-326b-46a5-b84c-c726c57fbc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9ee3d2ba-7328-44ae-87fe-aca0b3dbec46"/>
    <ds:schemaRef ds:uri="http://schemas.microsoft.com/office/2006/documentManagement/types"/>
    <ds:schemaRef ds:uri="0772689b-326b-46a5-b84c-c726c57fbc8b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2E037-7042-44A6-9824-3979716B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489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Bulletin 24-19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Bulletin 24-19</dc:title>
  <dc:subject>101 CMR 320 - 2024 CPT Code Updates</dc:subject>
  <dc:creator>Executive Office of Health and Human Services</dc:creator>
  <cp:lastModifiedBy>DeLeo, Dan (EHS)</cp:lastModifiedBy>
  <cp:revision>12</cp:revision>
  <cp:lastPrinted>2025-04-25T15:48:00Z</cp:lastPrinted>
  <dcterms:created xsi:type="dcterms:W3CDTF">2025-04-02T20:28:00Z</dcterms:created>
  <dcterms:modified xsi:type="dcterms:W3CDTF">2025-04-25T15:48:00Z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