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32711B58" w:rsidR="00533A3B" w:rsidRDefault="00533A3B" w:rsidP="00A72FAD">
      <w:pPr>
        <w:pStyle w:val="Heading1"/>
        <w:spacing w:before="120" w:after="0"/>
      </w:pPr>
      <w:r w:rsidRPr="00100E5C">
        <w:t xml:space="preserve">Administrative Bulletin </w:t>
      </w:r>
      <w:r w:rsidR="00E04591">
        <w:t>25</w:t>
      </w:r>
      <w:r w:rsidR="00E04591" w:rsidRPr="00CC513F">
        <w:t>-</w:t>
      </w:r>
      <w:r w:rsidR="00CC513F" w:rsidRPr="00CC513F">
        <w:t>09</w:t>
      </w:r>
    </w:p>
    <w:p w14:paraId="2AD16DA2" w14:textId="77777777" w:rsidR="00A72FAD" w:rsidRPr="00A72FAD" w:rsidRDefault="00A72FAD" w:rsidP="00A72FAD">
      <w:pPr>
        <w:spacing w:after="0"/>
      </w:pPr>
    </w:p>
    <w:p w14:paraId="1D3755FA" w14:textId="7FF922B4" w:rsidR="00533A3B" w:rsidRDefault="00533A3B" w:rsidP="00A72FAD">
      <w:pPr>
        <w:spacing w:after="0"/>
        <w:jc w:val="center"/>
        <w:rPr>
          <w:b/>
          <w:bCs/>
          <w:i/>
          <w:iCs/>
          <w:sz w:val="24"/>
          <w:szCs w:val="24"/>
        </w:rPr>
      </w:pPr>
      <w:r w:rsidRPr="00796A70">
        <w:rPr>
          <w:b/>
          <w:bCs/>
          <w:sz w:val="24"/>
          <w:szCs w:val="24"/>
        </w:rPr>
        <w:t xml:space="preserve">101 CMR </w:t>
      </w:r>
      <w:r w:rsidR="00507C35">
        <w:rPr>
          <w:b/>
          <w:bCs/>
          <w:sz w:val="24"/>
          <w:szCs w:val="24"/>
        </w:rPr>
        <w:t>334</w:t>
      </w:r>
      <w:r w:rsidRPr="00796A70">
        <w:rPr>
          <w:b/>
          <w:bCs/>
          <w:sz w:val="24"/>
          <w:szCs w:val="24"/>
        </w:rPr>
        <w:t xml:space="preserve">.00: </w:t>
      </w:r>
      <w:r w:rsidR="00507C35" w:rsidRPr="00507C35">
        <w:rPr>
          <w:b/>
          <w:bCs/>
          <w:i/>
          <w:iCs/>
          <w:sz w:val="24"/>
          <w:szCs w:val="24"/>
        </w:rPr>
        <w:t>Rates for Prostheses, Prosthetic Devices</w:t>
      </w:r>
      <w:r w:rsidR="002D7B9F">
        <w:rPr>
          <w:b/>
          <w:bCs/>
          <w:i/>
          <w:iCs/>
          <w:sz w:val="24"/>
          <w:szCs w:val="24"/>
        </w:rPr>
        <w:t>,</w:t>
      </w:r>
      <w:r w:rsidR="00507C35" w:rsidRPr="00507C35">
        <w:rPr>
          <w:b/>
          <w:bCs/>
          <w:i/>
          <w:iCs/>
          <w:sz w:val="24"/>
          <w:szCs w:val="24"/>
        </w:rPr>
        <w:t xml:space="preserve"> and Orthotic Devices</w:t>
      </w:r>
    </w:p>
    <w:p w14:paraId="04FBBEA3" w14:textId="77777777" w:rsidR="00A72FAD" w:rsidRPr="00A72FAD" w:rsidRDefault="00A72FAD" w:rsidP="00A72FAD">
      <w:pPr>
        <w:spacing w:after="0"/>
      </w:pPr>
    </w:p>
    <w:p w14:paraId="27A5BE69" w14:textId="3C788F28" w:rsidR="00533A3B" w:rsidRPr="00507C35" w:rsidRDefault="00533A3B" w:rsidP="00A72FAD">
      <w:pPr>
        <w:spacing w:after="0"/>
        <w:jc w:val="center"/>
        <w:rPr>
          <w:sz w:val="24"/>
          <w:szCs w:val="24"/>
        </w:rPr>
      </w:pPr>
      <w:r w:rsidRPr="00507C35">
        <w:rPr>
          <w:sz w:val="24"/>
          <w:szCs w:val="24"/>
        </w:rPr>
        <w:t xml:space="preserve">Effective </w:t>
      </w:r>
      <w:r w:rsidR="00507C35" w:rsidRPr="00507C35">
        <w:rPr>
          <w:sz w:val="24"/>
          <w:szCs w:val="24"/>
        </w:rPr>
        <w:t>January 1, 2025</w:t>
      </w:r>
    </w:p>
    <w:p w14:paraId="02B0D633" w14:textId="77777777" w:rsidR="00A72FAD" w:rsidRPr="00A72FAD" w:rsidRDefault="00A72FAD" w:rsidP="00A72FAD">
      <w:pPr>
        <w:spacing w:after="0"/>
      </w:pPr>
    </w:p>
    <w:p w14:paraId="220D9338" w14:textId="5FD86937" w:rsidR="00533A3B" w:rsidRDefault="00507C35" w:rsidP="00507C35">
      <w:pPr>
        <w:spacing w:after="0"/>
        <w:jc w:val="center"/>
        <w:rPr>
          <w:rFonts w:eastAsia="Times New Roman" w:cs="Times New Roman"/>
          <w:b/>
          <w:bCs/>
          <w:noProof/>
          <w:sz w:val="24"/>
          <w:szCs w:val="24"/>
        </w:rPr>
      </w:pPr>
      <w:r w:rsidRPr="00507C35">
        <w:rPr>
          <w:rFonts w:eastAsia="Times New Roman" w:cs="Times New Roman"/>
          <w:b/>
          <w:bCs/>
          <w:noProof/>
          <w:sz w:val="24"/>
          <w:szCs w:val="24"/>
        </w:rPr>
        <w:t>Code Updates for Certain Prostheses and Orthotic Devices</w:t>
      </w:r>
    </w:p>
    <w:p w14:paraId="60B2D6FC" w14:textId="77777777" w:rsidR="00BA5013" w:rsidRDefault="00BA5013" w:rsidP="00BA5013">
      <w:pPr>
        <w:spacing w:after="0"/>
      </w:pPr>
    </w:p>
    <w:p w14:paraId="218ED137" w14:textId="77777777" w:rsidR="00E964C3" w:rsidRDefault="00E964C3" w:rsidP="00507C35">
      <w:pPr>
        <w:spacing w:after="0" w:line="276" w:lineRule="auto"/>
        <w:jc w:val="center"/>
        <w:sectPr w:rsidR="00E964C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58963A2" w14:textId="370D497D" w:rsidR="00852E4B" w:rsidRPr="0022152B" w:rsidRDefault="00507C35" w:rsidP="00DA095C">
      <w:pPr>
        <w:pStyle w:val="Heading2"/>
      </w:pPr>
      <w:r>
        <w:t>Summary</w:t>
      </w:r>
    </w:p>
    <w:p w14:paraId="652BB30E" w14:textId="75EA66E0" w:rsidR="00507C35" w:rsidRDefault="00507C35" w:rsidP="00507C35">
      <w:r>
        <w:t>Under the authority of 101 CMR 334.01(5), the Executive Office of Health and Human Services is revising one code description, effective for dates of service on or after January 1, 2025.</w:t>
      </w:r>
    </w:p>
    <w:p w14:paraId="3A39AD6C" w14:textId="576B8743" w:rsidR="00DD626A" w:rsidRDefault="00507C35" w:rsidP="00507C35">
      <w:r>
        <w:t>The appearance of a code in the table below does not constitute authorization for, or approval of, the procedures or services for which rates are determined pursuant to 101 CMR 334.00. Governmental units that purchase care are responsible for the definition, authorization, and approval of care to publicly aided individuals.</w:t>
      </w:r>
    </w:p>
    <w:p w14:paraId="20BF86FF" w14:textId="629F30B7" w:rsidR="00507C35" w:rsidRDefault="00507C35" w:rsidP="00507C35">
      <w:pPr>
        <w:pStyle w:val="Heading2"/>
      </w:pPr>
      <w:r>
        <w:t>Revised Code Description</w:t>
      </w:r>
    </w:p>
    <w:tbl>
      <w:tblPr>
        <w:tblW w:w="947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90"/>
        <w:gridCol w:w="8485"/>
      </w:tblGrid>
      <w:tr w:rsidR="00507C35" w:rsidRPr="00507C35" w14:paraId="7CDC8718" w14:textId="77777777" w:rsidTr="002876B0">
        <w:trPr>
          <w:trHeight w:val="368"/>
          <w:tblHeader/>
        </w:trPr>
        <w:tc>
          <w:tcPr>
            <w:tcW w:w="990" w:type="dxa"/>
          </w:tcPr>
          <w:p w14:paraId="7F03595A" w14:textId="77777777" w:rsidR="00507C35" w:rsidRPr="00507C35" w:rsidRDefault="00507C35" w:rsidP="00507C35">
            <w:pPr>
              <w:rPr>
                <w:b/>
                <w:bCs/>
              </w:rPr>
            </w:pPr>
            <w:r w:rsidRPr="00507C35">
              <w:rPr>
                <w:b/>
                <w:bCs/>
              </w:rPr>
              <w:t>Code</w:t>
            </w:r>
          </w:p>
        </w:tc>
        <w:tc>
          <w:tcPr>
            <w:tcW w:w="8485" w:type="dxa"/>
          </w:tcPr>
          <w:p w14:paraId="3E87DAAA" w14:textId="77777777" w:rsidR="00507C35" w:rsidRPr="00507C35" w:rsidRDefault="00507C35" w:rsidP="00507C35">
            <w:pPr>
              <w:rPr>
                <w:b/>
                <w:bCs/>
              </w:rPr>
            </w:pPr>
            <w:r w:rsidRPr="00507C35">
              <w:rPr>
                <w:b/>
                <w:bCs/>
              </w:rPr>
              <w:t>Description</w:t>
            </w:r>
          </w:p>
        </w:tc>
      </w:tr>
      <w:tr w:rsidR="00507C35" w:rsidRPr="00507C35" w14:paraId="19F26363" w14:textId="77777777" w:rsidTr="002876B0">
        <w:trPr>
          <w:trHeight w:val="530"/>
          <w:tblHeader/>
        </w:trPr>
        <w:tc>
          <w:tcPr>
            <w:tcW w:w="990" w:type="dxa"/>
            <w:vAlign w:val="center"/>
          </w:tcPr>
          <w:p w14:paraId="33378DAB" w14:textId="77777777" w:rsidR="00507C35" w:rsidRPr="00507C35" w:rsidRDefault="00507C35" w:rsidP="00507C35">
            <w:r w:rsidRPr="00507C35">
              <w:t>L8720</w:t>
            </w:r>
          </w:p>
        </w:tc>
        <w:tc>
          <w:tcPr>
            <w:tcW w:w="8485" w:type="dxa"/>
            <w:tcBorders>
              <w:top w:val="nil"/>
              <w:left w:val="nil"/>
              <w:bottom w:val="single" w:sz="4" w:space="0" w:color="auto"/>
              <w:right w:val="single" w:sz="4" w:space="0" w:color="auto"/>
            </w:tcBorders>
            <w:shd w:val="clear" w:color="auto" w:fill="auto"/>
            <w:vAlign w:val="center"/>
          </w:tcPr>
          <w:p w14:paraId="7542ACF7" w14:textId="77777777" w:rsidR="00507C35" w:rsidRPr="00507C35" w:rsidRDefault="00507C35" w:rsidP="00507C35">
            <w:r w:rsidRPr="00507C35">
              <w:t>External lower extremity sensory prosthetic device, cutaneous stimulation of mechanoreceptors proximal to the ankle, per leg</w:t>
            </w:r>
          </w:p>
        </w:tc>
      </w:tr>
    </w:tbl>
    <w:p w14:paraId="3BCFB3D4" w14:textId="77777777" w:rsidR="00507C35" w:rsidRPr="00507C35" w:rsidRDefault="00507C35" w:rsidP="00507C35"/>
    <w:sectPr w:rsidR="00507C35" w:rsidRPr="00507C35" w:rsidSect="00E964C3">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6FC4" w14:textId="77777777" w:rsidR="002E2AB6" w:rsidRDefault="002E2AB6" w:rsidP="00AC798F">
      <w:r>
        <w:separator/>
      </w:r>
    </w:p>
    <w:p w14:paraId="216F9303" w14:textId="77777777" w:rsidR="002E2AB6" w:rsidRDefault="002E2AB6"/>
  </w:endnote>
  <w:endnote w:type="continuationSeparator" w:id="0">
    <w:p w14:paraId="33971858" w14:textId="77777777" w:rsidR="002E2AB6" w:rsidRDefault="002E2AB6" w:rsidP="00AC798F">
      <w:r>
        <w:continuationSeparator/>
      </w:r>
    </w:p>
    <w:p w14:paraId="468DB2AC" w14:textId="77777777" w:rsidR="002E2AB6" w:rsidRDefault="002E2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8532" w14:textId="77777777" w:rsidR="002E2AB6" w:rsidRDefault="002E2AB6" w:rsidP="00AC798F">
      <w:r>
        <w:separator/>
      </w:r>
    </w:p>
    <w:p w14:paraId="5E71A5EE" w14:textId="77777777" w:rsidR="002E2AB6" w:rsidRDefault="002E2AB6"/>
  </w:footnote>
  <w:footnote w:type="continuationSeparator" w:id="0">
    <w:p w14:paraId="5A500624" w14:textId="77777777" w:rsidR="002E2AB6" w:rsidRDefault="002E2AB6" w:rsidP="00AC798F">
      <w:r>
        <w:continuationSeparator/>
      </w:r>
    </w:p>
    <w:p w14:paraId="4B08784E" w14:textId="77777777" w:rsidR="002E2AB6" w:rsidRDefault="002E2A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77777777" w:rsidR="00E964C3" w:rsidRPr="00AC798F" w:rsidRDefault="00E964C3" w:rsidP="0071737A">
    <w:pPr>
      <w:spacing w:after="0" w:line="276" w:lineRule="auto"/>
      <w:jc w:val="right"/>
    </w:pPr>
    <w:r w:rsidRPr="00AC798F">
      <w:t>Administrative Bulletin [</w:t>
    </w:r>
    <w:r w:rsidRPr="00AC798F">
      <w:rPr>
        <w:color w:val="FF0000"/>
      </w:rPr>
      <w:t>YY-#</w:t>
    </w:r>
    <w:r w:rsidRPr="00AC798F">
      <w:t>]</w:t>
    </w:r>
  </w:p>
  <w:p w14:paraId="64299DFB" w14:textId="77777777" w:rsidR="00E964C3" w:rsidRPr="00AC798F" w:rsidRDefault="00E964C3" w:rsidP="0071737A">
    <w:pPr>
      <w:spacing w:after="0" w:line="276" w:lineRule="auto"/>
      <w:jc w:val="right"/>
    </w:pPr>
    <w:r w:rsidRPr="00AC798F">
      <w:t>Effective [</w:t>
    </w:r>
    <w:r w:rsidRPr="0022152B">
      <w:rPr>
        <w:color w:val="FF0000"/>
      </w:rPr>
      <w:t>Month Day, YYYY</w:t>
    </w:r>
    <w:r w:rsidRPr="00AC798F">
      <w:t>]</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14BF"/>
    <w:rsid w:val="00024809"/>
    <w:rsid w:val="000342B7"/>
    <w:rsid w:val="000722C4"/>
    <w:rsid w:val="000B3478"/>
    <w:rsid w:val="000E5B69"/>
    <w:rsid w:val="00100E5C"/>
    <w:rsid w:val="00103746"/>
    <w:rsid w:val="00116DA8"/>
    <w:rsid w:val="00130559"/>
    <w:rsid w:val="00134791"/>
    <w:rsid w:val="00146C2F"/>
    <w:rsid w:val="00153DCE"/>
    <w:rsid w:val="00154CA9"/>
    <w:rsid w:val="00193348"/>
    <w:rsid w:val="001A7742"/>
    <w:rsid w:val="001A7A68"/>
    <w:rsid w:val="001D628B"/>
    <w:rsid w:val="001F5998"/>
    <w:rsid w:val="00213815"/>
    <w:rsid w:val="0022152B"/>
    <w:rsid w:val="00237BCE"/>
    <w:rsid w:val="002448DD"/>
    <w:rsid w:val="00266B97"/>
    <w:rsid w:val="00271D28"/>
    <w:rsid w:val="0027639F"/>
    <w:rsid w:val="00284238"/>
    <w:rsid w:val="002876B0"/>
    <w:rsid w:val="00291039"/>
    <w:rsid w:val="002A779E"/>
    <w:rsid w:val="002D7B9F"/>
    <w:rsid w:val="002E0806"/>
    <w:rsid w:val="002E2AB6"/>
    <w:rsid w:val="002E4429"/>
    <w:rsid w:val="003113E4"/>
    <w:rsid w:val="0033130A"/>
    <w:rsid w:val="00351564"/>
    <w:rsid w:val="003644F6"/>
    <w:rsid w:val="003A3882"/>
    <w:rsid w:val="003F6AAE"/>
    <w:rsid w:val="0041466F"/>
    <w:rsid w:val="0041715C"/>
    <w:rsid w:val="00421B27"/>
    <w:rsid w:val="00443CDB"/>
    <w:rsid w:val="00465E5A"/>
    <w:rsid w:val="00495892"/>
    <w:rsid w:val="004B1D7D"/>
    <w:rsid w:val="004D48D7"/>
    <w:rsid w:val="00507C35"/>
    <w:rsid w:val="005246D9"/>
    <w:rsid w:val="00533A3B"/>
    <w:rsid w:val="0053555D"/>
    <w:rsid w:val="0056474D"/>
    <w:rsid w:val="005702E6"/>
    <w:rsid w:val="0057224E"/>
    <w:rsid w:val="00585302"/>
    <w:rsid w:val="00597C39"/>
    <w:rsid w:val="005A5520"/>
    <w:rsid w:val="005B5D35"/>
    <w:rsid w:val="005E2329"/>
    <w:rsid w:val="005F20AC"/>
    <w:rsid w:val="005F66F1"/>
    <w:rsid w:val="00607406"/>
    <w:rsid w:val="0064272D"/>
    <w:rsid w:val="006539F6"/>
    <w:rsid w:val="00656FFF"/>
    <w:rsid w:val="006718AB"/>
    <w:rsid w:val="006A6684"/>
    <w:rsid w:val="006B1D87"/>
    <w:rsid w:val="006B6EE0"/>
    <w:rsid w:val="006E5DED"/>
    <w:rsid w:val="006F115D"/>
    <w:rsid w:val="0070235D"/>
    <w:rsid w:val="0071737A"/>
    <w:rsid w:val="00720C4F"/>
    <w:rsid w:val="00721C69"/>
    <w:rsid w:val="00734039"/>
    <w:rsid w:val="00752392"/>
    <w:rsid w:val="00782360"/>
    <w:rsid w:val="00796A70"/>
    <w:rsid w:val="007B22F3"/>
    <w:rsid w:val="007B48C3"/>
    <w:rsid w:val="007F04B8"/>
    <w:rsid w:val="00800711"/>
    <w:rsid w:val="00811FF0"/>
    <w:rsid w:val="00817703"/>
    <w:rsid w:val="00835677"/>
    <w:rsid w:val="00852E4B"/>
    <w:rsid w:val="008669CB"/>
    <w:rsid w:val="008841E9"/>
    <w:rsid w:val="008A50C9"/>
    <w:rsid w:val="008C7C8A"/>
    <w:rsid w:val="009201E7"/>
    <w:rsid w:val="00961A48"/>
    <w:rsid w:val="00964EDE"/>
    <w:rsid w:val="00984786"/>
    <w:rsid w:val="009A3538"/>
    <w:rsid w:val="009E0C71"/>
    <w:rsid w:val="00A01D8C"/>
    <w:rsid w:val="00A06F80"/>
    <w:rsid w:val="00A13213"/>
    <w:rsid w:val="00A2440E"/>
    <w:rsid w:val="00A34C8D"/>
    <w:rsid w:val="00A40946"/>
    <w:rsid w:val="00A72FAD"/>
    <w:rsid w:val="00A75CD6"/>
    <w:rsid w:val="00AB33D8"/>
    <w:rsid w:val="00AC798F"/>
    <w:rsid w:val="00AD1945"/>
    <w:rsid w:val="00B0173B"/>
    <w:rsid w:val="00B05E0C"/>
    <w:rsid w:val="00B150C5"/>
    <w:rsid w:val="00B623EB"/>
    <w:rsid w:val="00BA5013"/>
    <w:rsid w:val="00BA6D03"/>
    <w:rsid w:val="00BE1FB2"/>
    <w:rsid w:val="00C1076E"/>
    <w:rsid w:val="00C400D6"/>
    <w:rsid w:val="00C4194A"/>
    <w:rsid w:val="00C773D1"/>
    <w:rsid w:val="00C87BF7"/>
    <w:rsid w:val="00CC513F"/>
    <w:rsid w:val="00CD0456"/>
    <w:rsid w:val="00D160CC"/>
    <w:rsid w:val="00D35714"/>
    <w:rsid w:val="00D407CF"/>
    <w:rsid w:val="00D5182F"/>
    <w:rsid w:val="00D63172"/>
    <w:rsid w:val="00D761F6"/>
    <w:rsid w:val="00DA095C"/>
    <w:rsid w:val="00DA2AD3"/>
    <w:rsid w:val="00DD626A"/>
    <w:rsid w:val="00DF7D2B"/>
    <w:rsid w:val="00E04591"/>
    <w:rsid w:val="00E06A5D"/>
    <w:rsid w:val="00E10A6E"/>
    <w:rsid w:val="00E260F7"/>
    <w:rsid w:val="00E27559"/>
    <w:rsid w:val="00E320F9"/>
    <w:rsid w:val="00E56BD5"/>
    <w:rsid w:val="00E620A3"/>
    <w:rsid w:val="00E74BC2"/>
    <w:rsid w:val="00E85935"/>
    <w:rsid w:val="00E90940"/>
    <w:rsid w:val="00E92AC9"/>
    <w:rsid w:val="00E963EB"/>
    <w:rsid w:val="00E964C3"/>
    <w:rsid w:val="00EE4CAE"/>
    <w:rsid w:val="00F12C5F"/>
    <w:rsid w:val="00F247CB"/>
    <w:rsid w:val="00F30AF6"/>
    <w:rsid w:val="00F44C98"/>
    <w:rsid w:val="00F44E10"/>
    <w:rsid w:val="00F531D7"/>
    <w:rsid w:val="00F56D7C"/>
    <w:rsid w:val="00F60649"/>
    <w:rsid w:val="00F65E5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paragraph" w:styleId="Revision">
    <w:name w:val="Revision"/>
    <w:hidden/>
    <w:uiPriority w:val="99"/>
    <w:semiHidden/>
    <w:rsid w:val="000214BF"/>
    <w:rPr>
      <w:rFonts w:ascii="Georgia" w:hAnsi="Georgia"/>
    </w:rPr>
  </w:style>
  <w:style w:type="character" w:styleId="CommentReference">
    <w:name w:val="annotation reference"/>
    <w:basedOn w:val="DefaultParagraphFont"/>
    <w:uiPriority w:val="99"/>
    <w:semiHidden/>
    <w:unhideWhenUsed/>
    <w:rsid w:val="002D7B9F"/>
    <w:rPr>
      <w:sz w:val="16"/>
      <w:szCs w:val="16"/>
    </w:rPr>
  </w:style>
  <w:style w:type="paragraph" w:styleId="CommentText">
    <w:name w:val="annotation text"/>
    <w:basedOn w:val="Normal"/>
    <w:link w:val="CommentTextChar"/>
    <w:uiPriority w:val="99"/>
    <w:unhideWhenUsed/>
    <w:rsid w:val="002D7B9F"/>
    <w:rPr>
      <w:sz w:val="20"/>
      <w:szCs w:val="20"/>
    </w:rPr>
  </w:style>
  <w:style w:type="character" w:customStyle="1" w:styleId="CommentTextChar">
    <w:name w:val="Comment Text Char"/>
    <w:basedOn w:val="DefaultParagraphFont"/>
    <w:link w:val="CommentText"/>
    <w:uiPriority w:val="99"/>
    <w:rsid w:val="002D7B9F"/>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2D7B9F"/>
    <w:rPr>
      <w:b/>
      <w:bCs/>
    </w:rPr>
  </w:style>
  <w:style w:type="character" w:customStyle="1" w:styleId="CommentSubjectChar">
    <w:name w:val="Comment Subject Char"/>
    <w:basedOn w:val="CommentTextChar"/>
    <w:link w:val="CommentSubject"/>
    <w:uiPriority w:val="99"/>
    <w:semiHidden/>
    <w:rsid w:val="002D7B9F"/>
    <w:rPr>
      <w:rFonts w:ascii="Georgia" w:hAnsi="Georgia"/>
      <w:b/>
      <w:bCs/>
      <w:sz w:val="20"/>
      <w:szCs w:val="20"/>
    </w:rPr>
  </w:style>
  <w:style w:type="character" w:styleId="UnresolvedMention">
    <w:name w:val="Unresolved Mention"/>
    <w:basedOn w:val="DefaultParagraphFont"/>
    <w:uiPriority w:val="99"/>
    <w:semiHidden/>
    <w:unhideWhenUsed/>
    <w:rsid w:val="002D7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schemas.microsoft.com/office/2006/documentManagement/types"/>
    <ds:schemaRef ds:uri="http://purl.org/dc/terms/"/>
    <ds:schemaRef ds:uri="92d6340a-28f9-40f2-b67e-9117d40e80df"/>
    <ds:schemaRef ds:uri="http://schemas.microsoft.com/office/2006/metadata/properties"/>
    <ds:schemaRef ds:uri="b99dd02c-9c1e-437e-afaf-826568b6bf7d"/>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Schooling, Kathryn H (EHS)</cp:lastModifiedBy>
  <cp:revision>3</cp:revision>
  <cp:lastPrinted>2025-05-13T12:51:00Z</cp:lastPrinted>
  <dcterms:created xsi:type="dcterms:W3CDTF">2025-05-13T12:37:00Z</dcterms:created>
  <dcterms:modified xsi:type="dcterms:W3CDTF">2025-05-13T12:51:00Z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