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40233B15" w:rsidR="00533A3B" w:rsidRDefault="00533A3B" w:rsidP="00A72FAD">
      <w:pPr>
        <w:pStyle w:val="Heading1"/>
        <w:spacing w:before="120" w:after="0"/>
      </w:pPr>
      <w:r w:rsidRPr="00100E5C">
        <w:t xml:space="preserve">Administrative Bulletin </w:t>
      </w:r>
      <w:r w:rsidR="00723537">
        <w:t>25-</w:t>
      </w:r>
      <w:r w:rsidR="00D334E1">
        <w:t>20</w:t>
      </w:r>
    </w:p>
    <w:p w14:paraId="2AD16DA2" w14:textId="77777777" w:rsidR="00A72FAD" w:rsidRPr="00A72FAD" w:rsidRDefault="00A72FAD" w:rsidP="00A72FAD">
      <w:pPr>
        <w:spacing w:after="0"/>
      </w:pPr>
    </w:p>
    <w:p w14:paraId="1D3755FA" w14:textId="3FF6FC72" w:rsidR="00533A3B" w:rsidRDefault="00533A3B" w:rsidP="00A72FAD">
      <w:pPr>
        <w:spacing w:after="0"/>
        <w:jc w:val="center"/>
        <w:rPr>
          <w:b/>
          <w:bCs/>
          <w:i/>
          <w:iCs/>
          <w:sz w:val="24"/>
          <w:szCs w:val="24"/>
        </w:rPr>
      </w:pPr>
      <w:r w:rsidRPr="00796A70">
        <w:rPr>
          <w:b/>
          <w:bCs/>
          <w:sz w:val="24"/>
          <w:szCs w:val="24"/>
        </w:rPr>
        <w:t xml:space="preserve">101 CMR </w:t>
      </w:r>
      <w:r w:rsidR="00D36D35">
        <w:rPr>
          <w:b/>
          <w:bCs/>
          <w:sz w:val="24"/>
          <w:szCs w:val="24"/>
        </w:rPr>
        <w:t>346</w:t>
      </w:r>
      <w:r w:rsidRPr="00796A70">
        <w:rPr>
          <w:b/>
          <w:bCs/>
          <w:sz w:val="24"/>
          <w:szCs w:val="24"/>
        </w:rPr>
        <w:t xml:space="preserve">.00: </w:t>
      </w:r>
      <w:r w:rsidR="006B41E1">
        <w:rPr>
          <w:b/>
          <w:bCs/>
          <w:sz w:val="24"/>
          <w:szCs w:val="24"/>
        </w:rPr>
        <w:t>Rates for Certain Substance-Related and Addic</w:t>
      </w:r>
      <w:r w:rsidR="008843B4">
        <w:rPr>
          <w:b/>
          <w:bCs/>
          <w:sz w:val="24"/>
          <w:szCs w:val="24"/>
        </w:rPr>
        <w:t>tive Disorders Programs</w:t>
      </w:r>
    </w:p>
    <w:p w14:paraId="04FBBEA3" w14:textId="77777777" w:rsidR="00A72FAD" w:rsidRPr="00A72FAD" w:rsidRDefault="00A72FAD" w:rsidP="00A72FAD">
      <w:pPr>
        <w:spacing w:after="0"/>
      </w:pPr>
    </w:p>
    <w:p w14:paraId="27A5BE69" w14:textId="0233214F" w:rsidR="00533A3B" w:rsidRDefault="00533A3B" w:rsidP="00A72FAD">
      <w:pPr>
        <w:spacing w:after="0"/>
        <w:jc w:val="center"/>
        <w:rPr>
          <w:color w:val="FF0000"/>
          <w:sz w:val="24"/>
          <w:szCs w:val="24"/>
        </w:rPr>
      </w:pPr>
      <w:r w:rsidRPr="00796A70">
        <w:rPr>
          <w:sz w:val="24"/>
          <w:szCs w:val="24"/>
        </w:rPr>
        <w:t xml:space="preserve">Effective </w:t>
      </w:r>
      <w:r w:rsidR="008843B4" w:rsidRPr="008843B4">
        <w:rPr>
          <w:sz w:val="24"/>
          <w:szCs w:val="24"/>
        </w:rPr>
        <w:t>July 1, 2025</w:t>
      </w:r>
    </w:p>
    <w:p w14:paraId="02B0D633" w14:textId="77777777" w:rsidR="00A72FAD" w:rsidRPr="00A72FAD" w:rsidRDefault="00A72FAD" w:rsidP="00A72FAD">
      <w:pPr>
        <w:spacing w:after="0"/>
      </w:pPr>
    </w:p>
    <w:p w14:paraId="220D9338" w14:textId="3502AA76" w:rsidR="00533A3B" w:rsidRDefault="0037320D" w:rsidP="00356A6F">
      <w:pPr>
        <w:pStyle w:val="SubjectLine"/>
      </w:pPr>
      <w:r w:rsidRPr="0037320D">
        <w:t>Provisions Related to Publicly Assisted Client Mix Factors for Certain Services Established at 101 CMR 346.00</w:t>
      </w:r>
    </w:p>
    <w:p w14:paraId="218ED137" w14:textId="77777777" w:rsidR="00E964C3" w:rsidRDefault="00E964C3" w:rsidP="00356A6F">
      <w:pPr>
        <w:pStyle w:val="SubjectLine"/>
        <w:sectPr w:rsidR="00E964C3" w:rsidSect="00EE4CAE">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58963A2" w14:textId="59413F9E" w:rsidR="00852E4B" w:rsidRPr="0022152B" w:rsidRDefault="003172DF" w:rsidP="00DA095C">
      <w:pPr>
        <w:pStyle w:val="Heading2"/>
      </w:pPr>
      <w:r>
        <w:t>Background</w:t>
      </w:r>
    </w:p>
    <w:p w14:paraId="3A3502B2" w14:textId="01C3F5CA" w:rsidR="00852E4B" w:rsidRPr="00AC798F" w:rsidRDefault="00852066" w:rsidP="00852E4B">
      <w:pPr>
        <w:spacing w:line="276" w:lineRule="auto"/>
      </w:pPr>
      <w:r w:rsidRPr="00852066">
        <w:t xml:space="preserve">In accordance with 101 CMR 346.01(5): </w:t>
      </w:r>
      <w:r w:rsidRPr="00F00E8F">
        <w:rPr>
          <w:i/>
          <w:iCs/>
        </w:rPr>
        <w:t>Administrative Bulletins</w:t>
      </w:r>
      <w:r w:rsidRPr="00852066">
        <w:t xml:space="preserve"> and 101 CMR 346.04(7)(d): </w:t>
      </w:r>
      <w:r w:rsidRPr="00F00E8F">
        <w:rPr>
          <w:i/>
          <w:iCs/>
        </w:rPr>
        <w:t>Administrative Bulletins</w:t>
      </w:r>
      <w:r w:rsidRPr="00852066">
        <w:t xml:space="preserve">, the Executive Office of Health and Human Services (EOHHS) is issuing this administrative bulletin to clarify provisions pertaining to publicly assisted client mix factor, update how quarterly survey data are used, and explain the importance of compliance with reporting requirements. </w:t>
      </w:r>
    </w:p>
    <w:p w14:paraId="1EB53232" w14:textId="18BC88A1" w:rsidR="00852E4B" w:rsidRPr="00656FFF" w:rsidRDefault="00FE3310" w:rsidP="00FE3310">
      <w:pPr>
        <w:pStyle w:val="Heading2"/>
      </w:pPr>
      <w:r w:rsidRPr="00FE3310">
        <w:t>Applicable Provider Rates Based on Publicly Assisted Client Mix for Dates of Service on or After July 1, 2025</w:t>
      </w:r>
      <w:r w:rsidR="00A72FAD">
        <w:rPr>
          <w:color w:val="00B050"/>
        </w:rPr>
        <w:tab/>
      </w:r>
    </w:p>
    <w:p w14:paraId="6A57929E" w14:textId="599087C0" w:rsidR="00B05E0C" w:rsidRDefault="00606E16" w:rsidP="005E5C39">
      <w:pPr>
        <w:spacing w:line="276" w:lineRule="auto"/>
      </w:pPr>
      <w:r w:rsidRPr="00606E16">
        <w:t xml:space="preserve">Applicable provider rates for publicly assisted client mix for dates </w:t>
      </w:r>
      <w:r w:rsidR="001550A2" w:rsidRPr="00606E16">
        <w:t>o</w:t>
      </w:r>
      <w:r w:rsidR="001550A2">
        <w:t>f</w:t>
      </w:r>
      <w:r w:rsidR="001550A2" w:rsidRPr="00606E16">
        <w:t xml:space="preserve"> </w:t>
      </w:r>
      <w:r w:rsidRPr="00606E16">
        <w:t>service on or after July 1, 2025, are set in accordance 101 CMR 346.04(7)(b). EOHHS is maintaining current provider tier eligibility for publicly assisted client mix factors implemented in calendar year 2025 through calendar year 2026.</w:t>
      </w:r>
      <w:r w:rsidR="00852E4B" w:rsidRPr="00533A3B">
        <w:t xml:space="preserve"> </w:t>
      </w:r>
    </w:p>
    <w:p w14:paraId="77AB12EA" w14:textId="77777777" w:rsidR="005A5A34" w:rsidRDefault="005A5A34" w:rsidP="005A5A34">
      <w:pPr>
        <w:pStyle w:val="Heading2"/>
      </w:pPr>
      <w:r>
        <w:t>Changes to Designated Reporting Period</w:t>
      </w:r>
    </w:p>
    <w:p w14:paraId="4AEBF820" w14:textId="6AB00D97" w:rsidR="005A5A34" w:rsidRDefault="005A5A34" w:rsidP="005A5A34">
      <w:pPr>
        <w:spacing w:line="276" w:lineRule="auto"/>
      </w:pPr>
      <w:r>
        <w:t>In accordance with 101 CMR 346.04(7)(</w:t>
      </w:r>
      <w:r w:rsidR="009F177F">
        <w:t>d</w:t>
      </w:r>
      <w:r>
        <w:t xml:space="preserve">), EOHHS determines the publicly assisted client mix using payer mix data collected by the Bureau of Substance Addiction Services (BSAS) as required by M.G.L. Chapter 111E, </w:t>
      </w:r>
      <w:r w:rsidR="00206CEA">
        <w:t>§</w:t>
      </w:r>
      <w:r>
        <w:t xml:space="preserve"> 7(7), with an identified reporting period. EOHHS is expanding the reporting periods utilized in this determination to more accurately evaluate </w:t>
      </w:r>
      <w:r>
        <w:lastRenderedPageBreak/>
        <w:t xml:space="preserve">publicly assisted client mix factors for Acute Treatment Services (ATS) and Clinical Stabilization Services (CSS) providers. Effective July 1, 2025, EOHHS is transitioning from utilization of one designated BSAS reporting period survey to determine ATS or CSS provider eligibility to utilization of an average of all four quarterly surveys administered by BSAS in a Fiscal Year (FY) to calculate a program’s average public payer mix that will be effective in the following Calendar Year (CY).  </w:t>
      </w:r>
    </w:p>
    <w:p w14:paraId="599AB0E0" w14:textId="5DB6E710" w:rsidR="005A5A34" w:rsidRDefault="005A5A34" w:rsidP="007F0DAF">
      <w:r>
        <w:t>Example: FY26 survey averages will inform CY27 publicly assisted client mix factors for ATS and CSS providers</w:t>
      </w:r>
    </w:p>
    <w:p w14:paraId="3EC7ACAD" w14:textId="77777777" w:rsidR="005A5A34" w:rsidRDefault="005A5A34" w:rsidP="005A5A34">
      <w:pPr>
        <w:pStyle w:val="Heading2"/>
      </w:pPr>
      <w:r>
        <w:t xml:space="preserve">Standards for Reporting Compliance </w:t>
      </w:r>
    </w:p>
    <w:p w14:paraId="42B687DC" w14:textId="7F0655C9" w:rsidR="005A5A34" w:rsidRDefault="005A5A34" w:rsidP="005A5A34">
      <w:pPr>
        <w:spacing w:line="276" w:lineRule="auto"/>
      </w:pPr>
      <w:r>
        <w:t>Providers are required, per BSAS regulations 105 CMR 164.009(B)(1), to provide services on a nondiscriminatory basis to residents of the Commonwealth with public health insurance and report the substance use disorder treatment program's payer mix to the Department in a format prescribed by the Department on a quarterly basis, as required by M.G.L. c. 111E, § 7. To effectively assess provider compliance with reporting requirements and ensure that the surveys administered by the BSAS effectively evaluate ATS and CSS publicly assisted client mix factors eligibility, EOHHS is implementing the following policy for providers who fail to respond or provide insufficient or incomplete data for a quarterly survey</w:t>
      </w:r>
      <w:r w:rsidR="00B705BF">
        <w:t>.</w:t>
      </w:r>
    </w:p>
    <w:p w14:paraId="6F86D7E3" w14:textId="79C16DB8" w:rsidR="005A5A34" w:rsidRDefault="005A5A34" w:rsidP="005A5A34">
      <w:pPr>
        <w:pStyle w:val="ListParagraph"/>
        <w:numPr>
          <w:ilvl w:val="0"/>
          <w:numId w:val="3"/>
        </w:numPr>
      </w:pPr>
      <w:r>
        <w:t>For providers that miss one quarter of reporting, EOHHS will use the program’s lowest quarter percentage of public payer mix of the previous four quarters in place of the missing quarter of reporting.</w:t>
      </w:r>
    </w:p>
    <w:p w14:paraId="23151EEC" w14:textId="393A6B6B" w:rsidR="005A5A34" w:rsidRDefault="005A5A34" w:rsidP="005A5A34">
      <w:pPr>
        <w:pStyle w:val="ListParagraph"/>
        <w:numPr>
          <w:ilvl w:val="0"/>
          <w:numId w:val="3"/>
        </w:numPr>
      </w:pPr>
      <w:r>
        <w:t>For providers that miss two consecutive quarters of reporting, EOHHS will use the program’s lowest quarter percentage of public payer mix of the previous four quarters in place of the first missing quarter of reporting and will use “0” for the second missing quarter of reporting.</w:t>
      </w:r>
    </w:p>
    <w:p w14:paraId="7C4FF628" w14:textId="2231DEC0" w:rsidR="005A5A34" w:rsidRDefault="005A5A34" w:rsidP="005A5A34">
      <w:pPr>
        <w:pStyle w:val="ListParagraph"/>
        <w:numPr>
          <w:ilvl w:val="0"/>
          <w:numId w:val="3"/>
        </w:numPr>
      </w:pPr>
      <w:r>
        <w:t>For providers that miss three consecutive quarters of reporting, EOHHS will use the program’s lowest quarter percentage of public payer mix of the previous four quarters in place of the first missing quarter of reporting and will use “0” for the second and third missing quarters of reporting.</w:t>
      </w:r>
    </w:p>
    <w:p w14:paraId="7EBE08B9" w14:textId="6EA8148A" w:rsidR="005E5C39" w:rsidRDefault="005A5A34" w:rsidP="005A5A34">
      <w:pPr>
        <w:pStyle w:val="ListParagraph"/>
        <w:numPr>
          <w:ilvl w:val="0"/>
          <w:numId w:val="3"/>
        </w:numPr>
      </w:pPr>
      <w:r>
        <w:t>Providers that miss four consecutive quarters of reporting will remain at the base rate.</w:t>
      </w:r>
    </w:p>
    <w:sectPr w:rsidR="005E5C39" w:rsidSect="00E964C3">
      <w:headerReference w:type="default" r:id="rId14"/>
      <w:foot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6E7C" w14:textId="77777777" w:rsidR="00A176BB" w:rsidRDefault="00A176BB" w:rsidP="00AC798F">
      <w:r>
        <w:separator/>
      </w:r>
    </w:p>
    <w:p w14:paraId="5287804F" w14:textId="77777777" w:rsidR="00A176BB" w:rsidRDefault="00A176BB"/>
  </w:endnote>
  <w:endnote w:type="continuationSeparator" w:id="0">
    <w:p w14:paraId="74A99DF4" w14:textId="77777777" w:rsidR="00A176BB" w:rsidRDefault="00A176BB" w:rsidP="00AC798F">
      <w:r>
        <w:continuationSeparator/>
      </w:r>
    </w:p>
    <w:p w14:paraId="2A1DA023" w14:textId="77777777" w:rsidR="00A176BB" w:rsidRDefault="00A17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A0D66" w14:textId="77777777" w:rsidR="00A176BB" w:rsidRDefault="00A176BB" w:rsidP="00AC798F">
      <w:r>
        <w:separator/>
      </w:r>
    </w:p>
    <w:p w14:paraId="4D90D380" w14:textId="77777777" w:rsidR="00A176BB" w:rsidRDefault="00A176BB"/>
  </w:footnote>
  <w:footnote w:type="continuationSeparator" w:id="0">
    <w:p w14:paraId="78F5F0EB" w14:textId="77777777" w:rsidR="00A176BB" w:rsidRDefault="00A176BB" w:rsidP="00AC798F">
      <w:r>
        <w:continuationSeparator/>
      </w:r>
    </w:p>
    <w:p w14:paraId="0E28585E" w14:textId="77777777" w:rsidR="00A176BB" w:rsidRDefault="00A17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3D7EEC55"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w:t>
    </w:r>
    <w:r w:rsidR="000B79D2">
      <w:rPr>
        <w:b/>
        <w:bCs/>
        <w:color w:val="1F497D" w:themeColor="text2"/>
      </w:rPr>
      <w:t>IAME MAHANIAH</w:t>
    </w:r>
    <w:r w:rsidR="00D23D23">
      <w:rPr>
        <w:b/>
        <w:bCs/>
        <w:color w:val="1F497D" w:themeColor="text2"/>
      </w:rPr>
      <w:t>, MD, MBA</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05726EE9"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r>
    <w:r w:rsidR="006C41D9">
      <w:rPr>
        <w:color w:val="1F497D" w:themeColor="text2"/>
      </w:rPr>
      <w:t>UNDER</w:t>
    </w:r>
    <w:r w:rsidRPr="00AC798F">
      <w:rPr>
        <w:color w:val="1F497D" w:themeColor="text2"/>
      </w:rPr>
      <w:t>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AC798F" w:rsidRDefault="00E964C3" w:rsidP="0071737A">
    <w:pPr>
      <w:spacing w:after="0" w:line="276" w:lineRule="auto"/>
      <w:jc w:val="right"/>
    </w:pPr>
    <w:r w:rsidRPr="00AC798F">
      <w:t>EOHHS</w:t>
    </w:r>
  </w:p>
  <w:p w14:paraId="035EBA9C" w14:textId="2EE8C40A" w:rsidR="00E964C3" w:rsidRPr="00AC798F" w:rsidRDefault="00E964C3" w:rsidP="0071737A">
    <w:pPr>
      <w:spacing w:after="0" w:line="276" w:lineRule="auto"/>
      <w:jc w:val="right"/>
    </w:pPr>
    <w:r w:rsidRPr="00AC798F">
      <w:t xml:space="preserve">Administrative Bulletin </w:t>
    </w:r>
    <w:r w:rsidR="00DB2A64">
      <w:t>25-</w:t>
    </w:r>
    <w:r w:rsidR="00D334E1">
      <w:t>20</w:t>
    </w:r>
  </w:p>
  <w:p w14:paraId="64299DFB" w14:textId="13AEC128" w:rsidR="00E964C3" w:rsidRPr="00AC798F" w:rsidRDefault="00E964C3" w:rsidP="0071737A">
    <w:pPr>
      <w:spacing w:after="0" w:line="276" w:lineRule="auto"/>
      <w:jc w:val="right"/>
    </w:pPr>
    <w:r w:rsidRPr="00AC798F">
      <w:t xml:space="preserve">Effective </w:t>
    </w:r>
    <w:r w:rsidR="00DB2A64">
      <w:t>July 1, 2025</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A6ED6"/>
    <w:multiLevelType w:val="hybridMultilevel"/>
    <w:tmpl w:val="E620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2"/>
  </w:num>
  <w:num w:numId="3" w16cid:durableId="1111166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722C4"/>
    <w:rsid w:val="000B3478"/>
    <w:rsid w:val="000B79D2"/>
    <w:rsid w:val="00100E5C"/>
    <w:rsid w:val="00103746"/>
    <w:rsid w:val="00106860"/>
    <w:rsid w:val="00130559"/>
    <w:rsid w:val="00134791"/>
    <w:rsid w:val="00146C2F"/>
    <w:rsid w:val="00147E4E"/>
    <w:rsid w:val="00153DCE"/>
    <w:rsid w:val="00154CA9"/>
    <w:rsid w:val="001550A2"/>
    <w:rsid w:val="0017668F"/>
    <w:rsid w:val="00191D6E"/>
    <w:rsid w:val="00193348"/>
    <w:rsid w:val="00195F63"/>
    <w:rsid w:val="001A7742"/>
    <w:rsid w:val="001A7A68"/>
    <w:rsid w:val="001D628B"/>
    <w:rsid w:val="00206CEA"/>
    <w:rsid w:val="0022152B"/>
    <w:rsid w:val="002448DD"/>
    <w:rsid w:val="00266B97"/>
    <w:rsid w:val="00271D28"/>
    <w:rsid w:val="0027639F"/>
    <w:rsid w:val="00284238"/>
    <w:rsid w:val="00291039"/>
    <w:rsid w:val="002A779E"/>
    <w:rsid w:val="002B4675"/>
    <w:rsid w:val="002E0806"/>
    <w:rsid w:val="003113E4"/>
    <w:rsid w:val="003172DF"/>
    <w:rsid w:val="0033130A"/>
    <w:rsid w:val="00351564"/>
    <w:rsid w:val="00356A6F"/>
    <w:rsid w:val="003644F6"/>
    <w:rsid w:val="0037320D"/>
    <w:rsid w:val="003A3882"/>
    <w:rsid w:val="003F6AAE"/>
    <w:rsid w:val="0041466F"/>
    <w:rsid w:val="0041715C"/>
    <w:rsid w:val="00421B27"/>
    <w:rsid w:val="00443CDB"/>
    <w:rsid w:val="00465E5A"/>
    <w:rsid w:val="00497216"/>
    <w:rsid w:val="004D48D7"/>
    <w:rsid w:val="005246D9"/>
    <w:rsid w:val="00525DD4"/>
    <w:rsid w:val="00533A3B"/>
    <w:rsid w:val="0053555D"/>
    <w:rsid w:val="00556450"/>
    <w:rsid w:val="0056474D"/>
    <w:rsid w:val="005702E6"/>
    <w:rsid w:val="0057224E"/>
    <w:rsid w:val="00585302"/>
    <w:rsid w:val="00597C39"/>
    <w:rsid w:val="005A5A34"/>
    <w:rsid w:val="005B5D35"/>
    <w:rsid w:val="005E2329"/>
    <w:rsid w:val="005E5C39"/>
    <w:rsid w:val="005F20AC"/>
    <w:rsid w:val="005F66F1"/>
    <w:rsid w:val="00606E16"/>
    <w:rsid w:val="00607406"/>
    <w:rsid w:val="0064272D"/>
    <w:rsid w:val="00656FFF"/>
    <w:rsid w:val="006718AB"/>
    <w:rsid w:val="006A6684"/>
    <w:rsid w:val="006B1D87"/>
    <w:rsid w:val="006B41E1"/>
    <w:rsid w:val="006B6EE0"/>
    <w:rsid w:val="006C41D9"/>
    <w:rsid w:val="006E5DED"/>
    <w:rsid w:val="006F115D"/>
    <w:rsid w:val="0070235D"/>
    <w:rsid w:val="0071737A"/>
    <w:rsid w:val="00720C4F"/>
    <w:rsid w:val="00721C69"/>
    <w:rsid w:val="00723537"/>
    <w:rsid w:val="00734039"/>
    <w:rsid w:val="00752392"/>
    <w:rsid w:val="00782360"/>
    <w:rsid w:val="00796A70"/>
    <w:rsid w:val="007B0C53"/>
    <w:rsid w:val="007B48C3"/>
    <w:rsid w:val="007F04B8"/>
    <w:rsid w:val="007F0DAF"/>
    <w:rsid w:val="00800711"/>
    <w:rsid w:val="00813B5F"/>
    <w:rsid w:val="00835677"/>
    <w:rsid w:val="00852066"/>
    <w:rsid w:val="00852E4B"/>
    <w:rsid w:val="008669CB"/>
    <w:rsid w:val="008843B4"/>
    <w:rsid w:val="008A50C9"/>
    <w:rsid w:val="008C7C8A"/>
    <w:rsid w:val="008F5336"/>
    <w:rsid w:val="00925B69"/>
    <w:rsid w:val="00964EDE"/>
    <w:rsid w:val="00984786"/>
    <w:rsid w:val="009A3538"/>
    <w:rsid w:val="009F177F"/>
    <w:rsid w:val="00A01D8C"/>
    <w:rsid w:val="00A06F80"/>
    <w:rsid w:val="00A13213"/>
    <w:rsid w:val="00A17289"/>
    <w:rsid w:val="00A176BB"/>
    <w:rsid w:val="00A2440E"/>
    <w:rsid w:val="00A34C8D"/>
    <w:rsid w:val="00A40946"/>
    <w:rsid w:val="00A72FAD"/>
    <w:rsid w:val="00A75CD6"/>
    <w:rsid w:val="00AB33D8"/>
    <w:rsid w:val="00AC798F"/>
    <w:rsid w:val="00AD1945"/>
    <w:rsid w:val="00B0173B"/>
    <w:rsid w:val="00B05E0C"/>
    <w:rsid w:val="00B150C5"/>
    <w:rsid w:val="00B623EB"/>
    <w:rsid w:val="00B627A3"/>
    <w:rsid w:val="00B705BF"/>
    <w:rsid w:val="00BA6D03"/>
    <w:rsid w:val="00BE1FB2"/>
    <w:rsid w:val="00C1076E"/>
    <w:rsid w:val="00C34D23"/>
    <w:rsid w:val="00C400D6"/>
    <w:rsid w:val="00C4194A"/>
    <w:rsid w:val="00C44613"/>
    <w:rsid w:val="00C773D1"/>
    <w:rsid w:val="00C87BF7"/>
    <w:rsid w:val="00CD0456"/>
    <w:rsid w:val="00D160CC"/>
    <w:rsid w:val="00D23D23"/>
    <w:rsid w:val="00D334E1"/>
    <w:rsid w:val="00D35714"/>
    <w:rsid w:val="00D36D35"/>
    <w:rsid w:val="00D407CF"/>
    <w:rsid w:val="00D448BF"/>
    <w:rsid w:val="00D5182F"/>
    <w:rsid w:val="00D63172"/>
    <w:rsid w:val="00D74E1C"/>
    <w:rsid w:val="00D761F6"/>
    <w:rsid w:val="00D959DE"/>
    <w:rsid w:val="00DA095C"/>
    <w:rsid w:val="00DB2A64"/>
    <w:rsid w:val="00DD626A"/>
    <w:rsid w:val="00E06A5D"/>
    <w:rsid w:val="00E10A6E"/>
    <w:rsid w:val="00E27559"/>
    <w:rsid w:val="00E320F9"/>
    <w:rsid w:val="00E56BD5"/>
    <w:rsid w:val="00E620A3"/>
    <w:rsid w:val="00E74BC2"/>
    <w:rsid w:val="00E92AC9"/>
    <w:rsid w:val="00E964C3"/>
    <w:rsid w:val="00EE4CAE"/>
    <w:rsid w:val="00EF33F6"/>
    <w:rsid w:val="00F00E8F"/>
    <w:rsid w:val="00F01E3E"/>
    <w:rsid w:val="00F12C5F"/>
    <w:rsid w:val="00F247CB"/>
    <w:rsid w:val="00F30AF6"/>
    <w:rsid w:val="00F44C98"/>
    <w:rsid w:val="00F44E10"/>
    <w:rsid w:val="00F531D7"/>
    <w:rsid w:val="00F56D7C"/>
    <w:rsid w:val="00F60649"/>
    <w:rsid w:val="00F65E52"/>
    <w:rsid w:val="00F8728D"/>
    <w:rsid w:val="00FB216E"/>
    <w:rsid w:val="00FE3310"/>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paragraph" w:styleId="Revision">
    <w:name w:val="Revision"/>
    <w:hidden/>
    <w:uiPriority w:val="99"/>
    <w:semiHidden/>
    <w:rsid w:val="003172DF"/>
    <w:rPr>
      <w:rFonts w:ascii="Georgia" w:hAnsi="Georgia"/>
    </w:rPr>
  </w:style>
  <w:style w:type="character" w:styleId="CommentReference">
    <w:name w:val="annotation reference"/>
    <w:basedOn w:val="DefaultParagraphFont"/>
    <w:uiPriority w:val="99"/>
    <w:semiHidden/>
    <w:unhideWhenUsed/>
    <w:rsid w:val="00F01E3E"/>
    <w:rPr>
      <w:sz w:val="16"/>
      <w:szCs w:val="16"/>
    </w:rPr>
  </w:style>
  <w:style w:type="paragraph" w:styleId="CommentText">
    <w:name w:val="annotation text"/>
    <w:basedOn w:val="Normal"/>
    <w:link w:val="CommentTextChar"/>
    <w:uiPriority w:val="99"/>
    <w:unhideWhenUsed/>
    <w:rsid w:val="00F01E3E"/>
    <w:rPr>
      <w:sz w:val="20"/>
      <w:szCs w:val="20"/>
    </w:rPr>
  </w:style>
  <w:style w:type="character" w:customStyle="1" w:styleId="CommentTextChar">
    <w:name w:val="Comment Text Char"/>
    <w:basedOn w:val="DefaultParagraphFont"/>
    <w:link w:val="CommentText"/>
    <w:uiPriority w:val="99"/>
    <w:rsid w:val="00F01E3E"/>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F01E3E"/>
    <w:rPr>
      <w:b/>
      <w:bCs/>
    </w:rPr>
  </w:style>
  <w:style w:type="character" w:customStyle="1" w:styleId="CommentSubjectChar">
    <w:name w:val="Comment Subject Char"/>
    <w:basedOn w:val="CommentTextChar"/>
    <w:link w:val="CommentSubject"/>
    <w:uiPriority w:val="99"/>
    <w:semiHidden/>
    <w:rsid w:val="00F01E3E"/>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f8eec94-f1e8-4333-9199-0fcb2e707b9d" xsi:nil="true"/>
    <lcf76f155ced4ddcb4097134ff3c332f xmlns="e1196768-4157-4d80-b3c6-79cf9493a5fe">
      <Terms xmlns="http://schemas.microsoft.com/office/infopath/2007/PartnerControls"/>
    </lcf76f155ced4ddcb4097134ff3c332f>
    <TextTEST xmlns="e1196768-4157-4d80-b3c6-79cf9493a5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5f8eec94-f1e8-4333-9199-0fcb2e707b9d"/>
    <ds:schemaRef ds:uri="e1196768-4157-4d80-b3c6-79cf9493a5fe"/>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183D40B9-5852-412E-9D93-CC16F3543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Eisan, Jenna (EHS)</cp:lastModifiedBy>
  <cp:revision>8</cp:revision>
  <cp:lastPrinted>2023-03-01T20:48:00Z</cp:lastPrinted>
  <dcterms:created xsi:type="dcterms:W3CDTF">2025-08-18T16:08:00Z</dcterms:created>
  <dcterms:modified xsi:type="dcterms:W3CDTF">2025-08-29T14:07:00Z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Order">
    <vt:r8>9600</vt:r8>
  </property>
  <property fmtid="{D5CDD505-2E9C-101B-9397-08002B2CF9AE}" pid="4" name="MediaServiceImageTags">
    <vt:lpwstr/>
  </property>
</Properties>
</file>