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15861C92" w:rsidR="00533A3B" w:rsidRDefault="00533A3B" w:rsidP="00A72FAD">
      <w:pPr>
        <w:pStyle w:val="Heading1"/>
        <w:spacing w:before="120" w:after="0"/>
      </w:pPr>
      <w:r w:rsidRPr="00100E5C">
        <w:t xml:space="preserve">Administrative Bulletin </w:t>
      </w:r>
      <w:r w:rsidR="007F6D92">
        <w:t>25-</w:t>
      </w:r>
      <w:r w:rsidR="001C15E6">
        <w:t>22</w:t>
      </w:r>
    </w:p>
    <w:p w14:paraId="2AD16DA2" w14:textId="77777777" w:rsidR="00A72FAD" w:rsidRPr="00A72FAD" w:rsidRDefault="00A72FAD" w:rsidP="00A72FAD">
      <w:pPr>
        <w:spacing w:after="0"/>
      </w:pPr>
    </w:p>
    <w:p w14:paraId="1D3755FA" w14:textId="637864CC" w:rsidR="00533A3B" w:rsidRDefault="00533A3B" w:rsidP="00A72FAD">
      <w:pPr>
        <w:spacing w:after="0"/>
        <w:jc w:val="center"/>
        <w:rPr>
          <w:b/>
          <w:bCs/>
          <w:i/>
          <w:iCs/>
          <w:sz w:val="24"/>
          <w:szCs w:val="24"/>
        </w:rPr>
      </w:pPr>
      <w:r w:rsidRPr="00796A70">
        <w:rPr>
          <w:b/>
          <w:bCs/>
          <w:sz w:val="24"/>
          <w:szCs w:val="24"/>
        </w:rPr>
        <w:t xml:space="preserve">101 CMR </w:t>
      </w:r>
      <w:r w:rsidR="007F6D92">
        <w:rPr>
          <w:b/>
          <w:bCs/>
          <w:sz w:val="24"/>
          <w:szCs w:val="24"/>
        </w:rPr>
        <w:t>317</w:t>
      </w:r>
      <w:r w:rsidRPr="00796A70">
        <w:rPr>
          <w:b/>
          <w:bCs/>
          <w:sz w:val="24"/>
          <w:szCs w:val="24"/>
        </w:rPr>
        <w:t xml:space="preserve">.00: </w:t>
      </w:r>
      <w:r w:rsidR="007F6D92" w:rsidRPr="007F6D92">
        <w:rPr>
          <w:b/>
          <w:bCs/>
          <w:i/>
          <w:iCs/>
          <w:sz w:val="24"/>
          <w:szCs w:val="24"/>
        </w:rPr>
        <w:t>Rates for Medicine Services</w:t>
      </w:r>
    </w:p>
    <w:p w14:paraId="04FBBEA3" w14:textId="77777777" w:rsidR="00A72FAD" w:rsidRPr="00A72FAD" w:rsidRDefault="00A72FAD" w:rsidP="00A72FAD">
      <w:pPr>
        <w:spacing w:after="0"/>
      </w:pPr>
    </w:p>
    <w:p w14:paraId="27A5BE69" w14:textId="02E0FB01" w:rsidR="00533A3B" w:rsidRDefault="00533A3B" w:rsidP="00A72FAD">
      <w:pPr>
        <w:spacing w:after="0"/>
        <w:jc w:val="center"/>
        <w:rPr>
          <w:color w:val="FF0000"/>
          <w:sz w:val="24"/>
          <w:szCs w:val="24"/>
        </w:rPr>
      </w:pPr>
      <w:r w:rsidRPr="00796A70">
        <w:rPr>
          <w:sz w:val="24"/>
          <w:szCs w:val="24"/>
        </w:rPr>
        <w:t xml:space="preserve">Effective </w:t>
      </w:r>
      <w:r w:rsidR="001C15E6">
        <w:rPr>
          <w:sz w:val="24"/>
          <w:szCs w:val="24"/>
        </w:rPr>
        <w:t>September 23</w:t>
      </w:r>
      <w:r w:rsidR="00BF576B" w:rsidRPr="00BF576B">
        <w:rPr>
          <w:sz w:val="24"/>
          <w:szCs w:val="24"/>
        </w:rPr>
        <w:t>, 2025</w:t>
      </w:r>
    </w:p>
    <w:p w14:paraId="02B0D633" w14:textId="77777777" w:rsidR="00A72FAD" w:rsidRPr="00A72FAD" w:rsidRDefault="00A72FAD" w:rsidP="00A72FAD">
      <w:pPr>
        <w:spacing w:after="0"/>
      </w:pPr>
    </w:p>
    <w:p w14:paraId="220D9338" w14:textId="276B1315" w:rsidR="00533A3B" w:rsidRDefault="00DD7917" w:rsidP="00DD7917">
      <w:pPr>
        <w:jc w:val="center"/>
      </w:pPr>
      <w:r w:rsidRPr="00DD7917">
        <w:rPr>
          <w:rFonts w:eastAsia="Times New Roman" w:cs="Times New Roman"/>
          <w:b/>
          <w:bCs/>
          <w:noProof/>
          <w:sz w:val="24"/>
          <w:szCs w:val="24"/>
        </w:rPr>
        <w:t>Coding Updates for Certain Annual Behavioral Health Wellness Examination Services</w:t>
      </w:r>
    </w:p>
    <w:p w14:paraId="218ED137" w14:textId="77777777" w:rsidR="00E964C3" w:rsidRDefault="00E964C3" w:rsidP="00656FFF">
      <w:pPr>
        <w:spacing w:line="276" w:lineRule="auto"/>
        <w:sectPr w:rsidR="00E964C3" w:rsidSect="00EE4CAE">
          <w:head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58963A2" w14:textId="3106DDE6" w:rsidR="00852E4B" w:rsidRPr="0022152B" w:rsidRDefault="00AA75B2" w:rsidP="00DA095C">
      <w:pPr>
        <w:pStyle w:val="Heading2"/>
      </w:pPr>
      <w:r>
        <w:t>Summary</w:t>
      </w:r>
    </w:p>
    <w:p w14:paraId="3A3502B2" w14:textId="7541FCB0" w:rsidR="00852E4B" w:rsidRPr="00AC798F" w:rsidRDefault="008171BF" w:rsidP="00852E4B">
      <w:pPr>
        <w:spacing w:line="276" w:lineRule="auto"/>
      </w:pPr>
      <w:r w:rsidRPr="008171BF">
        <w:t xml:space="preserve">In accordance with 101 CMR 317.01(5): </w:t>
      </w:r>
      <w:r w:rsidRPr="00306704">
        <w:rPr>
          <w:i/>
          <w:iCs/>
        </w:rPr>
        <w:t>Coding Updates and Corrections</w:t>
      </w:r>
      <w:r w:rsidRPr="008171BF">
        <w:t xml:space="preserve">, the Executive Office of Health and Human Services (EOHHS) is establishing 23 new codes to be billed when an annual behavioral health wellness examination is administered by a primary care practitioner (PCP) as part of an office visit or annual preventive visit on the same date of service. The added codes may not be billed when the behavioral health wellness examination is administered as a standalone service or when the annual behavioral health wellness examination is administered by a licensed mental health professional. In accordance with 101 CMR 317.01(5)(a), the added codes will be paid at individual consideration (IC). The payment rates listed in this administrative bulletin are applicable until revised rates are issued by EOHHS. The following codes will be effective for dates of service on or after </w:t>
      </w:r>
      <w:r w:rsidR="00B80694">
        <w:t>September 23</w:t>
      </w:r>
      <w:r w:rsidRPr="008171BF">
        <w:t>, 2025.</w:t>
      </w:r>
      <w:r w:rsidR="00852E4B" w:rsidRPr="00AC798F">
        <w:t xml:space="preserve"> </w:t>
      </w:r>
    </w:p>
    <w:p w14:paraId="1EB53232" w14:textId="29A2BF0D" w:rsidR="00852E4B" w:rsidRPr="00656FFF" w:rsidRDefault="006B65AC" w:rsidP="00A72FAD">
      <w:pPr>
        <w:pStyle w:val="Heading3"/>
        <w:tabs>
          <w:tab w:val="left" w:pos="7905"/>
        </w:tabs>
      </w:pPr>
      <w:r>
        <w:t>Added Codes</w:t>
      </w:r>
      <w:r w:rsidR="00A72FAD">
        <w:rPr>
          <w:color w:val="00B050"/>
        </w:rPr>
        <w:tab/>
      </w:r>
    </w:p>
    <w:tbl>
      <w:tblPr>
        <w:tblW w:w="9260" w:type="dxa"/>
        <w:tblLook w:val="04A0" w:firstRow="1" w:lastRow="0" w:firstColumn="1" w:lastColumn="0" w:noHBand="0" w:noVBand="1"/>
      </w:tblPr>
      <w:tblGrid>
        <w:gridCol w:w="1340"/>
        <w:gridCol w:w="7920"/>
      </w:tblGrid>
      <w:tr w:rsidR="00FE058A" w:rsidRPr="00F04618" w14:paraId="710A3C1B" w14:textId="77777777" w:rsidTr="00CE5EB6">
        <w:trPr>
          <w:cantSplit/>
          <w:tblHeader/>
        </w:trPr>
        <w:tc>
          <w:tcPr>
            <w:tcW w:w="1340" w:type="dxa"/>
            <w:tcBorders>
              <w:top w:val="single" w:sz="8" w:space="0" w:color="auto"/>
              <w:left w:val="single" w:sz="8" w:space="0" w:color="auto"/>
              <w:bottom w:val="single" w:sz="8" w:space="0" w:color="auto"/>
              <w:right w:val="single" w:sz="8" w:space="0" w:color="auto"/>
            </w:tcBorders>
            <w:shd w:val="clear" w:color="000000" w:fill="DBDBDB"/>
            <w:noWrap/>
            <w:vAlign w:val="center"/>
            <w:hideMark/>
          </w:tcPr>
          <w:p w14:paraId="37589D31" w14:textId="77777777" w:rsidR="00FE058A" w:rsidRPr="00F04618" w:rsidRDefault="00FE058A" w:rsidP="00CE5EB6">
            <w:pPr>
              <w:jc w:val="center"/>
              <w:rPr>
                <w:b/>
                <w:bCs/>
                <w:color w:val="000000"/>
              </w:rPr>
            </w:pPr>
            <w:r w:rsidRPr="00F04618">
              <w:rPr>
                <w:b/>
                <w:bCs/>
                <w:color w:val="000000"/>
              </w:rPr>
              <w:t>Code</w:t>
            </w:r>
          </w:p>
        </w:tc>
        <w:tc>
          <w:tcPr>
            <w:tcW w:w="7920" w:type="dxa"/>
            <w:tcBorders>
              <w:top w:val="single" w:sz="8" w:space="0" w:color="auto"/>
              <w:left w:val="nil"/>
              <w:bottom w:val="single" w:sz="8" w:space="0" w:color="auto"/>
              <w:right w:val="single" w:sz="8" w:space="0" w:color="auto"/>
            </w:tcBorders>
            <w:shd w:val="clear" w:color="000000" w:fill="DBDBDB"/>
            <w:vAlign w:val="center"/>
            <w:hideMark/>
          </w:tcPr>
          <w:p w14:paraId="5D932549" w14:textId="77777777" w:rsidR="00FE058A" w:rsidRPr="00F04618" w:rsidRDefault="00FE058A" w:rsidP="00CE5EB6">
            <w:pPr>
              <w:jc w:val="center"/>
              <w:rPr>
                <w:b/>
                <w:bCs/>
                <w:color w:val="000000"/>
              </w:rPr>
            </w:pPr>
            <w:r w:rsidRPr="00F04618">
              <w:rPr>
                <w:b/>
                <w:bCs/>
                <w:color w:val="000000"/>
              </w:rPr>
              <w:t>Description</w:t>
            </w:r>
          </w:p>
        </w:tc>
      </w:tr>
      <w:tr w:rsidR="00FE058A" w:rsidRPr="00F04618" w14:paraId="678F666C"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30B0C8CD" w14:textId="77777777" w:rsidR="00FE058A" w:rsidRPr="00F04618" w:rsidRDefault="00FE058A" w:rsidP="00CE5EB6">
            <w:pPr>
              <w:rPr>
                <w:color w:val="000000"/>
              </w:rPr>
            </w:pPr>
          </w:p>
        </w:tc>
        <w:tc>
          <w:tcPr>
            <w:tcW w:w="7920" w:type="dxa"/>
            <w:tcBorders>
              <w:top w:val="nil"/>
              <w:left w:val="nil"/>
              <w:bottom w:val="single" w:sz="8" w:space="0" w:color="auto"/>
              <w:right w:val="single" w:sz="8" w:space="0" w:color="auto"/>
            </w:tcBorders>
            <w:shd w:val="clear" w:color="000000" w:fill="FFFFFF"/>
            <w:vAlign w:val="center"/>
            <w:hideMark/>
          </w:tcPr>
          <w:p w14:paraId="09143705" w14:textId="77777777" w:rsidR="00FE058A" w:rsidRPr="00F04618" w:rsidRDefault="00FE058A" w:rsidP="00CE5EB6">
            <w:pPr>
              <w:rPr>
                <w:color w:val="000000"/>
              </w:rPr>
            </w:pPr>
          </w:p>
        </w:tc>
      </w:tr>
      <w:tr w:rsidR="00FE058A" w:rsidRPr="00F04618" w14:paraId="7BA915C5"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tcPr>
          <w:p w14:paraId="03593280" w14:textId="77777777" w:rsidR="00FE058A" w:rsidRPr="00F04618" w:rsidRDefault="00FE058A" w:rsidP="00CE5EB6">
            <w:pPr>
              <w:rPr>
                <w:rFonts w:cs="Calibri"/>
                <w:color w:val="000000"/>
              </w:rPr>
            </w:pPr>
            <w:r w:rsidRPr="00F04618">
              <w:rPr>
                <w:rFonts w:cs="Calibri"/>
                <w:color w:val="000000"/>
              </w:rPr>
              <w:t>99202 U4</w:t>
            </w:r>
          </w:p>
        </w:tc>
        <w:tc>
          <w:tcPr>
            <w:tcW w:w="7920" w:type="dxa"/>
            <w:tcBorders>
              <w:top w:val="nil"/>
              <w:left w:val="nil"/>
              <w:bottom w:val="single" w:sz="8" w:space="0" w:color="auto"/>
              <w:right w:val="single" w:sz="8" w:space="0" w:color="auto"/>
            </w:tcBorders>
            <w:shd w:val="clear" w:color="000000" w:fill="FFFFFF"/>
            <w:vAlign w:val="center"/>
          </w:tcPr>
          <w:p w14:paraId="0FF3163F" w14:textId="77777777" w:rsidR="00FE058A" w:rsidRPr="00F04618" w:rsidRDefault="00FE058A" w:rsidP="00CE5EB6">
            <w:pPr>
              <w:rPr>
                <w:color w:val="000000"/>
              </w:rPr>
            </w:pPr>
            <w:r w:rsidRPr="00F04618">
              <w:rPr>
                <w:color w:val="000000"/>
              </w:rPr>
              <w:t>Office or other outpatient visit for the evaluation and management of a new patient, which requires a medically appropriate history and/or examination and straightforward medical decision making. When using time for code selection, 15-29 minutes of total time is spent on the date of the encounter. (To be billed when behavioral health wellness examination is performed in combination with a visit for evaluation and management.)</w:t>
            </w:r>
          </w:p>
        </w:tc>
      </w:tr>
      <w:tr w:rsidR="00FE058A" w:rsidRPr="00F04618" w14:paraId="67EBAD17"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tcPr>
          <w:p w14:paraId="20B53130" w14:textId="77777777" w:rsidR="00FE058A" w:rsidRPr="00F04618" w:rsidRDefault="00FE058A" w:rsidP="00CE5EB6">
            <w:pPr>
              <w:rPr>
                <w:rFonts w:cs="Calibri"/>
                <w:color w:val="000000"/>
              </w:rPr>
            </w:pPr>
            <w:r w:rsidRPr="00F04618">
              <w:rPr>
                <w:rFonts w:cs="Calibri"/>
                <w:color w:val="000000"/>
              </w:rPr>
              <w:lastRenderedPageBreak/>
              <w:t>99203 U4</w:t>
            </w:r>
          </w:p>
        </w:tc>
        <w:tc>
          <w:tcPr>
            <w:tcW w:w="7920" w:type="dxa"/>
            <w:tcBorders>
              <w:top w:val="nil"/>
              <w:left w:val="nil"/>
              <w:bottom w:val="single" w:sz="8" w:space="0" w:color="auto"/>
              <w:right w:val="single" w:sz="8" w:space="0" w:color="auto"/>
            </w:tcBorders>
            <w:shd w:val="clear" w:color="000000" w:fill="FFFFFF"/>
            <w:vAlign w:val="center"/>
          </w:tcPr>
          <w:p w14:paraId="622CB369" w14:textId="77777777" w:rsidR="00FE058A" w:rsidRPr="00F04618" w:rsidRDefault="00FE058A" w:rsidP="00CE5EB6">
            <w:pPr>
              <w:rPr>
                <w:color w:val="000000"/>
              </w:rPr>
            </w:pPr>
            <w:r w:rsidRPr="00F04618">
              <w:rPr>
                <w:color w:val="000000"/>
              </w:rPr>
              <w:t>Office or other outpatient visit for the evaluation and management of a new patient, which requires a medically appropriate history and/or examination and low level of medical decision making. When using time for code selection, 30-44 minutes of total time is spent on the date of the encounter. (To be billed when behavioral health wellness examination is performed in combination with a visit for evaluation and management.)</w:t>
            </w:r>
          </w:p>
        </w:tc>
      </w:tr>
      <w:tr w:rsidR="00FE058A" w:rsidRPr="00F04618" w14:paraId="6937881D"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tcPr>
          <w:p w14:paraId="575C456A" w14:textId="77777777" w:rsidR="00FE058A" w:rsidRPr="00F04618" w:rsidRDefault="00FE058A" w:rsidP="00CE5EB6">
            <w:pPr>
              <w:rPr>
                <w:rFonts w:cs="Calibri"/>
                <w:color w:val="000000"/>
              </w:rPr>
            </w:pPr>
            <w:r w:rsidRPr="00F04618">
              <w:rPr>
                <w:rFonts w:cs="Calibri"/>
                <w:color w:val="000000"/>
              </w:rPr>
              <w:t>99204 U4</w:t>
            </w:r>
          </w:p>
        </w:tc>
        <w:tc>
          <w:tcPr>
            <w:tcW w:w="7920" w:type="dxa"/>
            <w:tcBorders>
              <w:top w:val="nil"/>
              <w:left w:val="nil"/>
              <w:bottom w:val="single" w:sz="8" w:space="0" w:color="auto"/>
              <w:right w:val="single" w:sz="8" w:space="0" w:color="auto"/>
            </w:tcBorders>
            <w:shd w:val="clear" w:color="000000" w:fill="FFFFFF"/>
            <w:vAlign w:val="center"/>
          </w:tcPr>
          <w:p w14:paraId="09DFC93B" w14:textId="77777777" w:rsidR="00FE058A" w:rsidRPr="00F04618" w:rsidRDefault="00FE058A" w:rsidP="00CE5EB6">
            <w:pPr>
              <w:rPr>
                <w:color w:val="000000"/>
              </w:rPr>
            </w:pPr>
            <w:r w:rsidRPr="00F04618">
              <w:rPr>
                <w:color w:val="000000"/>
              </w:rPr>
              <w:t>Office or other outpatient visit for the evaluation and management of a new patient, which requires a medically appropriate history and/or examination and moderate level of medical decision making. When using time for code selection, 45-59 minutes of total time is spent on the date of the encounter. (To be billed when behavioral health wellness examination is performed in combination with a visit for evaluation and management.)</w:t>
            </w:r>
          </w:p>
        </w:tc>
      </w:tr>
      <w:tr w:rsidR="00FE058A" w:rsidRPr="00F04618" w14:paraId="7EBB7E0F"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tcPr>
          <w:p w14:paraId="126DBCC5" w14:textId="77777777" w:rsidR="00FE058A" w:rsidRPr="00F04618" w:rsidRDefault="00FE058A" w:rsidP="00CE5EB6">
            <w:pPr>
              <w:rPr>
                <w:rFonts w:cs="Calibri"/>
                <w:color w:val="000000"/>
              </w:rPr>
            </w:pPr>
            <w:r w:rsidRPr="00F04618">
              <w:rPr>
                <w:rFonts w:cs="Calibri"/>
                <w:color w:val="000000"/>
              </w:rPr>
              <w:t>99205 U4</w:t>
            </w:r>
          </w:p>
        </w:tc>
        <w:tc>
          <w:tcPr>
            <w:tcW w:w="7920" w:type="dxa"/>
            <w:tcBorders>
              <w:top w:val="nil"/>
              <w:left w:val="nil"/>
              <w:bottom w:val="single" w:sz="8" w:space="0" w:color="auto"/>
              <w:right w:val="single" w:sz="8" w:space="0" w:color="auto"/>
            </w:tcBorders>
            <w:shd w:val="clear" w:color="000000" w:fill="FFFFFF"/>
            <w:vAlign w:val="center"/>
          </w:tcPr>
          <w:p w14:paraId="16EF8B30" w14:textId="77777777" w:rsidR="00FE058A" w:rsidRPr="00F04618" w:rsidRDefault="00FE058A" w:rsidP="00CE5EB6">
            <w:pPr>
              <w:rPr>
                <w:color w:val="000000"/>
              </w:rPr>
            </w:pPr>
            <w:r w:rsidRPr="00F04618">
              <w:rPr>
                <w:color w:val="000000"/>
              </w:rPr>
              <w:t>Office or other outpatient visit for the evaluation and management of a new patient, which requires a medically appropriate history and/or examination and high level of medical decision making. When using time for code selection, 60-74 minutes of total time is spent on the date of the encounter.</w:t>
            </w:r>
            <w:r w:rsidRPr="00F04618">
              <w:t xml:space="preserve"> </w:t>
            </w:r>
            <w:r w:rsidRPr="00F04618">
              <w:rPr>
                <w:color w:val="000000"/>
              </w:rPr>
              <w:t>(To be billed when behavioral health wellness examination is performed in combination with a visit for evaluation and management.)</w:t>
            </w:r>
          </w:p>
        </w:tc>
      </w:tr>
      <w:tr w:rsidR="00FE058A" w:rsidRPr="00F04618" w14:paraId="06CF35E3"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tcPr>
          <w:p w14:paraId="79E00C8B" w14:textId="77777777" w:rsidR="00FE058A" w:rsidRPr="00F04618" w:rsidRDefault="00FE058A" w:rsidP="00CE5EB6">
            <w:pPr>
              <w:rPr>
                <w:rFonts w:cs="Calibri"/>
                <w:color w:val="000000"/>
              </w:rPr>
            </w:pPr>
            <w:r w:rsidRPr="00F04618">
              <w:rPr>
                <w:rFonts w:cs="Calibri"/>
                <w:color w:val="000000"/>
              </w:rPr>
              <w:t>99211 U4</w:t>
            </w:r>
          </w:p>
        </w:tc>
        <w:tc>
          <w:tcPr>
            <w:tcW w:w="7920" w:type="dxa"/>
            <w:tcBorders>
              <w:top w:val="nil"/>
              <w:left w:val="nil"/>
              <w:bottom w:val="single" w:sz="8" w:space="0" w:color="auto"/>
              <w:right w:val="single" w:sz="8" w:space="0" w:color="auto"/>
            </w:tcBorders>
            <w:shd w:val="clear" w:color="000000" w:fill="FFFFFF"/>
            <w:vAlign w:val="center"/>
          </w:tcPr>
          <w:p w14:paraId="234E1D85" w14:textId="77777777" w:rsidR="00FE058A" w:rsidRPr="00F04618" w:rsidRDefault="00FE058A" w:rsidP="00CE5EB6">
            <w:pPr>
              <w:rPr>
                <w:color w:val="000000"/>
              </w:rPr>
            </w:pPr>
            <w:r w:rsidRPr="00F04618">
              <w:rPr>
                <w:color w:val="000000"/>
              </w:rPr>
              <w:t>Office or other outpatient visit for the evaluation and management of an established patient that may not require the presence of a physician or other qualified health care professional. (To be billed when behavioral health wellness examination is performed in combination with a visit for evaluation and management.)</w:t>
            </w:r>
          </w:p>
        </w:tc>
      </w:tr>
      <w:tr w:rsidR="00FE058A" w:rsidRPr="00F04618" w14:paraId="03170794"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tcPr>
          <w:p w14:paraId="5652EC47" w14:textId="77777777" w:rsidR="00FE058A" w:rsidRPr="00F04618" w:rsidRDefault="00FE058A" w:rsidP="00CE5EB6">
            <w:pPr>
              <w:rPr>
                <w:rFonts w:cs="Calibri"/>
                <w:color w:val="000000"/>
              </w:rPr>
            </w:pPr>
            <w:r w:rsidRPr="00F04618">
              <w:rPr>
                <w:rFonts w:cs="Calibri"/>
                <w:color w:val="000000"/>
              </w:rPr>
              <w:t>99212 U4</w:t>
            </w:r>
          </w:p>
        </w:tc>
        <w:tc>
          <w:tcPr>
            <w:tcW w:w="7920" w:type="dxa"/>
            <w:tcBorders>
              <w:top w:val="nil"/>
              <w:left w:val="nil"/>
              <w:bottom w:val="single" w:sz="8" w:space="0" w:color="auto"/>
              <w:right w:val="single" w:sz="8" w:space="0" w:color="auto"/>
            </w:tcBorders>
            <w:shd w:val="clear" w:color="000000" w:fill="FFFFFF"/>
            <w:vAlign w:val="center"/>
          </w:tcPr>
          <w:p w14:paraId="463F3D14" w14:textId="77777777" w:rsidR="00FE058A" w:rsidRPr="00F04618" w:rsidRDefault="00FE058A" w:rsidP="00CE5EB6">
            <w:pPr>
              <w:rPr>
                <w:color w:val="000000"/>
              </w:rPr>
            </w:pPr>
            <w:r w:rsidRPr="00F04618">
              <w:rPr>
                <w:color w:val="000000"/>
              </w:rPr>
              <w:t>Office or other outpatient visit for the evaluation and management of an established patient, which requires a medically appropriate history and/or examination and straightforward medical decision making. When using time for code selection, 10-19 minutes of total time is spent on the date of the encounter. (To be billed when behavioral health wellness examination is performed in combination with a visit for evaluation and management.)</w:t>
            </w:r>
          </w:p>
        </w:tc>
      </w:tr>
      <w:tr w:rsidR="00FE058A" w:rsidRPr="00F04618" w14:paraId="504953EF"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tcPr>
          <w:p w14:paraId="258A6E0B" w14:textId="77777777" w:rsidR="00FE058A" w:rsidRPr="00F04618" w:rsidRDefault="00FE058A" w:rsidP="00CE5EB6">
            <w:pPr>
              <w:rPr>
                <w:rFonts w:cs="Calibri"/>
                <w:color w:val="000000"/>
              </w:rPr>
            </w:pPr>
            <w:r w:rsidRPr="00F04618">
              <w:rPr>
                <w:rFonts w:cs="Calibri"/>
                <w:color w:val="000000"/>
              </w:rPr>
              <w:t>99213 U4</w:t>
            </w:r>
          </w:p>
        </w:tc>
        <w:tc>
          <w:tcPr>
            <w:tcW w:w="7920" w:type="dxa"/>
            <w:tcBorders>
              <w:top w:val="nil"/>
              <w:left w:val="nil"/>
              <w:bottom w:val="single" w:sz="8" w:space="0" w:color="auto"/>
              <w:right w:val="single" w:sz="8" w:space="0" w:color="auto"/>
            </w:tcBorders>
            <w:shd w:val="clear" w:color="000000" w:fill="FFFFFF"/>
            <w:vAlign w:val="center"/>
          </w:tcPr>
          <w:p w14:paraId="4AAC5518" w14:textId="77777777" w:rsidR="00FE058A" w:rsidRPr="00F04618" w:rsidRDefault="00FE058A" w:rsidP="00CE5EB6">
            <w:pPr>
              <w:rPr>
                <w:color w:val="000000"/>
              </w:rPr>
            </w:pPr>
            <w:r w:rsidRPr="00F04618">
              <w:rPr>
                <w:color w:val="000000"/>
              </w:rPr>
              <w:t>Office or other outpatient visit for the evaluation and management of an established patient, which requires a medically appropriate history and/or examination and low level of medical decision making. When using time for code selection, 20-29 minutes of total time is spent on the date of the encounter. (To be billed when behavioral health wellness examination is performed in combination with a visit for evaluation and management.)</w:t>
            </w:r>
          </w:p>
        </w:tc>
      </w:tr>
      <w:tr w:rsidR="00FE058A" w:rsidRPr="00F04618" w14:paraId="543E2668"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tcPr>
          <w:p w14:paraId="2825C5FA" w14:textId="77777777" w:rsidR="00FE058A" w:rsidRPr="00F04618" w:rsidRDefault="00FE058A" w:rsidP="00CE5EB6">
            <w:pPr>
              <w:rPr>
                <w:rFonts w:cs="Calibri"/>
                <w:color w:val="000000"/>
              </w:rPr>
            </w:pPr>
            <w:r w:rsidRPr="00F04618">
              <w:rPr>
                <w:rFonts w:cs="Calibri"/>
                <w:color w:val="000000"/>
              </w:rPr>
              <w:t>99214 U4</w:t>
            </w:r>
          </w:p>
        </w:tc>
        <w:tc>
          <w:tcPr>
            <w:tcW w:w="7920" w:type="dxa"/>
            <w:tcBorders>
              <w:top w:val="nil"/>
              <w:left w:val="nil"/>
              <w:bottom w:val="single" w:sz="8" w:space="0" w:color="auto"/>
              <w:right w:val="single" w:sz="8" w:space="0" w:color="auto"/>
            </w:tcBorders>
            <w:shd w:val="clear" w:color="000000" w:fill="FFFFFF"/>
            <w:vAlign w:val="center"/>
          </w:tcPr>
          <w:p w14:paraId="4C28CC9B" w14:textId="77777777" w:rsidR="00FE058A" w:rsidRPr="00F04618" w:rsidRDefault="00FE058A" w:rsidP="00CE5EB6">
            <w:pPr>
              <w:rPr>
                <w:color w:val="000000"/>
              </w:rPr>
            </w:pPr>
            <w:r w:rsidRPr="00F04618">
              <w:rPr>
                <w:color w:val="000000"/>
              </w:rPr>
              <w:t>Office or other outpatient visit for the evaluation and management of an established patient, which requires a medically appropriate history and/or examination and moderate level of medical decision making. When using time for code selection, 30-39 minutes of total time is spent on the date of the encounter. (To be billed when behavioral health wellness examination is performed in combination with a visit for evaluation and management.)</w:t>
            </w:r>
          </w:p>
        </w:tc>
      </w:tr>
      <w:tr w:rsidR="00FE058A" w:rsidRPr="00F04618" w14:paraId="5B93220E"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tcPr>
          <w:p w14:paraId="6F544449" w14:textId="77777777" w:rsidR="00FE058A" w:rsidRPr="00F04618" w:rsidRDefault="00FE058A" w:rsidP="00CE5EB6">
            <w:pPr>
              <w:rPr>
                <w:rFonts w:cs="Calibri"/>
                <w:color w:val="000000"/>
              </w:rPr>
            </w:pPr>
            <w:r w:rsidRPr="00F04618">
              <w:rPr>
                <w:rFonts w:cs="Calibri"/>
                <w:color w:val="000000"/>
              </w:rPr>
              <w:lastRenderedPageBreak/>
              <w:t>99215 U4</w:t>
            </w:r>
          </w:p>
        </w:tc>
        <w:tc>
          <w:tcPr>
            <w:tcW w:w="7920" w:type="dxa"/>
            <w:tcBorders>
              <w:top w:val="nil"/>
              <w:left w:val="nil"/>
              <w:bottom w:val="single" w:sz="8" w:space="0" w:color="auto"/>
              <w:right w:val="single" w:sz="8" w:space="0" w:color="auto"/>
            </w:tcBorders>
            <w:shd w:val="clear" w:color="000000" w:fill="FFFFFF"/>
            <w:vAlign w:val="center"/>
          </w:tcPr>
          <w:p w14:paraId="0ECCA2ED" w14:textId="77777777" w:rsidR="00FE058A" w:rsidRPr="00F04618" w:rsidRDefault="00FE058A" w:rsidP="00CE5EB6">
            <w:pPr>
              <w:rPr>
                <w:color w:val="000000"/>
              </w:rPr>
            </w:pPr>
            <w:r w:rsidRPr="00F04618">
              <w:rPr>
                <w:color w:val="000000"/>
              </w:rPr>
              <w:t>Office or other outpatient visit for the evaluation and management of an established patient, which requires a medically appropriate history and/or examination and high level of medical decision making. When using time for code selection, 40-54 minutes of total time is spent on the date of the encounter. (To be billed when behavioral health wellness examination is performed in combination with a visit for evaluation and management.)</w:t>
            </w:r>
          </w:p>
        </w:tc>
      </w:tr>
      <w:tr w:rsidR="00FE058A" w:rsidRPr="00F04618" w14:paraId="3B855815"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tcPr>
          <w:p w14:paraId="368E69A0" w14:textId="77777777" w:rsidR="00FE058A" w:rsidRPr="00F04618" w:rsidRDefault="00FE058A" w:rsidP="00CE5EB6">
            <w:pPr>
              <w:rPr>
                <w:rFonts w:cs="Calibri"/>
                <w:color w:val="000000"/>
              </w:rPr>
            </w:pPr>
            <w:r w:rsidRPr="00F04618">
              <w:rPr>
                <w:rFonts w:cs="Calibri"/>
                <w:color w:val="000000"/>
              </w:rPr>
              <w:t>99381 U4</w:t>
            </w:r>
          </w:p>
        </w:tc>
        <w:tc>
          <w:tcPr>
            <w:tcW w:w="7920" w:type="dxa"/>
            <w:tcBorders>
              <w:top w:val="nil"/>
              <w:left w:val="nil"/>
              <w:bottom w:val="single" w:sz="8" w:space="0" w:color="auto"/>
              <w:right w:val="single" w:sz="8" w:space="0" w:color="auto"/>
            </w:tcBorders>
            <w:shd w:val="clear" w:color="000000" w:fill="FFFFFF"/>
            <w:vAlign w:val="center"/>
          </w:tcPr>
          <w:p w14:paraId="1076E03E" w14:textId="77777777" w:rsidR="00FE058A" w:rsidRPr="00F04618" w:rsidRDefault="00FE058A" w:rsidP="00CE5EB6">
            <w:pPr>
              <w:rPr>
                <w:color w:val="000000"/>
              </w:rPr>
            </w:pPr>
            <w:r w:rsidRPr="00F04618">
              <w:rPr>
                <w:color w:val="000000"/>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infant (age younger than 1 year). (To be billed when behavioral health wellness examination is performed in combination with initial comprehensive preventive medicine evaluation and management.)</w:t>
            </w:r>
          </w:p>
        </w:tc>
      </w:tr>
      <w:tr w:rsidR="00FE058A" w:rsidRPr="00F04618" w14:paraId="26AB5195"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0590E1E4" w14:textId="77777777" w:rsidR="00FE058A" w:rsidRPr="00F04618" w:rsidRDefault="00FE058A" w:rsidP="00CE5EB6">
            <w:pPr>
              <w:rPr>
                <w:color w:val="000000"/>
              </w:rPr>
            </w:pPr>
            <w:r w:rsidRPr="00F04618">
              <w:rPr>
                <w:rFonts w:cs="Calibri"/>
                <w:color w:val="000000"/>
              </w:rPr>
              <w:t>99382 U4</w:t>
            </w:r>
          </w:p>
        </w:tc>
        <w:tc>
          <w:tcPr>
            <w:tcW w:w="7920" w:type="dxa"/>
            <w:tcBorders>
              <w:top w:val="nil"/>
              <w:left w:val="nil"/>
              <w:bottom w:val="single" w:sz="8" w:space="0" w:color="auto"/>
              <w:right w:val="single" w:sz="8" w:space="0" w:color="auto"/>
            </w:tcBorders>
            <w:shd w:val="clear" w:color="000000" w:fill="FFFFFF"/>
            <w:vAlign w:val="center"/>
            <w:hideMark/>
          </w:tcPr>
          <w:p w14:paraId="2236AD83" w14:textId="77777777" w:rsidR="00FE058A" w:rsidRPr="00F04618" w:rsidRDefault="00FE058A" w:rsidP="00CE5EB6">
            <w:pPr>
              <w:rPr>
                <w:color w:val="000000"/>
              </w:rPr>
            </w:pPr>
            <w:r w:rsidRPr="00F04618">
              <w:rPr>
                <w:color w:val="000000"/>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early childhood (age 1 through 4 years). (To be billed when behavioral health wellness examination is performed in combination with initial comprehensive preventive medicine evaluation and management.)</w:t>
            </w:r>
          </w:p>
        </w:tc>
      </w:tr>
      <w:tr w:rsidR="00FE058A" w:rsidRPr="00F04618" w14:paraId="32D1EA0B"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1565968D" w14:textId="77777777" w:rsidR="00FE058A" w:rsidRPr="00F04618" w:rsidRDefault="00FE058A" w:rsidP="00CE5EB6">
            <w:pPr>
              <w:rPr>
                <w:color w:val="000000"/>
              </w:rPr>
            </w:pPr>
            <w:r w:rsidRPr="00F04618">
              <w:rPr>
                <w:rFonts w:cs="Calibri"/>
                <w:color w:val="000000"/>
              </w:rPr>
              <w:t>99383 U4</w:t>
            </w:r>
          </w:p>
        </w:tc>
        <w:tc>
          <w:tcPr>
            <w:tcW w:w="7920" w:type="dxa"/>
            <w:tcBorders>
              <w:top w:val="nil"/>
              <w:left w:val="nil"/>
              <w:bottom w:val="single" w:sz="8" w:space="0" w:color="auto"/>
              <w:right w:val="single" w:sz="8" w:space="0" w:color="auto"/>
            </w:tcBorders>
            <w:shd w:val="clear" w:color="000000" w:fill="FFFFFF"/>
            <w:vAlign w:val="center"/>
            <w:hideMark/>
          </w:tcPr>
          <w:p w14:paraId="754D5565" w14:textId="77777777" w:rsidR="00FE058A" w:rsidRPr="00F04618" w:rsidRDefault="00FE058A" w:rsidP="00CE5EB6">
            <w:pPr>
              <w:rPr>
                <w:color w:val="000000"/>
              </w:rPr>
            </w:pPr>
            <w:r w:rsidRPr="00F04618">
              <w:rPr>
                <w:color w:val="000000"/>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late childhood (age 5 through 11 years). (To be billed when behavioral health wellness examination is performed in combination with initial comprehensive preventive medicine evaluation and management.)</w:t>
            </w:r>
          </w:p>
        </w:tc>
      </w:tr>
      <w:tr w:rsidR="00FE058A" w:rsidRPr="00F04618" w14:paraId="43C5F4E6"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3A0C86A2" w14:textId="77777777" w:rsidR="00FE058A" w:rsidRPr="00F04618" w:rsidRDefault="00FE058A" w:rsidP="00CE5EB6">
            <w:pPr>
              <w:rPr>
                <w:color w:val="000000"/>
              </w:rPr>
            </w:pPr>
            <w:r w:rsidRPr="00F04618">
              <w:rPr>
                <w:rFonts w:cs="Calibri"/>
                <w:color w:val="000000"/>
              </w:rPr>
              <w:t>99384 U4</w:t>
            </w:r>
          </w:p>
        </w:tc>
        <w:tc>
          <w:tcPr>
            <w:tcW w:w="7920" w:type="dxa"/>
            <w:tcBorders>
              <w:top w:val="nil"/>
              <w:left w:val="nil"/>
              <w:bottom w:val="single" w:sz="8" w:space="0" w:color="auto"/>
              <w:right w:val="single" w:sz="8" w:space="0" w:color="auto"/>
            </w:tcBorders>
            <w:shd w:val="clear" w:color="000000" w:fill="FFFFFF"/>
            <w:vAlign w:val="center"/>
            <w:hideMark/>
          </w:tcPr>
          <w:p w14:paraId="0D95B824" w14:textId="77777777" w:rsidR="00FE058A" w:rsidRPr="00F04618" w:rsidRDefault="00FE058A" w:rsidP="00CE5EB6">
            <w:pPr>
              <w:rPr>
                <w:color w:val="000000"/>
              </w:rPr>
            </w:pPr>
            <w:r w:rsidRPr="00F04618">
              <w:rPr>
                <w:color w:val="000000"/>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adolescent (age 12 through 17 years). (To be billed when behavioral health wellness examination is performed in combination with initial comprehensive preventive medicine evaluation and management.)</w:t>
            </w:r>
          </w:p>
        </w:tc>
      </w:tr>
      <w:tr w:rsidR="00FE058A" w:rsidRPr="00F04618" w14:paraId="794E0A21"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1C5101C2" w14:textId="77777777" w:rsidR="00FE058A" w:rsidRPr="00F04618" w:rsidRDefault="00FE058A" w:rsidP="00CE5EB6">
            <w:pPr>
              <w:rPr>
                <w:color w:val="000000"/>
              </w:rPr>
            </w:pPr>
            <w:r w:rsidRPr="00F04618">
              <w:rPr>
                <w:rFonts w:cs="Calibri"/>
                <w:color w:val="000000"/>
              </w:rPr>
              <w:t>99385 U4</w:t>
            </w:r>
          </w:p>
        </w:tc>
        <w:tc>
          <w:tcPr>
            <w:tcW w:w="7920" w:type="dxa"/>
            <w:tcBorders>
              <w:top w:val="nil"/>
              <w:left w:val="nil"/>
              <w:bottom w:val="single" w:sz="8" w:space="0" w:color="auto"/>
              <w:right w:val="single" w:sz="8" w:space="0" w:color="auto"/>
            </w:tcBorders>
            <w:shd w:val="clear" w:color="000000" w:fill="FFFFFF"/>
            <w:vAlign w:val="center"/>
            <w:hideMark/>
          </w:tcPr>
          <w:p w14:paraId="6ABD4006" w14:textId="77777777" w:rsidR="00FE058A" w:rsidRPr="00F04618" w:rsidRDefault="00FE058A" w:rsidP="00CE5EB6">
            <w:pPr>
              <w:rPr>
                <w:color w:val="000000"/>
              </w:rPr>
            </w:pPr>
            <w:r w:rsidRPr="00F04618">
              <w:rPr>
                <w:color w:val="000000"/>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18-39 years. (To be billed when behavioral health wellness examination is performed in combination with initial comprehensive preventive medicine evaluation and management.)</w:t>
            </w:r>
          </w:p>
        </w:tc>
      </w:tr>
      <w:tr w:rsidR="00FE058A" w:rsidRPr="00F04618" w14:paraId="22174EF2"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41E7A008" w14:textId="77777777" w:rsidR="00FE058A" w:rsidRPr="00F04618" w:rsidRDefault="00FE058A" w:rsidP="00CE5EB6">
            <w:pPr>
              <w:rPr>
                <w:color w:val="000000"/>
              </w:rPr>
            </w:pPr>
            <w:r w:rsidRPr="00F04618">
              <w:rPr>
                <w:rFonts w:cs="Calibri"/>
                <w:color w:val="000000"/>
              </w:rPr>
              <w:lastRenderedPageBreak/>
              <w:t>99386 U4</w:t>
            </w:r>
          </w:p>
        </w:tc>
        <w:tc>
          <w:tcPr>
            <w:tcW w:w="7920" w:type="dxa"/>
            <w:tcBorders>
              <w:top w:val="nil"/>
              <w:left w:val="nil"/>
              <w:bottom w:val="single" w:sz="8" w:space="0" w:color="auto"/>
              <w:right w:val="single" w:sz="8" w:space="0" w:color="auto"/>
            </w:tcBorders>
            <w:shd w:val="clear" w:color="000000" w:fill="FFFFFF"/>
            <w:vAlign w:val="center"/>
            <w:hideMark/>
          </w:tcPr>
          <w:p w14:paraId="6DF3191D" w14:textId="77777777" w:rsidR="00FE058A" w:rsidRPr="00F04618" w:rsidRDefault="00FE058A" w:rsidP="00CE5EB6">
            <w:pPr>
              <w:rPr>
                <w:color w:val="000000"/>
              </w:rPr>
            </w:pPr>
            <w:r w:rsidRPr="00F04618">
              <w:rPr>
                <w:color w:val="000000"/>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40-64 years. (To be billed when behavioral health wellness examination is performed in combination with initial comprehensive preventive medicine evaluation and management.)</w:t>
            </w:r>
          </w:p>
        </w:tc>
      </w:tr>
      <w:tr w:rsidR="00FE058A" w:rsidRPr="00F04618" w14:paraId="51A0451B"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733C527B" w14:textId="77777777" w:rsidR="00FE058A" w:rsidRPr="00F04618" w:rsidRDefault="00FE058A" w:rsidP="00CE5EB6">
            <w:pPr>
              <w:rPr>
                <w:color w:val="000000"/>
              </w:rPr>
            </w:pPr>
            <w:r w:rsidRPr="00F04618">
              <w:rPr>
                <w:rFonts w:cs="Calibri"/>
                <w:color w:val="000000"/>
              </w:rPr>
              <w:t>99387 U4</w:t>
            </w:r>
          </w:p>
        </w:tc>
        <w:tc>
          <w:tcPr>
            <w:tcW w:w="7920" w:type="dxa"/>
            <w:tcBorders>
              <w:top w:val="nil"/>
              <w:left w:val="nil"/>
              <w:bottom w:val="single" w:sz="8" w:space="0" w:color="auto"/>
              <w:right w:val="single" w:sz="8" w:space="0" w:color="auto"/>
            </w:tcBorders>
            <w:shd w:val="clear" w:color="000000" w:fill="FFFFFF"/>
            <w:vAlign w:val="center"/>
            <w:hideMark/>
          </w:tcPr>
          <w:p w14:paraId="6C353E34" w14:textId="77777777" w:rsidR="00FE058A" w:rsidRPr="00F04618" w:rsidRDefault="00FE058A" w:rsidP="00CE5EB6">
            <w:pPr>
              <w:rPr>
                <w:color w:val="000000"/>
              </w:rPr>
            </w:pPr>
            <w:r w:rsidRPr="00F04618">
              <w:rPr>
                <w:color w:val="000000"/>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65 years and older. (To be billed when behavioral health wellness examination is performed in combination with initial comprehensive preventive medicine evaluation and management.)</w:t>
            </w:r>
          </w:p>
        </w:tc>
      </w:tr>
      <w:tr w:rsidR="00FE058A" w:rsidRPr="00F04618" w14:paraId="0305DA85"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0C87EC29" w14:textId="77777777" w:rsidR="00FE058A" w:rsidRPr="00F04618" w:rsidRDefault="00FE058A" w:rsidP="00CE5EB6">
            <w:pPr>
              <w:rPr>
                <w:color w:val="000000"/>
              </w:rPr>
            </w:pPr>
            <w:r w:rsidRPr="00F04618">
              <w:rPr>
                <w:rFonts w:cs="Calibri"/>
                <w:color w:val="000000"/>
              </w:rPr>
              <w:t>99391 U4</w:t>
            </w:r>
          </w:p>
        </w:tc>
        <w:tc>
          <w:tcPr>
            <w:tcW w:w="7920" w:type="dxa"/>
            <w:tcBorders>
              <w:top w:val="nil"/>
              <w:left w:val="nil"/>
              <w:bottom w:val="single" w:sz="8" w:space="0" w:color="auto"/>
              <w:right w:val="single" w:sz="8" w:space="0" w:color="auto"/>
            </w:tcBorders>
            <w:shd w:val="clear" w:color="000000" w:fill="FFFFFF"/>
            <w:vAlign w:val="center"/>
            <w:hideMark/>
          </w:tcPr>
          <w:p w14:paraId="557BA215" w14:textId="77777777" w:rsidR="00FE058A" w:rsidRPr="00F04618" w:rsidRDefault="00FE058A" w:rsidP="00CE5EB6">
            <w:pPr>
              <w:rPr>
                <w:color w:val="000000"/>
              </w:rPr>
            </w:pPr>
            <w:r w:rsidRPr="00F04618">
              <w:rPr>
                <w:color w:val="000000"/>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infant (age younger than 1 year). (To be billed when behavioral health wellness examination is performed in combination with periodic comprehensive preventive medicine evaluation and management.)</w:t>
            </w:r>
          </w:p>
        </w:tc>
      </w:tr>
      <w:tr w:rsidR="00FE058A" w:rsidRPr="00F04618" w14:paraId="0344B4CA"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129CE075" w14:textId="77777777" w:rsidR="00FE058A" w:rsidRPr="00F04618" w:rsidRDefault="00FE058A" w:rsidP="00CE5EB6">
            <w:pPr>
              <w:rPr>
                <w:color w:val="000000"/>
              </w:rPr>
            </w:pPr>
            <w:r w:rsidRPr="00F04618">
              <w:rPr>
                <w:rFonts w:cs="Calibri"/>
                <w:color w:val="000000"/>
              </w:rPr>
              <w:t>99392 U4</w:t>
            </w:r>
          </w:p>
        </w:tc>
        <w:tc>
          <w:tcPr>
            <w:tcW w:w="7920" w:type="dxa"/>
            <w:tcBorders>
              <w:top w:val="nil"/>
              <w:left w:val="nil"/>
              <w:bottom w:val="single" w:sz="8" w:space="0" w:color="auto"/>
              <w:right w:val="single" w:sz="8" w:space="0" w:color="auto"/>
            </w:tcBorders>
            <w:shd w:val="clear" w:color="000000" w:fill="FFFFFF"/>
            <w:vAlign w:val="center"/>
            <w:hideMark/>
          </w:tcPr>
          <w:p w14:paraId="275BAE91" w14:textId="77777777" w:rsidR="00FE058A" w:rsidRPr="00F04618" w:rsidRDefault="00FE058A" w:rsidP="00CE5EB6">
            <w:pPr>
              <w:rPr>
                <w:color w:val="000000"/>
              </w:rPr>
            </w:pPr>
            <w:r w:rsidRPr="00F04618">
              <w:rPr>
                <w:color w:val="000000"/>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early childhood (age 1 through 4 years). (To be billed when behavioral health wellness examination is performed in combination with periodic comprehensive preventive medicine evaluation and management.)</w:t>
            </w:r>
          </w:p>
        </w:tc>
      </w:tr>
      <w:tr w:rsidR="00FE058A" w:rsidRPr="00F04618" w14:paraId="03158C62"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7DD86120" w14:textId="77777777" w:rsidR="00FE058A" w:rsidRPr="00F04618" w:rsidRDefault="00FE058A" w:rsidP="00CE5EB6">
            <w:pPr>
              <w:rPr>
                <w:color w:val="000000"/>
              </w:rPr>
            </w:pPr>
            <w:r w:rsidRPr="00F04618">
              <w:rPr>
                <w:rFonts w:cs="Calibri"/>
                <w:color w:val="000000"/>
              </w:rPr>
              <w:t>99393 U4</w:t>
            </w:r>
          </w:p>
        </w:tc>
        <w:tc>
          <w:tcPr>
            <w:tcW w:w="7920" w:type="dxa"/>
            <w:tcBorders>
              <w:top w:val="nil"/>
              <w:left w:val="nil"/>
              <w:bottom w:val="single" w:sz="8" w:space="0" w:color="auto"/>
              <w:right w:val="single" w:sz="8" w:space="0" w:color="auto"/>
            </w:tcBorders>
            <w:shd w:val="clear" w:color="000000" w:fill="FFFFFF"/>
            <w:vAlign w:val="center"/>
            <w:hideMark/>
          </w:tcPr>
          <w:p w14:paraId="71130E39" w14:textId="77777777" w:rsidR="00FE058A" w:rsidRPr="00F04618" w:rsidRDefault="00FE058A" w:rsidP="00CE5EB6">
            <w:pPr>
              <w:rPr>
                <w:color w:val="000000"/>
              </w:rPr>
            </w:pPr>
            <w:r w:rsidRPr="00F04618">
              <w:rPr>
                <w:color w:val="000000"/>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late childhood (age 5 through 11 years). (To be billed when behavioral health wellness examination is performed in combination with periodic comprehensive preventive medicine evaluation and management.)</w:t>
            </w:r>
          </w:p>
        </w:tc>
      </w:tr>
      <w:tr w:rsidR="00FE058A" w:rsidRPr="00F04618" w14:paraId="3DF31190"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6CB73FD3" w14:textId="77777777" w:rsidR="00FE058A" w:rsidRPr="00F04618" w:rsidRDefault="00FE058A" w:rsidP="00CE5EB6">
            <w:pPr>
              <w:rPr>
                <w:color w:val="000000"/>
              </w:rPr>
            </w:pPr>
            <w:r w:rsidRPr="00F04618">
              <w:rPr>
                <w:rFonts w:cs="Calibri"/>
                <w:color w:val="000000"/>
              </w:rPr>
              <w:t>99394 U4</w:t>
            </w:r>
          </w:p>
        </w:tc>
        <w:tc>
          <w:tcPr>
            <w:tcW w:w="7920" w:type="dxa"/>
            <w:tcBorders>
              <w:top w:val="nil"/>
              <w:left w:val="nil"/>
              <w:bottom w:val="single" w:sz="8" w:space="0" w:color="auto"/>
              <w:right w:val="single" w:sz="8" w:space="0" w:color="auto"/>
            </w:tcBorders>
            <w:shd w:val="clear" w:color="000000" w:fill="FFFFFF"/>
            <w:vAlign w:val="center"/>
            <w:hideMark/>
          </w:tcPr>
          <w:p w14:paraId="4D1872A5" w14:textId="77777777" w:rsidR="00FE058A" w:rsidRPr="00F04618" w:rsidRDefault="00FE058A" w:rsidP="00CE5EB6">
            <w:pPr>
              <w:rPr>
                <w:color w:val="000000"/>
              </w:rPr>
            </w:pPr>
            <w:r w:rsidRPr="00F04618">
              <w:rPr>
                <w:color w:val="000000"/>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adolescent (age 12 through 17 years). (To be billed when behavioral health wellness examination is performed in combination with periodic comprehensive preventive medicine evaluation and management.)</w:t>
            </w:r>
          </w:p>
        </w:tc>
      </w:tr>
      <w:tr w:rsidR="00FE058A" w:rsidRPr="00F04618" w14:paraId="54BB2609"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30F59130" w14:textId="77777777" w:rsidR="00FE058A" w:rsidRPr="00F04618" w:rsidRDefault="00FE058A" w:rsidP="00CE5EB6">
            <w:pPr>
              <w:rPr>
                <w:color w:val="000000"/>
              </w:rPr>
            </w:pPr>
            <w:r w:rsidRPr="00F04618">
              <w:rPr>
                <w:rFonts w:cs="Calibri"/>
                <w:color w:val="000000"/>
              </w:rPr>
              <w:lastRenderedPageBreak/>
              <w:t>99395 U4</w:t>
            </w:r>
          </w:p>
        </w:tc>
        <w:tc>
          <w:tcPr>
            <w:tcW w:w="7920" w:type="dxa"/>
            <w:tcBorders>
              <w:top w:val="nil"/>
              <w:left w:val="nil"/>
              <w:bottom w:val="single" w:sz="8" w:space="0" w:color="auto"/>
              <w:right w:val="single" w:sz="8" w:space="0" w:color="auto"/>
            </w:tcBorders>
            <w:shd w:val="clear" w:color="000000" w:fill="FFFFFF"/>
            <w:vAlign w:val="center"/>
            <w:hideMark/>
          </w:tcPr>
          <w:p w14:paraId="57CFAA0A" w14:textId="77777777" w:rsidR="00FE058A" w:rsidRPr="00F04618" w:rsidRDefault="00FE058A" w:rsidP="00CE5EB6">
            <w:pPr>
              <w:rPr>
                <w:color w:val="000000"/>
              </w:rPr>
            </w:pPr>
            <w:r w:rsidRPr="00F04618">
              <w:rPr>
                <w:color w:val="000000"/>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18-39 years. (To be billed when behavioral health wellness examination is performed in combination with periodic comprehensive preventive medicine evaluation and management.)</w:t>
            </w:r>
          </w:p>
        </w:tc>
      </w:tr>
      <w:tr w:rsidR="00FE058A" w:rsidRPr="00F04618" w14:paraId="4D0E798E"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2AAF1065" w14:textId="77777777" w:rsidR="00FE058A" w:rsidRPr="00F04618" w:rsidRDefault="00FE058A" w:rsidP="00CE5EB6">
            <w:pPr>
              <w:rPr>
                <w:color w:val="000000"/>
              </w:rPr>
            </w:pPr>
            <w:r w:rsidRPr="00F04618">
              <w:rPr>
                <w:rFonts w:cs="Calibri"/>
                <w:color w:val="000000"/>
              </w:rPr>
              <w:t>99396 U4</w:t>
            </w:r>
          </w:p>
        </w:tc>
        <w:tc>
          <w:tcPr>
            <w:tcW w:w="7920" w:type="dxa"/>
            <w:tcBorders>
              <w:top w:val="nil"/>
              <w:left w:val="nil"/>
              <w:bottom w:val="single" w:sz="8" w:space="0" w:color="auto"/>
              <w:right w:val="single" w:sz="8" w:space="0" w:color="auto"/>
            </w:tcBorders>
            <w:shd w:val="clear" w:color="000000" w:fill="FFFFFF"/>
            <w:vAlign w:val="center"/>
            <w:hideMark/>
          </w:tcPr>
          <w:p w14:paraId="1914C677" w14:textId="77777777" w:rsidR="00FE058A" w:rsidRPr="00F04618" w:rsidRDefault="00FE058A" w:rsidP="00CE5EB6">
            <w:pPr>
              <w:rPr>
                <w:color w:val="000000"/>
              </w:rPr>
            </w:pPr>
            <w:r w:rsidRPr="00F04618">
              <w:rPr>
                <w:color w:val="000000"/>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40-64 years. (To be billed when behavioral health wellness examination is performed in combination with periodic comprehensive preventive medicine evaluation and management.)</w:t>
            </w:r>
          </w:p>
        </w:tc>
      </w:tr>
      <w:tr w:rsidR="00FE058A" w:rsidRPr="00F04618" w14:paraId="74B5DCD6" w14:textId="77777777" w:rsidTr="00CE5EB6">
        <w:trPr>
          <w:cantSplit/>
        </w:trPr>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3F5A0A83" w14:textId="77777777" w:rsidR="00FE058A" w:rsidRPr="00F04618" w:rsidRDefault="00FE058A" w:rsidP="00CE5EB6">
            <w:pPr>
              <w:rPr>
                <w:color w:val="000000"/>
              </w:rPr>
            </w:pPr>
            <w:r w:rsidRPr="00F04618">
              <w:rPr>
                <w:rFonts w:cs="Calibri"/>
                <w:color w:val="000000"/>
              </w:rPr>
              <w:t>99397 U4</w:t>
            </w:r>
          </w:p>
        </w:tc>
        <w:tc>
          <w:tcPr>
            <w:tcW w:w="7920" w:type="dxa"/>
            <w:tcBorders>
              <w:top w:val="nil"/>
              <w:left w:val="nil"/>
              <w:bottom w:val="single" w:sz="8" w:space="0" w:color="auto"/>
              <w:right w:val="single" w:sz="8" w:space="0" w:color="auto"/>
            </w:tcBorders>
            <w:shd w:val="clear" w:color="000000" w:fill="FFFFFF"/>
            <w:vAlign w:val="center"/>
            <w:hideMark/>
          </w:tcPr>
          <w:p w14:paraId="7C5219D4" w14:textId="77777777" w:rsidR="00FE058A" w:rsidRPr="00F04618" w:rsidRDefault="00FE058A" w:rsidP="00CE5EB6">
            <w:pPr>
              <w:rPr>
                <w:color w:val="000000"/>
              </w:rPr>
            </w:pPr>
            <w:r w:rsidRPr="00F04618">
              <w:rPr>
                <w:color w:val="000000"/>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65 years and older. (To be billed when behavioral health wellness examination is performed in combination with periodic comprehensive preventive medicine evaluation and management.)</w:t>
            </w:r>
          </w:p>
        </w:tc>
      </w:tr>
    </w:tbl>
    <w:p w14:paraId="250969B1" w14:textId="638829B7" w:rsidR="00F60156" w:rsidRDefault="00FE058A" w:rsidP="00FE058A">
      <w:pPr>
        <w:pStyle w:val="Heading3"/>
        <w:tabs>
          <w:tab w:val="left" w:pos="7905"/>
        </w:tabs>
      </w:pPr>
      <w:r>
        <w:t>Rates for Added Codes</w:t>
      </w:r>
    </w:p>
    <w:tbl>
      <w:tblPr>
        <w:tblW w:w="9638" w:type="dxa"/>
        <w:tblLook w:val="04A0" w:firstRow="1" w:lastRow="0" w:firstColumn="1" w:lastColumn="0" w:noHBand="0" w:noVBand="1"/>
      </w:tblPr>
      <w:tblGrid>
        <w:gridCol w:w="1314"/>
        <w:gridCol w:w="1831"/>
        <w:gridCol w:w="1692"/>
        <w:gridCol w:w="958"/>
        <w:gridCol w:w="2056"/>
        <w:gridCol w:w="1787"/>
      </w:tblGrid>
      <w:tr w:rsidR="00F60156" w:rsidRPr="00F04618" w14:paraId="637A9C96" w14:textId="77777777" w:rsidTr="00CE5EB6">
        <w:trPr>
          <w:cantSplit/>
          <w:tblHeader/>
        </w:trPr>
        <w:tc>
          <w:tcPr>
            <w:tcW w:w="1314" w:type="dxa"/>
            <w:tcBorders>
              <w:top w:val="single" w:sz="8" w:space="0" w:color="auto"/>
              <w:left w:val="single" w:sz="8" w:space="0" w:color="auto"/>
              <w:bottom w:val="single" w:sz="8" w:space="0" w:color="auto"/>
              <w:right w:val="single" w:sz="8" w:space="0" w:color="auto"/>
            </w:tcBorders>
            <w:shd w:val="clear" w:color="000000" w:fill="DBDBDB"/>
            <w:noWrap/>
            <w:vAlign w:val="center"/>
            <w:hideMark/>
          </w:tcPr>
          <w:p w14:paraId="75286FB5" w14:textId="77777777" w:rsidR="00F60156" w:rsidRPr="00F04618" w:rsidRDefault="00F60156" w:rsidP="00CE5EB6">
            <w:pPr>
              <w:jc w:val="center"/>
              <w:rPr>
                <w:b/>
                <w:bCs/>
                <w:color w:val="000000"/>
              </w:rPr>
            </w:pPr>
            <w:r w:rsidRPr="00F04618">
              <w:rPr>
                <w:rFonts w:eastAsia="Times New Roman" w:cs="Times New Roman"/>
                <w:b/>
                <w:bCs/>
                <w:color w:val="000000"/>
              </w:rPr>
              <w:t>Code</w:t>
            </w:r>
          </w:p>
        </w:tc>
        <w:tc>
          <w:tcPr>
            <w:tcW w:w="1831" w:type="dxa"/>
            <w:tcBorders>
              <w:top w:val="single" w:sz="8" w:space="0" w:color="auto"/>
              <w:left w:val="nil"/>
              <w:bottom w:val="single" w:sz="8" w:space="0" w:color="auto"/>
              <w:right w:val="single" w:sz="8" w:space="0" w:color="auto"/>
            </w:tcBorders>
            <w:shd w:val="clear" w:color="000000" w:fill="DBDBDB"/>
            <w:noWrap/>
            <w:vAlign w:val="center"/>
            <w:hideMark/>
          </w:tcPr>
          <w:p w14:paraId="2B526CBD" w14:textId="77777777" w:rsidR="00F60156" w:rsidRPr="00F04618" w:rsidRDefault="00F60156" w:rsidP="00CE5EB6">
            <w:pPr>
              <w:jc w:val="center"/>
              <w:rPr>
                <w:b/>
                <w:bCs/>
                <w:color w:val="000000"/>
              </w:rPr>
            </w:pPr>
            <w:r w:rsidRPr="00F04618">
              <w:rPr>
                <w:rFonts w:eastAsia="Times New Roman" w:cs="Times New Roman"/>
                <w:b/>
                <w:bCs/>
                <w:color w:val="000000"/>
              </w:rPr>
              <w:t>Non-Facility Fee</w:t>
            </w:r>
          </w:p>
        </w:tc>
        <w:tc>
          <w:tcPr>
            <w:tcW w:w="1692" w:type="dxa"/>
            <w:tcBorders>
              <w:top w:val="single" w:sz="8" w:space="0" w:color="auto"/>
              <w:left w:val="nil"/>
              <w:bottom w:val="single" w:sz="8" w:space="0" w:color="auto"/>
              <w:right w:val="single" w:sz="8" w:space="0" w:color="auto"/>
            </w:tcBorders>
            <w:shd w:val="clear" w:color="000000" w:fill="DBDBDB"/>
            <w:noWrap/>
            <w:vAlign w:val="center"/>
            <w:hideMark/>
          </w:tcPr>
          <w:p w14:paraId="14225D6A" w14:textId="77777777" w:rsidR="00F60156" w:rsidRPr="00F04618" w:rsidRDefault="00F60156" w:rsidP="00CE5EB6">
            <w:pPr>
              <w:jc w:val="center"/>
              <w:rPr>
                <w:b/>
                <w:bCs/>
                <w:color w:val="000000"/>
              </w:rPr>
            </w:pPr>
            <w:r w:rsidRPr="00F04618">
              <w:rPr>
                <w:rFonts w:eastAsia="Times New Roman" w:cs="Times New Roman"/>
                <w:b/>
                <w:bCs/>
                <w:color w:val="000000"/>
              </w:rPr>
              <w:t>Facility Fee</w:t>
            </w:r>
          </w:p>
        </w:tc>
        <w:tc>
          <w:tcPr>
            <w:tcW w:w="958" w:type="dxa"/>
            <w:tcBorders>
              <w:top w:val="single" w:sz="8" w:space="0" w:color="auto"/>
              <w:left w:val="nil"/>
              <w:bottom w:val="single" w:sz="8" w:space="0" w:color="auto"/>
              <w:right w:val="single" w:sz="8" w:space="0" w:color="auto"/>
            </w:tcBorders>
            <w:shd w:val="clear" w:color="000000" w:fill="DBDBDB"/>
            <w:noWrap/>
            <w:vAlign w:val="center"/>
            <w:hideMark/>
          </w:tcPr>
          <w:p w14:paraId="05665B51" w14:textId="77777777" w:rsidR="00F60156" w:rsidRPr="00F04618" w:rsidRDefault="00F60156" w:rsidP="00CE5EB6">
            <w:pPr>
              <w:jc w:val="center"/>
              <w:rPr>
                <w:b/>
                <w:bCs/>
                <w:color w:val="000000"/>
              </w:rPr>
            </w:pPr>
            <w:r w:rsidRPr="00F04618">
              <w:rPr>
                <w:rFonts w:eastAsia="Times New Roman" w:cs="Times New Roman"/>
                <w:b/>
                <w:bCs/>
                <w:color w:val="000000"/>
              </w:rPr>
              <w:t>Global</w:t>
            </w:r>
          </w:p>
        </w:tc>
        <w:tc>
          <w:tcPr>
            <w:tcW w:w="2056" w:type="dxa"/>
            <w:tcBorders>
              <w:top w:val="single" w:sz="8" w:space="0" w:color="auto"/>
              <w:left w:val="nil"/>
              <w:bottom w:val="single" w:sz="8" w:space="0" w:color="auto"/>
              <w:right w:val="single" w:sz="8" w:space="0" w:color="auto"/>
            </w:tcBorders>
            <w:shd w:val="clear" w:color="000000" w:fill="DBDBDB"/>
            <w:noWrap/>
            <w:vAlign w:val="center"/>
            <w:hideMark/>
          </w:tcPr>
          <w:p w14:paraId="42C9E18E" w14:textId="77777777" w:rsidR="00F60156" w:rsidRPr="00F04618" w:rsidRDefault="00F60156" w:rsidP="00CE5EB6">
            <w:pPr>
              <w:jc w:val="center"/>
              <w:rPr>
                <w:b/>
                <w:bCs/>
                <w:color w:val="000000"/>
              </w:rPr>
            </w:pPr>
            <w:r w:rsidRPr="00F04618">
              <w:rPr>
                <w:rFonts w:eastAsia="Times New Roman" w:cs="Times New Roman"/>
                <w:b/>
                <w:bCs/>
                <w:color w:val="000000"/>
              </w:rPr>
              <w:t>Professional Component Fee</w:t>
            </w:r>
          </w:p>
        </w:tc>
        <w:tc>
          <w:tcPr>
            <w:tcW w:w="1787" w:type="dxa"/>
            <w:tcBorders>
              <w:top w:val="single" w:sz="8" w:space="0" w:color="auto"/>
              <w:left w:val="nil"/>
              <w:bottom w:val="single" w:sz="8" w:space="0" w:color="auto"/>
              <w:right w:val="single" w:sz="8" w:space="0" w:color="auto"/>
            </w:tcBorders>
            <w:shd w:val="clear" w:color="000000" w:fill="DBDBDB"/>
            <w:noWrap/>
            <w:vAlign w:val="center"/>
            <w:hideMark/>
          </w:tcPr>
          <w:p w14:paraId="55DEE817" w14:textId="77777777" w:rsidR="00F60156" w:rsidRPr="00F04618" w:rsidRDefault="00F60156" w:rsidP="00CE5EB6">
            <w:pPr>
              <w:jc w:val="center"/>
              <w:rPr>
                <w:b/>
                <w:bCs/>
                <w:color w:val="000000"/>
              </w:rPr>
            </w:pPr>
            <w:r w:rsidRPr="00F04618">
              <w:rPr>
                <w:rFonts w:eastAsia="Times New Roman" w:cs="Times New Roman"/>
                <w:b/>
                <w:bCs/>
                <w:color w:val="000000"/>
              </w:rPr>
              <w:t>Technical Component Fee</w:t>
            </w:r>
          </w:p>
        </w:tc>
      </w:tr>
      <w:tr w:rsidR="00F60156" w:rsidRPr="00F04618" w14:paraId="4F364244"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tcPr>
          <w:p w14:paraId="71D60559" w14:textId="77777777" w:rsidR="00F60156" w:rsidRPr="00F04618" w:rsidRDefault="00F60156" w:rsidP="00CE5EB6">
            <w:pPr>
              <w:jc w:val="center"/>
              <w:rPr>
                <w:color w:val="000000"/>
              </w:rPr>
            </w:pPr>
            <w:r w:rsidRPr="00F04618">
              <w:rPr>
                <w:rFonts w:cs="Calibri"/>
                <w:color w:val="000000"/>
              </w:rPr>
              <w:t>99202 U4</w:t>
            </w:r>
          </w:p>
        </w:tc>
        <w:tc>
          <w:tcPr>
            <w:tcW w:w="1831" w:type="dxa"/>
            <w:tcBorders>
              <w:top w:val="nil"/>
              <w:left w:val="nil"/>
              <w:bottom w:val="single" w:sz="8" w:space="0" w:color="auto"/>
              <w:right w:val="single" w:sz="8" w:space="0" w:color="auto"/>
            </w:tcBorders>
            <w:shd w:val="clear" w:color="000000" w:fill="FFFFFF"/>
            <w:noWrap/>
            <w:vAlign w:val="center"/>
          </w:tcPr>
          <w:p w14:paraId="3A9825E3" w14:textId="77777777" w:rsidR="00F60156" w:rsidRPr="00F04618" w:rsidRDefault="00F60156" w:rsidP="00CE5EB6">
            <w:pPr>
              <w:jc w:val="center"/>
              <w:rPr>
                <w:color w:val="000000"/>
                <w:sz w:val="24"/>
                <w:szCs w:val="24"/>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tcPr>
          <w:p w14:paraId="79F2475C"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tcPr>
          <w:p w14:paraId="5EA882B7"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tcPr>
          <w:p w14:paraId="01AB8EB6"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tcPr>
          <w:p w14:paraId="2D8E82A2" w14:textId="77777777" w:rsidR="00F60156" w:rsidRPr="00F04618" w:rsidRDefault="00F60156" w:rsidP="00CE5EB6">
            <w:pPr>
              <w:jc w:val="center"/>
              <w:rPr>
                <w:color w:val="000000"/>
              </w:rPr>
            </w:pPr>
            <w:r w:rsidRPr="00F04618">
              <w:rPr>
                <w:color w:val="000000"/>
              </w:rPr>
              <w:t>-</w:t>
            </w:r>
          </w:p>
        </w:tc>
      </w:tr>
      <w:tr w:rsidR="00F60156" w:rsidRPr="00F04618" w14:paraId="3E9FD9CD"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tcPr>
          <w:p w14:paraId="6F990B22" w14:textId="77777777" w:rsidR="00F60156" w:rsidRPr="00F04618" w:rsidRDefault="00F60156" w:rsidP="00CE5EB6">
            <w:pPr>
              <w:jc w:val="center"/>
              <w:rPr>
                <w:rFonts w:cs="Calibri"/>
                <w:color w:val="000000"/>
              </w:rPr>
            </w:pPr>
            <w:r w:rsidRPr="00F04618">
              <w:rPr>
                <w:rFonts w:cs="Calibri"/>
                <w:color w:val="000000"/>
              </w:rPr>
              <w:t>99203 U4</w:t>
            </w:r>
          </w:p>
        </w:tc>
        <w:tc>
          <w:tcPr>
            <w:tcW w:w="1831" w:type="dxa"/>
            <w:tcBorders>
              <w:top w:val="nil"/>
              <w:left w:val="nil"/>
              <w:bottom w:val="single" w:sz="8" w:space="0" w:color="auto"/>
              <w:right w:val="single" w:sz="8" w:space="0" w:color="auto"/>
            </w:tcBorders>
            <w:shd w:val="clear" w:color="000000" w:fill="FFFFFF"/>
            <w:noWrap/>
            <w:vAlign w:val="center"/>
          </w:tcPr>
          <w:p w14:paraId="5D4D0EC9" w14:textId="77777777" w:rsidR="00F60156" w:rsidRPr="00F04618" w:rsidRDefault="00F60156" w:rsidP="00CE5EB6">
            <w:pPr>
              <w:jc w:val="center"/>
              <w:rPr>
                <w:color w:val="000000"/>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tcPr>
          <w:p w14:paraId="703D2389"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tcPr>
          <w:p w14:paraId="74893BE6"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tcPr>
          <w:p w14:paraId="4FCBCD95"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tcPr>
          <w:p w14:paraId="589A9DAD" w14:textId="77777777" w:rsidR="00F60156" w:rsidRPr="00F04618" w:rsidRDefault="00F60156" w:rsidP="00CE5EB6">
            <w:pPr>
              <w:jc w:val="center"/>
              <w:rPr>
                <w:color w:val="000000"/>
              </w:rPr>
            </w:pPr>
            <w:r w:rsidRPr="00F04618">
              <w:rPr>
                <w:color w:val="000000"/>
              </w:rPr>
              <w:t>-</w:t>
            </w:r>
          </w:p>
        </w:tc>
      </w:tr>
      <w:tr w:rsidR="00F60156" w:rsidRPr="00F04618" w14:paraId="6B67B776"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tcPr>
          <w:p w14:paraId="15737327" w14:textId="77777777" w:rsidR="00F60156" w:rsidRPr="00F04618" w:rsidRDefault="00F60156" w:rsidP="00CE5EB6">
            <w:pPr>
              <w:jc w:val="center"/>
              <w:rPr>
                <w:rFonts w:cs="Calibri"/>
                <w:color w:val="000000"/>
              </w:rPr>
            </w:pPr>
            <w:r w:rsidRPr="00F04618">
              <w:rPr>
                <w:rFonts w:cs="Calibri"/>
                <w:color w:val="000000"/>
              </w:rPr>
              <w:t>99204 U4</w:t>
            </w:r>
          </w:p>
        </w:tc>
        <w:tc>
          <w:tcPr>
            <w:tcW w:w="1831" w:type="dxa"/>
            <w:tcBorders>
              <w:top w:val="nil"/>
              <w:left w:val="nil"/>
              <w:bottom w:val="single" w:sz="8" w:space="0" w:color="auto"/>
              <w:right w:val="single" w:sz="8" w:space="0" w:color="auto"/>
            </w:tcBorders>
            <w:shd w:val="clear" w:color="000000" w:fill="FFFFFF"/>
            <w:noWrap/>
            <w:vAlign w:val="center"/>
          </w:tcPr>
          <w:p w14:paraId="0915654E" w14:textId="77777777" w:rsidR="00F60156" w:rsidRPr="00F04618" w:rsidRDefault="00F60156" w:rsidP="00CE5EB6">
            <w:pPr>
              <w:jc w:val="center"/>
              <w:rPr>
                <w:color w:val="000000"/>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tcPr>
          <w:p w14:paraId="14DC156A"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tcPr>
          <w:p w14:paraId="5A2E4033"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tcPr>
          <w:p w14:paraId="3B61C350"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tcPr>
          <w:p w14:paraId="308EA549" w14:textId="77777777" w:rsidR="00F60156" w:rsidRPr="00F04618" w:rsidRDefault="00F60156" w:rsidP="00CE5EB6">
            <w:pPr>
              <w:jc w:val="center"/>
              <w:rPr>
                <w:color w:val="000000"/>
              </w:rPr>
            </w:pPr>
            <w:r w:rsidRPr="00F04618">
              <w:rPr>
                <w:color w:val="000000"/>
              </w:rPr>
              <w:t>-</w:t>
            </w:r>
          </w:p>
        </w:tc>
      </w:tr>
      <w:tr w:rsidR="00F60156" w:rsidRPr="00F04618" w14:paraId="6E79F62B"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tcPr>
          <w:p w14:paraId="04F610D3" w14:textId="77777777" w:rsidR="00F60156" w:rsidRPr="00F04618" w:rsidRDefault="00F60156" w:rsidP="00CE5EB6">
            <w:pPr>
              <w:rPr>
                <w:rFonts w:cs="Calibri"/>
                <w:color w:val="000000"/>
              </w:rPr>
            </w:pPr>
            <w:r w:rsidRPr="00F04618">
              <w:rPr>
                <w:rFonts w:cs="Calibri"/>
                <w:color w:val="000000"/>
              </w:rPr>
              <w:t xml:space="preserve"> 99205 U4</w:t>
            </w:r>
          </w:p>
        </w:tc>
        <w:tc>
          <w:tcPr>
            <w:tcW w:w="1831" w:type="dxa"/>
            <w:tcBorders>
              <w:top w:val="nil"/>
              <w:left w:val="nil"/>
              <w:bottom w:val="single" w:sz="8" w:space="0" w:color="auto"/>
              <w:right w:val="single" w:sz="8" w:space="0" w:color="auto"/>
            </w:tcBorders>
            <w:shd w:val="clear" w:color="000000" w:fill="FFFFFF"/>
            <w:noWrap/>
            <w:vAlign w:val="center"/>
          </w:tcPr>
          <w:p w14:paraId="6EF011F1" w14:textId="77777777" w:rsidR="00F60156" w:rsidRPr="00F04618" w:rsidRDefault="00F60156" w:rsidP="00CE5EB6">
            <w:pPr>
              <w:jc w:val="center"/>
              <w:rPr>
                <w:color w:val="000000"/>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tcPr>
          <w:p w14:paraId="0AED3999"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tcPr>
          <w:p w14:paraId="49C75D8D"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tcPr>
          <w:p w14:paraId="005CC231"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tcPr>
          <w:p w14:paraId="01928EB9" w14:textId="77777777" w:rsidR="00F60156" w:rsidRPr="00F04618" w:rsidRDefault="00F60156" w:rsidP="00CE5EB6">
            <w:pPr>
              <w:jc w:val="center"/>
              <w:rPr>
                <w:color w:val="000000"/>
              </w:rPr>
            </w:pPr>
            <w:r w:rsidRPr="00F04618">
              <w:rPr>
                <w:color w:val="000000"/>
              </w:rPr>
              <w:t>-</w:t>
            </w:r>
          </w:p>
        </w:tc>
      </w:tr>
      <w:tr w:rsidR="00F60156" w:rsidRPr="00F04618" w14:paraId="2DB9CF19"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tcPr>
          <w:p w14:paraId="57E5C937" w14:textId="77777777" w:rsidR="00F60156" w:rsidRPr="00F04618" w:rsidRDefault="00F60156" w:rsidP="00CE5EB6">
            <w:pPr>
              <w:jc w:val="center"/>
              <w:rPr>
                <w:rFonts w:cs="Calibri"/>
                <w:color w:val="000000"/>
              </w:rPr>
            </w:pPr>
            <w:r w:rsidRPr="00F04618">
              <w:rPr>
                <w:rFonts w:cs="Calibri"/>
                <w:color w:val="000000"/>
              </w:rPr>
              <w:t>99211 U4</w:t>
            </w:r>
          </w:p>
        </w:tc>
        <w:tc>
          <w:tcPr>
            <w:tcW w:w="1831" w:type="dxa"/>
            <w:tcBorders>
              <w:top w:val="nil"/>
              <w:left w:val="nil"/>
              <w:bottom w:val="single" w:sz="8" w:space="0" w:color="auto"/>
              <w:right w:val="single" w:sz="8" w:space="0" w:color="auto"/>
            </w:tcBorders>
            <w:shd w:val="clear" w:color="000000" w:fill="FFFFFF"/>
            <w:noWrap/>
            <w:vAlign w:val="center"/>
          </w:tcPr>
          <w:p w14:paraId="2565304E" w14:textId="77777777" w:rsidR="00F60156" w:rsidRPr="00F04618" w:rsidRDefault="00F60156" w:rsidP="00CE5EB6">
            <w:pPr>
              <w:jc w:val="center"/>
              <w:rPr>
                <w:color w:val="000000"/>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tcPr>
          <w:p w14:paraId="35FAD456"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tcPr>
          <w:p w14:paraId="72B0C354"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tcPr>
          <w:p w14:paraId="0242506D"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tcPr>
          <w:p w14:paraId="45141015" w14:textId="77777777" w:rsidR="00F60156" w:rsidRPr="00F04618" w:rsidRDefault="00F60156" w:rsidP="00CE5EB6">
            <w:pPr>
              <w:jc w:val="center"/>
              <w:rPr>
                <w:color w:val="000000"/>
              </w:rPr>
            </w:pPr>
            <w:r w:rsidRPr="00F04618">
              <w:rPr>
                <w:color w:val="000000"/>
              </w:rPr>
              <w:t>-</w:t>
            </w:r>
          </w:p>
        </w:tc>
      </w:tr>
      <w:tr w:rsidR="00F60156" w:rsidRPr="00F04618" w14:paraId="07C8490E"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tcPr>
          <w:p w14:paraId="4C4AB7EA" w14:textId="77777777" w:rsidR="00F60156" w:rsidRPr="00F04618" w:rsidRDefault="00F60156" w:rsidP="00CE5EB6">
            <w:pPr>
              <w:jc w:val="center"/>
              <w:rPr>
                <w:rFonts w:cs="Calibri"/>
                <w:color w:val="000000"/>
              </w:rPr>
            </w:pPr>
            <w:r w:rsidRPr="00F04618">
              <w:rPr>
                <w:rFonts w:cs="Calibri"/>
                <w:color w:val="000000"/>
              </w:rPr>
              <w:t>99212 U4</w:t>
            </w:r>
          </w:p>
        </w:tc>
        <w:tc>
          <w:tcPr>
            <w:tcW w:w="1831" w:type="dxa"/>
            <w:tcBorders>
              <w:top w:val="nil"/>
              <w:left w:val="nil"/>
              <w:bottom w:val="single" w:sz="8" w:space="0" w:color="auto"/>
              <w:right w:val="single" w:sz="8" w:space="0" w:color="auto"/>
            </w:tcBorders>
            <w:shd w:val="clear" w:color="000000" w:fill="FFFFFF"/>
            <w:noWrap/>
            <w:vAlign w:val="center"/>
          </w:tcPr>
          <w:p w14:paraId="697E70EF" w14:textId="77777777" w:rsidR="00F60156" w:rsidRPr="00F04618" w:rsidRDefault="00F60156" w:rsidP="00CE5EB6">
            <w:pPr>
              <w:jc w:val="center"/>
              <w:rPr>
                <w:color w:val="000000"/>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tcPr>
          <w:p w14:paraId="32BF745D"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tcPr>
          <w:p w14:paraId="75DFF111"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tcPr>
          <w:p w14:paraId="2B301ED9"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tcPr>
          <w:p w14:paraId="701C4677" w14:textId="77777777" w:rsidR="00F60156" w:rsidRPr="00F04618" w:rsidRDefault="00F60156" w:rsidP="00CE5EB6">
            <w:pPr>
              <w:jc w:val="center"/>
              <w:rPr>
                <w:color w:val="000000"/>
              </w:rPr>
            </w:pPr>
            <w:r w:rsidRPr="00F04618">
              <w:rPr>
                <w:color w:val="000000"/>
              </w:rPr>
              <w:t>-</w:t>
            </w:r>
          </w:p>
        </w:tc>
      </w:tr>
      <w:tr w:rsidR="00F60156" w:rsidRPr="00F04618" w14:paraId="3C6E2034"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tcPr>
          <w:p w14:paraId="29A76173" w14:textId="77777777" w:rsidR="00F60156" w:rsidRPr="00F04618" w:rsidRDefault="00F60156" w:rsidP="00CE5EB6">
            <w:pPr>
              <w:jc w:val="center"/>
              <w:rPr>
                <w:rFonts w:cs="Calibri"/>
                <w:color w:val="000000"/>
              </w:rPr>
            </w:pPr>
            <w:r w:rsidRPr="00F04618">
              <w:rPr>
                <w:rFonts w:cs="Calibri"/>
                <w:color w:val="000000"/>
              </w:rPr>
              <w:t>99213 U4</w:t>
            </w:r>
          </w:p>
        </w:tc>
        <w:tc>
          <w:tcPr>
            <w:tcW w:w="1831" w:type="dxa"/>
            <w:tcBorders>
              <w:top w:val="nil"/>
              <w:left w:val="nil"/>
              <w:bottom w:val="single" w:sz="8" w:space="0" w:color="auto"/>
              <w:right w:val="single" w:sz="8" w:space="0" w:color="auto"/>
            </w:tcBorders>
            <w:shd w:val="clear" w:color="000000" w:fill="FFFFFF"/>
            <w:noWrap/>
            <w:vAlign w:val="center"/>
          </w:tcPr>
          <w:p w14:paraId="15523792" w14:textId="77777777" w:rsidR="00F60156" w:rsidRPr="00F04618" w:rsidRDefault="00F60156" w:rsidP="00CE5EB6">
            <w:pPr>
              <w:jc w:val="center"/>
              <w:rPr>
                <w:color w:val="000000"/>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tcPr>
          <w:p w14:paraId="0E2A97C3"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tcPr>
          <w:p w14:paraId="130CBE67"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tcPr>
          <w:p w14:paraId="6AF12F7C"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tcPr>
          <w:p w14:paraId="41B79F7C" w14:textId="77777777" w:rsidR="00F60156" w:rsidRPr="00F04618" w:rsidRDefault="00F60156" w:rsidP="00CE5EB6">
            <w:pPr>
              <w:jc w:val="center"/>
              <w:rPr>
                <w:color w:val="000000"/>
              </w:rPr>
            </w:pPr>
            <w:r w:rsidRPr="00F04618">
              <w:rPr>
                <w:color w:val="000000"/>
              </w:rPr>
              <w:t>-</w:t>
            </w:r>
          </w:p>
        </w:tc>
      </w:tr>
      <w:tr w:rsidR="00F60156" w:rsidRPr="00F04618" w14:paraId="6A6BE82C"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tcPr>
          <w:p w14:paraId="67D641A8" w14:textId="77777777" w:rsidR="00F60156" w:rsidRPr="00F04618" w:rsidRDefault="00F60156" w:rsidP="00CE5EB6">
            <w:pPr>
              <w:jc w:val="center"/>
              <w:rPr>
                <w:rFonts w:cs="Calibri"/>
                <w:color w:val="000000"/>
              </w:rPr>
            </w:pPr>
            <w:r w:rsidRPr="00F04618">
              <w:rPr>
                <w:rFonts w:cs="Calibri"/>
                <w:color w:val="000000"/>
              </w:rPr>
              <w:t>99214 U4</w:t>
            </w:r>
          </w:p>
        </w:tc>
        <w:tc>
          <w:tcPr>
            <w:tcW w:w="1831" w:type="dxa"/>
            <w:tcBorders>
              <w:top w:val="nil"/>
              <w:left w:val="nil"/>
              <w:bottom w:val="single" w:sz="8" w:space="0" w:color="auto"/>
              <w:right w:val="single" w:sz="8" w:space="0" w:color="auto"/>
            </w:tcBorders>
            <w:shd w:val="clear" w:color="000000" w:fill="FFFFFF"/>
            <w:noWrap/>
            <w:vAlign w:val="center"/>
          </w:tcPr>
          <w:p w14:paraId="21A1B0E9" w14:textId="77777777" w:rsidR="00F60156" w:rsidRPr="00F04618" w:rsidRDefault="00F60156" w:rsidP="00CE5EB6">
            <w:pPr>
              <w:jc w:val="center"/>
              <w:rPr>
                <w:color w:val="000000"/>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tcPr>
          <w:p w14:paraId="530C9D2E"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tcPr>
          <w:p w14:paraId="25F6D2F1"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tcPr>
          <w:p w14:paraId="09072A3E"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tcPr>
          <w:p w14:paraId="72EC32F5" w14:textId="77777777" w:rsidR="00F60156" w:rsidRPr="00F04618" w:rsidRDefault="00F60156" w:rsidP="00CE5EB6">
            <w:pPr>
              <w:jc w:val="center"/>
              <w:rPr>
                <w:color w:val="000000"/>
              </w:rPr>
            </w:pPr>
            <w:r w:rsidRPr="00F04618">
              <w:rPr>
                <w:color w:val="000000"/>
              </w:rPr>
              <w:t>-</w:t>
            </w:r>
          </w:p>
        </w:tc>
      </w:tr>
      <w:tr w:rsidR="00F60156" w:rsidRPr="00F04618" w14:paraId="3B7AD3C1"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tcPr>
          <w:p w14:paraId="48B6D3E6" w14:textId="77777777" w:rsidR="00F60156" w:rsidRPr="00F04618" w:rsidRDefault="00F60156" w:rsidP="00CE5EB6">
            <w:pPr>
              <w:jc w:val="center"/>
              <w:rPr>
                <w:rFonts w:cs="Calibri"/>
                <w:color w:val="000000"/>
              </w:rPr>
            </w:pPr>
            <w:r w:rsidRPr="00F04618">
              <w:rPr>
                <w:rFonts w:cs="Calibri"/>
                <w:color w:val="000000"/>
              </w:rPr>
              <w:t>99215 U4</w:t>
            </w:r>
          </w:p>
        </w:tc>
        <w:tc>
          <w:tcPr>
            <w:tcW w:w="1831" w:type="dxa"/>
            <w:tcBorders>
              <w:top w:val="nil"/>
              <w:left w:val="nil"/>
              <w:bottom w:val="single" w:sz="8" w:space="0" w:color="auto"/>
              <w:right w:val="single" w:sz="8" w:space="0" w:color="auto"/>
            </w:tcBorders>
            <w:shd w:val="clear" w:color="000000" w:fill="FFFFFF"/>
            <w:noWrap/>
            <w:vAlign w:val="center"/>
          </w:tcPr>
          <w:p w14:paraId="28EBF852" w14:textId="77777777" w:rsidR="00F60156" w:rsidRPr="00F04618" w:rsidRDefault="00F60156" w:rsidP="00CE5EB6">
            <w:pPr>
              <w:jc w:val="center"/>
              <w:rPr>
                <w:color w:val="000000"/>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tcPr>
          <w:p w14:paraId="7FA22C7D"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tcPr>
          <w:p w14:paraId="0B91BB4A"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tcPr>
          <w:p w14:paraId="70CAAD5E"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tcPr>
          <w:p w14:paraId="2A69E4CA" w14:textId="77777777" w:rsidR="00F60156" w:rsidRPr="00F04618" w:rsidRDefault="00F60156" w:rsidP="00CE5EB6">
            <w:pPr>
              <w:jc w:val="center"/>
              <w:rPr>
                <w:color w:val="000000"/>
              </w:rPr>
            </w:pPr>
            <w:r w:rsidRPr="00F04618">
              <w:rPr>
                <w:color w:val="000000"/>
              </w:rPr>
              <w:t>-</w:t>
            </w:r>
          </w:p>
        </w:tc>
      </w:tr>
      <w:tr w:rsidR="00F60156" w:rsidRPr="00F04618" w14:paraId="4DCA2BF3"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tcPr>
          <w:p w14:paraId="721A59B1" w14:textId="77777777" w:rsidR="00F60156" w:rsidRPr="00F04618" w:rsidRDefault="00F60156" w:rsidP="00CE5EB6">
            <w:pPr>
              <w:jc w:val="center"/>
              <w:rPr>
                <w:rFonts w:cs="Calibri"/>
                <w:color w:val="000000"/>
              </w:rPr>
            </w:pPr>
            <w:r w:rsidRPr="00F04618">
              <w:rPr>
                <w:rFonts w:cs="Calibri"/>
                <w:color w:val="000000"/>
              </w:rPr>
              <w:t>99381 U4</w:t>
            </w:r>
          </w:p>
        </w:tc>
        <w:tc>
          <w:tcPr>
            <w:tcW w:w="1831" w:type="dxa"/>
            <w:tcBorders>
              <w:top w:val="nil"/>
              <w:left w:val="nil"/>
              <w:bottom w:val="single" w:sz="8" w:space="0" w:color="auto"/>
              <w:right w:val="single" w:sz="8" w:space="0" w:color="auto"/>
            </w:tcBorders>
            <w:shd w:val="clear" w:color="000000" w:fill="FFFFFF"/>
            <w:noWrap/>
            <w:vAlign w:val="center"/>
          </w:tcPr>
          <w:p w14:paraId="77EFDF8C" w14:textId="77777777" w:rsidR="00F60156" w:rsidRPr="00F04618" w:rsidRDefault="00F60156" w:rsidP="00CE5EB6">
            <w:pPr>
              <w:jc w:val="center"/>
              <w:rPr>
                <w:color w:val="000000"/>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tcPr>
          <w:p w14:paraId="485FEEA0"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tcPr>
          <w:p w14:paraId="23525834"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tcPr>
          <w:p w14:paraId="290E81D5"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tcPr>
          <w:p w14:paraId="2C979209" w14:textId="77777777" w:rsidR="00F60156" w:rsidRPr="00F04618" w:rsidRDefault="00F60156" w:rsidP="00CE5EB6">
            <w:pPr>
              <w:jc w:val="center"/>
              <w:rPr>
                <w:color w:val="000000"/>
              </w:rPr>
            </w:pPr>
            <w:r w:rsidRPr="00F04618">
              <w:rPr>
                <w:color w:val="000000"/>
              </w:rPr>
              <w:t>-</w:t>
            </w:r>
          </w:p>
        </w:tc>
      </w:tr>
      <w:tr w:rsidR="00F60156" w:rsidRPr="00F04618" w14:paraId="095D2551"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hideMark/>
          </w:tcPr>
          <w:p w14:paraId="6004EA75" w14:textId="77777777" w:rsidR="00F60156" w:rsidRPr="00F04618" w:rsidRDefault="00F60156" w:rsidP="00CE5EB6">
            <w:pPr>
              <w:jc w:val="center"/>
              <w:rPr>
                <w:color w:val="000000"/>
              </w:rPr>
            </w:pPr>
            <w:r w:rsidRPr="00F04618">
              <w:rPr>
                <w:rFonts w:cs="Calibri"/>
                <w:color w:val="000000"/>
              </w:rPr>
              <w:t>99382 U4</w:t>
            </w:r>
          </w:p>
        </w:tc>
        <w:tc>
          <w:tcPr>
            <w:tcW w:w="1831" w:type="dxa"/>
            <w:tcBorders>
              <w:top w:val="nil"/>
              <w:left w:val="nil"/>
              <w:bottom w:val="single" w:sz="8" w:space="0" w:color="auto"/>
              <w:right w:val="single" w:sz="8" w:space="0" w:color="auto"/>
            </w:tcBorders>
            <w:shd w:val="clear" w:color="000000" w:fill="FFFFFF"/>
            <w:noWrap/>
            <w:vAlign w:val="center"/>
            <w:hideMark/>
          </w:tcPr>
          <w:p w14:paraId="37A37AE6" w14:textId="77777777" w:rsidR="00F60156" w:rsidRPr="00F04618" w:rsidRDefault="00F60156" w:rsidP="00CE5EB6">
            <w:pPr>
              <w:jc w:val="center"/>
              <w:rPr>
                <w:color w:val="000000"/>
                <w:sz w:val="24"/>
                <w:szCs w:val="24"/>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hideMark/>
          </w:tcPr>
          <w:p w14:paraId="15AE8EB7"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hideMark/>
          </w:tcPr>
          <w:p w14:paraId="64A5CF0E"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hideMark/>
          </w:tcPr>
          <w:p w14:paraId="48053E5A"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hideMark/>
          </w:tcPr>
          <w:p w14:paraId="0C35DC9D" w14:textId="77777777" w:rsidR="00F60156" w:rsidRPr="00F04618" w:rsidRDefault="00F60156" w:rsidP="00CE5EB6">
            <w:pPr>
              <w:jc w:val="center"/>
              <w:rPr>
                <w:color w:val="000000"/>
              </w:rPr>
            </w:pPr>
            <w:r w:rsidRPr="00F04618">
              <w:rPr>
                <w:color w:val="000000"/>
              </w:rPr>
              <w:t>-</w:t>
            </w:r>
          </w:p>
        </w:tc>
      </w:tr>
      <w:tr w:rsidR="00F60156" w:rsidRPr="00F04618" w14:paraId="57425E46"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hideMark/>
          </w:tcPr>
          <w:p w14:paraId="556D4354" w14:textId="77777777" w:rsidR="00F60156" w:rsidRPr="00F04618" w:rsidRDefault="00F60156" w:rsidP="00CE5EB6">
            <w:pPr>
              <w:jc w:val="center"/>
              <w:rPr>
                <w:color w:val="000000"/>
              </w:rPr>
            </w:pPr>
            <w:r w:rsidRPr="00F04618">
              <w:rPr>
                <w:rFonts w:cs="Calibri"/>
                <w:color w:val="000000"/>
              </w:rPr>
              <w:t>99383 U4</w:t>
            </w:r>
          </w:p>
        </w:tc>
        <w:tc>
          <w:tcPr>
            <w:tcW w:w="1831" w:type="dxa"/>
            <w:tcBorders>
              <w:top w:val="nil"/>
              <w:left w:val="nil"/>
              <w:bottom w:val="single" w:sz="8" w:space="0" w:color="auto"/>
              <w:right w:val="single" w:sz="8" w:space="0" w:color="auto"/>
            </w:tcBorders>
            <w:shd w:val="clear" w:color="000000" w:fill="FFFFFF"/>
            <w:noWrap/>
            <w:vAlign w:val="center"/>
            <w:hideMark/>
          </w:tcPr>
          <w:p w14:paraId="5BBCE27A" w14:textId="77777777" w:rsidR="00F60156" w:rsidRPr="00F04618" w:rsidRDefault="00F60156" w:rsidP="00CE5EB6">
            <w:pPr>
              <w:jc w:val="center"/>
              <w:rPr>
                <w:color w:val="000000"/>
                <w:sz w:val="24"/>
                <w:szCs w:val="24"/>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hideMark/>
          </w:tcPr>
          <w:p w14:paraId="784950E9"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hideMark/>
          </w:tcPr>
          <w:p w14:paraId="2FB1FEBF"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hideMark/>
          </w:tcPr>
          <w:p w14:paraId="5A86A1DA"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hideMark/>
          </w:tcPr>
          <w:p w14:paraId="79FC186F" w14:textId="77777777" w:rsidR="00F60156" w:rsidRPr="00F04618" w:rsidRDefault="00F60156" w:rsidP="00CE5EB6">
            <w:pPr>
              <w:jc w:val="center"/>
              <w:rPr>
                <w:color w:val="000000"/>
              </w:rPr>
            </w:pPr>
            <w:r w:rsidRPr="00F04618">
              <w:rPr>
                <w:color w:val="000000"/>
              </w:rPr>
              <w:t>-</w:t>
            </w:r>
          </w:p>
        </w:tc>
      </w:tr>
      <w:tr w:rsidR="00F60156" w:rsidRPr="00F04618" w14:paraId="02F5C9CB"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hideMark/>
          </w:tcPr>
          <w:p w14:paraId="28277853" w14:textId="77777777" w:rsidR="00F60156" w:rsidRPr="00F04618" w:rsidRDefault="00F60156" w:rsidP="00CE5EB6">
            <w:pPr>
              <w:jc w:val="center"/>
              <w:rPr>
                <w:color w:val="000000"/>
              </w:rPr>
            </w:pPr>
            <w:r w:rsidRPr="00F04618">
              <w:rPr>
                <w:rFonts w:cs="Calibri"/>
                <w:color w:val="000000"/>
              </w:rPr>
              <w:lastRenderedPageBreak/>
              <w:t>99384 U4</w:t>
            </w:r>
          </w:p>
        </w:tc>
        <w:tc>
          <w:tcPr>
            <w:tcW w:w="1831" w:type="dxa"/>
            <w:tcBorders>
              <w:top w:val="nil"/>
              <w:left w:val="nil"/>
              <w:bottom w:val="single" w:sz="8" w:space="0" w:color="auto"/>
              <w:right w:val="single" w:sz="8" w:space="0" w:color="auto"/>
            </w:tcBorders>
            <w:shd w:val="clear" w:color="000000" w:fill="FFFFFF"/>
            <w:noWrap/>
            <w:vAlign w:val="center"/>
            <w:hideMark/>
          </w:tcPr>
          <w:p w14:paraId="0D3FDA47" w14:textId="77777777" w:rsidR="00F60156" w:rsidRPr="00F04618" w:rsidRDefault="00F60156" w:rsidP="00CE5EB6">
            <w:pPr>
              <w:jc w:val="center"/>
              <w:rPr>
                <w:color w:val="000000"/>
                <w:sz w:val="24"/>
                <w:szCs w:val="24"/>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hideMark/>
          </w:tcPr>
          <w:p w14:paraId="65A58C44"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hideMark/>
          </w:tcPr>
          <w:p w14:paraId="1B02E891"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hideMark/>
          </w:tcPr>
          <w:p w14:paraId="59A0D0AD"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hideMark/>
          </w:tcPr>
          <w:p w14:paraId="09725A10" w14:textId="77777777" w:rsidR="00F60156" w:rsidRPr="00F04618" w:rsidRDefault="00F60156" w:rsidP="00CE5EB6">
            <w:pPr>
              <w:jc w:val="center"/>
              <w:rPr>
                <w:color w:val="000000"/>
              </w:rPr>
            </w:pPr>
            <w:r w:rsidRPr="00F04618">
              <w:rPr>
                <w:color w:val="000000"/>
              </w:rPr>
              <w:t>-</w:t>
            </w:r>
          </w:p>
        </w:tc>
      </w:tr>
      <w:tr w:rsidR="00F60156" w:rsidRPr="00F04618" w14:paraId="0681542C"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hideMark/>
          </w:tcPr>
          <w:p w14:paraId="2A4B2A25" w14:textId="77777777" w:rsidR="00F60156" w:rsidRPr="00F04618" w:rsidRDefault="00F60156" w:rsidP="00CE5EB6">
            <w:pPr>
              <w:jc w:val="center"/>
              <w:rPr>
                <w:color w:val="000000"/>
              </w:rPr>
            </w:pPr>
            <w:r w:rsidRPr="00F04618">
              <w:rPr>
                <w:rFonts w:cs="Calibri"/>
                <w:color w:val="000000"/>
              </w:rPr>
              <w:t>99385 U4</w:t>
            </w:r>
          </w:p>
        </w:tc>
        <w:tc>
          <w:tcPr>
            <w:tcW w:w="1831" w:type="dxa"/>
            <w:tcBorders>
              <w:top w:val="nil"/>
              <w:left w:val="nil"/>
              <w:bottom w:val="single" w:sz="8" w:space="0" w:color="auto"/>
              <w:right w:val="single" w:sz="8" w:space="0" w:color="auto"/>
            </w:tcBorders>
            <w:shd w:val="clear" w:color="000000" w:fill="FFFFFF"/>
            <w:noWrap/>
            <w:vAlign w:val="center"/>
            <w:hideMark/>
          </w:tcPr>
          <w:p w14:paraId="209C862B" w14:textId="77777777" w:rsidR="00F60156" w:rsidRPr="00F04618" w:rsidRDefault="00F60156" w:rsidP="00CE5EB6">
            <w:pPr>
              <w:jc w:val="center"/>
              <w:rPr>
                <w:color w:val="000000"/>
                <w:sz w:val="24"/>
                <w:szCs w:val="24"/>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hideMark/>
          </w:tcPr>
          <w:p w14:paraId="2FD3D6FF"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hideMark/>
          </w:tcPr>
          <w:p w14:paraId="6CEBB107"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hideMark/>
          </w:tcPr>
          <w:p w14:paraId="28F342D2"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hideMark/>
          </w:tcPr>
          <w:p w14:paraId="17572DB6" w14:textId="77777777" w:rsidR="00F60156" w:rsidRPr="00F04618" w:rsidRDefault="00F60156" w:rsidP="00CE5EB6">
            <w:pPr>
              <w:jc w:val="center"/>
              <w:rPr>
                <w:color w:val="000000"/>
              </w:rPr>
            </w:pPr>
            <w:r w:rsidRPr="00F04618">
              <w:rPr>
                <w:color w:val="000000"/>
              </w:rPr>
              <w:t>-</w:t>
            </w:r>
          </w:p>
        </w:tc>
      </w:tr>
      <w:tr w:rsidR="00F60156" w:rsidRPr="00F04618" w14:paraId="17520B43"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hideMark/>
          </w:tcPr>
          <w:p w14:paraId="2A86C02D" w14:textId="77777777" w:rsidR="00F60156" w:rsidRPr="00F04618" w:rsidRDefault="00F60156" w:rsidP="00CE5EB6">
            <w:pPr>
              <w:jc w:val="center"/>
              <w:rPr>
                <w:color w:val="000000"/>
              </w:rPr>
            </w:pPr>
            <w:r w:rsidRPr="00F04618">
              <w:rPr>
                <w:rFonts w:cs="Calibri"/>
                <w:color w:val="000000"/>
              </w:rPr>
              <w:t>99386 U4</w:t>
            </w:r>
          </w:p>
        </w:tc>
        <w:tc>
          <w:tcPr>
            <w:tcW w:w="1831" w:type="dxa"/>
            <w:tcBorders>
              <w:top w:val="nil"/>
              <w:left w:val="nil"/>
              <w:bottom w:val="single" w:sz="8" w:space="0" w:color="auto"/>
              <w:right w:val="single" w:sz="8" w:space="0" w:color="auto"/>
            </w:tcBorders>
            <w:shd w:val="clear" w:color="000000" w:fill="FFFFFF"/>
            <w:noWrap/>
            <w:vAlign w:val="center"/>
            <w:hideMark/>
          </w:tcPr>
          <w:p w14:paraId="0E874DED" w14:textId="77777777" w:rsidR="00F60156" w:rsidRPr="00F04618" w:rsidRDefault="00F60156" w:rsidP="00CE5EB6">
            <w:pPr>
              <w:jc w:val="center"/>
              <w:rPr>
                <w:color w:val="000000"/>
                <w:sz w:val="24"/>
                <w:szCs w:val="24"/>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hideMark/>
          </w:tcPr>
          <w:p w14:paraId="77C52CD3"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hideMark/>
          </w:tcPr>
          <w:p w14:paraId="62558F8A"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hideMark/>
          </w:tcPr>
          <w:p w14:paraId="077088C3"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hideMark/>
          </w:tcPr>
          <w:p w14:paraId="033B5C56" w14:textId="77777777" w:rsidR="00F60156" w:rsidRPr="00F04618" w:rsidRDefault="00F60156" w:rsidP="00CE5EB6">
            <w:pPr>
              <w:jc w:val="center"/>
              <w:rPr>
                <w:color w:val="000000"/>
              </w:rPr>
            </w:pPr>
            <w:r w:rsidRPr="00F04618">
              <w:rPr>
                <w:color w:val="000000"/>
              </w:rPr>
              <w:t>-</w:t>
            </w:r>
          </w:p>
        </w:tc>
      </w:tr>
      <w:tr w:rsidR="00F60156" w:rsidRPr="00F04618" w14:paraId="296ABC4A"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hideMark/>
          </w:tcPr>
          <w:p w14:paraId="4186CFC6" w14:textId="77777777" w:rsidR="00F60156" w:rsidRPr="00F04618" w:rsidRDefault="00F60156" w:rsidP="00CE5EB6">
            <w:pPr>
              <w:jc w:val="center"/>
              <w:rPr>
                <w:color w:val="000000"/>
              </w:rPr>
            </w:pPr>
            <w:r w:rsidRPr="00F04618">
              <w:rPr>
                <w:rFonts w:cs="Calibri"/>
                <w:color w:val="000000"/>
              </w:rPr>
              <w:t>99387 U4</w:t>
            </w:r>
          </w:p>
        </w:tc>
        <w:tc>
          <w:tcPr>
            <w:tcW w:w="1831" w:type="dxa"/>
            <w:tcBorders>
              <w:top w:val="nil"/>
              <w:left w:val="nil"/>
              <w:bottom w:val="single" w:sz="8" w:space="0" w:color="auto"/>
              <w:right w:val="single" w:sz="8" w:space="0" w:color="auto"/>
            </w:tcBorders>
            <w:shd w:val="clear" w:color="000000" w:fill="FFFFFF"/>
            <w:noWrap/>
            <w:vAlign w:val="center"/>
            <w:hideMark/>
          </w:tcPr>
          <w:p w14:paraId="6BDDC5E1" w14:textId="77777777" w:rsidR="00F60156" w:rsidRPr="00F04618" w:rsidRDefault="00F60156" w:rsidP="00CE5EB6">
            <w:pPr>
              <w:jc w:val="center"/>
              <w:rPr>
                <w:color w:val="000000"/>
                <w:sz w:val="24"/>
                <w:szCs w:val="24"/>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hideMark/>
          </w:tcPr>
          <w:p w14:paraId="35FD389B"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hideMark/>
          </w:tcPr>
          <w:p w14:paraId="4E71737D"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hideMark/>
          </w:tcPr>
          <w:p w14:paraId="716872CD"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hideMark/>
          </w:tcPr>
          <w:p w14:paraId="4F090DFF" w14:textId="77777777" w:rsidR="00F60156" w:rsidRPr="00F04618" w:rsidRDefault="00F60156" w:rsidP="00CE5EB6">
            <w:pPr>
              <w:jc w:val="center"/>
              <w:rPr>
                <w:color w:val="000000"/>
              </w:rPr>
            </w:pPr>
            <w:r w:rsidRPr="00F04618">
              <w:rPr>
                <w:color w:val="000000"/>
              </w:rPr>
              <w:t>-</w:t>
            </w:r>
          </w:p>
        </w:tc>
      </w:tr>
      <w:tr w:rsidR="00F60156" w:rsidRPr="00F04618" w14:paraId="66B94F50"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hideMark/>
          </w:tcPr>
          <w:p w14:paraId="7EC635C0" w14:textId="77777777" w:rsidR="00F60156" w:rsidRPr="00F04618" w:rsidRDefault="00F60156" w:rsidP="00CE5EB6">
            <w:pPr>
              <w:jc w:val="center"/>
              <w:rPr>
                <w:color w:val="000000"/>
              </w:rPr>
            </w:pPr>
            <w:r w:rsidRPr="00F04618">
              <w:rPr>
                <w:rFonts w:cs="Calibri"/>
                <w:color w:val="000000"/>
              </w:rPr>
              <w:t>99391 U4</w:t>
            </w:r>
          </w:p>
        </w:tc>
        <w:tc>
          <w:tcPr>
            <w:tcW w:w="1831" w:type="dxa"/>
            <w:tcBorders>
              <w:top w:val="nil"/>
              <w:left w:val="nil"/>
              <w:bottom w:val="single" w:sz="8" w:space="0" w:color="auto"/>
              <w:right w:val="single" w:sz="8" w:space="0" w:color="auto"/>
            </w:tcBorders>
            <w:shd w:val="clear" w:color="000000" w:fill="FFFFFF"/>
            <w:noWrap/>
            <w:vAlign w:val="center"/>
            <w:hideMark/>
          </w:tcPr>
          <w:p w14:paraId="150902E9" w14:textId="77777777" w:rsidR="00F60156" w:rsidRPr="00F04618" w:rsidRDefault="00F60156" w:rsidP="00CE5EB6">
            <w:pPr>
              <w:jc w:val="center"/>
              <w:rPr>
                <w:color w:val="000000"/>
                <w:sz w:val="24"/>
                <w:szCs w:val="24"/>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hideMark/>
          </w:tcPr>
          <w:p w14:paraId="15C15760"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hideMark/>
          </w:tcPr>
          <w:p w14:paraId="3541B03A"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hideMark/>
          </w:tcPr>
          <w:p w14:paraId="34127D4F"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hideMark/>
          </w:tcPr>
          <w:p w14:paraId="445E0A2E" w14:textId="77777777" w:rsidR="00F60156" w:rsidRPr="00F04618" w:rsidRDefault="00F60156" w:rsidP="00CE5EB6">
            <w:pPr>
              <w:jc w:val="center"/>
              <w:rPr>
                <w:color w:val="000000"/>
              </w:rPr>
            </w:pPr>
            <w:r w:rsidRPr="00F04618">
              <w:rPr>
                <w:color w:val="000000"/>
              </w:rPr>
              <w:t>-</w:t>
            </w:r>
          </w:p>
        </w:tc>
      </w:tr>
      <w:tr w:rsidR="00F60156" w:rsidRPr="00F04618" w14:paraId="6DFC1706"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hideMark/>
          </w:tcPr>
          <w:p w14:paraId="6E24B0A3" w14:textId="77777777" w:rsidR="00F60156" w:rsidRPr="00F04618" w:rsidRDefault="00F60156" w:rsidP="00CE5EB6">
            <w:pPr>
              <w:jc w:val="center"/>
              <w:rPr>
                <w:color w:val="000000"/>
              </w:rPr>
            </w:pPr>
            <w:r w:rsidRPr="00F04618">
              <w:rPr>
                <w:rFonts w:cs="Calibri"/>
                <w:color w:val="000000"/>
              </w:rPr>
              <w:t>99392 U4</w:t>
            </w:r>
          </w:p>
        </w:tc>
        <w:tc>
          <w:tcPr>
            <w:tcW w:w="1831" w:type="dxa"/>
            <w:tcBorders>
              <w:top w:val="nil"/>
              <w:left w:val="nil"/>
              <w:bottom w:val="single" w:sz="8" w:space="0" w:color="auto"/>
              <w:right w:val="single" w:sz="8" w:space="0" w:color="auto"/>
            </w:tcBorders>
            <w:shd w:val="clear" w:color="000000" w:fill="FFFFFF"/>
            <w:noWrap/>
            <w:vAlign w:val="center"/>
            <w:hideMark/>
          </w:tcPr>
          <w:p w14:paraId="109951BB" w14:textId="77777777" w:rsidR="00F60156" w:rsidRPr="00F04618" w:rsidRDefault="00F60156" w:rsidP="00CE5EB6">
            <w:pPr>
              <w:jc w:val="center"/>
              <w:rPr>
                <w:color w:val="000000"/>
                <w:sz w:val="24"/>
                <w:szCs w:val="24"/>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hideMark/>
          </w:tcPr>
          <w:p w14:paraId="64E137CA"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hideMark/>
          </w:tcPr>
          <w:p w14:paraId="2F263DD0"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hideMark/>
          </w:tcPr>
          <w:p w14:paraId="691E30F2"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hideMark/>
          </w:tcPr>
          <w:p w14:paraId="4648B2B1" w14:textId="77777777" w:rsidR="00F60156" w:rsidRPr="00F04618" w:rsidRDefault="00F60156" w:rsidP="00CE5EB6">
            <w:pPr>
              <w:jc w:val="center"/>
              <w:rPr>
                <w:color w:val="000000"/>
              </w:rPr>
            </w:pPr>
            <w:r w:rsidRPr="00F04618">
              <w:rPr>
                <w:color w:val="000000"/>
              </w:rPr>
              <w:t>-</w:t>
            </w:r>
          </w:p>
        </w:tc>
      </w:tr>
      <w:tr w:rsidR="00F60156" w:rsidRPr="00F04618" w14:paraId="02B3AA52"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hideMark/>
          </w:tcPr>
          <w:p w14:paraId="7B0C4281" w14:textId="77777777" w:rsidR="00F60156" w:rsidRPr="00F04618" w:rsidRDefault="00F60156" w:rsidP="00CE5EB6">
            <w:pPr>
              <w:jc w:val="center"/>
              <w:rPr>
                <w:color w:val="000000"/>
              </w:rPr>
            </w:pPr>
            <w:r w:rsidRPr="00F04618">
              <w:rPr>
                <w:rFonts w:cs="Calibri"/>
                <w:color w:val="000000"/>
              </w:rPr>
              <w:t>99393 U4</w:t>
            </w:r>
          </w:p>
        </w:tc>
        <w:tc>
          <w:tcPr>
            <w:tcW w:w="1831" w:type="dxa"/>
            <w:tcBorders>
              <w:top w:val="nil"/>
              <w:left w:val="nil"/>
              <w:bottom w:val="single" w:sz="8" w:space="0" w:color="auto"/>
              <w:right w:val="single" w:sz="8" w:space="0" w:color="auto"/>
            </w:tcBorders>
            <w:shd w:val="clear" w:color="000000" w:fill="FFFFFF"/>
            <w:noWrap/>
            <w:vAlign w:val="center"/>
            <w:hideMark/>
          </w:tcPr>
          <w:p w14:paraId="20603C7C" w14:textId="77777777" w:rsidR="00F60156" w:rsidRPr="00F04618" w:rsidRDefault="00F60156" w:rsidP="00CE5EB6">
            <w:pPr>
              <w:jc w:val="center"/>
              <w:rPr>
                <w:color w:val="000000"/>
                <w:sz w:val="24"/>
                <w:szCs w:val="24"/>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hideMark/>
          </w:tcPr>
          <w:p w14:paraId="26FD30FF"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hideMark/>
          </w:tcPr>
          <w:p w14:paraId="5A4D7935"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hideMark/>
          </w:tcPr>
          <w:p w14:paraId="692FC689"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hideMark/>
          </w:tcPr>
          <w:p w14:paraId="68E05F44" w14:textId="77777777" w:rsidR="00F60156" w:rsidRPr="00F04618" w:rsidRDefault="00F60156" w:rsidP="00CE5EB6">
            <w:pPr>
              <w:jc w:val="center"/>
              <w:rPr>
                <w:color w:val="000000"/>
              </w:rPr>
            </w:pPr>
            <w:r w:rsidRPr="00F04618">
              <w:rPr>
                <w:color w:val="000000"/>
              </w:rPr>
              <w:t>-</w:t>
            </w:r>
          </w:p>
        </w:tc>
      </w:tr>
      <w:tr w:rsidR="00F60156" w:rsidRPr="00F04618" w14:paraId="0E3E5791"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hideMark/>
          </w:tcPr>
          <w:p w14:paraId="4199AD82" w14:textId="77777777" w:rsidR="00F60156" w:rsidRPr="00F04618" w:rsidRDefault="00F60156" w:rsidP="00CE5EB6">
            <w:pPr>
              <w:jc w:val="center"/>
              <w:rPr>
                <w:color w:val="000000"/>
              </w:rPr>
            </w:pPr>
            <w:r w:rsidRPr="00F04618">
              <w:rPr>
                <w:rFonts w:cs="Calibri"/>
                <w:color w:val="000000"/>
              </w:rPr>
              <w:t>99394 U4</w:t>
            </w:r>
          </w:p>
        </w:tc>
        <w:tc>
          <w:tcPr>
            <w:tcW w:w="1831" w:type="dxa"/>
            <w:tcBorders>
              <w:top w:val="nil"/>
              <w:left w:val="nil"/>
              <w:bottom w:val="single" w:sz="8" w:space="0" w:color="auto"/>
              <w:right w:val="single" w:sz="8" w:space="0" w:color="auto"/>
            </w:tcBorders>
            <w:shd w:val="clear" w:color="000000" w:fill="FFFFFF"/>
            <w:noWrap/>
            <w:vAlign w:val="center"/>
            <w:hideMark/>
          </w:tcPr>
          <w:p w14:paraId="3FA22407" w14:textId="77777777" w:rsidR="00F60156" w:rsidRPr="00F04618" w:rsidRDefault="00F60156" w:rsidP="00CE5EB6">
            <w:pPr>
              <w:jc w:val="center"/>
              <w:rPr>
                <w:color w:val="000000"/>
                <w:sz w:val="24"/>
                <w:szCs w:val="24"/>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hideMark/>
          </w:tcPr>
          <w:p w14:paraId="4A4CFC2E"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hideMark/>
          </w:tcPr>
          <w:p w14:paraId="0673502C"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hideMark/>
          </w:tcPr>
          <w:p w14:paraId="10D76B33"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hideMark/>
          </w:tcPr>
          <w:p w14:paraId="33383462" w14:textId="77777777" w:rsidR="00F60156" w:rsidRPr="00F04618" w:rsidRDefault="00F60156" w:rsidP="00CE5EB6">
            <w:pPr>
              <w:jc w:val="center"/>
              <w:rPr>
                <w:color w:val="000000"/>
              </w:rPr>
            </w:pPr>
            <w:r w:rsidRPr="00F04618">
              <w:rPr>
                <w:color w:val="000000"/>
              </w:rPr>
              <w:t>-</w:t>
            </w:r>
          </w:p>
        </w:tc>
      </w:tr>
      <w:tr w:rsidR="00F60156" w:rsidRPr="00F04618" w14:paraId="7C73C920"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hideMark/>
          </w:tcPr>
          <w:p w14:paraId="08B1FF7D" w14:textId="77777777" w:rsidR="00F60156" w:rsidRPr="00F04618" w:rsidRDefault="00F60156" w:rsidP="00CE5EB6">
            <w:pPr>
              <w:jc w:val="center"/>
              <w:rPr>
                <w:color w:val="000000"/>
              </w:rPr>
            </w:pPr>
            <w:r w:rsidRPr="00F04618">
              <w:rPr>
                <w:rFonts w:cs="Calibri"/>
                <w:color w:val="000000"/>
              </w:rPr>
              <w:t>99395 U4</w:t>
            </w:r>
          </w:p>
        </w:tc>
        <w:tc>
          <w:tcPr>
            <w:tcW w:w="1831" w:type="dxa"/>
            <w:tcBorders>
              <w:top w:val="nil"/>
              <w:left w:val="nil"/>
              <w:bottom w:val="single" w:sz="8" w:space="0" w:color="auto"/>
              <w:right w:val="single" w:sz="8" w:space="0" w:color="auto"/>
            </w:tcBorders>
            <w:shd w:val="clear" w:color="000000" w:fill="FFFFFF"/>
            <w:noWrap/>
            <w:vAlign w:val="center"/>
            <w:hideMark/>
          </w:tcPr>
          <w:p w14:paraId="2FA31F86" w14:textId="77777777" w:rsidR="00F60156" w:rsidRPr="00F04618" w:rsidRDefault="00F60156" w:rsidP="00CE5EB6">
            <w:pPr>
              <w:jc w:val="center"/>
              <w:rPr>
                <w:color w:val="000000"/>
                <w:sz w:val="24"/>
                <w:szCs w:val="24"/>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hideMark/>
          </w:tcPr>
          <w:p w14:paraId="1FFD2B9A"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hideMark/>
          </w:tcPr>
          <w:p w14:paraId="4E7E7734"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hideMark/>
          </w:tcPr>
          <w:p w14:paraId="64AFF1EF"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hideMark/>
          </w:tcPr>
          <w:p w14:paraId="4CE15B2E" w14:textId="77777777" w:rsidR="00F60156" w:rsidRPr="00F04618" w:rsidRDefault="00F60156" w:rsidP="00CE5EB6">
            <w:pPr>
              <w:jc w:val="center"/>
              <w:rPr>
                <w:color w:val="000000"/>
              </w:rPr>
            </w:pPr>
            <w:r w:rsidRPr="00F04618">
              <w:rPr>
                <w:color w:val="000000"/>
              </w:rPr>
              <w:t>-</w:t>
            </w:r>
          </w:p>
        </w:tc>
      </w:tr>
      <w:tr w:rsidR="00F60156" w:rsidRPr="00F04618" w14:paraId="1D7BB0BB"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hideMark/>
          </w:tcPr>
          <w:p w14:paraId="00F7D387" w14:textId="77777777" w:rsidR="00F60156" w:rsidRPr="00F04618" w:rsidRDefault="00F60156" w:rsidP="00CE5EB6">
            <w:pPr>
              <w:jc w:val="center"/>
              <w:rPr>
                <w:color w:val="000000"/>
              </w:rPr>
            </w:pPr>
            <w:r w:rsidRPr="00F04618">
              <w:rPr>
                <w:rFonts w:cs="Calibri"/>
                <w:color w:val="000000"/>
              </w:rPr>
              <w:t>99396 U4</w:t>
            </w:r>
          </w:p>
        </w:tc>
        <w:tc>
          <w:tcPr>
            <w:tcW w:w="1831" w:type="dxa"/>
            <w:tcBorders>
              <w:top w:val="nil"/>
              <w:left w:val="nil"/>
              <w:bottom w:val="single" w:sz="8" w:space="0" w:color="auto"/>
              <w:right w:val="single" w:sz="8" w:space="0" w:color="auto"/>
            </w:tcBorders>
            <w:shd w:val="clear" w:color="000000" w:fill="FFFFFF"/>
            <w:noWrap/>
            <w:vAlign w:val="center"/>
            <w:hideMark/>
          </w:tcPr>
          <w:p w14:paraId="3E7AA21B" w14:textId="77777777" w:rsidR="00F60156" w:rsidRPr="00F04618" w:rsidRDefault="00F60156" w:rsidP="00CE5EB6">
            <w:pPr>
              <w:jc w:val="center"/>
              <w:rPr>
                <w:color w:val="000000"/>
                <w:sz w:val="24"/>
                <w:szCs w:val="24"/>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hideMark/>
          </w:tcPr>
          <w:p w14:paraId="01A9CB44"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hideMark/>
          </w:tcPr>
          <w:p w14:paraId="69E7AC65"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hideMark/>
          </w:tcPr>
          <w:p w14:paraId="77CD7D79"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hideMark/>
          </w:tcPr>
          <w:p w14:paraId="21538E02" w14:textId="77777777" w:rsidR="00F60156" w:rsidRPr="00F04618" w:rsidRDefault="00F60156" w:rsidP="00CE5EB6">
            <w:pPr>
              <w:jc w:val="center"/>
              <w:rPr>
                <w:color w:val="000000"/>
              </w:rPr>
            </w:pPr>
            <w:r w:rsidRPr="00F04618">
              <w:rPr>
                <w:color w:val="000000"/>
              </w:rPr>
              <w:t>-</w:t>
            </w:r>
          </w:p>
        </w:tc>
      </w:tr>
      <w:tr w:rsidR="00F60156" w:rsidRPr="00F04618" w14:paraId="221AAA74" w14:textId="77777777" w:rsidTr="00CE5EB6">
        <w:trPr>
          <w:cantSplit/>
        </w:trPr>
        <w:tc>
          <w:tcPr>
            <w:tcW w:w="1314" w:type="dxa"/>
            <w:tcBorders>
              <w:top w:val="nil"/>
              <w:left w:val="single" w:sz="8" w:space="0" w:color="auto"/>
              <w:bottom w:val="single" w:sz="8" w:space="0" w:color="auto"/>
              <w:right w:val="single" w:sz="8" w:space="0" w:color="auto"/>
            </w:tcBorders>
            <w:shd w:val="clear" w:color="000000" w:fill="FFFFFF"/>
            <w:noWrap/>
            <w:vAlign w:val="center"/>
            <w:hideMark/>
          </w:tcPr>
          <w:p w14:paraId="2D37ACC8" w14:textId="77777777" w:rsidR="00F60156" w:rsidRPr="00F04618" w:rsidRDefault="00F60156" w:rsidP="00CE5EB6">
            <w:pPr>
              <w:jc w:val="center"/>
              <w:rPr>
                <w:color w:val="000000"/>
              </w:rPr>
            </w:pPr>
            <w:r w:rsidRPr="00F04618">
              <w:rPr>
                <w:rFonts w:cs="Calibri"/>
                <w:color w:val="000000"/>
              </w:rPr>
              <w:t>99397 U4</w:t>
            </w:r>
          </w:p>
        </w:tc>
        <w:tc>
          <w:tcPr>
            <w:tcW w:w="1831" w:type="dxa"/>
            <w:tcBorders>
              <w:top w:val="nil"/>
              <w:left w:val="nil"/>
              <w:bottom w:val="single" w:sz="8" w:space="0" w:color="auto"/>
              <w:right w:val="single" w:sz="8" w:space="0" w:color="auto"/>
            </w:tcBorders>
            <w:shd w:val="clear" w:color="000000" w:fill="FFFFFF"/>
            <w:noWrap/>
            <w:vAlign w:val="center"/>
            <w:hideMark/>
          </w:tcPr>
          <w:p w14:paraId="4BEC4CFF" w14:textId="77777777" w:rsidR="00F60156" w:rsidRPr="00F04618" w:rsidRDefault="00F60156" w:rsidP="00CE5EB6">
            <w:pPr>
              <w:jc w:val="center"/>
              <w:rPr>
                <w:color w:val="000000"/>
                <w:sz w:val="24"/>
                <w:szCs w:val="24"/>
              </w:rPr>
            </w:pPr>
            <w:r w:rsidRPr="00F04618">
              <w:rPr>
                <w:color w:val="000000"/>
              </w:rPr>
              <w:t>-</w:t>
            </w:r>
          </w:p>
        </w:tc>
        <w:tc>
          <w:tcPr>
            <w:tcW w:w="1692" w:type="dxa"/>
            <w:tcBorders>
              <w:top w:val="nil"/>
              <w:left w:val="nil"/>
              <w:bottom w:val="single" w:sz="8" w:space="0" w:color="auto"/>
              <w:right w:val="single" w:sz="8" w:space="0" w:color="auto"/>
            </w:tcBorders>
            <w:shd w:val="clear" w:color="000000" w:fill="FFFFFF"/>
            <w:noWrap/>
            <w:vAlign w:val="center"/>
            <w:hideMark/>
          </w:tcPr>
          <w:p w14:paraId="4352B265" w14:textId="77777777" w:rsidR="00F60156" w:rsidRPr="00F04618" w:rsidRDefault="00F60156" w:rsidP="00CE5EB6">
            <w:pPr>
              <w:jc w:val="center"/>
              <w:rPr>
                <w:color w:val="000000"/>
              </w:rPr>
            </w:pPr>
            <w:r w:rsidRPr="00F04618">
              <w:rPr>
                <w:color w:val="000000"/>
              </w:rPr>
              <w:t>-</w:t>
            </w:r>
          </w:p>
        </w:tc>
        <w:tc>
          <w:tcPr>
            <w:tcW w:w="958" w:type="dxa"/>
            <w:tcBorders>
              <w:top w:val="nil"/>
              <w:left w:val="nil"/>
              <w:bottom w:val="single" w:sz="8" w:space="0" w:color="auto"/>
              <w:right w:val="single" w:sz="8" w:space="0" w:color="auto"/>
            </w:tcBorders>
            <w:shd w:val="clear" w:color="000000" w:fill="FFFFFF"/>
            <w:noWrap/>
            <w:vAlign w:val="center"/>
            <w:hideMark/>
          </w:tcPr>
          <w:p w14:paraId="5692ABC6" w14:textId="77777777" w:rsidR="00F60156" w:rsidRPr="00F04618" w:rsidRDefault="00F60156" w:rsidP="00CE5EB6">
            <w:pPr>
              <w:jc w:val="center"/>
              <w:rPr>
                <w:color w:val="000000"/>
              </w:rPr>
            </w:pPr>
            <w:r w:rsidRPr="00F04618">
              <w:rPr>
                <w:color w:val="000000"/>
              </w:rPr>
              <w:t>IC</w:t>
            </w:r>
          </w:p>
        </w:tc>
        <w:tc>
          <w:tcPr>
            <w:tcW w:w="2056" w:type="dxa"/>
            <w:tcBorders>
              <w:top w:val="nil"/>
              <w:left w:val="nil"/>
              <w:bottom w:val="single" w:sz="8" w:space="0" w:color="auto"/>
              <w:right w:val="single" w:sz="8" w:space="0" w:color="auto"/>
            </w:tcBorders>
            <w:shd w:val="clear" w:color="000000" w:fill="FFFFFF"/>
            <w:noWrap/>
            <w:vAlign w:val="center"/>
            <w:hideMark/>
          </w:tcPr>
          <w:p w14:paraId="53D4B806" w14:textId="77777777" w:rsidR="00F60156" w:rsidRPr="00F04618" w:rsidRDefault="00F60156" w:rsidP="00CE5EB6">
            <w:pPr>
              <w:jc w:val="center"/>
              <w:rPr>
                <w:color w:val="000000"/>
              </w:rPr>
            </w:pPr>
            <w:r w:rsidRPr="00F04618">
              <w:rPr>
                <w:color w:val="000000"/>
              </w:rPr>
              <w:t>-</w:t>
            </w:r>
          </w:p>
        </w:tc>
        <w:tc>
          <w:tcPr>
            <w:tcW w:w="1787" w:type="dxa"/>
            <w:tcBorders>
              <w:top w:val="nil"/>
              <w:left w:val="nil"/>
              <w:bottom w:val="single" w:sz="8" w:space="0" w:color="auto"/>
              <w:right w:val="single" w:sz="8" w:space="0" w:color="auto"/>
            </w:tcBorders>
            <w:shd w:val="clear" w:color="000000" w:fill="FFFFFF"/>
            <w:noWrap/>
            <w:vAlign w:val="center"/>
            <w:hideMark/>
          </w:tcPr>
          <w:p w14:paraId="22A4AA01" w14:textId="77777777" w:rsidR="00F60156" w:rsidRPr="00F04618" w:rsidRDefault="00F60156" w:rsidP="00CE5EB6">
            <w:pPr>
              <w:jc w:val="center"/>
              <w:rPr>
                <w:color w:val="000000"/>
              </w:rPr>
            </w:pPr>
            <w:r w:rsidRPr="00F04618">
              <w:rPr>
                <w:color w:val="000000"/>
              </w:rPr>
              <w:t>-</w:t>
            </w:r>
          </w:p>
        </w:tc>
      </w:tr>
    </w:tbl>
    <w:p w14:paraId="1B58FC7B" w14:textId="5F6E4993" w:rsidR="00FE058A" w:rsidRPr="00656FFF" w:rsidRDefault="00FE058A" w:rsidP="00FE058A">
      <w:pPr>
        <w:pStyle w:val="Heading3"/>
        <w:tabs>
          <w:tab w:val="left" w:pos="7905"/>
        </w:tabs>
      </w:pPr>
      <w:r>
        <w:rPr>
          <w:color w:val="00B050"/>
        </w:rPr>
        <w:tab/>
      </w:r>
    </w:p>
    <w:p w14:paraId="3A39AD6C" w14:textId="26E0DBB2" w:rsidR="006C41D9" w:rsidRDefault="006C41D9" w:rsidP="00100E5C"/>
    <w:p w14:paraId="6E1618CD" w14:textId="77777777" w:rsidR="00DD626A" w:rsidRDefault="00DD626A" w:rsidP="00100E5C"/>
    <w:sectPr w:rsidR="00DD626A" w:rsidSect="00E964C3">
      <w:headerReference w:type="default" r:id="rId14"/>
      <w:footerReference w:type="defaul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C906" w14:textId="77777777" w:rsidR="00F12C5F" w:rsidRDefault="00F12C5F" w:rsidP="00AC798F">
      <w:r>
        <w:separator/>
      </w:r>
    </w:p>
    <w:p w14:paraId="3DA75D99" w14:textId="77777777" w:rsidR="00835677" w:rsidRDefault="00835677"/>
  </w:endnote>
  <w:endnote w:type="continuationSeparator" w:id="0">
    <w:p w14:paraId="771D7FD3" w14:textId="77777777" w:rsidR="00F12C5F" w:rsidRDefault="00F12C5F" w:rsidP="00AC798F">
      <w:r>
        <w:continuationSeparator/>
      </w:r>
    </w:p>
    <w:p w14:paraId="481DEE91" w14:textId="77777777" w:rsidR="00835677" w:rsidRDefault="00835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1C38" w14:textId="77777777" w:rsidR="00F12C5F" w:rsidRDefault="00F12C5F" w:rsidP="00AC798F">
      <w:r>
        <w:separator/>
      </w:r>
    </w:p>
    <w:p w14:paraId="05E52994" w14:textId="77777777" w:rsidR="00835677" w:rsidRDefault="00835677"/>
  </w:footnote>
  <w:footnote w:type="continuationSeparator" w:id="0">
    <w:p w14:paraId="1D823454" w14:textId="77777777" w:rsidR="00F12C5F" w:rsidRDefault="00F12C5F" w:rsidP="00AC798F">
      <w:r>
        <w:continuationSeparator/>
      </w:r>
    </w:p>
    <w:p w14:paraId="6618EAF1" w14:textId="77777777" w:rsidR="00835677" w:rsidRDefault="008356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3D7EEC55"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w:t>
    </w:r>
    <w:r w:rsidR="000B79D2">
      <w:rPr>
        <w:b/>
        <w:bCs/>
        <w:color w:val="1F497D" w:themeColor="text2"/>
      </w:rPr>
      <w:t>IAME MAHANIAH</w:t>
    </w:r>
    <w:r w:rsidR="00D23D23">
      <w:rPr>
        <w:b/>
        <w:bCs/>
        <w:color w:val="1F497D" w:themeColor="text2"/>
      </w:rPr>
      <w:t>, MD, MBA</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05726EE9"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r>
    <w:r w:rsidR="006C41D9">
      <w:rPr>
        <w:color w:val="1F497D" w:themeColor="text2"/>
      </w:rPr>
      <w:t>UNDER</w:t>
    </w:r>
    <w:r w:rsidRPr="00AC798F">
      <w:rPr>
        <w:color w:val="1F497D" w:themeColor="text2"/>
      </w:rPr>
      <w:t>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95" w14:textId="77777777" w:rsidR="00E964C3" w:rsidRPr="00AC798F" w:rsidRDefault="00E964C3" w:rsidP="0071737A">
    <w:pPr>
      <w:spacing w:after="0" w:line="276" w:lineRule="auto"/>
      <w:jc w:val="right"/>
    </w:pPr>
    <w:r w:rsidRPr="00AC798F">
      <w:t>EOHHS</w:t>
    </w:r>
  </w:p>
  <w:p w14:paraId="035EBA9C" w14:textId="3717860D" w:rsidR="00E964C3" w:rsidRPr="00AC798F" w:rsidRDefault="00E964C3" w:rsidP="0071737A">
    <w:pPr>
      <w:spacing w:after="0" w:line="276" w:lineRule="auto"/>
      <w:jc w:val="right"/>
    </w:pPr>
    <w:r w:rsidRPr="00AC798F">
      <w:t xml:space="preserve">Administrative Bulletin </w:t>
    </w:r>
    <w:r w:rsidR="00F60156">
      <w:t>25-</w:t>
    </w:r>
    <w:r w:rsidR="00B80694">
      <w:t>22</w:t>
    </w:r>
  </w:p>
  <w:p w14:paraId="64299DFB" w14:textId="643C458F" w:rsidR="00E964C3" w:rsidRPr="00AC798F" w:rsidRDefault="00E964C3" w:rsidP="0071737A">
    <w:pPr>
      <w:spacing w:after="0" w:line="276" w:lineRule="auto"/>
      <w:jc w:val="right"/>
    </w:pPr>
    <w:r w:rsidRPr="00AC798F">
      <w:t xml:space="preserve">Effective </w:t>
    </w:r>
    <w:r w:rsidR="00B80694">
      <w:t>September 23</w:t>
    </w:r>
    <w:r w:rsidR="00F60156">
      <w:t>, 2025</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722C4"/>
    <w:rsid w:val="000B3478"/>
    <w:rsid w:val="000B79D2"/>
    <w:rsid w:val="00100E5C"/>
    <w:rsid w:val="00103746"/>
    <w:rsid w:val="00130559"/>
    <w:rsid w:val="00134791"/>
    <w:rsid w:val="00146C2F"/>
    <w:rsid w:val="00153DCE"/>
    <w:rsid w:val="00154CA9"/>
    <w:rsid w:val="00193348"/>
    <w:rsid w:val="00195F63"/>
    <w:rsid w:val="001A7742"/>
    <w:rsid w:val="001A7A68"/>
    <w:rsid w:val="001C15E6"/>
    <w:rsid w:val="001D628B"/>
    <w:rsid w:val="0022152B"/>
    <w:rsid w:val="002448DD"/>
    <w:rsid w:val="00266B97"/>
    <w:rsid w:val="00271D28"/>
    <w:rsid w:val="0027639F"/>
    <w:rsid w:val="00284238"/>
    <w:rsid w:val="00291039"/>
    <w:rsid w:val="002A779E"/>
    <w:rsid w:val="002E0806"/>
    <w:rsid w:val="00305017"/>
    <w:rsid w:val="00306704"/>
    <w:rsid w:val="003113E4"/>
    <w:rsid w:val="0033130A"/>
    <w:rsid w:val="00351564"/>
    <w:rsid w:val="003644F6"/>
    <w:rsid w:val="003A3882"/>
    <w:rsid w:val="003F6AAE"/>
    <w:rsid w:val="0041466F"/>
    <w:rsid w:val="0041715C"/>
    <w:rsid w:val="00421B27"/>
    <w:rsid w:val="00443CDB"/>
    <w:rsid w:val="00465E5A"/>
    <w:rsid w:val="004B7873"/>
    <w:rsid w:val="004D48D7"/>
    <w:rsid w:val="005246D9"/>
    <w:rsid w:val="00525DD4"/>
    <w:rsid w:val="00533A3B"/>
    <w:rsid w:val="0053555D"/>
    <w:rsid w:val="00556450"/>
    <w:rsid w:val="0056474D"/>
    <w:rsid w:val="005702E6"/>
    <w:rsid w:val="0057224E"/>
    <w:rsid w:val="00585302"/>
    <w:rsid w:val="00597C39"/>
    <w:rsid w:val="005A274F"/>
    <w:rsid w:val="005B5D35"/>
    <w:rsid w:val="005E2329"/>
    <w:rsid w:val="005F20AC"/>
    <w:rsid w:val="005F66F1"/>
    <w:rsid w:val="00607406"/>
    <w:rsid w:val="0064272D"/>
    <w:rsid w:val="00656FFF"/>
    <w:rsid w:val="006718AB"/>
    <w:rsid w:val="006A6684"/>
    <w:rsid w:val="006B1D87"/>
    <w:rsid w:val="006B65AC"/>
    <w:rsid w:val="006B6EE0"/>
    <w:rsid w:val="006C41D9"/>
    <w:rsid w:val="006E5DED"/>
    <w:rsid w:val="006F115D"/>
    <w:rsid w:val="0070235D"/>
    <w:rsid w:val="0071737A"/>
    <w:rsid w:val="00720C4F"/>
    <w:rsid w:val="00721C69"/>
    <w:rsid w:val="00734039"/>
    <w:rsid w:val="00752392"/>
    <w:rsid w:val="00782360"/>
    <w:rsid w:val="00796A70"/>
    <w:rsid w:val="007B48C3"/>
    <w:rsid w:val="007F04B8"/>
    <w:rsid w:val="007F6D92"/>
    <w:rsid w:val="00800711"/>
    <w:rsid w:val="008171BF"/>
    <w:rsid w:val="00835677"/>
    <w:rsid w:val="00852E4B"/>
    <w:rsid w:val="008669CB"/>
    <w:rsid w:val="008A50C9"/>
    <w:rsid w:val="008C7C8A"/>
    <w:rsid w:val="00964EDE"/>
    <w:rsid w:val="00984786"/>
    <w:rsid w:val="009A3538"/>
    <w:rsid w:val="00A01D8C"/>
    <w:rsid w:val="00A06F80"/>
    <w:rsid w:val="00A13213"/>
    <w:rsid w:val="00A2440E"/>
    <w:rsid w:val="00A34C8D"/>
    <w:rsid w:val="00A40946"/>
    <w:rsid w:val="00A66F3D"/>
    <w:rsid w:val="00A72FAD"/>
    <w:rsid w:val="00A75CD6"/>
    <w:rsid w:val="00AA75B2"/>
    <w:rsid w:val="00AB33D8"/>
    <w:rsid w:val="00AC798F"/>
    <w:rsid w:val="00AD1945"/>
    <w:rsid w:val="00B0173B"/>
    <w:rsid w:val="00B05E0C"/>
    <w:rsid w:val="00B150C5"/>
    <w:rsid w:val="00B623EB"/>
    <w:rsid w:val="00B80694"/>
    <w:rsid w:val="00BA6D03"/>
    <w:rsid w:val="00BE1FB2"/>
    <w:rsid w:val="00BF576B"/>
    <w:rsid w:val="00C1076E"/>
    <w:rsid w:val="00C34D23"/>
    <w:rsid w:val="00C400D6"/>
    <w:rsid w:val="00C4194A"/>
    <w:rsid w:val="00C773D1"/>
    <w:rsid w:val="00C87BF7"/>
    <w:rsid w:val="00CD0456"/>
    <w:rsid w:val="00D160CC"/>
    <w:rsid w:val="00D23D23"/>
    <w:rsid w:val="00D35714"/>
    <w:rsid w:val="00D407CF"/>
    <w:rsid w:val="00D448BF"/>
    <w:rsid w:val="00D5182F"/>
    <w:rsid w:val="00D63172"/>
    <w:rsid w:val="00D761F6"/>
    <w:rsid w:val="00DA095C"/>
    <w:rsid w:val="00DD626A"/>
    <w:rsid w:val="00DD7917"/>
    <w:rsid w:val="00E06A5D"/>
    <w:rsid w:val="00E10A6E"/>
    <w:rsid w:val="00E27559"/>
    <w:rsid w:val="00E320F9"/>
    <w:rsid w:val="00E56BD5"/>
    <w:rsid w:val="00E620A3"/>
    <w:rsid w:val="00E74BC2"/>
    <w:rsid w:val="00E92AC9"/>
    <w:rsid w:val="00E96458"/>
    <w:rsid w:val="00E964C3"/>
    <w:rsid w:val="00EE4CAE"/>
    <w:rsid w:val="00EF33F6"/>
    <w:rsid w:val="00F12C5F"/>
    <w:rsid w:val="00F247CB"/>
    <w:rsid w:val="00F30AF6"/>
    <w:rsid w:val="00F44C98"/>
    <w:rsid w:val="00F44E10"/>
    <w:rsid w:val="00F531D7"/>
    <w:rsid w:val="00F56D7C"/>
    <w:rsid w:val="00F60156"/>
    <w:rsid w:val="00F60649"/>
    <w:rsid w:val="00F65E52"/>
    <w:rsid w:val="00F8728D"/>
    <w:rsid w:val="00FB216E"/>
    <w:rsid w:val="00FE058A"/>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paragraph" w:styleId="Revision">
    <w:name w:val="Revision"/>
    <w:hidden/>
    <w:uiPriority w:val="99"/>
    <w:semiHidden/>
    <w:rsid w:val="005A274F"/>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6</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Eisan, Jenna (EHS)</cp:lastModifiedBy>
  <cp:revision>16</cp:revision>
  <cp:lastPrinted>2023-03-01T20:48:00Z</cp:lastPrinted>
  <dcterms:created xsi:type="dcterms:W3CDTF">2025-07-15T15:18:00Z</dcterms:created>
  <dcterms:modified xsi:type="dcterms:W3CDTF">2025-09-23T14:25:00Z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