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24EAA36A" w:rsidR="00533A3B" w:rsidRPr="00614262" w:rsidRDefault="00533A3B" w:rsidP="00614262">
      <w:pPr>
        <w:pStyle w:val="Heading1"/>
        <w:spacing w:before="120" w:after="0"/>
      </w:pPr>
      <w:r w:rsidRPr="00614262">
        <w:t xml:space="preserve">Administrative Bulletin </w:t>
      </w:r>
      <w:r w:rsidR="00342F1A">
        <w:t>25</w:t>
      </w:r>
      <w:r w:rsidR="009E0318">
        <w:t>-23</w:t>
      </w:r>
      <w:r w:rsidRPr="00100E5C">
        <w:t xml:space="preserve"> </w:t>
      </w:r>
    </w:p>
    <w:p w14:paraId="2AD16DA2" w14:textId="77777777" w:rsidR="00A72FAD" w:rsidRPr="00614262" w:rsidRDefault="00A72FAD" w:rsidP="00614262">
      <w:pPr>
        <w:spacing w:after="0"/>
      </w:pPr>
    </w:p>
    <w:p w14:paraId="1D3755FA" w14:textId="6E9EF223" w:rsidR="00533A3B" w:rsidRPr="00614262" w:rsidRDefault="00533A3B" w:rsidP="00614262">
      <w:pPr>
        <w:spacing w:after="0"/>
        <w:jc w:val="center"/>
        <w:rPr>
          <w:b/>
          <w:i/>
          <w:sz w:val="24"/>
        </w:rPr>
      </w:pPr>
      <w:bookmarkStart w:id="0" w:name="_Hlk123306118"/>
      <w:r w:rsidRPr="00614262">
        <w:rPr>
          <w:b/>
          <w:sz w:val="24"/>
        </w:rPr>
        <w:t xml:space="preserve">101 CMR </w:t>
      </w:r>
      <w:r w:rsidR="00EC277A" w:rsidRPr="00614262">
        <w:rPr>
          <w:b/>
          <w:sz w:val="24"/>
        </w:rPr>
        <w:t>512.</w:t>
      </w:r>
      <w:r w:rsidRPr="00614262">
        <w:rPr>
          <w:b/>
          <w:sz w:val="24"/>
        </w:rPr>
        <w:t xml:space="preserve">00: </w:t>
      </w:r>
      <w:r w:rsidR="00EC277A" w:rsidRPr="00614262">
        <w:rPr>
          <w:b/>
          <w:i/>
          <w:sz w:val="24"/>
        </w:rPr>
        <w:t>Nursing Facility User Fees</w:t>
      </w:r>
      <w:r w:rsidR="00EC277A">
        <w:rPr>
          <w:b/>
          <w:bCs/>
          <w:sz w:val="24"/>
          <w:szCs w:val="24"/>
        </w:rPr>
        <w:t xml:space="preserve"> </w:t>
      </w:r>
    </w:p>
    <w:bookmarkEnd w:id="0"/>
    <w:p w14:paraId="04FBBEA3" w14:textId="77777777" w:rsidR="00A72FAD" w:rsidRPr="00A72FAD" w:rsidRDefault="00A72FAD" w:rsidP="00A72FAD">
      <w:pPr>
        <w:spacing w:after="0"/>
      </w:pPr>
    </w:p>
    <w:p w14:paraId="27A5BE69" w14:textId="717EA42A" w:rsidR="00533A3B" w:rsidRPr="00614262" w:rsidRDefault="00533A3B" w:rsidP="00614262">
      <w:pPr>
        <w:spacing w:after="0"/>
        <w:jc w:val="center"/>
        <w:rPr>
          <w:color w:val="FF0000"/>
          <w:sz w:val="24"/>
        </w:rPr>
      </w:pPr>
      <w:r w:rsidRPr="00614262">
        <w:rPr>
          <w:sz w:val="24"/>
        </w:rPr>
        <w:t>Effective</w:t>
      </w:r>
      <w:r w:rsidR="00EC277A" w:rsidRPr="00614262">
        <w:rPr>
          <w:sz w:val="24"/>
        </w:rPr>
        <w:t xml:space="preserve"> </w:t>
      </w:r>
      <w:r w:rsidR="00EC277A">
        <w:rPr>
          <w:sz w:val="24"/>
          <w:szCs w:val="24"/>
        </w:rPr>
        <w:t>October</w:t>
      </w:r>
      <w:r w:rsidR="00EC277A" w:rsidRPr="00614262">
        <w:rPr>
          <w:sz w:val="24"/>
        </w:rPr>
        <w:t xml:space="preserve"> 1, </w:t>
      </w:r>
      <w:r w:rsidR="00EC277A">
        <w:rPr>
          <w:sz w:val="24"/>
          <w:szCs w:val="24"/>
        </w:rPr>
        <w:t>2025</w:t>
      </w:r>
    </w:p>
    <w:p w14:paraId="02B0D633" w14:textId="226CC9A8" w:rsidR="00A72FAD" w:rsidRPr="00A72FAD" w:rsidRDefault="00A72FAD" w:rsidP="00A72FAD">
      <w:pPr>
        <w:spacing w:after="0"/>
      </w:pPr>
    </w:p>
    <w:p w14:paraId="7673694D" w14:textId="13CC633B" w:rsidR="00F44E10" w:rsidRPr="00614262" w:rsidRDefault="00960538" w:rsidP="00614262">
      <w:pPr>
        <w:pStyle w:val="SubjectLine"/>
        <w:spacing w:before="0" w:after="0" w:line="240" w:lineRule="auto"/>
      </w:pPr>
      <w:r w:rsidRPr="00614262">
        <w:t>Offset Procedures for Non-Payment of User Fees</w:t>
      </w:r>
      <w:r w:rsidRPr="00960538">
        <w:t xml:space="preserve"> </w:t>
      </w:r>
    </w:p>
    <w:p w14:paraId="220D9338" w14:textId="77777777" w:rsidR="00533A3B" w:rsidRDefault="00533A3B" w:rsidP="00AC798F"/>
    <w:p w14:paraId="218ED137" w14:textId="77777777" w:rsidR="00E964C3" w:rsidRDefault="00E964C3" w:rsidP="00656FFF">
      <w:pPr>
        <w:spacing w:line="276" w:lineRule="auto"/>
        <w:sectPr w:rsidR="00E964C3" w:rsidSect="00EE4C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258963A2" w14:textId="3C1C109D" w:rsidR="00852E4B" w:rsidRPr="00CC0A90" w:rsidRDefault="0009111E" w:rsidP="00DA095C">
      <w:pPr>
        <w:pStyle w:val="Heading2"/>
        <w:rPr>
          <w:color w:val="000000" w:themeColor="text1"/>
        </w:rPr>
      </w:pPr>
      <w:r w:rsidRPr="0009111E">
        <w:rPr>
          <w:color w:val="000000" w:themeColor="text1"/>
        </w:rPr>
        <w:t xml:space="preserve">Executive Office of Health and Human Services </w:t>
      </w:r>
      <w:r w:rsidR="00CC0A90">
        <w:rPr>
          <w:color w:val="000000" w:themeColor="text1"/>
        </w:rPr>
        <w:t xml:space="preserve">Offset </w:t>
      </w:r>
      <w:r w:rsidRPr="00CC0A90">
        <w:rPr>
          <w:color w:val="000000" w:themeColor="text1"/>
        </w:rPr>
        <w:t>Procedure Clarification</w:t>
      </w:r>
    </w:p>
    <w:p w14:paraId="30A82C5A" w14:textId="3C3A4F58" w:rsidR="00BC7C1F" w:rsidRPr="00614262" w:rsidRDefault="00BC7C1F" w:rsidP="00614262">
      <w:pPr>
        <w:spacing w:line="276" w:lineRule="auto"/>
      </w:pPr>
      <w:r w:rsidRPr="00614262">
        <w:t xml:space="preserve">The Executive Office of Health and Human Services (EOHHS) is issuing this </w:t>
      </w:r>
      <w:r w:rsidR="00BD1E39">
        <w:t>a</w:t>
      </w:r>
      <w:r>
        <w:t xml:space="preserve">dministrative </w:t>
      </w:r>
      <w:r w:rsidR="00BD1E39">
        <w:t>b</w:t>
      </w:r>
      <w:r>
        <w:t>ulletin</w:t>
      </w:r>
      <w:r w:rsidRPr="00614262">
        <w:t xml:space="preserve"> pursuant to 101 CMR 512.00 to clarify EOHHS procedures </w:t>
      </w:r>
      <w:r w:rsidR="00BD1E39">
        <w:t>for collecting</w:t>
      </w:r>
      <w:r w:rsidRPr="00614262">
        <w:t xml:space="preserve"> the user fee assessment from nursing facilities that are not compliant with the quarterly user fee payment and form submission requirements in 101 CMR 512.05. This </w:t>
      </w:r>
      <w:r w:rsidR="00BD1E39">
        <w:t>a</w:t>
      </w:r>
      <w:r>
        <w:t xml:space="preserve">dministrative </w:t>
      </w:r>
      <w:r w:rsidR="00BD1E39">
        <w:t>b</w:t>
      </w:r>
      <w:r>
        <w:t>ulletin updates and supersedes AB-23-01 and</w:t>
      </w:r>
      <w:r w:rsidRPr="00614262">
        <w:t xml:space="preserve"> shall apply to all outstanding user fee assessment forms and payments</w:t>
      </w:r>
      <w:r>
        <w:t xml:space="preserve"> as of October 1, 2025</w:t>
      </w:r>
      <w:r w:rsidRPr="00614262">
        <w:t xml:space="preserve">. </w:t>
      </w:r>
    </w:p>
    <w:p w14:paraId="58426972" w14:textId="2402B7B7" w:rsidR="00BC7C1F" w:rsidRPr="00614262" w:rsidRDefault="00BC7C1F" w:rsidP="00614262">
      <w:pPr>
        <w:spacing w:line="276" w:lineRule="auto"/>
      </w:pPr>
      <w:r w:rsidRPr="00614262">
        <w:t xml:space="preserve">Pursuant to 101 CMR 512.05(3), each nursing facility, regardless of group classification, must determine the amount of the assessment owed for each quarter and submit a user fee filing form and full user fee payment on the </w:t>
      </w:r>
      <w:r w:rsidR="00EA054B">
        <w:t xml:space="preserve">following </w:t>
      </w:r>
      <w:r w:rsidRPr="00614262">
        <w:t xml:space="preserve">schedule. </w:t>
      </w:r>
    </w:p>
    <w:tbl>
      <w:tblPr>
        <w:tblStyle w:val="TableGrid"/>
        <w:tblW w:w="0" w:type="auto"/>
        <w:jc w:val="center"/>
        <w:tblLook w:val="04A0" w:firstRow="1" w:lastRow="0" w:firstColumn="1" w:lastColumn="0" w:noHBand="0" w:noVBand="1"/>
      </w:tblPr>
      <w:tblGrid>
        <w:gridCol w:w="2912"/>
        <w:gridCol w:w="3307"/>
      </w:tblGrid>
      <w:tr w:rsidR="00A24670" w:rsidRPr="00A24670" w14:paraId="486B6E5B" w14:textId="77777777" w:rsidTr="00614262">
        <w:trPr>
          <w:jc w:val="center"/>
        </w:trPr>
        <w:tc>
          <w:tcPr>
            <w:tcW w:w="2912" w:type="dxa"/>
            <w:vAlign w:val="bottom"/>
          </w:tcPr>
          <w:p w14:paraId="22806615" w14:textId="174EABAB" w:rsidR="00A24670" w:rsidRPr="00614262" w:rsidRDefault="00A24670" w:rsidP="00614262">
            <w:pPr>
              <w:spacing w:before="120"/>
            </w:pPr>
            <w:r w:rsidRPr="00614262">
              <w:rPr>
                <w:b/>
                <w:sz w:val="20"/>
              </w:rPr>
              <w:t xml:space="preserve">Assessment </w:t>
            </w:r>
            <w:r w:rsidR="00DD697D">
              <w:rPr>
                <w:rFonts w:cs="Arial"/>
                <w:b/>
                <w:sz w:val="20"/>
                <w:szCs w:val="20"/>
              </w:rPr>
              <w:t>p</w:t>
            </w:r>
            <w:r w:rsidRPr="00A24670">
              <w:rPr>
                <w:rFonts w:cs="Arial"/>
                <w:b/>
                <w:sz w:val="20"/>
                <w:szCs w:val="20"/>
              </w:rPr>
              <w:t>eriod</w:t>
            </w:r>
          </w:p>
        </w:tc>
        <w:tc>
          <w:tcPr>
            <w:tcW w:w="3307" w:type="dxa"/>
            <w:vAlign w:val="bottom"/>
          </w:tcPr>
          <w:p w14:paraId="32D8F63E" w14:textId="401C7DD6" w:rsidR="00A24670" w:rsidRPr="00614262" w:rsidRDefault="00A24670" w:rsidP="00614262">
            <w:pPr>
              <w:spacing w:before="120"/>
            </w:pPr>
            <w:r w:rsidRPr="00614262">
              <w:rPr>
                <w:b/>
                <w:sz w:val="20"/>
              </w:rPr>
              <w:t xml:space="preserve">Payment and </w:t>
            </w:r>
            <w:r w:rsidR="00DD697D">
              <w:rPr>
                <w:rFonts w:cs="Arial"/>
                <w:b/>
                <w:sz w:val="20"/>
                <w:szCs w:val="20"/>
              </w:rPr>
              <w:t>f</w:t>
            </w:r>
            <w:r w:rsidRPr="00A24670">
              <w:rPr>
                <w:rFonts w:cs="Arial"/>
                <w:b/>
                <w:sz w:val="20"/>
                <w:szCs w:val="20"/>
              </w:rPr>
              <w:t xml:space="preserve">orm </w:t>
            </w:r>
            <w:r w:rsidR="00DD697D">
              <w:rPr>
                <w:rFonts w:cs="Arial"/>
                <w:b/>
                <w:sz w:val="20"/>
                <w:szCs w:val="20"/>
              </w:rPr>
              <w:t>d</w:t>
            </w:r>
            <w:r w:rsidRPr="00A24670">
              <w:rPr>
                <w:rFonts w:cs="Arial"/>
                <w:b/>
                <w:sz w:val="20"/>
                <w:szCs w:val="20"/>
              </w:rPr>
              <w:t xml:space="preserve">ue </w:t>
            </w:r>
            <w:r w:rsidR="00DD697D">
              <w:rPr>
                <w:rFonts w:cs="Arial"/>
                <w:b/>
                <w:sz w:val="20"/>
                <w:szCs w:val="20"/>
              </w:rPr>
              <w:t>d</w:t>
            </w:r>
            <w:r w:rsidRPr="00A24670">
              <w:rPr>
                <w:rFonts w:cs="Arial"/>
                <w:b/>
                <w:sz w:val="20"/>
                <w:szCs w:val="20"/>
              </w:rPr>
              <w:t>ate</w:t>
            </w:r>
          </w:p>
        </w:tc>
      </w:tr>
      <w:tr w:rsidR="00A24670" w:rsidRPr="00A24670" w14:paraId="1C2EC948" w14:textId="77777777" w:rsidTr="00614262">
        <w:trPr>
          <w:jc w:val="center"/>
        </w:trPr>
        <w:tc>
          <w:tcPr>
            <w:tcW w:w="2912" w:type="dxa"/>
            <w:vAlign w:val="bottom"/>
          </w:tcPr>
          <w:p w14:paraId="5C757DFC" w14:textId="201455DB" w:rsidR="00A24670" w:rsidRPr="00614262" w:rsidRDefault="00A24670" w:rsidP="00614262">
            <w:pPr>
              <w:spacing w:before="120"/>
              <w:rPr>
                <w:b/>
              </w:rPr>
            </w:pPr>
            <w:r w:rsidRPr="00614262">
              <w:rPr>
                <w:b/>
                <w:sz w:val="20"/>
              </w:rPr>
              <w:t>July 1</w:t>
            </w:r>
            <w:r w:rsidR="0075619A">
              <w:rPr>
                <w:rFonts w:cs="Arial"/>
                <w:b/>
                <w:bCs/>
                <w:sz w:val="20"/>
                <w:szCs w:val="20"/>
              </w:rPr>
              <w:t>—</w:t>
            </w:r>
            <w:r w:rsidRPr="00614262">
              <w:rPr>
                <w:b/>
                <w:sz w:val="20"/>
              </w:rPr>
              <w:t>September 30</w:t>
            </w:r>
          </w:p>
        </w:tc>
        <w:tc>
          <w:tcPr>
            <w:tcW w:w="3307" w:type="dxa"/>
            <w:vAlign w:val="bottom"/>
          </w:tcPr>
          <w:p w14:paraId="226F2017" w14:textId="489831EE" w:rsidR="00A24670" w:rsidRPr="00614262" w:rsidRDefault="00A24670" w:rsidP="00614262">
            <w:pPr>
              <w:spacing w:before="120"/>
            </w:pPr>
            <w:r w:rsidRPr="00614262">
              <w:rPr>
                <w:sz w:val="20"/>
              </w:rPr>
              <w:t>November 1</w:t>
            </w:r>
          </w:p>
        </w:tc>
      </w:tr>
      <w:tr w:rsidR="00A24670" w:rsidRPr="00A24670" w14:paraId="0FEAEA17" w14:textId="77777777" w:rsidTr="00614262">
        <w:trPr>
          <w:jc w:val="center"/>
        </w:trPr>
        <w:tc>
          <w:tcPr>
            <w:tcW w:w="2912" w:type="dxa"/>
            <w:vAlign w:val="bottom"/>
          </w:tcPr>
          <w:p w14:paraId="49EC881A" w14:textId="472E879A" w:rsidR="00A24670" w:rsidRPr="00614262" w:rsidRDefault="00A24670" w:rsidP="00614262">
            <w:pPr>
              <w:spacing w:before="120"/>
              <w:rPr>
                <w:b/>
              </w:rPr>
            </w:pPr>
            <w:r w:rsidRPr="00614262">
              <w:rPr>
                <w:b/>
                <w:sz w:val="20"/>
              </w:rPr>
              <w:t>October 1</w:t>
            </w:r>
            <w:r w:rsidR="0075619A" w:rsidRPr="0075619A">
              <w:rPr>
                <w:rFonts w:cs="Arial"/>
                <w:b/>
                <w:bCs/>
                <w:sz w:val="20"/>
                <w:szCs w:val="20"/>
              </w:rPr>
              <w:t>—</w:t>
            </w:r>
            <w:r w:rsidRPr="00614262">
              <w:rPr>
                <w:b/>
                <w:sz w:val="20"/>
              </w:rPr>
              <w:t>December 31</w:t>
            </w:r>
          </w:p>
        </w:tc>
        <w:tc>
          <w:tcPr>
            <w:tcW w:w="3307" w:type="dxa"/>
            <w:vAlign w:val="bottom"/>
          </w:tcPr>
          <w:p w14:paraId="122E2916" w14:textId="196C0F1D" w:rsidR="00A24670" w:rsidRPr="00614262" w:rsidRDefault="00A24670" w:rsidP="00614262">
            <w:pPr>
              <w:spacing w:before="120"/>
            </w:pPr>
            <w:r w:rsidRPr="00614262">
              <w:rPr>
                <w:sz w:val="20"/>
              </w:rPr>
              <w:t>February 1</w:t>
            </w:r>
          </w:p>
        </w:tc>
      </w:tr>
      <w:tr w:rsidR="00A24670" w:rsidRPr="00A24670" w14:paraId="0E84F128" w14:textId="77777777" w:rsidTr="00614262">
        <w:trPr>
          <w:jc w:val="center"/>
        </w:trPr>
        <w:tc>
          <w:tcPr>
            <w:tcW w:w="2912" w:type="dxa"/>
            <w:vAlign w:val="bottom"/>
          </w:tcPr>
          <w:p w14:paraId="42233791" w14:textId="43879DF5" w:rsidR="00A24670" w:rsidRPr="00614262" w:rsidRDefault="00A24670" w:rsidP="00614262">
            <w:pPr>
              <w:spacing w:before="120"/>
              <w:rPr>
                <w:b/>
              </w:rPr>
            </w:pPr>
            <w:r w:rsidRPr="00614262">
              <w:rPr>
                <w:b/>
                <w:sz w:val="20"/>
              </w:rPr>
              <w:t>January 1</w:t>
            </w:r>
            <w:r w:rsidR="0075619A" w:rsidRPr="0075619A">
              <w:rPr>
                <w:rFonts w:cs="Arial"/>
                <w:b/>
                <w:bCs/>
                <w:sz w:val="20"/>
                <w:szCs w:val="20"/>
                <w:vertAlign w:val="superscript"/>
              </w:rPr>
              <w:t>—</w:t>
            </w:r>
            <w:r w:rsidRPr="00614262">
              <w:rPr>
                <w:b/>
                <w:sz w:val="20"/>
              </w:rPr>
              <w:t>March 31</w:t>
            </w:r>
          </w:p>
        </w:tc>
        <w:tc>
          <w:tcPr>
            <w:tcW w:w="3307" w:type="dxa"/>
            <w:vAlign w:val="bottom"/>
          </w:tcPr>
          <w:p w14:paraId="5C178CE4" w14:textId="68024FF7" w:rsidR="00A24670" w:rsidRPr="00614262" w:rsidRDefault="00A24670" w:rsidP="00614262">
            <w:pPr>
              <w:spacing w:before="120"/>
            </w:pPr>
            <w:r w:rsidRPr="00614262">
              <w:rPr>
                <w:sz w:val="20"/>
              </w:rPr>
              <w:t>May 1</w:t>
            </w:r>
          </w:p>
        </w:tc>
      </w:tr>
      <w:tr w:rsidR="00A24670" w:rsidRPr="00A24670" w14:paraId="74D1238C" w14:textId="77777777" w:rsidTr="00614262">
        <w:trPr>
          <w:jc w:val="center"/>
        </w:trPr>
        <w:tc>
          <w:tcPr>
            <w:tcW w:w="2912" w:type="dxa"/>
            <w:vAlign w:val="bottom"/>
          </w:tcPr>
          <w:p w14:paraId="1D243558" w14:textId="44C39C9E" w:rsidR="00A24670" w:rsidRPr="00614262" w:rsidRDefault="00A24670" w:rsidP="00614262">
            <w:pPr>
              <w:spacing w:before="120"/>
              <w:rPr>
                <w:b/>
              </w:rPr>
            </w:pPr>
            <w:r w:rsidRPr="00614262">
              <w:rPr>
                <w:b/>
                <w:sz w:val="20"/>
              </w:rPr>
              <w:t>April 1</w:t>
            </w:r>
            <w:r w:rsidR="0075619A" w:rsidRPr="0075619A">
              <w:rPr>
                <w:rFonts w:cs="Arial"/>
                <w:b/>
                <w:bCs/>
                <w:sz w:val="20"/>
                <w:szCs w:val="20"/>
              </w:rPr>
              <w:t>—</w:t>
            </w:r>
            <w:r w:rsidRPr="00614262">
              <w:rPr>
                <w:b/>
                <w:sz w:val="20"/>
              </w:rPr>
              <w:t>June 30</w:t>
            </w:r>
          </w:p>
        </w:tc>
        <w:tc>
          <w:tcPr>
            <w:tcW w:w="3307" w:type="dxa"/>
            <w:vAlign w:val="bottom"/>
          </w:tcPr>
          <w:p w14:paraId="111F3216" w14:textId="3378B3F8" w:rsidR="00A24670" w:rsidRPr="00614262" w:rsidRDefault="00A24670" w:rsidP="00614262">
            <w:pPr>
              <w:spacing w:before="120"/>
            </w:pPr>
            <w:r w:rsidRPr="00614262">
              <w:rPr>
                <w:sz w:val="20"/>
              </w:rPr>
              <w:t>August 1</w:t>
            </w:r>
          </w:p>
        </w:tc>
      </w:tr>
    </w:tbl>
    <w:p w14:paraId="69E85A0C" w14:textId="77777777" w:rsidR="00C80CCA" w:rsidRPr="00614262" w:rsidRDefault="00C80CCA" w:rsidP="00614262">
      <w:pPr>
        <w:spacing w:after="0" w:line="276" w:lineRule="auto"/>
      </w:pPr>
    </w:p>
    <w:p w14:paraId="79A22C0B" w14:textId="1F5C205C" w:rsidR="00A34F62" w:rsidRPr="00614262" w:rsidRDefault="00A34F62" w:rsidP="00614262">
      <w:pPr>
        <w:pStyle w:val="ListParagraph"/>
        <w:numPr>
          <w:ilvl w:val="0"/>
          <w:numId w:val="4"/>
        </w:numPr>
        <w:spacing w:after="120"/>
        <w:ind w:left="720" w:hanging="360"/>
        <w:contextualSpacing w:val="0"/>
      </w:pPr>
      <w:r w:rsidRPr="00614262">
        <w:lastRenderedPageBreak/>
        <w:t xml:space="preserve">If a nursing facility fails to submit a user fee filing form by the due date in 101 CMR 512.05(3), EOHHS will assess a late fee of $100 per day pursuant to 101 CMR 512.06(4) for each day the filing form is late, starting from the day after the due date. </w:t>
      </w:r>
    </w:p>
    <w:p w14:paraId="27EFF1E7" w14:textId="2A0540BD" w:rsidR="00A34F62" w:rsidRPr="00614262" w:rsidRDefault="00A34F62" w:rsidP="00614262">
      <w:pPr>
        <w:pStyle w:val="ListParagraph"/>
        <w:numPr>
          <w:ilvl w:val="0"/>
          <w:numId w:val="4"/>
        </w:numPr>
        <w:spacing w:after="120"/>
        <w:ind w:left="720" w:hanging="360"/>
        <w:contextualSpacing w:val="0"/>
      </w:pPr>
      <w:r w:rsidRPr="00614262">
        <w:t xml:space="preserve">If a nursing facility fails to submit a quarterly user fee payment by the due date in 101 CMR 512.05(3), EOHHS will send </w:t>
      </w:r>
      <w:r w:rsidR="00443429" w:rsidRPr="00614262">
        <w:t xml:space="preserve">the facility </w:t>
      </w:r>
      <w:r>
        <w:t xml:space="preserve">a notice </w:t>
      </w:r>
      <w:r w:rsidRPr="00614262">
        <w:t>stating that the facility has 30 days from the payment due date</w:t>
      </w:r>
      <w:r>
        <w:t xml:space="preserve"> </w:t>
      </w:r>
      <w:r w:rsidRPr="00614262">
        <w:t>in 101 CMR 512.05(3) to pay in full, including interest and late fees.</w:t>
      </w:r>
      <w:r>
        <w:t xml:space="preserve"> </w:t>
      </w:r>
      <w:r w:rsidR="00C24916" w:rsidRPr="00C24916">
        <w:t xml:space="preserve">To </w:t>
      </w:r>
      <w:r w:rsidR="00C24916">
        <w:t xml:space="preserve">comply </w:t>
      </w:r>
      <w:r w:rsidR="00C24916" w:rsidRPr="00C24916">
        <w:t>with the user fee payment</w:t>
      </w:r>
      <w:r w:rsidR="00DB286D">
        <w:t xml:space="preserve"> </w:t>
      </w:r>
      <w:r w:rsidR="00207F1F">
        <w:t>due date</w:t>
      </w:r>
      <w:r w:rsidR="00C24916" w:rsidRPr="00C24916">
        <w:t xml:space="preserve">, the payment submission must be postmarked on or before the due date. If for any reason a payment is rejected, regardless of when it was </w:t>
      </w:r>
      <w:r w:rsidR="00207F1F">
        <w:t>postmarked</w:t>
      </w:r>
      <w:r w:rsidR="00C24916" w:rsidRPr="00C24916">
        <w:t>, it will not be considered received</w:t>
      </w:r>
      <w:r w:rsidR="00C24916">
        <w:t>.</w:t>
      </w:r>
      <w:r w:rsidR="00C24916" w:rsidRPr="00614262">
        <w:t xml:space="preserve"> </w:t>
      </w:r>
      <w:r w:rsidRPr="00614262">
        <w:t xml:space="preserve">Pursuant to 101 CMR 512.05(5), EOHHS will assess interest of 1.5% per month on the outstanding balance up to the date that payment in full is received or the date of the final notice discussed in </w:t>
      </w:r>
      <w:r w:rsidR="00443429">
        <w:t xml:space="preserve">Paragraph </w:t>
      </w:r>
      <w:r>
        <w:t>4</w:t>
      </w:r>
      <w:r w:rsidR="00443429">
        <w:t xml:space="preserve"> of this bulletin</w:t>
      </w:r>
      <w:r w:rsidRPr="00614262">
        <w:t xml:space="preserve">. </w:t>
      </w:r>
    </w:p>
    <w:p w14:paraId="513633C4" w14:textId="20B6E638" w:rsidR="00A34F62" w:rsidRPr="00614262" w:rsidRDefault="00A34F62" w:rsidP="00614262">
      <w:pPr>
        <w:pStyle w:val="ListParagraph"/>
        <w:numPr>
          <w:ilvl w:val="0"/>
          <w:numId w:val="4"/>
        </w:numPr>
        <w:spacing w:after="120"/>
        <w:ind w:left="720" w:hanging="360"/>
        <w:contextualSpacing w:val="0"/>
      </w:pPr>
      <w:r w:rsidRPr="00614262">
        <w:t xml:space="preserve">If a nursing facility fails to submit a user fee filing form by the date of the initial notice discussed in </w:t>
      </w:r>
      <w:r w:rsidR="00443429">
        <w:t xml:space="preserve">Paragraph </w:t>
      </w:r>
      <w:r>
        <w:t>2</w:t>
      </w:r>
      <w:r w:rsidR="00443429">
        <w:t xml:space="preserve"> of this bulletin</w:t>
      </w:r>
      <w:r w:rsidRPr="00614262">
        <w:t xml:space="preserve">, EOHHS will establish a presumptive assessment amount for the quarter based on the nursing facility’s prior quarterly assessments. Until the nursing facility files the user fee filing form and/or EOHHS audits the nursing facility pursuant to 101 CMR 512.06(3), all penalties, interest, and offset payments will be based on this presumptive assessment amount.   </w:t>
      </w:r>
    </w:p>
    <w:p w14:paraId="14FE75EB" w14:textId="09500D53" w:rsidR="00A34F62" w:rsidRPr="00614262" w:rsidRDefault="00A34F62" w:rsidP="00614262">
      <w:pPr>
        <w:pStyle w:val="ListParagraph"/>
        <w:numPr>
          <w:ilvl w:val="0"/>
          <w:numId w:val="4"/>
        </w:numPr>
        <w:spacing w:after="120"/>
        <w:ind w:left="720" w:hanging="360"/>
        <w:contextualSpacing w:val="0"/>
      </w:pPr>
      <w:r w:rsidRPr="00614262">
        <w:t xml:space="preserve">If a nursing facility fails to pay in full within 30 days </w:t>
      </w:r>
      <w:r w:rsidR="009B1721">
        <w:t>after</w:t>
      </w:r>
      <w:r w:rsidR="009B1721" w:rsidRPr="00614262">
        <w:t xml:space="preserve"> </w:t>
      </w:r>
      <w:r w:rsidRPr="00614262">
        <w:t xml:space="preserve">the payment due date, EOHHS will send a final notice to the facility notifying </w:t>
      </w:r>
      <w:r w:rsidR="009B1721">
        <w:t>it</w:t>
      </w:r>
      <w:r w:rsidR="009B1721" w:rsidRPr="00614262">
        <w:t xml:space="preserve"> </w:t>
      </w:r>
      <w:r w:rsidRPr="00614262">
        <w:t xml:space="preserve">that in order to satisfy </w:t>
      </w:r>
      <w:r w:rsidR="009B1721">
        <w:t>its</w:t>
      </w:r>
      <w:r w:rsidR="009B1721" w:rsidRPr="00614262">
        <w:t xml:space="preserve"> </w:t>
      </w:r>
      <w:r w:rsidRPr="00614262">
        <w:t xml:space="preserve">total unpaid user fee assessment balance, including interest and late fees, MassHealth </w:t>
      </w:r>
      <w:r>
        <w:t xml:space="preserve">claim </w:t>
      </w:r>
      <w:r w:rsidRPr="00614262">
        <w:t>payments will be offset beginning in the next MassHealth payment cycle, pursuant to M.G.L. c. 118E</w:t>
      </w:r>
      <w:r w:rsidR="001C2862">
        <w:t>,</w:t>
      </w:r>
      <w:r w:rsidRPr="00614262">
        <w:t xml:space="preserve"> § 63(f) and 101 CMR 512.05(7)(a). Under 101 CMR 512.05(5), in lieu of continuing to assess interest and late fees during the term of the offset, EOHHS will include </w:t>
      </w:r>
      <w:r w:rsidR="00325557" w:rsidRPr="00325557">
        <w:t xml:space="preserve">in the offset amount </w:t>
      </w:r>
      <w:r w:rsidRPr="00614262">
        <w:t>a one-time 5% late fee on the total unpaid user fee assessment principal balance as of the date of the final notice.</w:t>
      </w:r>
    </w:p>
    <w:p w14:paraId="3B3458BD" w14:textId="55712227" w:rsidR="00A34F62" w:rsidRPr="00614262" w:rsidRDefault="00A34F62" w:rsidP="00614262">
      <w:pPr>
        <w:pStyle w:val="ListParagraph"/>
        <w:numPr>
          <w:ilvl w:val="0"/>
          <w:numId w:val="4"/>
        </w:numPr>
        <w:spacing w:after="120"/>
        <w:ind w:left="720" w:hanging="360"/>
        <w:contextualSpacing w:val="0"/>
      </w:pPr>
      <w:r w:rsidRPr="00614262">
        <w:t xml:space="preserve">In MassHealth payment cycles beginning on or after January 1, 2023, the offset amount will be the lesser of 25% of a nursing facility’s total MassHealth payments for the month or the nursing facility’s total unpaid user fee assessment balance, including interest and late fees. MassHealth </w:t>
      </w:r>
      <w:r>
        <w:t xml:space="preserve">claim </w:t>
      </w:r>
      <w:r w:rsidRPr="00614262">
        <w:t xml:space="preserve">payments will be offset in each MassHealth payment cycle until the total unpaid user fee assessment balance is </w:t>
      </w:r>
      <w:r w:rsidR="00325557">
        <w:t>paid</w:t>
      </w:r>
      <w:r w:rsidRPr="00614262">
        <w:t xml:space="preserve">. </w:t>
      </w:r>
    </w:p>
    <w:p w14:paraId="60BC0088" w14:textId="227C0B83" w:rsidR="00A33393" w:rsidRDefault="00A34F62" w:rsidP="007801A1">
      <w:pPr>
        <w:pStyle w:val="ListParagraph"/>
        <w:numPr>
          <w:ilvl w:val="0"/>
          <w:numId w:val="4"/>
        </w:numPr>
        <w:spacing w:after="120"/>
        <w:ind w:left="720" w:hanging="360"/>
        <w:contextualSpacing w:val="0"/>
      </w:pPr>
      <w:r w:rsidRPr="00614262">
        <w:t xml:space="preserve">The offset process described in </w:t>
      </w:r>
      <w:r w:rsidR="001B72F0">
        <w:t>Paragraphs</w:t>
      </w:r>
      <w:r w:rsidR="001B72F0" w:rsidRPr="00614262">
        <w:t xml:space="preserve"> </w:t>
      </w:r>
      <w:r w:rsidRPr="00614262">
        <w:t xml:space="preserve">4 and 5 </w:t>
      </w:r>
      <w:r w:rsidR="001B72F0">
        <w:t xml:space="preserve">of this bulletin </w:t>
      </w:r>
      <w:r w:rsidRPr="00614262">
        <w:t xml:space="preserve">will be applied </w:t>
      </w:r>
      <w:r w:rsidR="001B72F0">
        <w:t>when</w:t>
      </w:r>
      <w:r w:rsidR="001B72F0" w:rsidRPr="00614262">
        <w:t xml:space="preserve"> </w:t>
      </w:r>
      <w:r w:rsidRPr="00614262">
        <w:t xml:space="preserve">a nursing facility is </w:t>
      </w:r>
      <w:r w:rsidR="00685010">
        <w:t>not compliant</w:t>
      </w:r>
      <w:r w:rsidRPr="00614262">
        <w:t xml:space="preserve"> with 101 CMR 512.00. </w:t>
      </w:r>
    </w:p>
    <w:p w14:paraId="66A086D8" w14:textId="76A34CBF" w:rsidR="00737F88" w:rsidRPr="00614262" w:rsidRDefault="00A34F62" w:rsidP="00614262">
      <w:pPr>
        <w:pStyle w:val="ListParagraph"/>
        <w:numPr>
          <w:ilvl w:val="0"/>
          <w:numId w:val="4"/>
        </w:numPr>
        <w:spacing w:after="120"/>
        <w:ind w:left="720" w:hanging="360"/>
        <w:contextualSpacing w:val="0"/>
      </w:pPr>
      <w:r>
        <w:t>Pursuant</w:t>
      </w:r>
      <w:r w:rsidRPr="00614262">
        <w:t xml:space="preserve"> to </w:t>
      </w:r>
      <w:r>
        <w:t>M</w:t>
      </w:r>
      <w:r w:rsidR="001B72F0">
        <w:t>.</w:t>
      </w:r>
      <w:r>
        <w:t>G</w:t>
      </w:r>
      <w:r w:rsidR="001B72F0">
        <w:t>.</w:t>
      </w:r>
      <w:r>
        <w:t>L</w:t>
      </w:r>
      <w:r w:rsidR="001B72F0">
        <w:t>.</w:t>
      </w:r>
      <w:r>
        <w:t xml:space="preserve"> c. 118E, </w:t>
      </w:r>
      <w:r w:rsidR="00153804" w:rsidRPr="00153804">
        <w:t>§</w:t>
      </w:r>
      <w:r>
        <w:t xml:space="preserve"> 63(f), EOHHS may apply the</w:t>
      </w:r>
      <w:r w:rsidRPr="00614262">
        <w:t xml:space="preserve"> offset </w:t>
      </w:r>
      <w:r>
        <w:t xml:space="preserve">process in </w:t>
      </w:r>
      <w:r w:rsidR="00153804">
        <w:t xml:space="preserve">Paragraphs </w:t>
      </w:r>
      <w:r>
        <w:t>4 and 5</w:t>
      </w:r>
      <w:r w:rsidRPr="00614262">
        <w:t xml:space="preserve"> </w:t>
      </w:r>
      <w:r w:rsidR="00153804" w:rsidRPr="00614262">
        <w:t xml:space="preserve">of </w:t>
      </w:r>
      <w:r w:rsidR="00153804">
        <w:t xml:space="preserve">this bulletin </w:t>
      </w:r>
      <w:r>
        <w:t xml:space="preserve">against claims for payment by </w:t>
      </w:r>
      <w:r w:rsidR="00925692">
        <w:t xml:space="preserve">the </w:t>
      </w:r>
      <w:r w:rsidR="004754E5">
        <w:t>noncompliant</w:t>
      </w:r>
      <w:r>
        <w:t xml:space="preserve"> nursing facilit</w:t>
      </w:r>
      <w:r w:rsidR="00925692">
        <w:t>y</w:t>
      </w:r>
      <w:r w:rsidR="00153804">
        <w:t xml:space="preserve"> </w:t>
      </w:r>
      <w:r>
        <w:t xml:space="preserve">and/or against claims for payment by other nursing facilities </w:t>
      </w:r>
      <w:r w:rsidRPr="00614262">
        <w:t xml:space="preserve">with </w:t>
      </w:r>
      <w:r>
        <w:t xml:space="preserve">a licensee </w:t>
      </w:r>
      <w:r w:rsidR="00925692">
        <w:t xml:space="preserve">in common with </w:t>
      </w:r>
      <w:r>
        <w:t xml:space="preserve">the </w:t>
      </w:r>
      <w:r w:rsidR="004754E5">
        <w:t>noncompliant</w:t>
      </w:r>
      <w:r>
        <w:t xml:space="preserve"> nursing facility, in the amount of the fees owed, including any interest, penalties</w:t>
      </w:r>
      <w:r w:rsidR="00E963FC">
        <w:t>,</w:t>
      </w:r>
      <w:r>
        <w:t xml:space="preserve"> or reasonable attorneys' fees.</w:t>
      </w:r>
    </w:p>
    <w:p w14:paraId="412FD196" w14:textId="5E8CC8BD" w:rsidR="00A34F62" w:rsidRPr="00614262" w:rsidRDefault="00A34F62" w:rsidP="00614262">
      <w:pPr>
        <w:pStyle w:val="ListParagraph"/>
        <w:numPr>
          <w:ilvl w:val="0"/>
          <w:numId w:val="4"/>
        </w:numPr>
        <w:spacing w:after="120"/>
        <w:ind w:left="720" w:hanging="360"/>
        <w:contextualSpacing w:val="0"/>
      </w:pPr>
      <w:r w:rsidRPr="00614262">
        <w:t xml:space="preserve">If a nursing facility is </w:t>
      </w:r>
      <w:r w:rsidR="002147B0" w:rsidRPr="002147B0">
        <w:t>not compliant</w:t>
      </w:r>
      <w:r w:rsidRPr="00614262">
        <w:t xml:space="preserve"> with the quarterly assessment, EOHHS may create, after a demand for payment, a lien in favor of the Commonwealth</w:t>
      </w:r>
      <w:r>
        <w:t>,</w:t>
      </w:r>
      <w:r w:rsidRPr="00614262">
        <w:t xml:space="preserve"> pursuant to M.G.L. c. </w:t>
      </w:r>
      <w:r w:rsidRPr="00614262">
        <w:lastRenderedPageBreak/>
        <w:t>118E § 63(f) and 101 CMR 512.05(7)(b</w:t>
      </w:r>
      <w:r>
        <w:t xml:space="preserve">), </w:t>
      </w:r>
      <w:r w:rsidR="00BF2B33" w:rsidRPr="00BF2B33">
        <w:t xml:space="preserve">encumbering </w:t>
      </w:r>
      <w:r w:rsidR="00BF2B33">
        <w:t xml:space="preserve">(according to M.G.L. 118E </w:t>
      </w:r>
      <w:r w:rsidR="00BF2B33" w:rsidRPr="00BF2B33">
        <w:t>§ 63</w:t>
      </w:r>
      <w:r w:rsidR="00BF2B33">
        <w:t>[</w:t>
      </w:r>
      <w:r w:rsidR="00BF2B33" w:rsidRPr="00BF2B33">
        <w:t>f</w:t>
      </w:r>
      <w:r w:rsidR="00BF2B33">
        <w:t>]) “</w:t>
      </w:r>
      <w:r w:rsidR="00BF2B33" w:rsidRPr="00BF2B33">
        <w:t>the building in which the facility is located, the real property upon which the facility is located, any fixtures, equipment or goods used in the operation of the facility or any real property in which the licensee holds an interest</w:t>
      </w:r>
      <w:r>
        <w:t>.</w:t>
      </w:r>
      <w:r w:rsidR="00BF2B33">
        <w:t>”</w:t>
      </w:r>
    </w:p>
    <w:p w14:paraId="62883BA3" w14:textId="59FDDE50" w:rsidR="00A34F62" w:rsidRPr="00614262" w:rsidRDefault="00A34F62" w:rsidP="00614262">
      <w:pPr>
        <w:pStyle w:val="ListParagraph"/>
        <w:numPr>
          <w:ilvl w:val="0"/>
          <w:numId w:val="4"/>
        </w:numPr>
        <w:spacing w:after="120"/>
        <w:ind w:left="720" w:hanging="360"/>
        <w:contextualSpacing w:val="0"/>
      </w:pPr>
      <w:r w:rsidRPr="00614262">
        <w:t xml:space="preserve">Nursing facilities </w:t>
      </w:r>
      <w:r w:rsidR="006A6E20">
        <w:t xml:space="preserve">that are </w:t>
      </w:r>
      <w:r w:rsidR="002147B0" w:rsidRPr="002147B0">
        <w:t>not compliant</w:t>
      </w:r>
      <w:r w:rsidRPr="00614262">
        <w:t xml:space="preserve"> with the quarterly assessment may be referred to the Department of Public Health (DPH) for revocation of licensure pursuant to M.G.L. c. 118E § 63(f) and 101 CMR 512.05(7)(c).</w:t>
      </w:r>
    </w:p>
    <w:p w14:paraId="758F29EB" w14:textId="3EE70E73" w:rsidR="00A34F62" w:rsidRPr="00614262" w:rsidRDefault="00A34F62" w:rsidP="00614262">
      <w:pPr>
        <w:pStyle w:val="ListParagraph"/>
        <w:numPr>
          <w:ilvl w:val="0"/>
          <w:numId w:val="4"/>
        </w:numPr>
        <w:spacing w:after="120"/>
        <w:ind w:left="720" w:hanging="360"/>
        <w:contextualSpacing w:val="0"/>
      </w:pPr>
      <w:r w:rsidRPr="00614262">
        <w:t xml:space="preserve">Pursuant to 101 CMR 512.05(3)(b), if a nursing facility closes either voluntarily or pursuant to </w:t>
      </w:r>
      <w:r w:rsidR="00816F12">
        <w:t>Paragraph</w:t>
      </w:r>
      <w:r w:rsidR="00816F12" w:rsidRPr="00614262">
        <w:t xml:space="preserve"> </w:t>
      </w:r>
      <w:r w:rsidR="0024560D">
        <w:t>9</w:t>
      </w:r>
      <w:r w:rsidR="00816F12">
        <w:t xml:space="preserve"> of this bulletin</w:t>
      </w:r>
      <w:r w:rsidRPr="00614262">
        <w:t xml:space="preserve">, it must pay any outstanding user </w:t>
      </w:r>
      <w:r>
        <w:t>fee</w:t>
      </w:r>
      <w:r w:rsidR="00816F12">
        <w:t>s</w:t>
      </w:r>
      <w:r>
        <w:t xml:space="preserve"> no</w:t>
      </w:r>
      <w:r w:rsidRPr="00614262">
        <w:t xml:space="preserve"> later than 30 days </w:t>
      </w:r>
      <w:r w:rsidR="00816F12">
        <w:t>before</w:t>
      </w:r>
      <w:r w:rsidR="00816F12" w:rsidRPr="00614262">
        <w:t xml:space="preserve"> </w:t>
      </w:r>
      <w:r w:rsidRPr="00614262">
        <w:t xml:space="preserve">the closure date approved by DPH. If a nursing facility fails to pay all outstanding user fee amounts, including interest and late fees, in full </w:t>
      </w:r>
      <w:r w:rsidR="00816F12">
        <w:t>by</w:t>
      </w:r>
      <w:r w:rsidR="00816F12" w:rsidRPr="00614262">
        <w:t xml:space="preserve"> </w:t>
      </w:r>
      <w:r w:rsidRPr="00614262">
        <w:t xml:space="preserve">30 days </w:t>
      </w:r>
      <w:r w:rsidR="00816F12">
        <w:t>before</w:t>
      </w:r>
      <w:r w:rsidR="00816F12" w:rsidRPr="00614262">
        <w:t xml:space="preserve"> </w:t>
      </w:r>
      <w:r w:rsidRPr="00614262">
        <w:t xml:space="preserve">the closure date, EOHHS will offset any outstanding MassHealth </w:t>
      </w:r>
      <w:r>
        <w:t xml:space="preserve">claim </w:t>
      </w:r>
      <w:r w:rsidRPr="00614262">
        <w:t xml:space="preserve">payments by the nursing facility’s total unpaid user fee assessment balance in each MassHealth payment cycle until the total unpaid user fee assessment balance is </w:t>
      </w:r>
      <w:r w:rsidR="0019029E">
        <w:t>paid</w:t>
      </w:r>
      <w:r>
        <w:t>.</w:t>
      </w:r>
      <w:r w:rsidRPr="00614262">
        <w:t xml:space="preserve"> If a nursing facility is already subject to an offset for unpaid user fee assessments when </w:t>
      </w:r>
      <w:r w:rsidR="005C513E">
        <w:t>it</w:t>
      </w:r>
      <w:r w:rsidR="005C513E" w:rsidRPr="00614262">
        <w:t xml:space="preserve"> </w:t>
      </w:r>
      <w:r w:rsidRPr="00614262">
        <w:t xml:space="preserve">submits its notice of intent to close to DPH, EOHHS may increase the nursing facility's offset percentage above 25% </w:t>
      </w:r>
      <w:r w:rsidR="005C513E">
        <w:t>so</w:t>
      </w:r>
      <w:r w:rsidR="005C513E" w:rsidRPr="00614262">
        <w:t xml:space="preserve"> </w:t>
      </w:r>
      <w:r w:rsidRPr="00614262">
        <w:t xml:space="preserve">that the total unpaid user fee assessment balance is </w:t>
      </w:r>
      <w:r w:rsidR="005C513E">
        <w:t xml:space="preserve">paid </w:t>
      </w:r>
      <w:r>
        <w:t>no</w:t>
      </w:r>
      <w:r w:rsidRPr="00614262">
        <w:t xml:space="preserve"> later than 30 days </w:t>
      </w:r>
      <w:r w:rsidR="005C513E">
        <w:t>before</w:t>
      </w:r>
      <w:r w:rsidR="005C513E" w:rsidRPr="00614262">
        <w:t xml:space="preserve"> </w:t>
      </w:r>
      <w:r w:rsidRPr="00614262">
        <w:t xml:space="preserve">the closure date proposed by the nursing facility in its notice of intent to close. </w:t>
      </w:r>
      <w:r w:rsidR="005C513E">
        <w:t>If</w:t>
      </w:r>
      <w:r w:rsidR="005C513E" w:rsidRPr="00614262">
        <w:t xml:space="preserve"> </w:t>
      </w:r>
      <w:r w:rsidRPr="00614262">
        <w:t xml:space="preserve">offsets of remaining claims for services rendered </w:t>
      </w:r>
      <w:r w:rsidR="005C513E">
        <w:t>before</w:t>
      </w:r>
      <w:r w:rsidR="005C513E" w:rsidRPr="00614262">
        <w:t xml:space="preserve"> </w:t>
      </w:r>
      <w:r w:rsidRPr="00614262">
        <w:t xml:space="preserve">closure are not sufficient to </w:t>
      </w:r>
      <w:r w:rsidR="00565511">
        <w:t>pay</w:t>
      </w:r>
      <w:r w:rsidR="00565511" w:rsidRPr="00614262">
        <w:t xml:space="preserve"> </w:t>
      </w:r>
      <w:r w:rsidRPr="00614262">
        <w:t>the total unpaid user fee assessment, EOHHS may apply any other remedy available to it under M.G.L. c. 118E, § 63(f), 101 CMR 512.05(7), or this bulletin.</w:t>
      </w:r>
    </w:p>
    <w:p w14:paraId="19336431" w14:textId="34C2A655" w:rsidR="00A34F62" w:rsidRPr="00614262" w:rsidRDefault="00A34F62" w:rsidP="00614262">
      <w:pPr>
        <w:pStyle w:val="ListParagraph"/>
        <w:numPr>
          <w:ilvl w:val="0"/>
          <w:numId w:val="4"/>
        </w:numPr>
        <w:spacing w:after="120"/>
        <w:ind w:left="720" w:hanging="360"/>
        <w:contextualSpacing w:val="0"/>
      </w:pPr>
      <w:r w:rsidRPr="00614262">
        <w:t xml:space="preserve">Pursuant to M.G.L. c. 118E § 63(a) </w:t>
      </w:r>
      <w:r w:rsidR="00565511">
        <w:t>and</w:t>
      </w:r>
      <w:r w:rsidRPr="00614262">
        <w:t xml:space="preserve"> (f) and 101 CMR 512.05(3)(c), </w:t>
      </w:r>
      <w:r w:rsidR="00696A0E">
        <w:t>a nursing facility’s</w:t>
      </w:r>
      <w:r w:rsidR="00696A0E" w:rsidRPr="00614262">
        <w:t xml:space="preserve"> </w:t>
      </w:r>
      <w:r w:rsidRPr="00614262">
        <w:t xml:space="preserve">assessment obligation is applied to any obligation of any successor in interest or assignee of </w:t>
      </w:r>
      <w:r w:rsidR="00696A0E">
        <w:t xml:space="preserve">the </w:t>
      </w:r>
      <w:r w:rsidR="00D4487F">
        <w:t>noncompliant</w:t>
      </w:r>
      <w:r w:rsidR="0093313E" w:rsidRPr="00614262">
        <w:t xml:space="preserve"> nursing facility, </w:t>
      </w:r>
      <w:r w:rsidR="0093313E" w:rsidRPr="0093313E">
        <w:t xml:space="preserve">and/or any successor in interest or assignee of other nursing facilities with a licensee in common with the </w:t>
      </w:r>
      <w:r w:rsidR="00315FD2">
        <w:t>noncompliant nursing facility</w:t>
      </w:r>
      <w:r w:rsidR="0014027C">
        <w:t>.</w:t>
      </w:r>
      <w:r w:rsidR="0014027C" w:rsidRPr="00614262">
        <w:t xml:space="preserve"> EOHHS</w:t>
      </w:r>
      <w:r w:rsidR="0014027C">
        <w:t xml:space="preserve"> will </w:t>
      </w:r>
      <w:r w:rsidR="0014027C" w:rsidRPr="0014027C">
        <w:t xml:space="preserve">determine which </w:t>
      </w:r>
      <w:r w:rsidR="009A7D70">
        <w:t xml:space="preserve">successor or assignee it </w:t>
      </w:r>
      <w:r w:rsidR="0014027C" w:rsidRPr="0014027C">
        <w:t>will attach the debt to</w:t>
      </w:r>
      <w:r>
        <w:t xml:space="preserve">. </w:t>
      </w:r>
      <w:r w:rsidR="0041463D">
        <w:t>S</w:t>
      </w:r>
      <w:r>
        <w:t>uccessor</w:t>
      </w:r>
      <w:r w:rsidR="0041463D">
        <w:t>s</w:t>
      </w:r>
      <w:r w:rsidRPr="00614262">
        <w:t xml:space="preserve"> in interest may include, but </w:t>
      </w:r>
      <w:r w:rsidR="0041463D">
        <w:t>are</w:t>
      </w:r>
      <w:r w:rsidR="0041463D" w:rsidRPr="00614262">
        <w:t xml:space="preserve"> </w:t>
      </w:r>
      <w:r w:rsidRPr="00614262">
        <w:t>not limited to, any purchaser of the assets or stock, any new operator or licensee of an existing nursing facility, any surviving entity resulting from merger or liquidation, or any receiver or trustee of the original nursing facility.</w:t>
      </w:r>
      <w:r>
        <w:t xml:space="preserve"> </w:t>
      </w:r>
    </w:p>
    <w:sectPr w:rsidR="00A34F62" w:rsidRPr="00614262" w:rsidSect="00614262">
      <w:headerReference w:type="default" r:id="rId17"/>
      <w:footerReference w:type="even" r:id="rId18"/>
      <w:footerReference w:type="default" r:id="rId1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6BBC" w14:textId="77777777" w:rsidR="00E64697" w:rsidRDefault="00E64697" w:rsidP="00AC798F">
      <w:r>
        <w:separator/>
      </w:r>
    </w:p>
    <w:p w14:paraId="568612FE" w14:textId="77777777" w:rsidR="00E64697" w:rsidRDefault="00E64697"/>
  </w:endnote>
  <w:endnote w:type="continuationSeparator" w:id="0">
    <w:p w14:paraId="6395514F" w14:textId="77777777" w:rsidR="00E64697" w:rsidRDefault="00E64697" w:rsidP="00AC798F">
      <w:r>
        <w:continuationSeparator/>
      </w:r>
    </w:p>
    <w:p w14:paraId="725D336A" w14:textId="77777777" w:rsidR="00E64697" w:rsidRDefault="00E64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055F" w14:textId="77777777" w:rsidR="009E0318" w:rsidRDefault="009E0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56A4" w14:textId="77777777" w:rsidR="00614262" w:rsidRDefault="0061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21E03052" w:rsidR="00E964C3" w:rsidRDefault="00F531D7" w:rsidP="0061426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A095" w14:textId="77777777" w:rsidR="00614262" w:rsidRDefault="00614262" w:rsidP="006142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5BC163A1" w:rsidR="00835677" w:rsidRDefault="00835677" w:rsidP="00614262">
            <w:pPr>
              <w:pStyle w:val="Footer"/>
              <w:jc w:val="center"/>
            </w:pPr>
            <w:r>
              <w:t xml:space="preserve">Page </w:t>
            </w:r>
            <w:r w:rsidRPr="00614262">
              <w:rPr>
                <w:b/>
                <w:sz w:val="24"/>
              </w:rPr>
              <w:fldChar w:fldCharType="begin"/>
            </w:r>
            <w:r>
              <w:rPr>
                <w:b/>
                <w:bCs/>
              </w:rPr>
              <w:instrText xml:space="preserve"> PAGE </w:instrText>
            </w:r>
            <w:r w:rsidRPr="00614262">
              <w:rPr>
                <w:b/>
                <w:sz w:val="24"/>
              </w:rPr>
              <w:fldChar w:fldCharType="separate"/>
            </w:r>
            <w:r>
              <w:rPr>
                <w:b/>
                <w:bCs/>
                <w:sz w:val="24"/>
                <w:szCs w:val="24"/>
              </w:rPr>
              <w:t>1</w:t>
            </w:r>
            <w:r w:rsidRPr="00614262">
              <w:rPr>
                <w:b/>
                <w:sz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EBFD" w14:textId="77777777" w:rsidR="00E64697" w:rsidRDefault="00E64697" w:rsidP="00AC798F">
      <w:r>
        <w:separator/>
      </w:r>
    </w:p>
    <w:p w14:paraId="0D3B352F" w14:textId="77777777" w:rsidR="00E64697" w:rsidRDefault="00E64697"/>
  </w:footnote>
  <w:footnote w:type="continuationSeparator" w:id="0">
    <w:p w14:paraId="06D456BB" w14:textId="77777777" w:rsidR="00E64697" w:rsidRDefault="00E64697" w:rsidP="00AC798F">
      <w:r>
        <w:continuationSeparator/>
      </w:r>
    </w:p>
    <w:p w14:paraId="1B0FFB3C" w14:textId="77777777" w:rsidR="00E64697" w:rsidRDefault="00E64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073C" w14:textId="77777777" w:rsidR="009E0318" w:rsidRDefault="009E0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_x0000_s1028"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3D7EEC55"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w:t>
    </w:r>
    <w:r w:rsidR="000B79D2">
      <w:rPr>
        <w:b/>
        <w:bCs/>
        <w:color w:val="1F497D" w:themeColor="text2"/>
      </w:rPr>
      <w:t>IAME MAHANIAH</w:t>
    </w:r>
    <w:r w:rsidR="00D23D23">
      <w:rPr>
        <w:b/>
        <w:bCs/>
        <w:color w:val="1F497D" w:themeColor="text2"/>
      </w:rPr>
      <w:t>, MD, MBA</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05726EE9"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r>
    <w:r w:rsidR="006C41D9">
      <w:rPr>
        <w:color w:val="1F497D" w:themeColor="text2"/>
      </w:rPr>
      <w:t>UNDER</w:t>
    </w:r>
    <w:r w:rsidRPr="00AC798F">
      <w:rPr>
        <w:color w:val="1F497D" w:themeColor="text2"/>
      </w:rPr>
      <w:t>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26749B3E" w:rsidR="00E964C3" w:rsidRPr="00AC798F" w:rsidRDefault="00E964C3" w:rsidP="0071737A">
    <w:pPr>
      <w:spacing w:after="0" w:line="276" w:lineRule="auto"/>
      <w:jc w:val="right"/>
    </w:pPr>
    <w:r w:rsidRPr="00AC798F">
      <w:t>EOHHS</w:t>
    </w:r>
  </w:p>
  <w:p w14:paraId="035EBA9C" w14:textId="434FE3B5" w:rsidR="00E964C3" w:rsidRPr="00287EFB" w:rsidRDefault="00E964C3" w:rsidP="0071737A">
    <w:pPr>
      <w:spacing w:after="0" w:line="276" w:lineRule="auto"/>
      <w:jc w:val="right"/>
      <w:rPr>
        <w:color w:val="000000" w:themeColor="text1"/>
      </w:rPr>
    </w:pPr>
    <w:r w:rsidRPr="00287EFB">
      <w:rPr>
        <w:color w:val="000000" w:themeColor="text1"/>
      </w:rPr>
      <w:t xml:space="preserve">Administrative Bulletin </w:t>
    </w:r>
    <w:r w:rsidR="003E6744" w:rsidRPr="00287EFB">
      <w:rPr>
        <w:color w:val="000000" w:themeColor="text1"/>
      </w:rPr>
      <w:t>25</w:t>
    </w:r>
    <w:r w:rsidRPr="00287EFB">
      <w:rPr>
        <w:color w:val="000000" w:themeColor="text1"/>
      </w:rPr>
      <w:t>-</w:t>
    </w:r>
    <w:r w:rsidR="009E0318">
      <w:rPr>
        <w:color w:val="000000" w:themeColor="text1"/>
      </w:rPr>
      <w:t>23</w:t>
    </w:r>
  </w:p>
  <w:p w14:paraId="64299DFB" w14:textId="08FB9EAA" w:rsidR="00E964C3" w:rsidRPr="00AC798F" w:rsidRDefault="00E964C3" w:rsidP="0071737A">
    <w:pPr>
      <w:spacing w:after="0" w:line="276" w:lineRule="auto"/>
      <w:jc w:val="right"/>
    </w:pPr>
    <w:r w:rsidRPr="00AC798F">
      <w:t xml:space="preserve">Effective </w:t>
    </w:r>
    <w:r w:rsidR="003E6744">
      <w:t>October 1, 2025</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5FF3"/>
    <w:multiLevelType w:val="hybridMultilevel"/>
    <w:tmpl w:val="EED04164"/>
    <w:lvl w:ilvl="0" w:tplc="DF6021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746916"/>
    <w:multiLevelType w:val="hybridMultilevel"/>
    <w:tmpl w:val="FDBA7D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707F4C"/>
    <w:multiLevelType w:val="hybridMultilevel"/>
    <w:tmpl w:val="DC10E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68056383">
    <w:abstractNumId w:val="2"/>
  </w:num>
  <w:num w:numId="2" w16cid:durableId="1215969281">
    <w:abstractNumId w:val="8"/>
  </w:num>
  <w:num w:numId="3" w16cid:durableId="1123109318">
    <w:abstractNumId w:val="7"/>
  </w:num>
  <w:num w:numId="4" w16cid:durableId="779106630">
    <w:abstractNumId w:val="0"/>
  </w:num>
  <w:num w:numId="5" w16cid:durableId="1297105623">
    <w:abstractNumId w:val="9"/>
  </w:num>
  <w:num w:numId="6" w16cid:durableId="1340813714">
    <w:abstractNumId w:val="1"/>
  </w:num>
  <w:num w:numId="7" w16cid:durableId="638194809">
    <w:abstractNumId w:val="3"/>
  </w:num>
  <w:num w:numId="8" w16cid:durableId="1643146592">
    <w:abstractNumId w:val="4"/>
  </w:num>
  <w:num w:numId="9" w16cid:durableId="2121559063">
    <w:abstractNumId w:val="6"/>
  </w:num>
  <w:num w:numId="10" w16cid:durableId="478112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0EC4"/>
    <w:rsid w:val="00007C23"/>
    <w:rsid w:val="0001715C"/>
    <w:rsid w:val="000218F6"/>
    <w:rsid w:val="00024809"/>
    <w:rsid w:val="00033397"/>
    <w:rsid w:val="0003631E"/>
    <w:rsid w:val="0003716C"/>
    <w:rsid w:val="00060CB1"/>
    <w:rsid w:val="0006131C"/>
    <w:rsid w:val="00064F04"/>
    <w:rsid w:val="000722C4"/>
    <w:rsid w:val="0009111E"/>
    <w:rsid w:val="000A75A7"/>
    <w:rsid w:val="000B3478"/>
    <w:rsid w:val="000B4135"/>
    <w:rsid w:val="000B79D2"/>
    <w:rsid w:val="000B7DE2"/>
    <w:rsid w:val="000D1437"/>
    <w:rsid w:val="000E02D6"/>
    <w:rsid w:val="000E2248"/>
    <w:rsid w:val="000F0545"/>
    <w:rsid w:val="000F1A72"/>
    <w:rsid w:val="000F2FB3"/>
    <w:rsid w:val="00100A9E"/>
    <w:rsid w:val="00100E5C"/>
    <w:rsid w:val="00103746"/>
    <w:rsid w:val="001041F9"/>
    <w:rsid w:val="001066DC"/>
    <w:rsid w:val="0011159B"/>
    <w:rsid w:val="001145CC"/>
    <w:rsid w:val="001176DF"/>
    <w:rsid w:val="00130559"/>
    <w:rsid w:val="00134791"/>
    <w:rsid w:val="0014027C"/>
    <w:rsid w:val="001427CC"/>
    <w:rsid w:val="00146C2F"/>
    <w:rsid w:val="0014797B"/>
    <w:rsid w:val="00151378"/>
    <w:rsid w:val="00153804"/>
    <w:rsid w:val="00153DCE"/>
    <w:rsid w:val="00154CA9"/>
    <w:rsid w:val="0015631B"/>
    <w:rsid w:val="00170C17"/>
    <w:rsid w:val="00177C29"/>
    <w:rsid w:val="00186186"/>
    <w:rsid w:val="0019029E"/>
    <w:rsid w:val="00193348"/>
    <w:rsid w:val="00195F63"/>
    <w:rsid w:val="001A3218"/>
    <w:rsid w:val="001A479D"/>
    <w:rsid w:val="001A4FFD"/>
    <w:rsid w:val="001A7742"/>
    <w:rsid w:val="001A7A68"/>
    <w:rsid w:val="001B1E05"/>
    <w:rsid w:val="001B3F94"/>
    <w:rsid w:val="001B72F0"/>
    <w:rsid w:val="001C2862"/>
    <w:rsid w:val="001C3CAB"/>
    <w:rsid w:val="001D628B"/>
    <w:rsid w:val="001E7691"/>
    <w:rsid w:val="001E7C3D"/>
    <w:rsid w:val="001F093F"/>
    <w:rsid w:val="00201FE5"/>
    <w:rsid w:val="00206158"/>
    <w:rsid w:val="00206A7D"/>
    <w:rsid w:val="0020717F"/>
    <w:rsid w:val="00207F1F"/>
    <w:rsid w:val="002147B0"/>
    <w:rsid w:val="00215CAD"/>
    <w:rsid w:val="00216EA1"/>
    <w:rsid w:val="0022152B"/>
    <w:rsid w:val="00223B9F"/>
    <w:rsid w:val="00230E81"/>
    <w:rsid w:val="002448DD"/>
    <w:rsid w:val="0024560D"/>
    <w:rsid w:val="002479CC"/>
    <w:rsid w:val="002520D5"/>
    <w:rsid w:val="002555B1"/>
    <w:rsid w:val="002630E2"/>
    <w:rsid w:val="002661E4"/>
    <w:rsid w:val="00266394"/>
    <w:rsid w:val="00266A2F"/>
    <w:rsid w:val="00266AB2"/>
    <w:rsid w:val="00266B97"/>
    <w:rsid w:val="00271D28"/>
    <w:rsid w:val="0027639F"/>
    <w:rsid w:val="00284238"/>
    <w:rsid w:val="00287EFB"/>
    <w:rsid w:val="00291039"/>
    <w:rsid w:val="00294E87"/>
    <w:rsid w:val="002A53A2"/>
    <w:rsid w:val="002A7352"/>
    <w:rsid w:val="002A779E"/>
    <w:rsid w:val="002B591E"/>
    <w:rsid w:val="002D360A"/>
    <w:rsid w:val="002D7A4B"/>
    <w:rsid w:val="002E0806"/>
    <w:rsid w:val="002E421F"/>
    <w:rsid w:val="002F28A5"/>
    <w:rsid w:val="002F61C7"/>
    <w:rsid w:val="003005ED"/>
    <w:rsid w:val="00306619"/>
    <w:rsid w:val="003113E4"/>
    <w:rsid w:val="00311684"/>
    <w:rsid w:val="00311FEC"/>
    <w:rsid w:val="00315FD2"/>
    <w:rsid w:val="00321E6E"/>
    <w:rsid w:val="00325557"/>
    <w:rsid w:val="00330313"/>
    <w:rsid w:val="0033130A"/>
    <w:rsid w:val="00340381"/>
    <w:rsid w:val="00342F1A"/>
    <w:rsid w:val="00351564"/>
    <w:rsid w:val="003644F6"/>
    <w:rsid w:val="00386BCD"/>
    <w:rsid w:val="00395400"/>
    <w:rsid w:val="00396C66"/>
    <w:rsid w:val="003A3882"/>
    <w:rsid w:val="003C2E3A"/>
    <w:rsid w:val="003C5B44"/>
    <w:rsid w:val="003C770E"/>
    <w:rsid w:val="003D6EEC"/>
    <w:rsid w:val="003E6744"/>
    <w:rsid w:val="003F6AAE"/>
    <w:rsid w:val="003F7F37"/>
    <w:rsid w:val="004016AD"/>
    <w:rsid w:val="0041463D"/>
    <w:rsid w:val="0041466F"/>
    <w:rsid w:val="0041715C"/>
    <w:rsid w:val="00421B27"/>
    <w:rsid w:val="00422E12"/>
    <w:rsid w:val="00433C2A"/>
    <w:rsid w:val="00437995"/>
    <w:rsid w:val="00443429"/>
    <w:rsid w:val="00443CDB"/>
    <w:rsid w:val="00447E4A"/>
    <w:rsid w:val="00460463"/>
    <w:rsid w:val="00465E5A"/>
    <w:rsid w:val="00466B35"/>
    <w:rsid w:val="0047119B"/>
    <w:rsid w:val="004754E5"/>
    <w:rsid w:val="00494AEC"/>
    <w:rsid w:val="004952BA"/>
    <w:rsid w:val="004B2B19"/>
    <w:rsid w:val="004B55D5"/>
    <w:rsid w:val="004B6AAF"/>
    <w:rsid w:val="004C1B39"/>
    <w:rsid w:val="004D48D7"/>
    <w:rsid w:val="004D7BE0"/>
    <w:rsid w:val="004E65B9"/>
    <w:rsid w:val="00504818"/>
    <w:rsid w:val="005049C6"/>
    <w:rsid w:val="00506747"/>
    <w:rsid w:val="005246D9"/>
    <w:rsid w:val="00525DD4"/>
    <w:rsid w:val="00533A3B"/>
    <w:rsid w:val="00535125"/>
    <w:rsid w:val="0053555D"/>
    <w:rsid w:val="0054227E"/>
    <w:rsid w:val="005445C9"/>
    <w:rsid w:val="0054689D"/>
    <w:rsid w:val="00556450"/>
    <w:rsid w:val="00556A92"/>
    <w:rsid w:val="00561E84"/>
    <w:rsid w:val="0056474D"/>
    <w:rsid w:val="00564F8A"/>
    <w:rsid w:val="00565008"/>
    <w:rsid w:val="00565511"/>
    <w:rsid w:val="005702E6"/>
    <w:rsid w:val="0057224E"/>
    <w:rsid w:val="00577EA5"/>
    <w:rsid w:val="00585302"/>
    <w:rsid w:val="00597C39"/>
    <w:rsid w:val="005A0778"/>
    <w:rsid w:val="005B5D35"/>
    <w:rsid w:val="005C513E"/>
    <w:rsid w:val="005E2329"/>
    <w:rsid w:val="005E6D47"/>
    <w:rsid w:val="005F20AC"/>
    <w:rsid w:val="005F2412"/>
    <w:rsid w:val="005F2BA8"/>
    <w:rsid w:val="005F66F1"/>
    <w:rsid w:val="006056CD"/>
    <w:rsid w:val="00605AAA"/>
    <w:rsid w:val="00607406"/>
    <w:rsid w:val="00613AFF"/>
    <w:rsid w:val="00614262"/>
    <w:rsid w:val="00620BB1"/>
    <w:rsid w:val="00627028"/>
    <w:rsid w:val="0064272D"/>
    <w:rsid w:val="006462A6"/>
    <w:rsid w:val="00647084"/>
    <w:rsid w:val="00656FFF"/>
    <w:rsid w:val="006575CC"/>
    <w:rsid w:val="006718AB"/>
    <w:rsid w:val="0067334C"/>
    <w:rsid w:val="00676BDA"/>
    <w:rsid w:val="00685010"/>
    <w:rsid w:val="006950AA"/>
    <w:rsid w:val="00696A0E"/>
    <w:rsid w:val="006A6684"/>
    <w:rsid w:val="006A6E20"/>
    <w:rsid w:val="006B1D87"/>
    <w:rsid w:val="006B535E"/>
    <w:rsid w:val="006B6EE0"/>
    <w:rsid w:val="006C043F"/>
    <w:rsid w:val="006C2607"/>
    <w:rsid w:val="006C41D9"/>
    <w:rsid w:val="006C4BAA"/>
    <w:rsid w:val="006D798B"/>
    <w:rsid w:val="006E1857"/>
    <w:rsid w:val="006E5DED"/>
    <w:rsid w:val="006F115D"/>
    <w:rsid w:val="006F37A2"/>
    <w:rsid w:val="006F7489"/>
    <w:rsid w:val="0070235D"/>
    <w:rsid w:val="0070289C"/>
    <w:rsid w:val="0071737A"/>
    <w:rsid w:val="00720B24"/>
    <w:rsid w:val="00720C4F"/>
    <w:rsid w:val="00721C69"/>
    <w:rsid w:val="007302B1"/>
    <w:rsid w:val="00734039"/>
    <w:rsid w:val="00737F88"/>
    <w:rsid w:val="00751EAB"/>
    <w:rsid w:val="00752392"/>
    <w:rsid w:val="0075619A"/>
    <w:rsid w:val="00760514"/>
    <w:rsid w:val="00773BF3"/>
    <w:rsid w:val="007801A1"/>
    <w:rsid w:val="007802E3"/>
    <w:rsid w:val="00782360"/>
    <w:rsid w:val="00784B48"/>
    <w:rsid w:val="00790DDE"/>
    <w:rsid w:val="00796A70"/>
    <w:rsid w:val="007A097E"/>
    <w:rsid w:val="007A44F0"/>
    <w:rsid w:val="007B146C"/>
    <w:rsid w:val="007B48C3"/>
    <w:rsid w:val="007D5150"/>
    <w:rsid w:val="007D5819"/>
    <w:rsid w:val="007E3366"/>
    <w:rsid w:val="007E66E6"/>
    <w:rsid w:val="007F04B8"/>
    <w:rsid w:val="007F34FB"/>
    <w:rsid w:val="007F4C57"/>
    <w:rsid w:val="007F7071"/>
    <w:rsid w:val="00800711"/>
    <w:rsid w:val="008065C3"/>
    <w:rsid w:val="008138ED"/>
    <w:rsid w:val="00816F12"/>
    <w:rsid w:val="0082262F"/>
    <w:rsid w:val="00823F5B"/>
    <w:rsid w:val="008304DA"/>
    <w:rsid w:val="00835677"/>
    <w:rsid w:val="00840BA7"/>
    <w:rsid w:val="00846EFD"/>
    <w:rsid w:val="00847492"/>
    <w:rsid w:val="00852E4B"/>
    <w:rsid w:val="008669CB"/>
    <w:rsid w:val="008747C6"/>
    <w:rsid w:val="00882DB4"/>
    <w:rsid w:val="00885315"/>
    <w:rsid w:val="00893765"/>
    <w:rsid w:val="008A2608"/>
    <w:rsid w:val="008A50C9"/>
    <w:rsid w:val="008B60AA"/>
    <w:rsid w:val="008C14A4"/>
    <w:rsid w:val="008C7C8A"/>
    <w:rsid w:val="008D09F5"/>
    <w:rsid w:val="00905229"/>
    <w:rsid w:val="00925692"/>
    <w:rsid w:val="009271D7"/>
    <w:rsid w:val="0093153A"/>
    <w:rsid w:val="0093212C"/>
    <w:rsid w:val="0093313E"/>
    <w:rsid w:val="0093489F"/>
    <w:rsid w:val="009412D9"/>
    <w:rsid w:val="00946DD5"/>
    <w:rsid w:val="00947481"/>
    <w:rsid w:val="00951C89"/>
    <w:rsid w:val="00955834"/>
    <w:rsid w:val="00956B5C"/>
    <w:rsid w:val="00960538"/>
    <w:rsid w:val="00960FD3"/>
    <w:rsid w:val="00961654"/>
    <w:rsid w:val="00962923"/>
    <w:rsid w:val="00964EDE"/>
    <w:rsid w:val="00983941"/>
    <w:rsid w:val="00984786"/>
    <w:rsid w:val="0099568A"/>
    <w:rsid w:val="0099721B"/>
    <w:rsid w:val="00997297"/>
    <w:rsid w:val="00997983"/>
    <w:rsid w:val="009A0800"/>
    <w:rsid w:val="009A3538"/>
    <w:rsid w:val="009A698B"/>
    <w:rsid w:val="009A7D70"/>
    <w:rsid w:val="009B1721"/>
    <w:rsid w:val="009B5726"/>
    <w:rsid w:val="009D2FAB"/>
    <w:rsid w:val="009E0318"/>
    <w:rsid w:val="009E5F63"/>
    <w:rsid w:val="009E7BED"/>
    <w:rsid w:val="009F243C"/>
    <w:rsid w:val="009F77FD"/>
    <w:rsid w:val="009F7DCC"/>
    <w:rsid w:val="00A01D8C"/>
    <w:rsid w:val="00A06F80"/>
    <w:rsid w:val="00A13213"/>
    <w:rsid w:val="00A152D4"/>
    <w:rsid w:val="00A163D8"/>
    <w:rsid w:val="00A20582"/>
    <w:rsid w:val="00A2440E"/>
    <w:rsid w:val="00A24670"/>
    <w:rsid w:val="00A32FEA"/>
    <w:rsid w:val="00A33393"/>
    <w:rsid w:val="00A338EB"/>
    <w:rsid w:val="00A33E71"/>
    <w:rsid w:val="00A34C8D"/>
    <w:rsid w:val="00A34F62"/>
    <w:rsid w:val="00A4068C"/>
    <w:rsid w:val="00A40946"/>
    <w:rsid w:val="00A42891"/>
    <w:rsid w:val="00A52D97"/>
    <w:rsid w:val="00A64566"/>
    <w:rsid w:val="00A72FAD"/>
    <w:rsid w:val="00A75CD6"/>
    <w:rsid w:val="00A77971"/>
    <w:rsid w:val="00A934F9"/>
    <w:rsid w:val="00AA115F"/>
    <w:rsid w:val="00AA4147"/>
    <w:rsid w:val="00AA5F16"/>
    <w:rsid w:val="00AB0061"/>
    <w:rsid w:val="00AB33D8"/>
    <w:rsid w:val="00AB687F"/>
    <w:rsid w:val="00AB721E"/>
    <w:rsid w:val="00AC798F"/>
    <w:rsid w:val="00AD1945"/>
    <w:rsid w:val="00AD6895"/>
    <w:rsid w:val="00AE0DA5"/>
    <w:rsid w:val="00AE3401"/>
    <w:rsid w:val="00AE4964"/>
    <w:rsid w:val="00AE64ED"/>
    <w:rsid w:val="00AF0179"/>
    <w:rsid w:val="00AF2C00"/>
    <w:rsid w:val="00B0173B"/>
    <w:rsid w:val="00B05E0C"/>
    <w:rsid w:val="00B150C5"/>
    <w:rsid w:val="00B308F1"/>
    <w:rsid w:val="00B31744"/>
    <w:rsid w:val="00B43A86"/>
    <w:rsid w:val="00B4528C"/>
    <w:rsid w:val="00B5467F"/>
    <w:rsid w:val="00B623EB"/>
    <w:rsid w:val="00B6679B"/>
    <w:rsid w:val="00B67BA9"/>
    <w:rsid w:val="00B95039"/>
    <w:rsid w:val="00BA585A"/>
    <w:rsid w:val="00BA6D03"/>
    <w:rsid w:val="00BB6F19"/>
    <w:rsid w:val="00BC7C1F"/>
    <w:rsid w:val="00BD1E39"/>
    <w:rsid w:val="00BE1FB2"/>
    <w:rsid w:val="00BF2B33"/>
    <w:rsid w:val="00C1076E"/>
    <w:rsid w:val="00C23EE4"/>
    <w:rsid w:val="00C24916"/>
    <w:rsid w:val="00C279A3"/>
    <w:rsid w:val="00C27BEB"/>
    <w:rsid w:val="00C31BCC"/>
    <w:rsid w:val="00C34D23"/>
    <w:rsid w:val="00C3592F"/>
    <w:rsid w:val="00C400D6"/>
    <w:rsid w:val="00C4194A"/>
    <w:rsid w:val="00C43D89"/>
    <w:rsid w:val="00C46D18"/>
    <w:rsid w:val="00C54AED"/>
    <w:rsid w:val="00C62306"/>
    <w:rsid w:val="00C6289E"/>
    <w:rsid w:val="00C631F4"/>
    <w:rsid w:val="00C773D1"/>
    <w:rsid w:val="00C80CCA"/>
    <w:rsid w:val="00C87BF7"/>
    <w:rsid w:val="00C91491"/>
    <w:rsid w:val="00C92130"/>
    <w:rsid w:val="00C95BD9"/>
    <w:rsid w:val="00C96AE8"/>
    <w:rsid w:val="00CA4DA5"/>
    <w:rsid w:val="00CB2C18"/>
    <w:rsid w:val="00CC0A90"/>
    <w:rsid w:val="00CC1031"/>
    <w:rsid w:val="00CD0456"/>
    <w:rsid w:val="00D005B5"/>
    <w:rsid w:val="00D160CC"/>
    <w:rsid w:val="00D23D23"/>
    <w:rsid w:val="00D2459B"/>
    <w:rsid w:val="00D27CB8"/>
    <w:rsid w:val="00D31838"/>
    <w:rsid w:val="00D35714"/>
    <w:rsid w:val="00D407CF"/>
    <w:rsid w:val="00D4487F"/>
    <w:rsid w:val="00D448BF"/>
    <w:rsid w:val="00D5182F"/>
    <w:rsid w:val="00D5275B"/>
    <w:rsid w:val="00D63172"/>
    <w:rsid w:val="00D73058"/>
    <w:rsid w:val="00D73367"/>
    <w:rsid w:val="00D761F6"/>
    <w:rsid w:val="00D764D3"/>
    <w:rsid w:val="00D87E5A"/>
    <w:rsid w:val="00D90A3C"/>
    <w:rsid w:val="00D911CD"/>
    <w:rsid w:val="00D9168C"/>
    <w:rsid w:val="00D967D8"/>
    <w:rsid w:val="00DA095C"/>
    <w:rsid w:val="00DA27AF"/>
    <w:rsid w:val="00DA317A"/>
    <w:rsid w:val="00DA39D8"/>
    <w:rsid w:val="00DA4FF6"/>
    <w:rsid w:val="00DB0922"/>
    <w:rsid w:val="00DB286D"/>
    <w:rsid w:val="00DB72E4"/>
    <w:rsid w:val="00DC1299"/>
    <w:rsid w:val="00DC4C74"/>
    <w:rsid w:val="00DC7E3F"/>
    <w:rsid w:val="00DD626A"/>
    <w:rsid w:val="00DD697D"/>
    <w:rsid w:val="00DE096B"/>
    <w:rsid w:val="00DE0FB9"/>
    <w:rsid w:val="00DE2B81"/>
    <w:rsid w:val="00DE60AF"/>
    <w:rsid w:val="00DE63F1"/>
    <w:rsid w:val="00DE6414"/>
    <w:rsid w:val="00DF2C18"/>
    <w:rsid w:val="00E06A5D"/>
    <w:rsid w:val="00E10A6E"/>
    <w:rsid w:val="00E20B5A"/>
    <w:rsid w:val="00E236AA"/>
    <w:rsid w:val="00E27559"/>
    <w:rsid w:val="00E3082D"/>
    <w:rsid w:val="00E320F9"/>
    <w:rsid w:val="00E56BD5"/>
    <w:rsid w:val="00E620A3"/>
    <w:rsid w:val="00E64697"/>
    <w:rsid w:val="00E73BED"/>
    <w:rsid w:val="00E74BC2"/>
    <w:rsid w:val="00E75DC1"/>
    <w:rsid w:val="00E8458C"/>
    <w:rsid w:val="00E9186A"/>
    <w:rsid w:val="00E92AC9"/>
    <w:rsid w:val="00E93963"/>
    <w:rsid w:val="00E94DA1"/>
    <w:rsid w:val="00E963FC"/>
    <w:rsid w:val="00E964C3"/>
    <w:rsid w:val="00EA042C"/>
    <w:rsid w:val="00EA054B"/>
    <w:rsid w:val="00EB008B"/>
    <w:rsid w:val="00EB1CEA"/>
    <w:rsid w:val="00EB47C8"/>
    <w:rsid w:val="00EC277A"/>
    <w:rsid w:val="00EC4360"/>
    <w:rsid w:val="00EE4CAE"/>
    <w:rsid w:val="00EF33F6"/>
    <w:rsid w:val="00F04921"/>
    <w:rsid w:val="00F0626C"/>
    <w:rsid w:val="00F12C5F"/>
    <w:rsid w:val="00F243E6"/>
    <w:rsid w:val="00F247CB"/>
    <w:rsid w:val="00F30AF6"/>
    <w:rsid w:val="00F32956"/>
    <w:rsid w:val="00F34242"/>
    <w:rsid w:val="00F42D6E"/>
    <w:rsid w:val="00F44C98"/>
    <w:rsid w:val="00F44E10"/>
    <w:rsid w:val="00F531D7"/>
    <w:rsid w:val="00F551CD"/>
    <w:rsid w:val="00F56D7C"/>
    <w:rsid w:val="00F577D6"/>
    <w:rsid w:val="00F60649"/>
    <w:rsid w:val="00F60A70"/>
    <w:rsid w:val="00F621C3"/>
    <w:rsid w:val="00F65CA3"/>
    <w:rsid w:val="00F65E52"/>
    <w:rsid w:val="00F8017E"/>
    <w:rsid w:val="00F8728D"/>
    <w:rsid w:val="00F87454"/>
    <w:rsid w:val="00FB216E"/>
    <w:rsid w:val="00FB478E"/>
    <w:rsid w:val="00FC12A0"/>
    <w:rsid w:val="00FC1F58"/>
    <w:rsid w:val="00FC25AE"/>
    <w:rsid w:val="00FC5C51"/>
    <w:rsid w:val="00FD3986"/>
    <w:rsid w:val="00FD57E3"/>
    <w:rsid w:val="00FD66E8"/>
    <w:rsid w:val="00FE3467"/>
    <w:rsid w:val="00FE4AA0"/>
    <w:rsid w:val="00FE64B7"/>
    <w:rsid w:val="00FF16B7"/>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262"/>
    <w:pPr>
      <w:spacing w:after="120"/>
    </w:pPr>
    <w:rPr>
      <w:rFonts w:ascii="Georgia" w:hAnsi="Georgia"/>
    </w:rPr>
  </w:style>
  <w:style w:type="paragraph" w:styleId="Heading1">
    <w:name w:val="heading 1"/>
    <w:basedOn w:val="Normal"/>
    <w:next w:val="Normal"/>
    <w:link w:val="Heading1Char"/>
    <w:qFormat/>
    <w:rsid w:val="00614262"/>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nhideWhenUsed/>
    <w:qFormat/>
    <w:rsid w:val="00614262"/>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nhideWhenUsed/>
    <w:qFormat/>
    <w:rsid w:val="00614262"/>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4262"/>
    <w:pPr>
      <w:tabs>
        <w:tab w:val="center" w:pos="4680"/>
        <w:tab w:val="right" w:pos="9360"/>
      </w:tabs>
    </w:pPr>
    <w:rPr>
      <w:rFonts w:asciiTheme="minorHAnsi" w:hAnsiTheme="minorHAnsi"/>
    </w:rPr>
  </w:style>
  <w:style w:type="character" w:customStyle="1" w:styleId="HeaderChar">
    <w:name w:val="Header Char"/>
    <w:basedOn w:val="DefaultParagraphFont"/>
    <w:link w:val="Header"/>
    <w:rsid w:val="00AC798F"/>
  </w:style>
  <w:style w:type="paragraph" w:styleId="Footer">
    <w:name w:val="footer"/>
    <w:basedOn w:val="Normal"/>
    <w:link w:val="FooterChar"/>
    <w:unhideWhenUsed/>
    <w:rsid w:val="00614262"/>
    <w:pPr>
      <w:tabs>
        <w:tab w:val="center" w:pos="4680"/>
        <w:tab w:val="right" w:pos="9360"/>
      </w:tabs>
    </w:pPr>
  </w:style>
  <w:style w:type="character" w:customStyle="1" w:styleId="FooterChar">
    <w:name w:val="Footer Char"/>
    <w:basedOn w:val="DefaultParagraphFont"/>
    <w:link w:val="Footer"/>
    <w:rsid w:val="00153DCE"/>
    <w:rPr>
      <w:rFonts w:ascii="Georgia" w:hAnsi="Georgia"/>
    </w:rPr>
  </w:style>
  <w:style w:type="paragraph" w:styleId="BalloonText">
    <w:name w:val="Balloon Text"/>
    <w:basedOn w:val="Normal"/>
    <w:link w:val="BalloonTextChar"/>
    <w:unhideWhenUsed/>
    <w:rsid w:val="00614262"/>
    <w:rPr>
      <w:rFonts w:ascii="Tahoma" w:hAnsi="Tahoma" w:cs="Tahoma"/>
      <w:sz w:val="16"/>
      <w:szCs w:val="16"/>
    </w:rPr>
  </w:style>
  <w:style w:type="character" w:customStyle="1" w:styleId="BalloonTextChar">
    <w:name w:val="Balloon Text Char"/>
    <w:basedOn w:val="DefaultParagraphFont"/>
    <w:link w:val="BalloonText"/>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614262"/>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rsid w:val="00A75CD6"/>
    <w:rPr>
      <w:rFonts w:asciiTheme="majorHAnsi" w:eastAsiaTheme="majorEastAsia" w:hAnsiTheme="majorHAnsi" w:cstheme="majorBidi"/>
      <w:i/>
      <w:iCs/>
    </w:rPr>
  </w:style>
  <w:style w:type="character" w:styleId="CommentReference">
    <w:name w:val="annotation reference"/>
    <w:basedOn w:val="DefaultParagraphFont"/>
    <w:uiPriority w:val="99"/>
    <w:unhideWhenUsed/>
    <w:rsid w:val="00614262"/>
    <w:rPr>
      <w:sz w:val="16"/>
      <w:szCs w:val="16"/>
    </w:rPr>
  </w:style>
  <w:style w:type="paragraph" w:styleId="CommentText">
    <w:name w:val="annotation text"/>
    <w:basedOn w:val="Normal"/>
    <w:link w:val="CommentTextChar"/>
    <w:uiPriority w:val="99"/>
    <w:unhideWhenUsed/>
    <w:rsid w:val="00614262"/>
    <w:rPr>
      <w:sz w:val="20"/>
      <w:szCs w:val="20"/>
    </w:rPr>
  </w:style>
  <w:style w:type="character" w:customStyle="1" w:styleId="CommentTextChar">
    <w:name w:val="Comment Text Char"/>
    <w:basedOn w:val="DefaultParagraphFont"/>
    <w:link w:val="CommentText"/>
    <w:uiPriority w:val="99"/>
    <w:rsid w:val="00F60A70"/>
    <w:rPr>
      <w:rFonts w:ascii="Georgia" w:hAnsi="Georgia"/>
      <w:sz w:val="20"/>
      <w:szCs w:val="20"/>
    </w:rPr>
  </w:style>
  <w:style w:type="paragraph" w:styleId="CommentSubject">
    <w:name w:val="annotation subject"/>
    <w:basedOn w:val="CommentText"/>
    <w:next w:val="CommentText"/>
    <w:link w:val="CommentSubjectChar"/>
    <w:unhideWhenUsed/>
    <w:rsid w:val="00614262"/>
    <w:rPr>
      <w:b/>
      <w:bCs/>
    </w:rPr>
  </w:style>
  <w:style w:type="character" w:customStyle="1" w:styleId="CommentSubjectChar">
    <w:name w:val="Comment Subject Char"/>
    <w:basedOn w:val="CommentTextChar"/>
    <w:link w:val="CommentSubject"/>
    <w:rsid w:val="00F60A70"/>
    <w:rPr>
      <w:rFonts w:ascii="Georgia" w:hAnsi="Georgia"/>
      <w:b/>
      <w:bCs/>
      <w:sz w:val="20"/>
      <w:szCs w:val="20"/>
    </w:rPr>
  </w:style>
  <w:style w:type="paragraph" w:styleId="Revision">
    <w:name w:val="Revision"/>
    <w:hidden/>
    <w:uiPriority w:val="99"/>
    <w:semiHidden/>
    <w:rsid w:val="00614262"/>
    <w:rPr>
      <w:rFonts w:ascii="Georgia" w:hAnsi="Georgia"/>
    </w:rPr>
  </w:style>
  <w:style w:type="table" w:styleId="TableGrid">
    <w:name w:val="Table Grid"/>
    <w:basedOn w:val="TableNormal"/>
    <w:uiPriority w:val="59"/>
    <w:rsid w:val="00156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4"/>
    <w:autoRedefine/>
    <w:rsid w:val="00614262"/>
    <w:pPr>
      <w:spacing w:before="240" w:after="60"/>
      <w:jc w:val="center"/>
    </w:pPr>
    <w:rPr>
      <w:rFonts w:ascii="Garamond" w:eastAsia="Times New Roman" w:hAnsi="Garamond" w:cs="Times New Roman"/>
      <w:b/>
      <w:iCs w:val="0"/>
      <w:sz w:val="36"/>
      <w:szCs w:val="28"/>
    </w:rPr>
  </w:style>
  <w:style w:type="paragraph" w:styleId="TableofFigures">
    <w:name w:val="table of figures"/>
    <w:basedOn w:val="Normal"/>
    <w:next w:val="Normal"/>
    <w:autoRedefine/>
    <w:semiHidden/>
    <w:rsid w:val="00614262"/>
    <w:pPr>
      <w:spacing w:after="0"/>
      <w:ind w:left="400" w:hanging="400"/>
      <w:jc w:val="center"/>
    </w:pPr>
    <w:rPr>
      <w:rFonts w:ascii="Garamond" w:eastAsia="Times New Roman" w:hAnsi="Garamond" w:cs="Times New Roman"/>
      <w:b/>
      <w:bCs/>
      <w:i/>
      <w:iCs/>
      <w:sz w:val="24"/>
      <w:szCs w:val="20"/>
    </w:rPr>
  </w:style>
  <w:style w:type="paragraph" w:styleId="FootnoteText">
    <w:name w:val="footnote text"/>
    <w:basedOn w:val="Normal"/>
    <w:link w:val="FootnoteTextChar"/>
    <w:semiHidden/>
    <w:rsid w:val="00614262"/>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14262"/>
    <w:rPr>
      <w:rFonts w:ascii="Times New Roman" w:eastAsia="Times New Roman" w:hAnsi="Times New Roman" w:cs="Times New Roman"/>
      <w:sz w:val="20"/>
      <w:szCs w:val="20"/>
    </w:rPr>
  </w:style>
  <w:style w:type="character" w:styleId="FootnoteReference">
    <w:name w:val="footnote reference"/>
    <w:semiHidden/>
    <w:rsid w:val="00614262"/>
    <w:rPr>
      <w:vertAlign w:val="superscript"/>
    </w:rPr>
  </w:style>
  <w:style w:type="paragraph" w:styleId="NormalWeb">
    <w:name w:val="Normal (Web)"/>
    <w:basedOn w:val="Normal"/>
    <w:rsid w:val="00614262"/>
    <w:pPr>
      <w:spacing w:before="100" w:beforeAutospacing="1" w:after="100" w:afterAutospacing="1"/>
    </w:pPr>
    <w:rPr>
      <w:rFonts w:ascii="Times New Roman" w:eastAsia="Times New Roman" w:hAnsi="Times New Roman" w:cs="Times New Roman"/>
      <w:sz w:val="24"/>
      <w:szCs w:val="24"/>
    </w:rPr>
  </w:style>
  <w:style w:type="character" w:styleId="Strong">
    <w:name w:val="Strong"/>
    <w:qFormat/>
    <w:rsid w:val="00614262"/>
    <w:rPr>
      <w:b/>
      <w:bCs/>
    </w:rPr>
  </w:style>
  <w:style w:type="paragraph" w:customStyle="1" w:styleId="Default">
    <w:name w:val="Default"/>
    <w:rsid w:val="00614262"/>
    <w:pPr>
      <w:widowControl w:val="0"/>
      <w:autoSpaceDE w:val="0"/>
      <w:autoSpaceDN w:val="0"/>
      <w:adjustRightInd w:val="0"/>
    </w:pPr>
    <w:rPr>
      <w:rFonts w:ascii="Arial" w:eastAsia="Times New Roman" w:hAnsi="Arial" w:cs="Arial"/>
      <w:color w:val="000000"/>
      <w:sz w:val="24"/>
      <w:szCs w:val="24"/>
    </w:rPr>
  </w:style>
  <w:style w:type="paragraph" w:customStyle="1" w:styleId="CM78">
    <w:name w:val="CM78"/>
    <w:basedOn w:val="Default"/>
    <w:next w:val="Default"/>
    <w:rsid w:val="00614262"/>
    <w:pPr>
      <w:spacing w:after="765"/>
    </w:pPr>
    <w:rPr>
      <w:rFonts w:cs="Times New Roman"/>
      <w:color w:val="auto"/>
    </w:rPr>
  </w:style>
  <w:style w:type="character" w:styleId="PageNumber">
    <w:name w:val="page number"/>
    <w:basedOn w:val="DefaultParagraphFont"/>
    <w:rsid w:val="00614262"/>
  </w:style>
  <w:style w:type="character" w:styleId="Mention">
    <w:name w:val="Mention"/>
    <w:uiPriority w:val="99"/>
    <w:unhideWhenUsed/>
    <w:rsid w:val="006142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Sousa, Pam (EHS)</cp:lastModifiedBy>
  <cp:revision>2</cp:revision>
  <cp:lastPrinted>2023-03-01T20:48:00Z</cp:lastPrinted>
  <dcterms:created xsi:type="dcterms:W3CDTF">2025-10-09T12:18:00Z</dcterms:created>
  <dcterms:modified xsi:type="dcterms:W3CDTF">2025-10-09T12:18:00Z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