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9680" w14:textId="77777777" w:rsidR="002F12C5" w:rsidRDefault="002F12C5" w:rsidP="002F12C5"/>
    <w:p w14:paraId="5BE09C97" w14:textId="755DCCCD" w:rsidR="002F12C5" w:rsidRPr="00AC798F" w:rsidRDefault="002F12C5" w:rsidP="002F12C5">
      <w:pPr>
        <w:pStyle w:val="Heading1"/>
        <w:spacing w:before="240"/>
      </w:pPr>
      <w:r w:rsidRPr="00AC798F">
        <w:t xml:space="preserve">Administrative Bulletin </w:t>
      </w:r>
      <w:r w:rsidRPr="0096615D">
        <w:t>2</w:t>
      </w:r>
      <w:r>
        <w:t>5</w:t>
      </w:r>
      <w:r w:rsidRPr="00EB788C">
        <w:t>-</w:t>
      </w:r>
      <w:r w:rsidR="00EB788C" w:rsidRPr="00EB788C">
        <w:t>28</w:t>
      </w:r>
    </w:p>
    <w:p w14:paraId="52E442DE" w14:textId="77777777" w:rsidR="002F12C5" w:rsidRPr="00533A3B" w:rsidRDefault="002F12C5" w:rsidP="002F12C5"/>
    <w:p w14:paraId="19E61BB6" w14:textId="77777777" w:rsidR="002F12C5" w:rsidRPr="00581F51" w:rsidRDefault="002F12C5" w:rsidP="002F12C5">
      <w:pPr>
        <w:jc w:val="center"/>
        <w:rPr>
          <w:rFonts w:ascii="Georgia" w:hAnsi="Georgia"/>
          <w:b/>
          <w:bCs/>
          <w:sz w:val="24"/>
          <w:szCs w:val="24"/>
        </w:rPr>
      </w:pPr>
      <w:r w:rsidRPr="00581F51">
        <w:rPr>
          <w:rFonts w:ascii="Georgia" w:hAnsi="Georgia"/>
          <w:b/>
          <w:bCs/>
          <w:sz w:val="24"/>
          <w:szCs w:val="24"/>
        </w:rPr>
        <w:t xml:space="preserve">101 CMR 322.00: </w:t>
      </w:r>
      <w:r w:rsidRPr="00581F51">
        <w:rPr>
          <w:rFonts w:ascii="Georgia" w:hAnsi="Georgia"/>
          <w:b/>
          <w:bCs/>
          <w:i/>
          <w:iCs/>
          <w:sz w:val="24"/>
          <w:szCs w:val="24"/>
        </w:rPr>
        <w:t xml:space="preserve">Rates for </w:t>
      </w:r>
      <w:bookmarkStart w:id="0" w:name="_Hlk159410726"/>
      <w:r w:rsidRPr="00581F51">
        <w:rPr>
          <w:rFonts w:ascii="Georgia" w:hAnsi="Georgia"/>
          <w:b/>
          <w:bCs/>
          <w:i/>
          <w:iCs/>
          <w:sz w:val="24"/>
          <w:szCs w:val="24"/>
        </w:rPr>
        <w:t>Durable Medical Equipment, Oxygen and Respiratory Therapy Equipment</w:t>
      </w:r>
      <w:bookmarkEnd w:id="0"/>
    </w:p>
    <w:p w14:paraId="2BC1DF86" w14:textId="77777777" w:rsidR="002F12C5" w:rsidRPr="00581F51" w:rsidRDefault="002F12C5" w:rsidP="002F12C5">
      <w:pPr>
        <w:rPr>
          <w:rFonts w:ascii="Georgia" w:hAnsi="Georgia"/>
          <w:sz w:val="24"/>
          <w:szCs w:val="24"/>
        </w:rPr>
      </w:pPr>
    </w:p>
    <w:p w14:paraId="47A8D951" w14:textId="77777777" w:rsidR="002F12C5" w:rsidRPr="00581F51" w:rsidRDefault="002F12C5" w:rsidP="002F12C5">
      <w:pPr>
        <w:spacing w:before="120" w:after="240"/>
        <w:jc w:val="center"/>
        <w:rPr>
          <w:rFonts w:ascii="Georgia" w:hAnsi="Georgia"/>
          <w:sz w:val="24"/>
          <w:szCs w:val="24"/>
        </w:rPr>
      </w:pPr>
      <w:r w:rsidRPr="00581F51">
        <w:rPr>
          <w:rFonts w:ascii="Georgia" w:hAnsi="Georgia"/>
          <w:sz w:val="24"/>
          <w:szCs w:val="24"/>
        </w:rPr>
        <w:t>Effective July 1, 2025</w:t>
      </w:r>
    </w:p>
    <w:p w14:paraId="33A5D6C3" w14:textId="77777777" w:rsidR="002F12C5" w:rsidRPr="00581F51" w:rsidRDefault="002F12C5" w:rsidP="002F12C5">
      <w:pPr>
        <w:spacing w:before="120" w:after="240"/>
        <w:jc w:val="center"/>
        <w:rPr>
          <w:rFonts w:ascii="Georgia" w:hAnsi="Georgia"/>
          <w:b/>
          <w:bCs/>
          <w:sz w:val="24"/>
          <w:szCs w:val="24"/>
        </w:rPr>
      </w:pPr>
      <w:r w:rsidRPr="00581F51">
        <w:rPr>
          <w:rFonts w:ascii="Georgia" w:hAnsi="Georgia"/>
          <w:b/>
          <w:bCs/>
          <w:sz w:val="24"/>
          <w:szCs w:val="24"/>
        </w:rPr>
        <w:t>Coding Updates for Certain Durable Medical Equipment, Oxygen and Respiratory Therapy Equipment</w:t>
      </w:r>
    </w:p>
    <w:p w14:paraId="7C2CC49D" w14:textId="77777777" w:rsidR="002F12C5" w:rsidRPr="00581F51" w:rsidRDefault="002F12C5" w:rsidP="002F12C5">
      <w:pPr>
        <w:spacing w:before="120" w:after="240"/>
        <w:rPr>
          <w:rFonts w:ascii="Georgia" w:hAnsi="Georgia"/>
          <w:b/>
          <w:bCs/>
          <w:sz w:val="24"/>
          <w:szCs w:val="24"/>
        </w:rPr>
      </w:pPr>
    </w:p>
    <w:p w14:paraId="5C7FA9B4" w14:textId="77777777" w:rsidR="002F12C5" w:rsidRPr="00581F51" w:rsidRDefault="002F12C5" w:rsidP="002F12C5">
      <w:pPr>
        <w:spacing w:before="120" w:after="240"/>
        <w:rPr>
          <w:rFonts w:ascii="Georgia" w:hAnsi="Georgia"/>
          <w:b/>
          <w:bCs/>
          <w:sz w:val="24"/>
          <w:szCs w:val="24"/>
        </w:rPr>
      </w:pPr>
      <w:r w:rsidRPr="00581F51">
        <w:rPr>
          <w:rFonts w:ascii="Georgia" w:hAnsi="Georgia"/>
          <w:b/>
          <w:bCs/>
          <w:sz w:val="24"/>
          <w:szCs w:val="24"/>
        </w:rPr>
        <w:t>Summary</w:t>
      </w:r>
    </w:p>
    <w:p w14:paraId="742F68DA" w14:textId="33E73F9B" w:rsidR="00FF58CD" w:rsidRPr="00DF586D" w:rsidRDefault="00FF58CD" w:rsidP="00FF58CD">
      <w:pPr>
        <w:autoSpaceDE w:val="0"/>
        <w:autoSpaceDN w:val="0"/>
        <w:adjustRightInd w:val="0"/>
        <w:contextualSpacing/>
        <w:rPr>
          <w:b/>
          <w:bCs/>
        </w:rPr>
      </w:pPr>
      <w:r w:rsidRPr="00DF586D">
        <w:rPr>
          <w:rFonts w:ascii="Georgia" w:hAnsi="Georgia" w:cs="Times New Roman"/>
        </w:rPr>
        <w:t xml:space="preserve">The Executive Office of Health and Human Services (EOHHS) is adding new procedure codes, deleting outdated codes, and updating narratives for certain codes contained in 101 CMR 322.00:  </w:t>
      </w:r>
      <w:r w:rsidRPr="00DF586D">
        <w:rPr>
          <w:rFonts w:ascii="Georgia" w:hAnsi="Georgia" w:cs="Times New Roman"/>
          <w:i/>
          <w:iCs/>
        </w:rPr>
        <w:t xml:space="preserve">Rates for Durable Medical Equipment, Oxygen and Respiratory Therapy Equipment. </w:t>
      </w:r>
      <w:r w:rsidRPr="00DF586D">
        <w:rPr>
          <w:rFonts w:ascii="Georgia" w:hAnsi="Georgia" w:cs="Times New Roman"/>
        </w:rPr>
        <w:t>These updates are effective for dates of service on or after July 1, 2025, and are in accordance with 101 CMR 322</w:t>
      </w:r>
      <w:r w:rsidR="00DF586D">
        <w:rPr>
          <w:rFonts w:ascii="Georgia" w:hAnsi="Georgia" w:cs="Times New Roman"/>
        </w:rPr>
        <w:t>.</w:t>
      </w:r>
      <w:r w:rsidRPr="00DF586D">
        <w:rPr>
          <w:rFonts w:ascii="Georgia" w:hAnsi="Georgia" w:cs="Times New Roman"/>
        </w:rPr>
        <w:t xml:space="preserve">01(6): </w:t>
      </w:r>
      <w:r w:rsidRPr="00DF586D">
        <w:rPr>
          <w:rFonts w:ascii="Georgia" w:hAnsi="Georgia" w:cs="Times New Roman"/>
          <w:i/>
          <w:iCs/>
        </w:rPr>
        <w:t>Coding Updates and Corrections</w:t>
      </w:r>
      <w:r w:rsidRPr="00DF586D">
        <w:rPr>
          <w:rFonts w:ascii="Georgia" w:hAnsi="Georgia" w:cs="Times New Roman"/>
        </w:rPr>
        <w:t>.</w:t>
      </w:r>
    </w:p>
    <w:p w14:paraId="59D66922" w14:textId="77777777" w:rsidR="00FF58CD" w:rsidRPr="00DF586D" w:rsidRDefault="00FF58CD" w:rsidP="00FF58CD">
      <w:pPr>
        <w:autoSpaceDE w:val="0"/>
        <w:autoSpaceDN w:val="0"/>
        <w:adjustRightInd w:val="0"/>
        <w:contextualSpacing/>
        <w:rPr>
          <w:rFonts w:ascii="Georgia" w:hAnsi="Georgia" w:cs="Times New Roman"/>
        </w:rPr>
      </w:pPr>
    </w:p>
    <w:p w14:paraId="118C1399" w14:textId="77777777" w:rsidR="00FF58CD" w:rsidRPr="00DF586D" w:rsidRDefault="00FF58CD" w:rsidP="00FF58CD">
      <w:pPr>
        <w:autoSpaceDE w:val="0"/>
        <w:autoSpaceDN w:val="0"/>
        <w:adjustRightInd w:val="0"/>
        <w:contextualSpacing/>
        <w:rPr>
          <w:rFonts w:ascii="Georgia" w:hAnsi="Georgia" w:cs="Times New Roman"/>
        </w:rPr>
      </w:pPr>
      <w:r w:rsidRPr="00DF586D">
        <w:rPr>
          <w:rFonts w:ascii="Georgia" w:hAnsi="Georgia" w:cs="Times New Roman"/>
        </w:rPr>
        <w:t>The table below lists specific codes that have been added, deleted, or have revised code descriptions.</w:t>
      </w:r>
    </w:p>
    <w:p w14:paraId="45D88AAE" w14:textId="77777777" w:rsidR="00FF58CD" w:rsidRPr="00DF586D" w:rsidRDefault="00FF58CD" w:rsidP="00FF58CD">
      <w:pPr>
        <w:autoSpaceDE w:val="0"/>
        <w:autoSpaceDN w:val="0"/>
        <w:adjustRightInd w:val="0"/>
        <w:contextualSpacing/>
        <w:rPr>
          <w:rFonts w:ascii="Georgia" w:hAnsi="Georgia" w:cs="Times New Roman"/>
        </w:rPr>
      </w:pPr>
    </w:p>
    <w:p w14:paraId="1F4D1499" w14:textId="59FBD704" w:rsidR="00FF58CD" w:rsidRPr="00DF586D" w:rsidRDefault="00FF58CD" w:rsidP="00FF58CD">
      <w:pPr>
        <w:autoSpaceDE w:val="0"/>
        <w:autoSpaceDN w:val="0"/>
        <w:adjustRightInd w:val="0"/>
        <w:contextualSpacing/>
        <w:rPr>
          <w:rFonts w:ascii="Georgia" w:hAnsi="Georgia" w:cs="Times New Roman"/>
        </w:rPr>
      </w:pPr>
      <w:r w:rsidRPr="00DF586D">
        <w:rPr>
          <w:rFonts w:ascii="Georgia" w:hAnsi="Georgia" w:cs="Times New Roman"/>
        </w:rPr>
        <w:t>For entirely new codes with associated Medicare fees, payment rates are set at a percentage of prevailing Medicare fees</w:t>
      </w:r>
      <w:r w:rsidR="00081C79" w:rsidRPr="00DF586D">
        <w:rPr>
          <w:rFonts w:ascii="Georgia" w:hAnsi="Georgia" w:cs="Times New Roman"/>
        </w:rPr>
        <w:t>,</w:t>
      </w:r>
      <w:r w:rsidRPr="00DF586D">
        <w:rPr>
          <w:rFonts w:ascii="Georgia" w:hAnsi="Georgia" w:cs="Times New Roman"/>
        </w:rPr>
        <w:t xml:space="preserve"> as described in 101 CMR 322.03(16)(a). For entirely new codes without associated Medicare fees, individual consideration (IC) is applied to establish payment as described in 101 CMR 322.03(16)(b). Rates listed in this administrative bulletin apply until revised rates are issued by EOHHS.</w:t>
      </w:r>
    </w:p>
    <w:p w14:paraId="6B1BEDD2" w14:textId="77777777" w:rsidR="00FF58CD" w:rsidRPr="00DF586D" w:rsidRDefault="00FF58CD" w:rsidP="00FF58CD">
      <w:pPr>
        <w:autoSpaceDE w:val="0"/>
        <w:autoSpaceDN w:val="0"/>
        <w:adjustRightInd w:val="0"/>
        <w:contextualSpacing/>
        <w:rPr>
          <w:rFonts w:ascii="Georgia" w:hAnsi="Georgia" w:cs="Times New Roman"/>
        </w:rPr>
      </w:pPr>
    </w:p>
    <w:p w14:paraId="297F92FE" w14:textId="77777777" w:rsidR="00FF58CD" w:rsidRPr="00DF586D" w:rsidRDefault="00FF58CD" w:rsidP="00FF58CD">
      <w:pPr>
        <w:autoSpaceDE w:val="0"/>
        <w:autoSpaceDN w:val="0"/>
        <w:adjustRightInd w:val="0"/>
        <w:contextualSpacing/>
        <w:rPr>
          <w:rFonts w:ascii="Georgia" w:hAnsi="Georgia"/>
        </w:rPr>
      </w:pPr>
      <w:r w:rsidRPr="00DF586D">
        <w:rPr>
          <w:rFonts w:ascii="Georgia" w:hAnsi="Georgia" w:cs="Times New Roman"/>
        </w:rPr>
        <w:t>The appearance of a code in the tables below does not constitute authorization for, or approval of, the procedures or services for which rates are determined pursuant to 101 CMR 322.00. Governmental units that purchase care are responsible for the definition, authorization, and approval of care to publicly aided individuals.</w:t>
      </w:r>
    </w:p>
    <w:p w14:paraId="268D7FF8" w14:textId="7C8AD11C" w:rsidR="002F12C5" w:rsidRPr="000E095C" w:rsidRDefault="002F12C5" w:rsidP="00DF586D">
      <w:pPr>
        <w:pStyle w:val="Heading2"/>
        <w:spacing w:before="360"/>
        <w:rPr>
          <w:rFonts w:cs="Times New Roman"/>
          <w:sz w:val="24"/>
          <w:szCs w:val="24"/>
        </w:rPr>
      </w:pPr>
      <w:r w:rsidRPr="000E095C">
        <w:rPr>
          <w:rFonts w:cs="Times New Roman"/>
          <w:sz w:val="24"/>
          <w:szCs w:val="24"/>
        </w:rPr>
        <w:lastRenderedPageBreak/>
        <w:t>Added Codes</w:t>
      </w:r>
    </w:p>
    <w:tbl>
      <w:tblPr>
        <w:tblStyle w:val="TableGrid"/>
        <w:tblW w:w="10165" w:type="dxa"/>
        <w:tblLook w:val="04A0" w:firstRow="1" w:lastRow="0" w:firstColumn="1" w:lastColumn="0" w:noHBand="0" w:noVBand="1"/>
      </w:tblPr>
      <w:tblGrid>
        <w:gridCol w:w="1255"/>
        <w:gridCol w:w="7740"/>
        <w:gridCol w:w="1170"/>
      </w:tblGrid>
      <w:tr w:rsidR="002F12C5" w:rsidRPr="00736A84" w14:paraId="21E66EE6" w14:textId="77777777" w:rsidTr="00D00855">
        <w:trPr>
          <w:trHeight w:val="288"/>
          <w:tblHeader/>
        </w:trPr>
        <w:tc>
          <w:tcPr>
            <w:tcW w:w="1255" w:type="dxa"/>
            <w:noWrap/>
            <w:vAlign w:val="center"/>
            <w:hideMark/>
          </w:tcPr>
          <w:p w14:paraId="1D730C8F" w14:textId="77777777" w:rsidR="002F12C5" w:rsidRPr="00182D05" w:rsidRDefault="002F12C5" w:rsidP="00D00855">
            <w:pPr>
              <w:contextualSpacing/>
              <w:jc w:val="center"/>
              <w:rPr>
                <w:rFonts w:ascii="Georgia" w:hAnsi="Georgia"/>
                <w:b/>
                <w:bCs/>
              </w:rPr>
            </w:pPr>
            <w:r w:rsidRPr="00182D05">
              <w:rPr>
                <w:rFonts w:ascii="Georgia" w:hAnsi="Georgia"/>
                <w:b/>
                <w:bCs/>
              </w:rPr>
              <w:t>Code</w:t>
            </w:r>
          </w:p>
        </w:tc>
        <w:tc>
          <w:tcPr>
            <w:tcW w:w="7740" w:type="dxa"/>
            <w:noWrap/>
            <w:vAlign w:val="center"/>
            <w:hideMark/>
          </w:tcPr>
          <w:p w14:paraId="61B59E04" w14:textId="77777777" w:rsidR="002F12C5" w:rsidRPr="00182D05" w:rsidRDefault="002F12C5" w:rsidP="00D00855">
            <w:pPr>
              <w:contextualSpacing/>
              <w:jc w:val="center"/>
              <w:rPr>
                <w:rFonts w:ascii="Georgia" w:hAnsi="Georgia"/>
                <w:b/>
                <w:bCs/>
              </w:rPr>
            </w:pPr>
            <w:r w:rsidRPr="00182D05">
              <w:rPr>
                <w:rFonts w:ascii="Georgia" w:hAnsi="Georgia"/>
                <w:b/>
                <w:bCs/>
              </w:rPr>
              <w:t>Description</w:t>
            </w:r>
          </w:p>
        </w:tc>
        <w:tc>
          <w:tcPr>
            <w:tcW w:w="1170" w:type="dxa"/>
            <w:noWrap/>
            <w:vAlign w:val="center"/>
            <w:hideMark/>
          </w:tcPr>
          <w:p w14:paraId="0F7BF804" w14:textId="60525A63" w:rsidR="002F12C5" w:rsidRPr="00182D05" w:rsidRDefault="002F12C5" w:rsidP="00D00855">
            <w:pPr>
              <w:contextualSpacing/>
              <w:jc w:val="center"/>
              <w:rPr>
                <w:rFonts w:ascii="Georgia" w:hAnsi="Georgia"/>
                <w:b/>
                <w:bCs/>
              </w:rPr>
            </w:pPr>
            <w:r w:rsidRPr="00182D05">
              <w:rPr>
                <w:rFonts w:ascii="Georgia" w:hAnsi="Georgia"/>
                <w:b/>
                <w:bCs/>
              </w:rPr>
              <w:t xml:space="preserve">Rate </w:t>
            </w:r>
          </w:p>
        </w:tc>
      </w:tr>
      <w:tr w:rsidR="002F12C5" w:rsidRPr="00736A84" w14:paraId="56585B14" w14:textId="77777777" w:rsidTr="00D00855">
        <w:trPr>
          <w:trHeight w:val="288"/>
        </w:trPr>
        <w:tc>
          <w:tcPr>
            <w:tcW w:w="1255" w:type="dxa"/>
            <w:tcBorders>
              <w:top w:val="single" w:sz="4" w:space="0" w:color="auto"/>
              <w:left w:val="single" w:sz="4" w:space="0" w:color="auto"/>
              <w:bottom w:val="single" w:sz="4" w:space="0" w:color="auto"/>
              <w:right w:val="single" w:sz="4" w:space="0" w:color="auto"/>
            </w:tcBorders>
            <w:noWrap/>
            <w:vAlign w:val="center"/>
          </w:tcPr>
          <w:p w14:paraId="20391EEF" w14:textId="77777777" w:rsidR="002F12C5" w:rsidRPr="00EC48C0" w:rsidRDefault="002F12C5" w:rsidP="00D00855">
            <w:pPr>
              <w:contextualSpacing/>
              <w:jc w:val="center"/>
              <w:rPr>
                <w:rFonts w:ascii="Georgia" w:hAnsi="Georgia"/>
                <w:sz w:val="20"/>
                <w:szCs w:val="20"/>
              </w:rPr>
            </w:pPr>
            <w:r w:rsidRPr="00EC48C0">
              <w:rPr>
                <w:rFonts w:ascii="Georgia" w:hAnsi="Georgia"/>
              </w:rPr>
              <w:t>J0165</w:t>
            </w:r>
          </w:p>
        </w:tc>
        <w:tc>
          <w:tcPr>
            <w:tcW w:w="7740" w:type="dxa"/>
            <w:tcBorders>
              <w:top w:val="single" w:sz="4" w:space="0" w:color="auto"/>
              <w:left w:val="single" w:sz="4" w:space="0" w:color="auto"/>
              <w:bottom w:val="single" w:sz="4" w:space="0" w:color="auto"/>
              <w:right w:val="single" w:sz="4" w:space="0" w:color="auto"/>
            </w:tcBorders>
            <w:vAlign w:val="center"/>
          </w:tcPr>
          <w:p w14:paraId="4A648533" w14:textId="77777777" w:rsidR="002F12C5" w:rsidRPr="00EC48C0" w:rsidRDefault="002F12C5" w:rsidP="00D00855">
            <w:pPr>
              <w:contextualSpacing/>
              <w:rPr>
                <w:rFonts w:ascii="Georgia" w:hAnsi="Georgia"/>
                <w:sz w:val="20"/>
                <w:szCs w:val="20"/>
              </w:rPr>
            </w:pPr>
            <w:r w:rsidRPr="00EC48C0">
              <w:rPr>
                <w:rFonts w:ascii="Georgia" w:hAnsi="Georgia"/>
              </w:rPr>
              <w:t>Injection, Epinephrine, not otherwise specified, 0.1 mg</w:t>
            </w:r>
          </w:p>
        </w:tc>
        <w:tc>
          <w:tcPr>
            <w:tcW w:w="1170" w:type="dxa"/>
            <w:tcBorders>
              <w:top w:val="single" w:sz="4" w:space="0" w:color="auto"/>
              <w:left w:val="single" w:sz="4" w:space="0" w:color="auto"/>
              <w:bottom w:val="single" w:sz="4" w:space="0" w:color="auto"/>
              <w:right w:val="single" w:sz="4" w:space="0" w:color="auto"/>
            </w:tcBorders>
            <w:noWrap/>
          </w:tcPr>
          <w:p w14:paraId="0D56CF38"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 xml:space="preserve">$0.49 </w:t>
            </w:r>
          </w:p>
        </w:tc>
      </w:tr>
      <w:tr w:rsidR="002F12C5" w:rsidRPr="00736A84" w14:paraId="361A7137"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16AAEFE6" w14:textId="77777777" w:rsidR="002F12C5" w:rsidRPr="00EC48C0" w:rsidRDefault="002F12C5" w:rsidP="00D00855">
            <w:pPr>
              <w:contextualSpacing/>
              <w:jc w:val="center"/>
              <w:rPr>
                <w:rFonts w:ascii="Georgia" w:hAnsi="Georgia"/>
                <w:sz w:val="20"/>
                <w:szCs w:val="20"/>
              </w:rPr>
            </w:pPr>
            <w:r w:rsidRPr="00EC48C0">
              <w:rPr>
                <w:rFonts w:ascii="Georgia" w:hAnsi="Georgia"/>
              </w:rPr>
              <w:t>J0166</w:t>
            </w:r>
          </w:p>
        </w:tc>
        <w:tc>
          <w:tcPr>
            <w:tcW w:w="7740" w:type="dxa"/>
            <w:tcBorders>
              <w:top w:val="nil"/>
              <w:left w:val="single" w:sz="4" w:space="0" w:color="auto"/>
              <w:bottom w:val="single" w:sz="4" w:space="0" w:color="auto"/>
              <w:right w:val="single" w:sz="4" w:space="0" w:color="auto"/>
            </w:tcBorders>
            <w:noWrap/>
            <w:vAlign w:val="center"/>
          </w:tcPr>
          <w:p w14:paraId="36C21808" w14:textId="77777777" w:rsidR="002F12C5" w:rsidRPr="00EC48C0" w:rsidRDefault="002F12C5" w:rsidP="00D00855">
            <w:pPr>
              <w:contextualSpacing/>
              <w:rPr>
                <w:rFonts w:ascii="Georgia" w:hAnsi="Georgia"/>
                <w:sz w:val="20"/>
                <w:szCs w:val="20"/>
              </w:rPr>
            </w:pPr>
            <w:r w:rsidRPr="00EC48C0">
              <w:rPr>
                <w:rFonts w:ascii="Georgia" w:hAnsi="Georgia"/>
              </w:rPr>
              <w:t>Injection, Epinephrine (BPI), not therapeutically equivalent to J0165, 0.1 mg</w:t>
            </w:r>
          </w:p>
        </w:tc>
        <w:tc>
          <w:tcPr>
            <w:tcW w:w="1170" w:type="dxa"/>
            <w:tcBorders>
              <w:top w:val="nil"/>
              <w:left w:val="single" w:sz="4" w:space="0" w:color="auto"/>
              <w:bottom w:val="single" w:sz="4" w:space="0" w:color="auto"/>
              <w:right w:val="single" w:sz="4" w:space="0" w:color="auto"/>
            </w:tcBorders>
            <w:noWrap/>
          </w:tcPr>
          <w:p w14:paraId="4F20BDB4"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 xml:space="preserve">$1.94 </w:t>
            </w:r>
          </w:p>
        </w:tc>
      </w:tr>
      <w:tr w:rsidR="002F12C5" w:rsidRPr="00736A84" w14:paraId="5273CC9F"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2F76281E" w14:textId="77777777" w:rsidR="002F12C5" w:rsidRPr="00EC48C0" w:rsidRDefault="002F12C5" w:rsidP="00D00855">
            <w:pPr>
              <w:contextualSpacing/>
              <w:jc w:val="center"/>
              <w:rPr>
                <w:rFonts w:ascii="Georgia" w:hAnsi="Georgia"/>
                <w:sz w:val="20"/>
                <w:szCs w:val="20"/>
              </w:rPr>
            </w:pPr>
            <w:r w:rsidRPr="00EC48C0">
              <w:rPr>
                <w:rFonts w:ascii="Georgia" w:hAnsi="Georgia"/>
              </w:rPr>
              <w:t>J0167</w:t>
            </w:r>
          </w:p>
        </w:tc>
        <w:tc>
          <w:tcPr>
            <w:tcW w:w="7740" w:type="dxa"/>
            <w:tcBorders>
              <w:top w:val="nil"/>
              <w:left w:val="single" w:sz="4" w:space="0" w:color="auto"/>
              <w:bottom w:val="single" w:sz="4" w:space="0" w:color="auto"/>
              <w:right w:val="single" w:sz="4" w:space="0" w:color="auto"/>
            </w:tcBorders>
            <w:noWrap/>
            <w:vAlign w:val="center"/>
          </w:tcPr>
          <w:p w14:paraId="62EDD845" w14:textId="77777777" w:rsidR="002F12C5" w:rsidRPr="00EC48C0" w:rsidRDefault="002F12C5" w:rsidP="00D00855">
            <w:pPr>
              <w:contextualSpacing/>
              <w:rPr>
                <w:rFonts w:ascii="Georgia" w:hAnsi="Georgia"/>
                <w:sz w:val="20"/>
                <w:szCs w:val="20"/>
              </w:rPr>
            </w:pPr>
            <w:r w:rsidRPr="00EC48C0">
              <w:rPr>
                <w:rFonts w:ascii="Georgia" w:hAnsi="Georgia"/>
              </w:rPr>
              <w:t>Injection, Epinephrine (Hospira), not therapeutically equivalent to J0165, 0.1 mg</w:t>
            </w:r>
          </w:p>
        </w:tc>
        <w:tc>
          <w:tcPr>
            <w:tcW w:w="1170" w:type="dxa"/>
            <w:tcBorders>
              <w:top w:val="nil"/>
              <w:left w:val="single" w:sz="4" w:space="0" w:color="auto"/>
              <w:bottom w:val="single" w:sz="4" w:space="0" w:color="auto"/>
              <w:right w:val="single" w:sz="4" w:space="0" w:color="auto"/>
            </w:tcBorders>
            <w:noWrap/>
          </w:tcPr>
          <w:p w14:paraId="598EB2F2"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 xml:space="preserve">$0.63 </w:t>
            </w:r>
          </w:p>
        </w:tc>
      </w:tr>
      <w:tr w:rsidR="002F12C5" w:rsidRPr="00736A84" w14:paraId="25AFB940"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3F7DE061" w14:textId="77777777" w:rsidR="002F12C5" w:rsidRPr="00EC48C0" w:rsidRDefault="002F12C5" w:rsidP="00D00855">
            <w:pPr>
              <w:contextualSpacing/>
              <w:jc w:val="center"/>
              <w:rPr>
                <w:rFonts w:ascii="Georgia" w:hAnsi="Georgia"/>
                <w:sz w:val="20"/>
                <w:szCs w:val="20"/>
              </w:rPr>
            </w:pPr>
            <w:r w:rsidRPr="00EC48C0">
              <w:rPr>
                <w:rFonts w:ascii="Georgia" w:hAnsi="Georgia"/>
              </w:rPr>
              <w:t>J0168</w:t>
            </w:r>
          </w:p>
        </w:tc>
        <w:tc>
          <w:tcPr>
            <w:tcW w:w="7740" w:type="dxa"/>
            <w:tcBorders>
              <w:top w:val="nil"/>
              <w:left w:val="single" w:sz="4" w:space="0" w:color="auto"/>
              <w:bottom w:val="single" w:sz="4" w:space="0" w:color="auto"/>
              <w:right w:val="single" w:sz="4" w:space="0" w:color="auto"/>
            </w:tcBorders>
            <w:noWrap/>
            <w:vAlign w:val="center"/>
          </w:tcPr>
          <w:p w14:paraId="5B15C34D" w14:textId="77777777" w:rsidR="002F12C5" w:rsidRPr="00EC48C0" w:rsidRDefault="002F12C5" w:rsidP="00D00855">
            <w:pPr>
              <w:contextualSpacing/>
              <w:rPr>
                <w:rFonts w:ascii="Georgia" w:hAnsi="Georgia"/>
                <w:sz w:val="20"/>
                <w:szCs w:val="20"/>
              </w:rPr>
            </w:pPr>
            <w:r w:rsidRPr="00EC48C0">
              <w:rPr>
                <w:rFonts w:ascii="Georgia" w:hAnsi="Georgia"/>
              </w:rPr>
              <w:t>Injection, Epinephrine (International Medication Systems), not therapeutically equivalent to J0165, 0.1mg</w:t>
            </w:r>
          </w:p>
        </w:tc>
        <w:tc>
          <w:tcPr>
            <w:tcW w:w="1170" w:type="dxa"/>
            <w:tcBorders>
              <w:top w:val="nil"/>
              <w:left w:val="single" w:sz="4" w:space="0" w:color="auto"/>
              <w:bottom w:val="single" w:sz="4" w:space="0" w:color="auto"/>
              <w:right w:val="single" w:sz="4" w:space="0" w:color="auto"/>
            </w:tcBorders>
            <w:noWrap/>
          </w:tcPr>
          <w:p w14:paraId="6CF2478C"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 xml:space="preserve">$1.85 </w:t>
            </w:r>
          </w:p>
        </w:tc>
      </w:tr>
      <w:tr w:rsidR="002F12C5" w:rsidRPr="00736A84" w14:paraId="7A1595A9"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61629B99" w14:textId="77777777" w:rsidR="002F12C5" w:rsidRPr="00EC48C0" w:rsidRDefault="002F12C5" w:rsidP="00D00855">
            <w:pPr>
              <w:contextualSpacing/>
              <w:jc w:val="center"/>
              <w:rPr>
                <w:rFonts w:ascii="Georgia" w:hAnsi="Georgia"/>
                <w:sz w:val="20"/>
                <w:szCs w:val="20"/>
              </w:rPr>
            </w:pPr>
            <w:r w:rsidRPr="00EC48C0">
              <w:rPr>
                <w:rFonts w:ascii="Georgia" w:hAnsi="Georgia"/>
              </w:rPr>
              <w:t>J0169</w:t>
            </w:r>
          </w:p>
        </w:tc>
        <w:tc>
          <w:tcPr>
            <w:tcW w:w="7740" w:type="dxa"/>
            <w:tcBorders>
              <w:top w:val="nil"/>
              <w:left w:val="single" w:sz="4" w:space="0" w:color="auto"/>
              <w:bottom w:val="single" w:sz="4" w:space="0" w:color="auto"/>
              <w:right w:val="single" w:sz="4" w:space="0" w:color="auto"/>
            </w:tcBorders>
            <w:vAlign w:val="center"/>
          </w:tcPr>
          <w:p w14:paraId="1EF82423" w14:textId="77777777" w:rsidR="002F12C5" w:rsidRPr="00EC48C0" w:rsidRDefault="002F12C5" w:rsidP="00D00855">
            <w:pPr>
              <w:contextualSpacing/>
              <w:rPr>
                <w:rFonts w:ascii="Georgia" w:hAnsi="Georgia"/>
                <w:sz w:val="20"/>
                <w:szCs w:val="20"/>
              </w:rPr>
            </w:pPr>
            <w:r w:rsidRPr="00EC48C0">
              <w:rPr>
                <w:rFonts w:ascii="Georgia" w:hAnsi="Georgia"/>
              </w:rPr>
              <w:t>Injection, Epinephrine (Adrenalin), not therapeutically equivalent to J0165, 0.1 mg</w:t>
            </w:r>
          </w:p>
        </w:tc>
        <w:tc>
          <w:tcPr>
            <w:tcW w:w="1170" w:type="dxa"/>
            <w:tcBorders>
              <w:top w:val="nil"/>
              <w:left w:val="single" w:sz="4" w:space="0" w:color="auto"/>
              <w:bottom w:val="single" w:sz="4" w:space="0" w:color="auto"/>
              <w:right w:val="single" w:sz="4" w:space="0" w:color="auto"/>
            </w:tcBorders>
            <w:noWrap/>
          </w:tcPr>
          <w:p w14:paraId="308F073E"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 xml:space="preserve">$1.12 </w:t>
            </w:r>
          </w:p>
        </w:tc>
      </w:tr>
      <w:tr w:rsidR="002F12C5" w:rsidRPr="00736A84" w14:paraId="647CBEF2"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291B60D1" w14:textId="77777777" w:rsidR="002F12C5" w:rsidRPr="00EC48C0" w:rsidRDefault="002F12C5" w:rsidP="00D00855">
            <w:pPr>
              <w:contextualSpacing/>
              <w:jc w:val="center"/>
              <w:rPr>
                <w:rFonts w:ascii="Georgia" w:hAnsi="Georgia"/>
                <w:sz w:val="20"/>
                <w:szCs w:val="20"/>
              </w:rPr>
            </w:pPr>
            <w:r w:rsidRPr="00EC48C0">
              <w:rPr>
                <w:rFonts w:ascii="Georgia" w:hAnsi="Georgia"/>
              </w:rPr>
              <w:t>J0618</w:t>
            </w:r>
          </w:p>
        </w:tc>
        <w:tc>
          <w:tcPr>
            <w:tcW w:w="7740" w:type="dxa"/>
            <w:tcBorders>
              <w:top w:val="nil"/>
              <w:left w:val="single" w:sz="4" w:space="0" w:color="auto"/>
              <w:bottom w:val="single" w:sz="4" w:space="0" w:color="auto"/>
              <w:right w:val="single" w:sz="4" w:space="0" w:color="auto"/>
            </w:tcBorders>
            <w:vAlign w:val="center"/>
          </w:tcPr>
          <w:p w14:paraId="1A5E0579" w14:textId="77777777" w:rsidR="002F12C5" w:rsidRPr="00EC48C0" w:rsidRDefault="002F12C5" w:rsidP="00D00855">
            <w:pPr>
              <w:contextualSpacing/>
              <w:rPr>
                <w:rFonts w:ascii="Georgia" w:hAnsi="Georgia"/>
                <w:sz w:val="20"/>
                <w:szCs w:val="20"/>
              </w:rPr>
            </w:pPr>
            <w:r w:rsidRPr="00EC48C0">
              <w:rPr>
                <w:rFonts w:ascii="Georgia" w:hAnsi="Georgia"/>
              </w:rPr>
              <w:t>Injection, Calcium Chloride, 2 mg</w:t>
            </w:r>
          </w:p>
        </w:tc>
        <w:tc>
          <w:tcPr>
            <w:tcW w:w="1170" w:type="dxa"/>
            <w:tcBorders>
              <w:top w:val="nil"/>
              <w:left w:val="single" w:sz="4" w:space="0" w:color="auto"/>
              <w:bottom w:val="single" w:sz="4" w:space="0" w:color="auto"/>
              <w:right w:val="single" w:sz="4" w:space="0" w:color="auto"/>
            </w:tcBorders>
            <w:noWrap/>
          </w:tcPr>
          <w:p w14:paraId="2404BABE"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IC</w:t>
            </w:r>
          </w:p>
        </w:tc>
      </w:tr>
      <w:tr w:rsidR="002F12C5" w:rsidRPr="00736A84" w14:paraId="1296616A"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20B64566" w14:textId="77777777" w:rsidR="002F12C5" w:rsidRPr="00EC48C0" w:rsidRDefault="002F12C5" w:rsidP="00D00855">
            <w:pPr>
              <w:contextualSpacing/>
              <w:jc w:val="center"/>
              <w:rPr>
                <w:rFonts w:ascii="Georgia" w:hAnsi="Georgia"/>
                <w:sz w:val="20"/>
                <w:szCs w:val="20"/>
              </w:rPr>
            </w:pPr>
            <w:r w:rsidRPr="00EC48C0">
              <w:rPr>
                <w:rFonts w:ascii="Georgia" w:hAnsi="Georgia"/>
              </w:rPr>
              <w:t>J1163</w:t>
            </w:r>
          </w:p>
        </w:tc>
        <w:tc>
          <w:tcPr>
            <w:tcW w:w="7740" w:type="dxa"/>
            <w:tcBorders>
              <w:top w:val="nil"/>
              <w:left w:val="single" w:sz="4" w:space="0" w:color="auto"/>
              <w:bottom w:val="single" w:sz="4" w:space="0" w:color="auto"/>
              <w:right w:val="single" w:sz="4" w:space="0" w:color="auto"/>
            </w:tcBorders>
            <w:vAlign w:val="center"/>
          </w:tcPr>
          <w:p w14:paraId="0B911AB9" w14:textId="77777777" w:rsidR="002F12C5" w:rsidRPr="00EC48C0" w:rsidRDefault="002F12C5" w:rsidP="00D00855">
            <w:pPr>
              <w:contextualSpacing/>
              <w:rPr>
                <w:rFonts w:ascii="Georgia" w:hAnsi="Georgia"/>
                <w:sz w:val="20"/>
                <w:szCs w:val="20"/>
              </w:rPr>
            </w:pPr>
            <w:r w:rsidRPr="00EC48C0">
              <w:rPr>
                <w:rFonts w:ascii="Georgia" w:hAnsi="Georgia"/>
              </w:rPr>
              <w:t>Injection, Diltiazem Hydrochloride, 0.5 mg</w:t>
            </w:r>
          </w:p>
        </w:tc>
        <w:tc>
          <w:tcPr>
            <w:tcW w:w="1170" w:type="dxa"/>
            <w:tcBorders>
              <w:top w:val="nil"/>
              <w:left w:val="single" w:sz="4" w:space="0" w:color="auto"/>
              <w:bottom w:val="single" w:sz="4" w:space="0" w:color="auto"/>
              <w:right w:val="single" w:sz="4" w:space="0" w:color="auto"/>
            </w:tcBorders>
            <w:noWrap/>
          </w:tcPr>
          <w:p w14:paraId="58BAD551"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 xml:space="preserve">$0.03 </w:t>
            </w:r>
          </w:p>
        </w:tc>
      </w:tr>
      <w:tr w:rsidR="002F12C5" w:rsidRPr="00736A84" w14:paraId="2DE7F5B6"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2E23E2F2" w14:textId="77777777" w:rsidR="002F12C5" w:rsidRPr="00EC48C0" w:rsidRDefault="002F12C5" w:rsidP="00D00855">
            <w:pPr>
              <w:contextualSpacing/>
              <w:jc w:val="center"/>
              <w:rPr>
                <w:rFonts w:ascii="Georgia" w:hAnsi="Georgia"/>
                <w:sz w:val="20"/>
                <w:szCs w:val="20"/>
              </w:rPr>
            </w:pPr>
            <w:r w:rsidRPr="00EC48C0">
              <w:rPr>
                <w:rFonts w:ascii="Georgia" w:hAnsi="Georgia"/>
              </w:rPr>
              <w:t>J1326</w:t>
            </w:r>
          </w:p>
        </w:tc>
        <w:tc>
          <w:tcPr>
            <w:tcW w:w="7740" w:type="dxa"/>
            <w:tcBorders>
              <w:top w:val="nil"/>
              <w:left w:val="single" w:sz="4" w:space="0" w:color="auto"/>
              <w:bottom w:val="single" w:sz="4" w:space="0" w:color="auto"/>
              <w:right w:val="single" w:sz="4" w:space="0" w:color="auto"/>
            </w:tcBorders>
            <w:vAlign w:val="center"/>
          </w:tcPr>
          <w:p w14:paraId="31C623AC" w14:textId="77777777" w:rsidR="002F12C5" w:rsidRPr="00EC48C0" w:rsidRDefault="002F12C5" w:rsidP="00D00855">
            <w:pPr>
              <w:contextualSpacing/>
              <w:rPr>
                <w:rFonts w:ascii="Georgia" w:hAnsi="Georgia"/>
                <w:sz w:val="20"/>
                <w:szCs w:val="20"/>
              </w:rPr>
            </w:pPr>
            <w:r w:rsidRPr="00EC48C0">
              <w:rPr>
                <w:rFonts w:ascii="Georgia" w:hAnsi="Georgia"/>
              </w:rPr>
              <w:t>Injection, Zolbetuximab-clzb, 2 mg</w:t>
            </w:r>
          </w:p>
        </w:tc>
        <w:tc>
          <w:tcPr>
            <w:tcW w:w="1170" w:type="dxa"/>
            <w:tcBorders>
              <w:top w:val="nil"/>
              <w:left w:val="single" w:sz="4" w:space="0" w:color="auto"/>
              <w:bottom w:val="single" w:sz="4" w:space="0" w:color="auto"/>
              <w:right w:val="single" w:sz="4" w:space="0" w:color="auto"/>
            </w:tcBorders>
            <w:noWrap/>
          </w:tcPr>
          <w:p w14:paraId="19535B72"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 xml:space="preserve">$28.52 </w:t>
            </w:r>
          </w:p>
        </w:tc>
      </w:tr>
      <w:tr w:rsidR="002F12C5" w:rsidRPr="00736A84" w14:paraId="7F0720B2" w14:textId="77777777" w:rsidTr="00D00855">
        <w:trPr>
          <w:trHeight w:val="288"/>
        </w:trPr>
        <w:tc>
          <w:tcPr>
            <w:tcW w:w="1255" w:type="dxa"/>
            <w:tcBorders>
              <w:top w:val="nil"/>
              <w:left w:val="single" w:sz="4" w:space="0" w:color="auto"/>
              <w:bottom w:val="single" w:sz="4" w:space="0" w:color="auto"/>
              <w:right w:val="single" w:sz="4" w:space="0" w:color="auto"/>
            </w:tcBorders>
            <w:noWrap/>
          </w:tcPr>
          <w:p w14:paraId="36CA2407" w14:textId="77777777" w:rsidR="002F12C5" w:rsidRPr="00EC48C0" w:rsidRDefault="002F12C5" w:rsidP="00D00855">
            <w:pPr>
              <w:contextualSpacing/>
              <w:jc w:val="center"/>
              <w:rPr>
                <w:rFonts w:ascii="Georgia" w:hAnsi="Georgia"/>
                <w:sz w:val="20"/>
                <w:szCs w:val="20"/>
              </w:rPr>
            </w:pPr>
            <w:r w:rsidRPr="00EC48C0">
              <w:rPr>
                <w:rFonts w:ascii="Georgia" w:hAnsi="Georgia"/>
              </w:rPr>
              <w:t>J1954</w:t>
            </w:r>
          </w:p>
        </w:tc>
        <w:tc>
          <w:tcPr>
            <w:tcW w:w="7740" w:type="dxa"/>
            <w:tcBorders>
              <w:top w:val="nil"/>
              <w:left w:val="single" w:sz="4" w:space="0" w:color="auto"/>
              <w:bottom w:val="single" w:sz="4" w:space="0" w:color="auto"/>
              <w:right w:val="single" w:sz="4" w:space="0" w:color="auto"/>
            </w:tcBorders>
          </w:tcPr>
          <w:p w14:paraId="03D50361" w14:textId="77777777" w:rsidR="002F12C5" w:rsidRPr="00EC48C0" w:rsidRDefault="002F12C5" w:rsidP="00D00855">
            <w:pPr>
              <w:contextualSpacing/>
              <w:rPr>
                <w:rFonts w:ascii="Georgia" w:hAnsi="Georgia"/>
                <w:sz w:val="20"/>
                <w:szCs w:val="20"/>
              </w:rPr>
            </w:pPr>
            <w:r w:rsidRPr="00EC48C0">
              <w:rPr>
                <w:rFonts w:ascii="Georgia" w:hAnsi="Georgia"/>
              </w:rPr>
              <w:t>Injection, Leuprolide Acetate for depot suspension (Lutrate depot), 7.5 mg</w:t>
            </w:r>
          </w:p>
        </w:tc>
        <w:tc>
          <w:tcPr>
            <w:tcW w:w="1170" w:type="dxa"/>
            <w:tcBorders>
              <w:top w:val="nil"/>
              <w:left w:val="single" w:sz="4" w:space="0" w:color="auto"/>
              <w:bottom w:val="single" w:sz="4" w:space="0" w:color="auto"/>
              <w:right w:val="single" w:sz="4" w:space="0" w:color="auto"/>
            </w:tcBorders>
            <w:noWrap/>
          </w:tcPr>
          <w:p w14:paraId="1DEF43C2"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 xml:space="preserve">$187.63 </w:t>
            </w:r>
          </w:p>
        </w:tc>
      </w:tr>
      <w:tr w:rsidR="002F12C5" w:rsidRPr="00736A84" w14:paraId="75B32E59"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4F7E47D8" w14:textId="77777777" w:rsidR="002F12C5" w:rsidRPr="00EC48C0" w:rsidRDefault="002F12C5" w:rsidP="00D00855">
            <w:pPr>
              <w:contextualSpacing/>
              <w:jc w:val="center"/>
              <w:rPr>
                <w:rFonts w:ascii="Georgia" w:hAnsi="Georgia"/>
                <w:sz w:val="20"/>
                <w:szCs w:val="20"/>
              </w:rPr>
            </w:pPr>
            <w:r w:rsidRPr="00EC48C0">
              <w:rPr>
                <w:rFonts w:ascii="Georgia" w:hAnsi="Georgia"/>
              </w:rPr>
              <w:t>J2312</w:t>
            </w:r>
          </w:p>
        </w:tc>
        <w:tc>
          <w:tcPr>
            <w:tcW w:w="7740" w:type="dxa"/>
            <w:tcBorders>
              <w:top w:val="nil"/>
              <w:left w:val="single" w:sz="4" w:space="0" w:color="auto"/>
              <w:bottom w:val="single" w:sz="4" w:space="0" w:color="auto"/>
              <w:right w:val="single" w:sz="4" w:space="0" w:color="auto"/>
            </w:tcBorders>
            <w:vAlign w:val="center"/>
          </w:tcPr>
          <w:p w14:paraId="3A971AFC" w14:textId="77777777" w:rsidR="002F12C5" w:rsidRPr="00EC48C0" w:rsidRDefault="002F12C5" w:rsidP="00D00855">
            <w:pPr>
              <w:contextualSpacing/>
              <w:rPr>
                <w:rFonts w:ascii="Georgia" w:hAnsi="Georgia"/>
                <w:sz w:val="20"/>
                <w:szCs w:val="20"/>
              </w:rPr>
            </w:pPr>
            <w:r w:rsidRPr="00EC48C0">
              <w:rPr>
                <w:rFonts w:ascii="Georgia" w:hAnsi="Georgia"/>
              </w:rPr>
              <w:t>Injection, Naloxone Hydrochloride, not otherwise specified, 0.01 mg</w:t>
            </w:r>
          </w:p>
        </w:tc>
        <w:tc>
          <w:tcPr>
            <w:tcW w:w="1170" w:type="dxa"/>
            <w:tcBorders>
              <w:top w:val="nil"/>
              <w:left w:val="single" w:sz="4" w:space="0" w:color="auto"/>
              <w:bottom w:val="single" w:sz="4" w:space="0" w:color="auto"/>
              <w:right w:val="single" w:sz="4" w:space="0" w:color="auto"/>
            </w:tcBorders>
            <w:noWrap/>
          </w:tcPr>
          <w:p w14:paraId="51F31681"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 xml:space="preserve">$0.06 </w:t>
            </w:r>
          </w:p>
        </w:tc>
      </w:tr>
      <w:tr w:rsidR="002F12C5" w:rsidRPr="00736A84" w14:paraId="30ED9BA4"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76060437" w14:textId="77777777" w:rsidR="002F12C5" w:rsidRPr="00EC48C0" w:rsidRDefault="002F12C5" w:rsidP="00D00855">
            <w:pPr>
              <w:contextualSpacing/>
              <w:jc w:val="center"/>
              <w:rPr>
                <w:rFonts w:ascii="Georgia" w:hAnsi="Georgia"/>
                <w:sz w:val="20"/>
                <w:szCs w:val="20"/>
              </w:rPr>
            </w:pPr>
            <w:r w:rsidRPr="00EC48C0">
              <w:rPr>
                <w:rFonts w:ascii="Georgia" w:hAnsi="Georgia"/>
              </w:rPr>
              <w:t>J2313</w:t>
            </w:r>
          </w:p>
        </w:tc>
        <w:tc>
          <w:tcPr>
            <w:tcW w:w="7740" w:type="dxa"/>
            <w:tcBorders>
              <w:top w:val="nil"/>
              <w:left w:val="single" w:sz="4" w:space="0" w:color="auto"/>
              <w:bottom w:val="single" w:sz="4" w:space="0" w:color="auto"/>
              <w:right w:val="single" w:sz="4" w:space="0" w:color="auto"/>
            </w:tcBorders>
            <w:vAlign w:val="center"/>
          </w:tcPr>
          <w:p w14:paraId="5FDCA3CC" w14:textId="77777777" w:rsidR="002F12C5" w:rsidRPr="00EC48C0" w:rsidRDefault="002F12C5" w:rsidP="00D00855">
            <w:pPr>
              <w:contextualSpacing/>
              <w:rPr>
                <w:rFonts w:ascii="Georgia" w:hAnsi="Georgia"/>
                <w:sz w:val="20"/>
                <w:szCs w:val="20"/>
              </w:rPr>
            </w:pPr>
            <w:r w:rsidRPr="00EC48C0">
              <w:rPr>
                <w:rFonts w:ascii="Georgia" w:hAnsi="Georgia"/>
              </w:rPr>
              <w:t>Injection, Naloxone Hydrochloride (Zimhi), 0.01 mg</w:t>
            </w:r>
          </w:p>
        </w:tc>
        <w:tc>
          <w:tcPr>
            <w:tcW w:w="1170" w:type="dxa"/>
            <w:tcBorders>
              <w:top w:val="nil"/>
              <w:left w:val="single" w:sz="4" w:space="0" w:color="auto"/>
              <w:bottom w:val="single" w:sz="4" w:space="0" w:color="auto"/>
              <w:right w:val="single" w:sz="4" w:space="0" w:color="auto"/>
            </w:tcBorders>
            <w:noWrap/>
          </w:tcPr>
          <w:p w14:paraId="2E849FA7"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 xml:space="preserve">$0.01 </w:t>
            </w:r>
          </w:p>
        </w:tc>
      </w:tr>
      <w:tr w:rsidR="002F12C5" w:rsidRPr="00736A84" w14:paraId="5867C429"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2678B17B" w14:textId="77777777" w:rsidR="002F12C5" w:rsidRPr="00EC48C0" w:rsidRDefault="002F12C5" w:rsidP="00D00855">
            <w:pPr>
              <w:contextualSpacing/>
              <w:jc w:val="center"/>
              <w:rPr>
                <w:rFonts w:ascii="Georgia" w:hAnsi="Georgia"/>
                <w:sz w:val="20"/>
                <w:szCs w:val="20"/>
              </w:rPr>
            </w:pPr>
            <w:r w:rsidRPr="00EC48C0">
              <w:rPr>
                <w:rFonts w:ascii="Georgia" w:hAnsi="Georgia"/>
              </w:rPr>
              <w:t>J3373</w:t>
            </w:r>
          </w:p>
        </w:tc>
        <w:tc>
          <w:tcPr>
            <w:tcW w:w="7740" w:type="dxa"/>
            <w:tcBorders>
              <w:top w:val="nil"/>
              <w:left w:val="single" w:sz="4" w:space="0" w:color="auto"/>
              <w:bottom w:val="single" w:sz="4" w:space="0" w:color="auto"/>
              <w:right w:val="single" w:sz="4" w:space="0" w:color="auto"/>
            </w:tcBorders>
            <w:noWrap/>
            <w:vAlign w:val="center"/>
          </w:tcPr>
          <w:p w14:paraId="7F3D796C" w14:textId="77777777" w:rsidR="002F12C5" w:rsidRPr="00EC48C0" w:rsidRDefault="002F12C5" w:rsidP="00D00855">
            <w:pPr>
              <w:contextualSpacing/>
              <w:rPr>
                <w:rFonts w:ascii="Georgia" w:hAnsi="Georgia"/>
                <w:sz w:val="20"/>
                <w:szCs w:val="20"/>
              </w:rPr>
            </w:pPr>
            <w:r w:rsidRPr="00EC48C0">
              <w:rPr>
                <w:rFonts w:ascii="Georgia" w:hAnsi="Georgia"/>
              </w:rPr>
              <w:t>Injection, Vancomycin Hydrochloride, 10 mg</w:t>
            </w:r>
          </w:p>
        </w:tc>
        <w:tc>
          <w:tcPr>
            <w:tcW w:w="1170" w:type="dxa"/>
            <w:tcBorders>
              <w:top w:val="nil"/>
              <w:left w:val="single" w:sz="4" w:space="0" w:color="auto"/>
              <w:bottom w:val="single" w:sz="4" w:space="0" w:color="auto"/>
              <w:right w:val="single" w:sz="4" w:space="0" w:color="auto"/>
            </w:tcBorders>
            <w:noWrap/>
          </w:tcPr>
          <w:p w14:paraId="746817D9"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 xml:space="preserve">$0.03 </w:t>
            </w:r>
          </w:p>
        </w:tc>
      </w:tr>
      <w:tr w:rsidR="002F12C5" w:rsidRPr="00736A84" w14:paraId="57792FFB"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1FDD3B21" w14:textId="77777777" w:rsidR="002F12C5" w:rsidRPr="00EC48C0" w:rsidRDefault="002F12C5" w:rsidP="00D00855">
            <w:pPr>
              <w:contextualSpacing/>
              <w:jc w:val="center"/>
              <w:rPr>
                <w:rFonts w:ascii="Georgia" w:hAnsi="Georgia"/>
                <w:sz w:val="20"/>
                <w:szCs w:val="20"/>
              </w:rPr>
            </w:pPr>
            <w:r w:rsidRPr="00EC48C0">
              <w:rPr>
                <w:rFonts w:ascii="Georgia" w:hAnsi="Georgia"/>
              </w:rPr>
              <w:t>J3374</w:t>
            </w:r>
          </w:p>
        </w:tc>
        <w:tc>
          <w:tcPr>
            <w:tcW w:w="7740" w:type="dxa"/>
            <w:tcBorders>
              <w:top w:val="nil"/>
              <w:left w:val="single" w:sz="4" w:space="0" w:color="auto"/>
              <w:bottom w:val="single" w:sz="4" w:space="0" w:color="auto"/>
              <w:right w:val="single" w:sz="4" w:space="0" w:color="auto"/>
            </w:tcBorders>
            <w:noWrap/>
            <w:vAlign w:val="center"/>
          </w:tcPr>
          <w:p w14:paraId="0532197D" w14:textId="77777777" w:rsidR="002F12C5" w:rsidRPr="00EC48C0" w:rsidRDefault="002F12C5" w:rsidP="00D00855">
            <w:pPr>
              <w:contextualSpacing/>
              <w:rPr>
                <w:rFonts w:ascii="Georgia" w:hAnsi="Georgia"/>
                <w:sz w:val="20"/>
                <w:szCs w:val="20"/>
              </w:rPr>
            </w:pPr>
            <w:r w:rsidRPr="00EC48C0">
              <w:rPr>
                <w:rFonts w:ascii="Georgia" w:hAnsi="Georgia"/>
              </w:rPr>
              <w:t>Injection, Vancomycin Hydrochloride (Mylan), not therapeutically equivalent to J3373, 10 mg</w:t>
            </w:r>
          </w:p>
        </w:tc>
        <w:tc>
          <w:tcPr>
            <w:tcW w:w="1170" w:type="dxa"/>
            <w:tcBorders>
              <w:top w:val="nil"/>
              <w:left w:val="single" w:sz="4" w:space="0" w:color="auto"/>
              <w:bottom w:val="single" w:sz="4" w:space="0" w:color="auto"/>
              <w:right w:val="single" w:sz="4" w:space="0" w:color="auto"/>
            </w:tcBorders>
            <w:noWrap/>
          </w:tcPr>
          <w:p w14:paraId="6E08823C"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 xml:space="preserve">$0.10 </w:t>
            </w:r>
          </w:p>
        </w:tc>
      </w:tr>
      <w:tr w:rsidR="002F12C5" w:rsidRPr="00736A84" w14:paraId="0A990238"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5F329782" w14:textId="77777777" w:rsidR="002F12C5" w:rsidRPr="00EC48C0" w:rsidRDefault="002F12C5" w:rsidP="00D00855">
            <w:pPr>
              <w:contextualSpacing/>
              <w:jc w:val="center"/>
              <w:rPr>
                <w:rFonts w:ascii="Georgia" w:hAnsi="Georgia"/>
                <w:sz w:val="20"/>
                <w:szCs w:val="20"/>
              </w:rPr>
            </w:pPr>
            <w:r w:rsidRPr="00EC48C0">
              <w:rPr>
                <w:rFonts w:ascii="Georgia" w:hAnsi="Georgia"/>
              </w:rPr>
              <w:t>J3375</w:t>
            </w:r>
          </w:p>
        </w:tc>
        <w:tc>
          <w:tcPr>
            <w:tcW w:w="7740" w:type="dxa"/>
            <w:tcBorders>
              <w:top w:val="nil"/>
              <w:left w:val="single" w:sz="4" w:space="0" w:color="auto"/>
              <w:bottom w:val="single" w:sz="4" w:space="0" w:color="auto"/>
              <w:right w:val="single" w:sz="4" w:space="0" w:color="auto"/>
            </w:tcBorders>
            <w:noWrap/>
            <w:vAlign w:val="center"/>
          </w:tcPr>
          <w:p w14:paraId="32EB4293" w14:textId="77777777" w:rsidR="002F12C5" w:rsidRPr="00EC48C0" w:rsidRDefault="002F12C5" w:rsidP="00D00855">
            <w:pPr>
              <w:contextualSpacing/>
              <w:rPr>
                <w:rFonts w:ascii="Georgia" w:hAnsi="Georgia"/>
                <w:sz w:val="20"/>
                <w:szCs w:val="20"/>
              </w:rPr>
            </w:pPr>
            <w:r w:rsidRPr="00EC48C0">
              <w:rPr>
                <w:rFonts w:ascii="Georgia" w:hAnsi="Georgia"/>
              </w:rPr>
              <w:t>Injection, Vancomycin Hydrochloride (Xellia), not therapeutically equivalent to J3373, 10 mg</w:t>
            </w:r>
          </w:p>
        </w:tc>
        <w:tc>
          <w:tcPr>
            <w:tcW w:w="1170" w:type="dxa"/>
            <w:tcBorders>
              <w:top w:val="nil"/>
              <w:left w:val="single" w:sz="4" w:space="0" w:color="auto"/>
              <w:bottom w:val="single" w:sz="4" w:space="0" w:color="auto"/>
              <w:right w:val="single" w:sz="4" w:space="0" w:color="auto"/>
            </w:tcBorders>
            <w:noWrap/>
          </w:tcPr>
          <w:p w14:paraId="0665CDE8"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 xml:space="preserve">$0.11 </w:t>
            </w:r>
          </w:p>
        </w:tc>
      </w:tr>
      <w:tr w:rsidR="002F12C5" w:rsidRPr="00736A84" w14:paraId="01B2F010"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2AF6D604" w14:textId="77777777" w:rsidR="002F12C5" w:rsidRPr="00EC48C0" w:rsidRDefault="002F12C5" w:rsidP="00D00855">
            <w:pPr>
              <w:contextualSpacing/>
              <w:jc w:val="center"/>
              <w:rPr>
                <w:rFonts w:ascii="Georgia" w:hAnsi="Georgia"/>
                <w:sz w:val="20"/>
                <w:szCs w:val="20"/>
              </w:rPr>
            </w:pPr>
            <w:r w:rsidRPr="00EC48C0">
              <w:rPr>
                <w:rFonts w:ascii="Georgia" w:hAnsi="Georgia"/>
              </w:rPr>
              <w:t>J3391</w:t>
            </w:r>
          </w:p>
        </w:tc>
        <w:tc>
          <w:tcPr>
            <w:tcW w:w="7740" w:type="dxa"/>
            <w:tcBorders>
              <w:top w:val="nil"/>
              <w:left w:val="single" w:sz="4" w:space="0" w:color="auto"/>
              <w:bottom w:val="single" w:sz="4" w:space="0" w:color="auto"/>
              <w:right w:val="single" w:sz="4" w:space="0" w:color="auto"/>
            </w:tcBorders>
            <w:noWrap/>
            <w:vAlign w:val="center"/>
          </w:tcPr>
          <w:p w14:paraId="5A7D2FB8" w14:textId="77777777" w:rsidR="002F12C5" w:rsidRPr="00EC48C0" w:rsidRDefault="002F12C5" w:rsidP="00D00855">
            <w:pPr>
              <w:contextualSpacing/>
              <w:rPr>
                <w:rFonts w:ascii="Georgia" w:hAnsi="Georgia"/>
                <w:sz w:val="20"/>
                <w:szCs w:val="20"/>
              </w:rPr>
            </w:pPr>
            <w:r w:rsidRPr="00EC48C0">
              <w:rPr>
                <w:rFonts w:ascii="Georgia" w:hAnsi="Georgia"/>
              </w:rPr>
              <w:t>Injection, Atidarsagene Autotemcel, per treatment</w:t>
            </w:r>
          </w:p>
        </w:tc>
        <w:tc>
          <w:tcPr>
            <w:tcW w:w="1170" w:type="dxa"/>
            <w:tcBorders>
              <w:top w:val="nil"/>
              <w:left w:val="single" w:sz="4" w:space="0" w:color="auto"/>
              <w:bottom w:val="single" w:sz="4" w:space="0" w:color="auto"/>
              <w:right w:val="single" w:sz="4" w:space="0" w:color="auto"/>
            </w:tcBorders>
            <w:noWrap/>
          </w:tcPr>
          <w:p w14:paraId="0F9C7EA3"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IC</w:t>
            </w:r>
          </w:p>
        </w:tc>
      </w:tr>
      <w:tr w:rsidR="002F12C5" w:rsidRPr="00736A84" w14:paraId="04CF7DA1"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48B035CF" w14:textId="77777777" w:rsidR="002F12C5" w:rsidRPr="00EC48C0" w:rsidRDefault="002F12C5" w:rsidP="00D00855">
            <w:pPr>
              <w:contextualSpacing/>
              <w:jc w:val="center"/>
              <w:rPr>
                <w:rFonts w:ascii="Georgia" w:hAnsi="Georgia"/>
                <w:sz w:val="20"/>
                <w:szCs w:val="20"/>
              </w:rPr>
            </w:pPr>
            <w:r w:rsidRPr="00EC48C0">
              <w:rPr>
                <w:rFonts w:ascii="Georgia" w:hAnsi="Georgia"/>
              </w:rPr>
              <w:t>J7172</w:t>
            </w:r>
          </w:p>
        </w:tc>
        <w:tc>
          <w:tcPr>
            <w:tcW w:w="7740" w:type="dxa"/>
            <w:tcBorders>
              <w:top w:val="nil"/>
              <w:left w:val="single" w:sz="4" w:space="0" w:color="auto"/>
              <w:bottom w:val="single" w:sz="4" w:space="0" w:color="auto"/>
              <w:right w:val="single" w:sz="4" w:space="0" w:color="auto"/>
            </w:tcBorders>
            <w:noWrap/>
            <w:vAlign w:val="center"/>
          </w:tcPr>
          <w:p w14:paraId="2B0D0F2F" w14:textId="77777777" w:rsidR="002F12C5" w:rsidRPr="00EC48C0" w:rsidRDefault="002F12C5" w:rsidP="00D00855">
            <w:pPr>
              <w:contextualSpacing/>
              <w:rPr>
                <w:rFonts w:ascii="Georgia" w:hAnsi="Georgia"/>
                <w:sz w:val="20"/>
                <w:szCs w:val="20"/>
              </w:rPr>
            </w:pPr>
            <w:r w:rsidRPr="00EC48C0">
              <w:rPr>
                <w:rFonts w:ascii="Georgia" w:hAnsi="Georgia"/>
              </w:rPr>
              <w:t>Injection, Marstacimab-hncq, 0.5 mg</w:t>
            </w:r>
          </w:p>
        </w:tc>
        <w:tc>
          <w:tcPr>
            <w:tcW w:w="1170" w:type="dxa"/>
            <w:tcBorders>
              <w:top w:val="nil"/>
              <w:left w:val="single" w:sz="4" w:space="0" w:color="auto"/>
              <w:bottom w:val="single" w:sz="4" w:space="0" w:color="auto"/>
              <w:right w:val="single" w:sz="4" w:space="0" w:color="auto"/>
            </w:tcBorders>
            <w:noWrap/>
          </w:tcPr>
          <w:p w14:paraId="2F0C4568"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 xml:space="preserve">$43.11 </w:t>
            </w:r>
          </w:p>
        </w:tc>
      </w:tr>
      <w:tr w:rsidR="002F12C5" w:rsidRPr="00736A84" w14:paraId="4CBAA2BF"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27132A9C" w14:textId="77777777" w:rsidR="002F12C5" w:rsidRPr="00EC48C0" w:rsidRDefault="002F12C5" w:rsidP="00D00855">
            <w:pPr>
              <w:contextualSpacing/>
              <w:jc w:val="center"/>
              <w:rPr>
                <w:rFonts w:ascii="Georgia" w:hAnsi="Georgia"/>
                <w:sz w:val="20"/>
                <w:szCs w:val="20"/>
              </w:rPr>
            </w:pPr>
            <w:r w:rsidRPr="00EC48C0">
              <w:rPr>
                <w:rFonts w:ascii="Georgia" w:hAnsi="Georgia"/>
              </w:rPr>
              <w:t>J7356</w:t>
            </w:r>
          </w:p>
        </w:tc>
        <w:tc>
          <w:tcPr>
            <w:tcW w:w="7740" w:type="dxa"/>
            <w:tcBorders>
              <w:top w:val="nil"/>
              <w:left w:val="single" w:sz="4" w:space="0" w:color="auto"/>
              <w:bottom w:val="single" w:sz="4" w:space="0" w:color="auto"/>
              <w:right w:val="single" w:sz="4" w:space="0" w:color="auto"/>
            </w:tcBorders>
            <w:noWrap/>
            <w:vAlign w:val="center"/>
          </w:tcPr>
          <w:p w14:paraId="25566117" w14:textId="77777777" w:rsidR="002F12C5" w:rsidRPr="00EC48C0" w:rsidRDefault="002F12C5" w:rsidP="00D00855">
            <w:pPr>
              <w:contextualSpacing/>
              <w:rPr>
                <w:rFonts w:ascii="Georgia" w:hAnsi="Georgia"/>
                <w:sz w:val="20"/>
                <w:szCs w:val="20"/>
              </w:rPr>
            </w:pPr>
            <w:r w:rsidRPr="00EC48C0">
              <w:rPr>
                <w:rFonts w:ascii="Georgia" w:hAnsi="Georgia"/>
              </w:rPr>
              <w:t>Injection, Foscarbidopa 0.25 mg/Foslevodopa 5 mg</w:t>
            </w:r>
          </w:p>
        </w:tc>
        <w:tc>
          <w:tcPr>
            <w:tcW w:w="1170" w:type="dxa"/>
            <w:tcBorders>
              <w:top w:val="nil"/>
              <w:left w:val="single" w:sz="4" w:space="0" w:color="auto"/>
              <w:bottom w:val="single" w:sz="4" w:space="0" w:color="auto"/>
              <w:right w:val="single" w:sz="4" w:space="0" w:color="auto"/>
            </w:tcBorders>
            <w:noWrap/>
          </w:tcPr>
          <w:p w14:paraId="7DD76E97"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IC</w:t>
            </w:r>
          </w:p>
        </w:tc>
      </w:tr>
      <w:tr w:rsidR="002F12C5" w:rsidRPr="00736A84" w14:paraId="362038B6"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2F025806" w14:textId="77777777" w:rsidR="002F12C5" w:rsidRPr="00EC48C0" w:rsidRDefault="002F12C5" w:rsidP="00D00855">
            <w:pPr>
              <w:contextualSpacing/>
              <w:jc w:val="center"/>
              <w:rPr>
                <w:rFonts w:ascii="Georgia" w:hAnsi="Georgia"/>
                <w:sz w:val="20"/>
                <w:szCs w:val="20"/>
              </w:rPr>
            </w:pPr>
            <w:r w:rsidRPr="00EC48C0">
              <w:rPr>
                <w:rFonts w:ascii="Georgia" w:hAnsi="Georgia"/>
              </w:rPr>
              <w:t>J7521</w:t>
            </w:r>
          </w:p>
        </w:tc>
        <w:tc>
          <w:tcPr>
            <w:tcW w:w="7740" w:type="dxa"/>
            <w:tcBorders>
              <w:top w:val="nil"/>
              <w:left w:val="single" w:sz="4" w:space="0" w:color="auto"/>
              <w:bottom w:val="single" w:sz="4" w:space="0" w:color="auto"/>
              <w:right w:val="single" w:sz="4" w:space="0" w:color="auto"/>
            </w:tcBorders>
            <w:vAlign w:val="center"/>
          </w:tcPr>
          <w:p w14:paraId="07F7A178" w14:textId="77777777" w:rsidR="002F12C5" w:rsidRPr="00EC48C0" w:rsidRDefault="002F12C5" w:rsidP="00D00855">
            <w:pPr>
              <w:contextualSpacing/>
              <w:rPr>
                <w:rFonts w:ascii="Georgia" w:hAnsi="Georgia"/>
                <w:sz w:val="20"/>
                <w:szCs w:val="20"/>
              </w:rPr>
            </w:pPr>
            <w:r w:rsidRPr="00EC48C0">
              <w:rPr>
                <w:rFonts w:ascii="Georgia" w:hAnsi="Georgia"/>
              </w:rPr>
              <w:t>Tacrolimus, Granules, oral suspension, 0.1 mg</w:t>
            </w:r>
          </w:p>
        </w:tc>
        <w:tc>
          <w:tcPr>
            <w:tcW w:w="1170" w:type="dxa"/>
            <w:tcBorders>
              <w:top w:val="nil"/>
              <w:left w:val="single" w:sz="4" w:space="0" w:color="auto"/>
              <w:bottom w:val="single" w:sz="4" w:space="0" w:color="auto"/>
              <w:right w:val="single" w:sz="4" w:space="0" w:color="auto"/>
            </w:tcBorders>
            <w:noWrap/>
          </w:tcPr>
          <w:p w14:paraId="41FA306A"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 xml:space="preserve">$1.07 </w:t>
            </w:r>
          </w:p>
        </w:tc>
      </w:tr>
      <w:tr w:rsidR="002F12C5" w:rsidRPr="00736A84" w14:paraId="17BB2252"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0D2C6EAB" w14:textId="77777777" w:rsidR="002F12C5" w:rsidRPr="00EC48C0" w:rsidRDefault="002F12C5" w:rsidP="00D00855">
            <w:pPr>
              <w:contextualSpacing/>
              <w:jc w:val="center"/>
              <w:rPr>
                <w:rFonts w:ascii="Georgia" w:hAnsi="Georgia"/>
                <w:sz w:val="20"/>
                <w:szCs w:val="20"/>
              </w:rPr>
            </w:pPr>
            <w:r w:rsidRPr="00EC48C0">
              <w:rPr>
                <w:rFonts w:ascii="Georgia" w:hAnsi="Georgia"/>
              </w:rPr>
              <w:t>J9174</w:t>
            </w:r>
          </w:p>
        </w:tc>
        <w:tc>
          <w:tcPr>
            <w:tcW w:w="7740" w:type="dxa"/>
            <w:tcBorders>
              <w:top w:val="nil"/>
              <w:left w:val="single" w:sz="4" w:space="0" w:color="auto"/>
              <w:bottom w:val="single" w:sz="4" w:space="0" w:color="auto"/>
              <w:right w:val="single" w:sz="4" w:space="0" w:color="auto"/>
            </w:tcBorders>
            <w:vAlign w:val="center"/>
          </w:tcPr>
          <w:p w14:paraId="7C9E53B5" w14:textId="77777777" w:rsidR="002F12C5" w:rsidRPr="00EC48C0" w:rsidRDefault="002F12C5" w:rsidP="00D00855">
            <w:pPr>
              <w:contextualSpacing/>
              <w:rPr>
                <w:rFonts w:ascii="Georgia" w:hAnsi="Georgia"/>
                <w:sz w:val="20"/>
                <w:szCs w:val="20"/>
              </w:rPr>
            </w:pPr>
            <w:r w:rsidRPr="00EC48C0">
              <w:rPr>
                <w:rFonts w:ascii="Georgia" w:hAnsi="Georgia"/>
              </w:rPr>
              <w:t>Injection, Docetaxel (Beizray), 1 mg</w:t>
            </w:r>
          </w:p>
        </w:tc>
        <w:tc>
          <w:tcPr>
            <w:tcW w:w="1170" w:type="dxa"/>
            <w:tcBorders>
              <w:top w:val="nil"/>
              <w:left w:val="single" w:sz="4" w:space="0" w:color="auto"/>
              <w:bottom w:val="single" w:sz="4" w:space="0" w:color="auto"/>
              <w:right w:val="single" w:sz="4" w:space="0" w:color="auto"/>
            </w:tcBorders>
            <w:noWrap/>
          </w:tcPr>
          <w:p w14:paraId="60FE52CB"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IC</w:t>
            </w:r>
          </w:p>
        </w:tc>
      </w:tr>
      <w:tr w:rsidR="002F12C5" w:rsidRPr="00736A84" w14:paraId="0A23BFE0"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01205ED6" w14:textId="77777777" w:rsidR="002F12C5" w:rsidRPr="00EC48C0" w:rsidRDefault="002F12C5" w:rsidP="00D00855">
            <w:pPr>
              <w:contextualSpacing/>
              <w:jc w:val="center"/>
              <w:rPr>
                <w:rFonts w:ascii="Georgia" w:hAnsi="Georgia"/>
                <w:sz w:val="20"/>
                <w:szCs w:val="20"/>
              </w:rPr>
            </w:pPr>
            <w:r w:rsidRPr="00EC48C0">
              <w:rPr>
                <w:rFonts w:ascii="Georgia" w:hAnsi="Georgia"/>
              </w:rPr>
              <w:t>J9220</w:t>
            </w:r>
          </w:p>
        </w:tc>
        <w:tc>
          <w:tcPr>
            <w:tcW w:w="7740" w:type="dxa"/>
            <w:tcBorders>
              <w:top w:val="nil"/>
              <w:left w:val="single" w:sz="4" w:space="0" w:color="auto"/>
              <w:bottom w:val="single" w:sz="4" w:space="0" w:color="auto"/>
              <w:right w:val="single" w:sz="4" w:space="0" w:color="auto"/>
            </w:tcBorders>
            <w:vAlign w:val="center"/>
          </w:tcPr>
          <w:p w14:paraId="51E2F050" w14:textId="77777777" w:rsidR="002F12C5" w:rsidRPr="00EC48C0" w:rsidRDefault="002F12C5" w:rsidP="00D00855">
            <w:pPr>
              <w:contextualSpacing/>
              <w:rPr>
                <w:rFonts w:ascii="Georgia" w:hAnsi="Georgia"/>
                <w:sz w:val="20"/>
                <w:szCs w:val="20"/>
              </w:rPr>
            </w:pPr>
            <w:r w:rsidRPr="00EC48C0">
              <w:rPr>
                <w:rFonts w:ascii="Georgia" w:hAnsi="Georgia"/>
              </w:rPr>
              <w:t>Injection, Indigotindisulfonate sodium, 1 mg</w:t>
            </w:r>
          </w:p>
        </w:tc>
        <w:tc>
          <w:tcPr>
            <w:tcW w:w="1170" w:type="dxa"/>
            <w:tcBorders>
              <w:top w:val="nil"/>
              <w:left w:val="single" w:sz="4" w:space="0" w:color="auto"/>
              <w:bottom w:val="single" w:sz="4" w:space="0" w:color="auto"/>
              <w:right w:val="single" w:sz="4" w:space="0" w:color="auto"/>
            </w:tcBorders>
            <w:noWrap/>
          </w:tcPr>
          <w:p w14:paraId="0A2A0C3A"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IC</w:t>
            </w:r>
          </w:p>
        </w:tc>
      </w:tr>
      <w:tr w:rsidR="002F12C5" w:rsidRPr="00736A84" w14:paraId="05D542AD"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1884ADB3" w14:textId="77777777" w:rsidR="002F12C5" w:rsidRPr="00EC48C0" w:rsidRDefault="002F12C5" w:rsidP="00D00855">
            <w:pPr>
              <w:contextualSpacing/>
              <w:jc w:val="center"/>
              <w:rPr>
                <w:rFonts w:ascii="Georgia" w:hAnsi="Georgia"/>
                <w:sz w:val="20"/>
                <w:szCs w:val="20"/>
              </w:rPr>
            </w:pPr>
            <w:r w:rsidRPr="00EC48C0">
              <w:rPr>
                <w:rFonts w:ascii="Georgia" w:hAnsi="Georgia"/>
              </w:rPr>
              <w:t>J9275</w:t>
            </w:r>
          </w:p>
        </w:tc>
        <w:tc>
          <w:tcPr>
            <w:tcW w:w="7740" w:type="dxa"/>
            <w:tcBorders>
              <w:top w:val="nil"/>
              <w:left w:val="single" w:sz="4" w:space="0" w:color="auto"/>
              <w:bottom w:val="single" w:sz="4" w:space="0" w:color="auto"/>
              <w:right w:val="single" w:sz="4" w:space="0" w:color="auto"/>
            </w:tcBorders>
            <w:vAlign w:val="center"/>
          </w:tcPr>
          <w:p w14:paraId="35085DC8" w14:textId="77777777" w:rsidR="002F12C5" w:rsidRPr="00EC48C0" w:rsidRDefault="002F12C5" w:rsidP="00D00855">
            <w:pPr>
              <w:contextualSpacing/>
              <w:rPr>
                <w:rFonts w:ascii="Georgia" w:hAnsi="Georgia"/>
                <w:sz w:val="20"/>
                <w:szCs w:val="20"/>
              </w:rPr>
            </w:pPr>
            <w:r w:rsidRPr="00EC48C0">
              <w:rPr>
                <w:rFonts w:ascii="Georgia" w:hAnsi="Georgia"/>
              </w:rPr>
              <w:t>Injection, Cosibelimab-ipdl, 2 mg</w:t>
            </w:r>
          </w:p>
        </w:tc>
        <w:tc>
          <w:tcPr>
            <w:tcW w:w="1170" w:type="dxa"/>
            <w:tcBorders>
              <w:top w:val="nil"/>
              <w:left w:val="single" w:sz="4" w:space="0" w:color="auto"/>
              <w:bottom w:val="single" w:sz="4" w:space="0" w:color="auto"/>
              <w:right w:val="single" w:sz="4" w:space="0" w:color="auto"/>
            </w:tcBorders>
            <w:noWrap/>
          </w:tcPr>
          <w:p w14:paraId="1D028C83"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IC</w:t>
            </w:r>
          </w:p>
        </w:tc>
      </w:tr>
      <w:tr w:rsidR="002F12C5" w:rsidRPr="00736A84" w14:paraId="0264E85F"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616BAC74" w14:textId="77777777" w:rsidR="002F12C5" w:rsidRPr="00EC48C0" w:rsidRDefault="002F12C5" w:rsidP="00D00855">
            <w:pPr>
              <w:contextualSpacing/>
              <w:jc w:val="center"/>
              <w:rPr>
                <w:rFonts w:ascii="Georgia" w:hAnsi="Georgia"/>
                <w:sz w:val="20"/>
                <w:szCs w:val="20"/>
              </w:rPr>
            </w:pPr>
            <w:r w:rsidRPr="00EC48C0">
              <w:rPr>
                <w:rFonts w:ascii="Georgia" w:hAnsi="Georgia"/>
              </w:rPr>
              <w:t>J9276</w:t>
            </w:r>
          </w:p>
        </w:tc>
        <w:tc>
          <w:tcPr>
            <w:tcW w:w="7740" w:type="dxa"/>
            <w:tcBorders>
              <w:top w:val="nil"/>
              <w:left w:val="single" w:sz="4" w:space="0" w:color="auto"/>
              <w:bottom w:val="single" w:sz="4" w:space="0" w:color="auto"/>
              <w:right w:val="single" w:sz="4" w:space="0" w:color="auto"/>
            </w:tcBorders>
            <w:vAlign w:val="center"/>
          </w:tcPr>
          <w:p w14:paraId="7AC3D486" w14:textId="77777777" w:rsidR="002F12C5" w:rsidRPr="00EC48C0" w:rsidRDefault="002F12C5" w:rsidP="00D00855">
            <w:pPr>
              <w:contextualSpacing/>
              <w:rPr>
                <w:rFonts w:ascii="Georgia" w:hAnsi="Georgia"/>
                <w:sz w:val="20"/>
                <w:szCs w:val="20"/>
              </w:rPr>
            </w:pPr>
            <w:r w:rsidRPr="00EC48C0">
              <w:rPr>
                <w:rFonts w:ascii="Georgia" w:hAnsi="Georgia"/>
              </w:rPr>
              <w:t>Injection, Zanidatamab-hrii, 2 mg</w:t>
            </w:r>
          </w:p>
        </w:tc>
        <w:tc>
          <w:tcPr>
            <w:tcW w:w="1170" w:type="dxa"/>
            <w:tcBorders>
              <w:top w:val="nil"/>
              <w:left w:val="single" w:sz="4" w:space="0" w:color="auto"/>
              <w:bottom w:val="single" w:sz="4" w:space="0" w:color="auto"/>
              <w:right w:val="single" w:sz="4" w:space="0" w:color="auto"/>
            </w:tcBorders>
            <w:noWrap/>
          </w:tcPr>
          <w:p w14:paraId="45BD1895"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 xml:space="preserve">$21.32 </w:t>
            </w:r>
          </w:p>
        </w:tc>
      </w:tr>
      <w:tr w:rsidR="002F12C5" w:rsidRPr="00736A84" w14:paraId="7FC83A45"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743328A0" w14:textId="77777777" w:rsidR="002F12C5" w:rsidRPr="00EC48C0" w:rsidRDefault="002F12C5" w:rsidP="00D00855">
            <w:pPr>
              <w:contextualSpacing/>
              <w:jc w:val="center"/>
              <w:rPr>
                <w:rFonts w:ascii="Georgia" w:hAnsi="Georgia"/>
                <w:sz w:val="20"/>
                <w:szCs w:val="20"/>
              </w:rPr>
            </w:pPr>
            <w:r w:rsidRPr="00EC48C0">
              <w:rPr>
                <w:rFonts w:ascii="Georgia" w:hAnsi="Georgia"/>
              </w:rPr>
              <w:t>J9289</w:t>
            </w:r>
          </w:p>
        </w:tc>
        <w:tc>
          <w:tcPr>
            <w:tcW w:w="7740" w:type="dxa"/>
            <w:tcBorders>
              <w:top w:val="nil"/>
              <w:left w:val="single" w:sz="4" w:space="0" w:color="auto"/>
              <w:bottom w:val="single" w:sz="4" w:space="0" w:color="auto"/>
              <w:right w:val="single" w:sz="4" w:space="0" w:color="auto"/>
            </w:tcBorders>
            <w:vAlign w:val="center"/>
          </w:tcPr>
          <w:p w14:paraId="69AA7118" w14:textId="77777777" w:rsidR="002F12C5" w:rsidRPr="00EC48C0" w:rsidRDefault="002F12C5" w:rsidP="00D00855">
            <w:pPr>
              <w:contextualSpacing/>
              <w:rPr>
                <w:rFonts w:ascii="Georgia" w:hAnsi="Georgia"/>
                <w:sz w:val="20"/>
                <w:szCs w:val="20"/>
              </w:rPr>
            </w:pPr>
            <w:r w:rsidRPr="00EC48C0">
              <w:rPr>
                <w:rFonts w:ascii="Georgia" w:hAnsi="Georgia"/>
              </w:rPr>
              <w:t>Injection, Nivolumab, 2 mg and Hyaluronidase-nvhy</w:t>
            </w:r>
          </w:p>
        </w:tc>
        <w:tc>
          <w:tcPr>
            <w:tcW w:w="1170" w:type="dxa"/>
            <w:tcBorders>
              <w:top w:val="nil"/>
              <w:left w:val="single" w:sz="4" w:space="0" w:color="auto"/>
              <w:bottom w:val="single" w:sz="4" w:space="0" w:color="auto"/>
              <w:right w:val="single" w:sz="4" w:space="0" w:color="auto"/>
            </w:tcBorders>
            <w:noWrap/>
          </w:tcPr>
          <w:p w14:paraId="4AC196EF"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IC</w:t>
            </w:r>
          </w:p>
        </w:tc>
      </w:tr>
      <w:tr w:rsidR="002F12C5" w:rsidRPr="00736A84" w14:paraId="59460517"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3F70550A" w14:textId="77777777" w:rsidR="002F12C5" w:rsidRPr="00EC48C0" w:rsidRDefault="002F12C5" w:rsidP="00D00855">
            <w:pPr>
              <w:contextualSpacing/>
              <w:jc w:val="center"/>
              <w:rPr>
                <w:rFonts w:ascii="Georgia" w:hAnsi="Georgia"/>
                <w:sz w:val="20"/>
                <w:szCs w:val="20"/>
              </w:rPr>
            </w:pPr>
            <w:r w:rsidRPr="00EC48C0">
              <w:rPr>
                <w:rFonts w:ascii="Georgia" w:hAnsi="Georgia"/>
              </w:rPr>
              <w:t>J9341</w:t>
            </w:r>
          </w:p>
        </w:tc>
        <w:tc>
          <w:tcPr>
            <w:tcW w:w="7740" w:type="dxa"/>
            <w:tcBorders>
              <w:top w:val="nil"/>
              <w:left w:val="single" w:sz="4" w:space="0" w:color="auto"/>
              <w:bottom w:val="single" w:sz="4" w:space="0" w:color="auto"/>
              <w:right w:val="single" w:sz="4" w:space="0" w:color="auto"/>
            </w:tcBorders>
            <w:vAlign w:val="center"/>
          </w:tcPr>
          <w:p w14:paraId="537B30BB" w14:textId="77777777" w:rsidR="002F12C5" w:rsidRPr="00EC48C0" w:rsidRDefault="002F12C5" w:rsidP="00D00855">
            <w:pPr>
              <w:contextualSpacing/>
              <w:rPr>
                <w:rFonts w:ascii="Georgia" w:hAnsi="Georgia"/>
                <w:sz w:val="20"/>
                <w:szCs w:val="20"/>
              </w:rPr>
            </w:pPr>
            <w:r w:rsidRPr="00EC48C0">
              <w:rPr>
                <w:rFonts w:ascii="Georgia" w:hAnsi="Georgia"/>
              </w:rPr>
              <w:t>Injection, Thiotepa (Tepylute), 1 mg</w:t>
            </w:r>
          </w:p>
        </w:tc>
        <w:tc>
          <w:tcPr>
            <w:tcW w:w="1170" w:type="dxa"/>
            <w:tcBorders>
              <w:top w:val="nil"/>
              <w:left w:val="single" w:sz="4" w:space="0" w:color="auto"/>
              <w:bottom w:val="single" w:sz="4" w:space="0" w:color="auto"/>
              <w:right w:val="single" w:sz="4" w:space="0" w:color="auto"/>
            </w:tcBorders>
            <w:noWrap/>
          </w:tcPr>
          <w:p w14:paraId="38095671"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IC</w:t>
            </w:r>
          </w:p>
        </w:tc>
      </w:tr>
      <w:tr w:rsidR="002F12C5" w:rsidRPr="00736A84" w14:paraId="3EB459DB"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6E3E2D9A" w14:textId="77777777" w:rsidR="002F12C5" w:rsidRPr="00EC48C0" w:rsidRDefault="002F12C5" w:rsidP="00D00855">
            <w:pPr>
              <w:contextualSpacing/>
              <w:jc w:val="center"/>
              <w:rPr>
                <w:rFonts w:ascii="Georgia" w:hAnsi="Georgia"/>
                <w:sz w:val="20"/>
                <w:szCs w:val="20"/>
              </w:rPr>
            </w:pPr>
            <w:r w:rsidRPr="00EC48C0">
              <w:rPr>
                <w:rFonts w:ascii="Georgia" w:hAnsi="Georgia"/>
              </w:rPr>
              <w:t>J9342</w:t>
            </w:r>
          </w:p>
        </w:tc>
        <w:tc>
          <w:tcPr>
            <w:tcW w:w="7740" w:type="dxa"/>
            <w:tcBorders>
              <w:top w:val="nil"/>
              <w:left w:val="single" w:sz="4" w:space="0" w:color="auto"/>
              <w:bottom w:val="single" w:sz="4" w:space="0" w:color="auto"/>
              <w:right w:val="single" w:sz="4" w:space="0" w:color="auto"/>
            </w:tcBorders>
            <w:vAlign w:val="bottom"/>
          </w:tcPr>
          <w:p w14:paraId="62685C83" w14:textId="77777777" w:rsidR="002F12C5" w:rsidRPr="00EC48C0" w:rsidRDefault="002F12C5" w:rsidP="00D00855">
            <w:pPr>
              <w:contextualSpacing/>
              <w:rPr>
                <w:rFonts w:ascii="Georgia" w:hAnsi="Georgia"/>
                <w:sz w:val="20"/>
                <w:szCs w:val="20"/>
              </w:rPr>
            </w:pPr>
            <w:r w:rsidRPr="00EC48C0">
              <w:rPr>
                <w:rFonts w:ascii="Georgia" w:hAnsi="Georgia"/>
              </w:rPr>
              <w:t>Injection, Thiotepa, not otherwise specified, 1 mg</w:t>
            </w:r>
          </w:p>
        </w:tc>
        <w:tc>
          <w:tcPr>
            <w:tcW w:w="1170" w:type="dxa"/>
            <w:tcBorders>
              <w:top w:val="nil"/>
              <w:left w:val="single" w:sz="4" w:space="0" w:color="auto"/>
              <w:bottom w:val="single" w:sz="4" w:space="0" w:color="auto"/>
              <w:right w:val="single" w:sz="4" w:space="0" w:color="auto"/>
            </w:tcBorders>
            <w:noWrap/>
          </w:tcPr>
          <w:p w14:paraId="58B1F943"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 xml:space="preserve">$10.40 </w:t>
            </w:r>
          </w:p>
        </w:tc>
      </w:tr>
      <w:tr w:rsidR="002F12C5" w:rsidRPr="00736A84" w14:paraId="29DA3193" w14:textId="77777777" w:rsidTr="00D00855">
        <w:trPr>
          <w:trHeight w:val="288"/>
        </w:trPr>
        <w:tc>
          <w:tcPr>
            <w:tcW w:w="1255" w:type="dxa"/>
            <w:tcBorders>
              <w:top w:val="nil"/>
              <w:left w:val="single" w:sz="4" w:space="0" w:color="auto"/>
              <w:bottom w:val="single" w:sz="4" w:space="0" w:color="auto"/>
              <w:right w:val="single" w:sz="4" w:space="0" w:color="auto"/>
            </w:tcBorders>
            <w:noWrap/>
            <w:vAlign w:val="center"/>
          </w:tcPr>
          <w:p w14:paraId="27E7EA38" w14:textId="77777777" w:rsidR="002F12C5" w:rsidRPr="00EC48C0" w:rsidRDefault="002F12C5" w:rsidP="00D00855">
            <w:pPr>
              <w:contextualSpacing/>
              <w:jc w:val="center"/>
              <w:rPr>
                <w:rFonts w:ascii="Georgia" w:hAnsi="Georgia"/>
                <w:sz w:val="20"/>
                <w:szCs w:val="20"/>
              </w:rPr>
            </w:pPr>
            <w:r w:rsidRPr="00EC48C0">
              <w:rPr>
                <w:rFonts w:ascii="Georgia" w:hAnsi="Georgia"/>
              </w:rPr>
              <w:t>J9382</w:t>
            </w:r>
          </w:p>
        </w:tc>
        <w:tc>
          <w:tcPr>
            <w:tcW w:w="7740" w:type="dxa"/>
            <w:tcBorders>
              <w:top w:val="nil"/>
              <w:left w:val="single" w:sz="4" w:space="0" w:color="auto"/>
              <w:bottom w:val="single" w:sz="4" w:space="0" w:color="auto"/>
              <w:right w:val="single" w:sz="4" w:space="0" w:color="auto"/>
            </w:tcBorders>
            <w:vAlign w:val="bottom"/>
          </w:tcPr>
          <w:p w14:paraId="07114103" w14:textId="77777777" w:rsidR="002F12C5" w:rsidRPr="00EC48C0" w:rsidRDefault="002F12C5" w:rsidP="00D00855">
            <w:pPr>
              <w:contextualSpacing/>
              <w:rPr>
                <w:rFonts w:ascii="Georgia" w:hAnsi="Georgia"/>
                <w:sz w:val="20"/>
                <w:szCs w:val="20"/>
              </w:rPr>
            </w:pPr>
            <w:r w:rsidRPr="00EC48C0">
              <w:rPr>
                <w:rFonts w:ascii="Georgia" w:hAnsi="Georgia"/>
              </w:rPr>
              <w:t>Injection, Zenocutuzumab-zbco, 1 mg</w:t>
            </w:r>
          </w:p>
        </w:tc>
        <w:tc>
          <w:tcPr>
            <w:tcW w:w="1170" w:type="dxa"/>
            <w:tcBorders>
              <w:top w:val="nil"/>
              <w:left w:val="single" w:sz="4" w:space="0" w:color="auto"/>
              <w:bottom w:val="single" w:sz="4" w:space="0" w:color="auto"/>
              <w:right w:val="single" w:sz="4" w:space="0" w:color="auto"/>
            </w:tcBorders>
            <w:noWrap/>
          </w:tcPr>
          <w:p w14:paraId="3BF7BB53"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IC</w:t>
            </w:r>
          </w:p>
        </w:tc>
      </w:tr>
      <w:tr w:rsidR="002F12C5" w:rsidRPr="00736A84" w14:paraId="76F7BE88" w14:textId="77777777" w:rsidTr="00D00855">
        <w:trPr>
          <w:trHeight w:val="288"/>
        </w:trPr>
        <w:tc>
          <w:tcPr>
            <w:tcW w:w="1255" w:type="dxa"/>
            <w:tcBorders>
              <w:top w:val="single" w:sz="4" w:space="0" w:color="auto"/>
              <w:left w:val="single" w:sz="4" w:space="0" w:color="auto"/>
              <w:bottom w:val="single" w:sz="4" w:space="0" w:color="auto"/>
              <w:right w:val="single" w:sz="4" w:space="0" w:color="auto"/>
            </w:tcBorders>
            <w:noWrap/>
            <w:vAlign w:val="center"/>
          </w:tcPr>
          <w:p w14:paraId="32ACA6C0" w14:textId="77777777" w:rsidR="002F12C5" w:rsidRPr="00EC48C0" w:rsidRDefault="002F12C5" w:rsidP="00D00855">
            <w:pPr>
              <w:jc w:val="center"/>
              <w:rPr>
                <w:rFonts w:ascii="Georgia" w:hAnsi="Georgia"/>
                <w:sz w:val="20"/>
                <w:szCs w:val="20"/>
              </w:rPr>
            </w:pPr>
            <w:r w:rsidRPr="00EC48C0">
              <w:rPr>
                <w:rFonts w:ascii="Georgia" w:hAnsi="Georgia"/>
              </w:rPr>
              <w:t>Q2058</w:t>
            </w:r>
          </w:p>
        </w:tc>
        <w:tc>
          <w:tcPr>
            <w:tcW w:w="7740" w:type="dxa"/>
            <w:tcBorders>
              <w:top w:val="single" w:sz="4" w:space="0" w:color="auto"/>
              <w:left w:val="single" w:sz="4" w:space="0" w:color="auto"/>
              <w:bottom w:val="single" w:sz="4" w:space="0" w:color="auto"/>
              <w:right w:val="single" w:sz="4" w:space="0" w:color="auto"/>
            </w:tcBorders>
            <w:vAlign w:val="bottom"/>
          </w:tcPr>
          <w:p w14:paraId="2485DF21" w14:textId="77777777" w:rsidR="002F12C5" w:rsidRPr="00EC48C0" w:rsidRDefault="002F12C5" w:rsidP="00D00855">
            <w:pPr>
              <w:contextualSpacing/>
              <w:rPr>
                <w:rFonts w:ascii="Georgia" w:hAnsi="Georgia"/>
                <w:sz w:val="20"/>
                <w:szCs w:val="20"/>
              </w:rPr>
            </w:pPr>
            <w:r w:rsidRPr="00EC48C0">
              <w:rPr>
                <w:rFonts w:ascii="Georgia" w:hAnsi="Georgia"/>
              </w:rPr>
              <w:t>Obecabtagene Autoleucel, 10 up to 400 million CD19 CAR-positive viable T cells, including leukapharesis and dose preparation procedures, per infusion</w:t>
            </w:r>
          </w:p>
        </w:tc>
        <w:tc>
          <w:tcPr>
            <w:tcW w:w="1170" w:type="dxa"/>
            <w:tcBorders>
              <w:top w:val="single" w:sz="4" w:space="0" w:color="auto"/>
              <w:left w:val="single" w:sz="4" w:space="0" w:color="auto"/>
              <w:bottom w:val="single" w:sz="4" w:space="0" w:color="auto"/>
              <w:right w:val="single" w:sz="4" w:space="0" w:color="auto"/>
            </w:tcBorders>
            <w:noWrap/>
          </w:tcPr>
          <w:p w14:paraId="3ECDC47D" w14:textId="77777777" w:rsidR="002F12C5" w:rsidRPr="00EC48C0" w:rsidRDefault="002F12C5" w:rsidP="00D00855">
            <w:pPr>
              <w:contextualSpacing/>
              <w:jc w:val="center"/>
              <w:rPr>
                <w:rFonts w:ascii="Georgia" w:hAnsi="Georgia"/>
                <w:sz w:val="20"/>
                <w:szCs w:val="20"/>
              </w:rPr>
            </w:pPr>
            <w:r w:rsidRPr="00EC48C0">
              <w:rPr>
                <w:rFonts w:ascii="Georgia" w:hAnsi="Georgia"/>
                <w:color w:val="000000"/>
              </w:rPr>
              <w:t>IC</w:t>
            </w:r>
          </w:p>
        </w:tc>
      </w:tr>
    </w:tbl>
    <w:p w14:paraId="1955606B" w14:textId="74850A64" w:rsidR="002F12C5" w:rsidRPr="000E095C" w:rsidRDefault="002F12C5" w:rsidP="00DF586D">
      <w:pPr>
        <w:pStyle w:val="Heading3"/>
        <w:spacing w:before="360"/>
        <w:rPr>
          <w:rFonts w:cs="Times New Roman"/>
        </w:rPr>
      </w:pPr>
      <w:r w:rsidRPr="000E095C">
        <w:rPr>
          <w:rFonts w:cs="Times New Roman"/>
        </w:rPr>
        <w:t>Deleted Codes</w:t>
      </w:r>
    </w:p>
    <w:tbl>
      <w:tblPr>
        <w:tblStyle w:val="TableGrid"/>
        <w:tblW w:w="10165" w:type="dxa"/>
        <w:tblLook w:val="04A0" w:firstRow="1" w:lastRow="0" w:firstColumn="1" w:lastColumn="0" w:noHBand="0" w:noVBand="1"/>
      </w:tblPr>
      <w:tblGrid>
        <w:gridCol w:w="1255"/>
        <w:gridCol w:w="8910"/>
      </w:tblGrid>
      <w:tr w:rsidR="002F12C5" w:rsidRPr="00736A84" w14:paraId="75067838" w14:textId="77777777" w:rsidTr="00D00855">
        <w:trPr>
          <w:trHeight w:val="290"/>
          <w:tblHeader/>
        </w:trPr>
        <w:tc>
          <w:tcPr>
            <w:tcW w:w="1255" w:type="dxa"/>
            <w:noWrap/>
            <w:vAlign w:val="center"/>
            <w:hideMark/>
          </w:tcPr>
          <w:p w14:paraId="7B60A9D5" w14:textId="77777777" w:rsidR="002F12C5" w:rsidRPr="00182D05" w:rsidRDefault="002F12C5" w:rsidP="00D00855">
            <w:pPr>
              <w:contextualSpacing/>
              <w:jc w:val="center"/>
              <w:rPr>
                <w:rFonts w:ascii="Georgia" w:hAnsi="Georgia"/>
                <w:b/>
                <w:bCs/>
              </w:rPr>
            </w:pPr>
            <w:r w:rsidRPr="00182D05">
              <w:rPr>
                <w:rFonts w:ascii="Georgia" w:hAnsi="Georgia"/>
                <w:b/>
                <w:bCs/>
              </w:rPr>
              <w:t>Code</w:t>
            </w:r>
          </w:p>
        </w:tc>
        <w:tc>
          <w:tcPr>
            <w:tcW w:w="8910" w:type="dxa"/>
            <w:noWrap/>
            <w:vAlign w:val="center"/>
            <w:hideMark/>
          </w:tcPr>
          <w:p w14:paraId="46603CBA" w14:textId="77777777" w:rsidR="002F12C5" w:rsidRPr="00182D05" w:rsidRDefault="002F12C5" w:rsidP="00D00855">
            <w:pPr>
              <w:contextualSpacing/>
              <w:jc w:val="center"/>
              <w:rPr>
                <w:rFonts w:ascii="Georgia" w:hAnsi="Georgia"/>
                <w:b/>
                <w:bCs/>
              </w:rPr>
            </w:pPr>
            <w:r w:rsidRPr="00182D05">
              <w:rPr>
                <w:rFonts w:ascii="Georgia" w:hAnsi="Georgia"/>
                <w:b/>
                <w:bCs/>
              </w:rPr>
              <w:t>Description</w:t>
            </w:r>
          </w:p>
        </w:tc>
      </w:tr>
      <w:tr w:rsidR="002F12C5" w:rsidRPr="00500A28" w14:paraId="54A17AB4" w14:textId="77777777" w:rsidTr="00D00855">
        <w:trPr>
          <w:trHeight w:val="290"/>
        </w:trPr>
        <w:tc>
          <w:tcPr>
            <w:tcW w:w="1255" w:type="dxa"/>
            <w:noWrap/>
            <w:vAlign w:val="bottom"/>
          </w:tcPr>
          <w:p w14:paraId="143EF595" w14:textId="77777777" w:rsidR="002F12C5" w:rsidRPr="00EC48C0" w:rsidRDefault="002F12C5" w:rsidP="00D00855">
            <w:pPr>
              <w:jc w:val="center"/>
              <w:rPr>
                <w:rFonts w:ascii="Georgia" w:hAnsi="Georgia"/>
                <w:color w:val="000000"/>
                <w:sz w:val="20"/>
                <w:szCs w:val="20"/>
              </w:rPr>
            </w:pPr>
            <w:r w:rsidRPr="00EC48C0">
              <w:rPr>
                <w:rFonts w:ascii="Georgia" w:hAnsi="Georgia"/>
                <w:color w:val="000000"/>
              </w:rPr>
              <w:t>J0171</w:t>
            </w:r>
          </w:p>
        </w:tc>
        <w:tc>
          <w:tcPr>
            <w:tcW w:w="8910" w:type="dxa"/>
            <w:noWrap/>
            <w:vAlign w:val="bottom"/>
          </w:tcPr>
          <w:p w14:paraId="4E6004B5" w14:textId="77777777" w:rsidR="002F12C5" w:rsidRPr="00EC48C0" w:rsidRDefault="002F12C5" w:rsidP="00D00855">
            <w:pPr>
              <w:rPr>
                <w:rFonts w:ascii="Georgia" w:hAnsi="Georgia"/>
                <w:color w:val="000000"/>
                <w:sz w:val="20"/>
                <w:szCs w:val="20"/>
              </w:rPr>
            </w:pPr>
            <w:r w:rsidRPr="00EC48C0">
              <w:rPr>
                <w:rFonts w:ascii="Georgia" w:hAnsi="Georgia"/>
                <w:color w:val="000000"/>
              </w:rPr>
              <w:t>Injection, Adrenalin, Epinephrine, 0.1 mg</w:t>
            </w:r>
          </w:p>
        </w:tc>
      </w:tr>
      <w:tr w:rsidR="002F12C5" w:rsidRPr="00500A28" w14:paraId="5065F30D" w14:textId="77777777" w:rsidTr="00D00855">
        <w:trPr>
          <w:trHeight w:val="290"/>
        </w:trPr>
        <w:tc>
          <w:tcPr>
            <w:tcW w:w="1255" w:type="dxa"/>
            <w:noWrap/>
            <w:vAlign w:val="bottom"/>
          </w:tcPr>
          <w:p w14:paraId="51ED3B42" w14:textId="77777777" w:rsidR="002F12C5" w:rsidRPr="00EC48C0" w:rsidRDefault="002F12C5" w:rsidP="00D00855">
            <w:pPr>
              <w:jc w:val="center"/>
              <w:rPr>
                <w:rFonts w:ascii="Georgia" w:hAnsi="Georgia"/>
                <w:color w:val="000000"/>
                <w:sz w:val="20"/>
                <w:szCs w:val="20"/>
              </w:rPr>
            </w:pPr>
            <w:r w:rsidRPr="00EC48C0">
              <w:rPr>
                <w:rFonts w:ascii="Georgia" w:hAnsi="Georgia"/>
                <w:color w:val="000000"/>
              </w:rPr>
              <w:t>J0173</w:t>
            </w:r>
          </w:p>
        </w:tc>
        <w:tc>
          <w:tcPr>
            <w:tcW w:w="8910" w:type="dxa"/>
            <w:noWrap/>
            <w:vAlign w:val="bottom"/>
          </w:tcPr>
          <w:p w14:paraId="15073416" w14:textId="77777777" w:rsidR="002F12C5" w:rsidRPr="00EC48C0" w:rsidRDefault="002F12C5" w:rsidP="00D00855">
            <w:pPr>
              <w:rPr>
                <w:rFonts w:ascii="Georgia" w:hAnsi="Georgia"/>
                <w:color w:val="000000"/>
                <w:sz w:val="20"/>
                <w:szCs w:val="20"/>
              </w:rPr>
            </w:pPr>
            <w:r w:rsidRPr="00EC48C0">
              <w:rPr>
                <w:rFonts w:ascii="Georgia" w:hAnsi="Georgia"/>
                <w:color w:val="000000"/>
              </w:rPr>
              <w:t>Injection, Epinephrine (Belcherr), not therapeutically equivalent to J0171, 0.1 mg</w:t>
            </w:r>
          </w:p>
        </w:tc>
      </w:tr>
      <w:tr w:rsidR="002F12C5" w:rsidRPr="00500A28" w14:paraId="4BC99732" w14:textId="77777777" w:rsidTr="00D00855">
        <w:trPr>
          <w:trHeight w:val="290"/>
        </w:trPr>
        <w:tc>
          <w:tcPr>
            <w:tcW w:w="1255" w:type="dxa"/>
            <w:noWrap/>
            <w:vAlign w:val="bottom"/>
          </w:tcPr>
          <w:p w14:paraId="722A295D" w14:textId="77777777" w:rsidR="002F12C5" w:rsidRPr="00EC48C0" w:rsidRDefault="002F12C5" w:rsidP="00D00855">
            <w:pPr>
              <w:jc w:val="center"/>
              <w:rPr>
                <w:rFonts w:ascii="Georgia" w:hAnsi="Georgia"/>
                <w:color w:val="000000"/>
                <w:sz w:val="20"/>
                <w:szCs w:val="20"/>
              </w:rPr>
            </w:pPr>
            <w:r w:rsidRPr="00EC48C0">
              <w:rPr>
                <w:rFonts w:ascii="Georgia" w:hAnsi="Georgia"/>
                <w:color w:val="000000"/>
              </w:rPr>
              <w:t>J2310</w:t>
            </w:r>
          </w:p>
        </w:tc>
        <w:tc>
          <w:tcPr>
            <w:tcW w:w="8910" w:type="dxa"/>
            <w:noWrap/>
            <w:vAlign w:val="bottom"/>
          </w:tcPr>
          <w:p w14:paraId="5681C759" w14:textId="77777777" w:rsidR="002F12C5" w:rsidRPr="00EC48C0" w:rsidRDefault="002F12C5" w:rsidP="00D00855">
            <w:pPr>
              <w:rPr>
                <w:rFonts w:ascii="Georgia" w:hAnsi="Georgia"/>
                <w:color w:val="000000"/>
                <w:sz w:val="20"/>
                <w:szCs w:val="20"/>
              </w:rPr>
            </w:pPr>
            <w:r w:rsidRPr="00EC48C0">
              <w:rPr>
                <w:rFonts w:ascii="Georgia" w:hAnsi="Georgia"/>
                <w:color w:val="000000"/>
              </w:rPr>
              <w:t>Injection, Naloxone Hydrochloride, per 1 mg</w:t>
            </w:r>
          </w:p>
        </w:tc>
      </w:tr>
      <w:tr w:rsidR="002F12C5" w:rsidRPr="00500A28" w14:paraId="20182F4C" w14:textId="77777777" w:rsidTr="00D00855">
        <w:trPr>
          <w:trHeight w:val="290"/>
        </w:trPr>
        <w:tc>
          <w:tcPr>
            <w:tcW w:w="1255" w:type="dxa"/>
            <w:noWrap/>
            <w:vAlign w:val="bottom"/>
          </w:tcPr>
          <w:p w14:paraId="0FBA284B" w14:textId="77777777" w:rsidR="002F12C5" w:rsidRPr="00EC48C0" w:rsidRDefault="002F12C5" w:rsidP="00D00855">
            <w:pPr>
              <w:jc w:val="center"/>
              <w:rPr>
                <w:rFonts w:ascii="Georgia" w:hAnsi="Georgia"/>
                <w:color w:val="000000"/>
                <w:sz w:val="20"/>
                <w:szCs w:val="20"/>
              </w:rPr>
            </w:pPr>
            <w:r w:rsidRPr="00EC48C0">
              <w:rPr>
                <w:rFonts w:ascii="Georgia" w:hAnsi="Georgia"/>
                <w:color w:val="000000"/>
              </w:rPr>
              <w:t>J2311</w:t>
            </w:r>
          </w:p>
        </w:tc>
        <w:tc>
          <w:tcPr>
            <w:tcW w:w="8910" w:type="dxa"/>
            <w:noWrap/>
            <w:vAlign w:val="bottom"/>
          </w:tcPr>
          <w:p w14:paraId="73A87187" w14:textId="77777777" w:rsidR="002F12C5" w:rsidRPr="00EC48C0" w:rsidRDefault="002F12C5" w:rsidP="00D00855">
            <w:pPr>
              <w:rPr>
                <w:rFonts w:ascii="Georgia" w:hAnsi="Georgia"/>
                <w:color w:val="000000"/>
                <w:sz w:val="20"/>
                <w:szCs w:val="20"/>
              </w:rPr>
            </w:pPr>
            <w:r w:rsidRPr="00EC48C0">
              <w:rPr>
                <w:rFonts w:ascii="Georgia" w:hAnsi="Georgia"/>
                <w:color w:val="000000"/>
              </w:rPr>
              <w:t>Injection, Naloxone Hydrochloride (Zimhi), 1 mg</w:t>
            </w:r>
          </w:p>
        </w:tc>
      </w:tr>
      <w:tr w:rsidR="002F12C5" w:rsidRPr="00500A28" w14:paraId="014D5D18" w14:textId="77777777" w:rsidTr="00D00855">
        <w:trPr>
          <w:trHeight w:val="290"/>
        </w:trPr>
        <w:tc>
          <w:tcPr>
            <w:tcW w:w="1255" w:type="dxa"/>
            <w:noWrap/>
            <w:vAlign w:val="bottom"/>
          </w:tcPr>
          <w:p w14:paraId="5ADB35C6" w14:textId="77777777" w:rsidR="002F12C5" w:rsidRPr="00EC48C0" w:rsidRDefault="002F12C5" w:rsidP="00D00855">
            <w:pPr>
              <w:jc w:val="center"/>
              <w:rPr>
                <w:rFonts w:ascii="Georgia" w:hAnsi="Georgia"/>
                <w:color w:val="000000"/>
                <w:sz w:val="20"/>
                <w:szCs w:val="20"/>
              </w:rPr>
            </w:pPr>
            <w:r w:rsidRPr="00EC48C0">
              <w:rPr>
                <w:rFonts w:ascii="Georgia" w:hAnsi="Georgia"/>
                <w:color w:val="000000"/>
              </w:rPr>
              <w:lastRenderedPageBreak/>
              <w:t>J3370</w:t>
            </w:r>
          </w:p>
        </w:tc>
        <w:tc>
          <w:tcPr>
            <w:tcW w:w="8910" w:type="dxa"/>
            <w:noWrap/>
            <w:vAlign w:val="bottom"/>
          </w:tcPr>
          <w:p w14:paraId="26AACB7E" w14:textId="77777777" w:rsidR="002F12C5" w:rsidRPr="00EC48C0" w:rsidRDefault="002F12C5" w:rsidP="00D00855">
            <w:pPr>
              <w:rPr>
                <w:rFonts w:ascii="Georgia" w:hAnsi="Georgia"/>
                <w:color w:val="000000"/>
                <w:sz w:val="20"/>
                <w:szCs w:val="20"/>
              </w:rPr>
            </w:pPr>
            <w:r w:rsidRPr="00EC48C0">
              <w:rPr>
                <w:rFonts w:ascii="Georgia" w:hAnsi="Georgia"/>
                <w:color w:val="000000"/>
              </w:rPr>
              <w:t>Injection, Vancomycin HCL, 500 mg</w:t>
            </w:r>
          </w:p>
        </w:tc>
      </w:tr>
      <w:tr w:rsidR="002F12C5" w:rsidRPr="00500A28" w14:paraId="3C6EE447" w14:textId="77777777" w:rsidTr="00D00855">
        <w:trPr>
          <w:trHeight w:val="290"/>
        </w:trPr>
        <w:tc>
          <w:tcPr>
            <w:tcW w:w="1255" w:type="dxa"/>
            <w:noWrap/>
            <w:vAlign w:val="bottom"/>
          </w:tcPr>
          <w:p w14:paraId="0FF91DAA" w14:textId="77777777" w:rsidR="002F12C5" w:rsidRPr="00EC48C0" w:rsidRDefault="002F12C5" w:rsidP="00D00855">
            <w:pPr>
              <w:jc w:val="center"/>
              <w:rPr>
                <w:rFonts w:ascii="Georgia" w:hAnsi="Georgia"/>
                <w:color w:val="000000"/>
                <w:sz w:val="20"/>
                <w:szCs w:val="20"/>
              </w:rPr>
            </w:pPr>
            <w:r w:rsidRPr="00EC48C0">
              <w:rPr>
                <w:rFonts w:ascii="Georgia" w:hAnsi="Georgia"/>
                <w:color w:val="000000"/>
              </w:rPr>
              <w:t>J3371</w:t>
            </w:r>
          </w:p>
        </w:tc>
        <w:tc>
          <w:tcPr>
            <w:tcW w:w="8910" w:type="dxa"/>
            <w:noWrap/>
            <w:vAlign w:val="bottom"/>
          </w:tcPr>
          <w:p w14:paraId="62F3C239" w14:textId="77777777" w:rsidR="002F12C5" w:rsidRPr="00EC48C0" w:rsidRDefault="002F12C5" w:rsidP="00D00855">
            <w:pPr>
              <w:rPr>
                <w:rFonts w:ascii="Georgia" w:hAnsi="Georgia"/>
                <w:color w:val="000000"/>
                <w:sz w:val="20"/>
                <w:szCs w:val="20"/>
              </w:rPr>
            </w:pPr>
            <w:r w:rsidRPr="00EC48C0">
              <w:rPr>
                <w:rFonts w:ascii="Georgia" w:hAnsi="Georgia"/>
                <w:color w:val="000000"/>
              </w:rPr>
              <w:t>Injection, Vancomycin HCL (Mylan), not therapeutically equivalent to J3370, 500 mg</w:t>
            </w:r>
          </w:p>
        </w:tc>
      </w:tr>
      <w:tr w:rsidR="002F12C5" w:rsidRPr="00500A28" w14:paraId="24C3B6E7" w14:textId="77777777" w:rsidTr="00D00855">
        <w:trPr>
          <w:trHeight w:val="290"/>
        </w:trPr>
        <w:tc>
          <w:tcPr>
            <w:tcW w:w="1255" w:type="dxa"/>
            <w:noWrap/>
            <w:vAlign w:val="bottom"/>
          </w:tcPr>
          <w:p w14:paraId="0538589B" w14:textId="77777777" w:rsidR="002F12C5" w:rsidRPr="00EC48C0" w:rsidRDefault="002F12C5" w:rsidP="00D00855">
            <w:pPr>
              <w:jc w:val="center"/>
              <w:rPr>
                <w:rFonts w:ascii="Georgia" w:hAnsi="Georgia"/>
                <w:color w:val="000000"/>
                <w:sz w:val="20"/>
                <w:szCs w:val="20"/>
              </w:rPr>
            </w:pPr>
            <w:r w:rsidRPr="00EC48C0">
              <w:rPr>
                <w:rFonts w:ascii="Georgia" w:hAnsi="Georgia"/>
                <w:color w:val="000000"/>
              </w:rPr>
              <w:t>J3372</w:t>
            </w:r>
          </w:p>
        </w:tc>
        <w:tc>
          <w:tcPr>
            <w:tcW w:w="8910" w:type="dxa"/>
            <w:noWrap/>
            <w:vAlign w:val="bottom"/>
          </w:tcPr>
          <w:p w14:paraId="5DABD97F" w14:textId="77777777" w:rsidR="002F12C5" w:rsidRPr="00EC48C0" w:rsidRDefault="002F12C5" w:rsidP="00D00855">
            <w:pPr>
              <w:rPr>
                <w:rFonts w:ascii="Georgia" w:hAnsi="Georgia"/>
                <w:color w:val="000000"/>
                <w:sz w:val="20"/>
                <w:szCs w:val="20"/>
              </w:rPr>
            </w:pPr>
            <w:r w:rsidRPr="00EC48C0">
              <w:rPr>
                <w:rFonts w:ascii="Georgia" w:hAnsi="Georgia"/>
                <w:color w:val="000000"/>
              </w:rPr>
              <w:t>Injection, Vancomycin HCL (Xellia), not therapeutically equivalent to J3370, 500 mg</w:t>
            </w:r>
          </w:p>
        </w:tc>
      </w:tr>
      <w:tr w:rsidR="002F12C5" w:rsidRPr="00500A28" w14:paraId="79B4CE48" w14:textId="77777777" w:rsidTr="00D00855">
        <w:trPr>
          <w:trHeight w:val="290"/>
        </w:trPr>
        <w:tc>
          <w:tcPr>
            <w:tcW w:w="1255" w:type="dxa"/>
            <w:noWrap/>
            <w:vAlign w:val="bottom"/>
          </w:tcPr>
          <w:p w14:paraId="034C86A0" w14:textId="77777777" w:rsidR="002F12C5" w:rsidRPr="00EC48C0" w:rsidRDefault="002F12C5" w:rsidP="00D00855">
            <w:pPr>
              <w:jc w:val="center"/>
              <w:rPr>
                <w:rFonts w:ascii="Georgia" w:hAnsi="Georgia"/>
                <w:color w:val="000000"/>
                <w:sz w:val="20"/>
                <w:szCs w:val="20"/>
              </w:rPr>
            </w:pPr>
            <w:r w:rsidRPr="00EC48C0">
              <w:rPr>
                <w:rFonts w:ascii="Georgia" w:hAnsi="Georgia"/>
                <w:color w:val="000000"/>
              </w:rPr>
              <w:t>J9340</w:t>
            </w:r>
          </w:p>
        </w:tc>
        <w:tc>
          <w:tcPr>
            <w:tcW w:w="8910" w:type="dxa"/>
            <w:noWrap/>
            <w:vAlign w:val="bottom"/>
          </w:tcPr>
          <w:p w14:paraId="29D55F46" w14:textId="77777777" w:rsidR="002F12C5" w:rsidRPr="00EC48C0" w:rsidRDefault="002F12C5" w:rsidP="00D00855">
            <w:pPr>
              <w:rPr>
                <w:rFonts w:ascii="Georgia" w:hAnsi="Georgia"/>
                <w:color w:val="000000"/>
                <w:sz w:val="20"/>
                <w:szCs w:val="20"/>
              </w:rPr>
            </w:pPr>
            <w:r w:rsidRPr="00EC48C0">
              <w:rPr>
                <w:rFonts w:ascii="Georgia" w:hAnsi="Georgia"/>
                <w:color w:val="000000"/>
              </w:rPr>
              <w:t>Injection, Thiotepa, 15 mg</w:t>
            </w:r>
          </w:p>
        </w:tc>
      </w:tr>
    </w:tbl>
    <w:p w14:paraId="285A866F" w14:textId="57BEE43B" w:rsidR="002F12C5" w:rsidRPr="000E095C" w:rsidRDefault="002F12C5" w:rsidP="00DF586D">
      <w:pPr>
        <w:pStyle w:val="Heading3"/>
        <w:spacing w:before="360"/>
        <w:rPr>
          <w:rFonts w:cs="Times New Roman"/>
        </w:rPr>
      </w:pPr>
      <w:r w:rsidRPr="000E095C">
        <w:rPr>
          <w:rFonts w:cs="Times New Roman"/>
        </w:rPr>
        <w:t>Revised Code Description</w:t>
      </w:r>
    </w:p>
    <w:tbl>
      <w:tblPr>
        <w:tblStyle w:val="TableGrid"/>
        <w:tblW w:w="10165" w:type="dxa"/>
        <w:tblLook w:val="04A0" w:firstRow="1" w:lastRow="0" w:firstColumn="1" w:lastColumn="0" w:noHBand="0" w:noVBand="1"/>
      </w:tblPr>
      <w:tblGrid>
        <w:gridCol w:w="1255"/>
        <w:gridCol w:w="8910"/>
      </w:tblGrid>
      <w:tr w:rsidR="002F12C5" w:rsidRPr="00736A84" w14:paraId="62304121" w14:textId="77777777" w:rsidTr="00D00855">
        <w:trPr>
          <w:trHeight w:val="290"/>
          <w:tblHeader/>
        </w:trPr>
        <w:tc>
          <w:tcPr>
            <w:tcW w:w="1255" w:type="dxa"/>
            <w:noWrap/>
            <w:vAlign w:val="center"/>
            <w:hideMark/>
          </w:tcPr>
          <w:p w14:paraId="33E427EB" w14:textId="77777777" w:rsidR="002F12C5" w:rsidRPr="00736A84" w:rsidRDefault="002F12C5" w:rsidP="00D00855">
            <w:pPr>
              <w:contextualSpacing/>
              <w:jc w:val="center"/>
              <w:rPr>
                <w:rFonts w:ascii="Times New Roman" w:hAnsi="Times New Roman"/>
                <w:b/>
                <w:bCs/>
              </w:rPr>
            </w:pPr>
            <w:r w:rsidRPr="00736A84">
              <w:rPr>
                <w:rFonts w:ascii="Times New Roman" w:hAnsi="Times New Roman"/>
                <w:b/>
                <w:bCs/>
              </w:rPr>
              <w:t>Code</w:t>
            </w:r>
          </w:p>
        </w:tc>
        <w:tc>
          <w:tcPr>
            <w:tcW w:w="8910" w:type="dxa"/>
            <w:noWrap/>
            <w:vAlign w:val="center"/>
            <w:hideMark/>
          </w:tcPr>
          <w:p w14:paraId="52DC22CF" w14:textId="77777777" w:rsidR="002F12C5" w:rsidRPr="00736A84" w:rsidRDefault="002F12C5" w:rsidP="00D00855">
            <w:pPr>
              <w:contextualSpacing/>
              <w:jc w:val="center"/>
              <w:rPr>
                <w:rFonts w:ascii="Times New Roman" w:hAnsi="Times New Roman"/>
                <w:b/>
                <w:bCs/>
              </w:rPr>
            </w:pPr>
            <w:r w:rsidRPr="00736A84">
              <w:rPr>
                <w:rFonts w:ascii="Times New Roman" w:hAnsi="Times New Roman"/>
                <w:b/>
                <w:bCs/>
              </w:rPr>
              <w:t>Description</w:t>
            </w:r>
          </w:p>
        </w:tc>
      </w:tr>
      <w:tr w:rsidR="002F12C5" w:rsidRPr="00500A28" w14:paraId="4D1DFEC5" w14:textId="77777777" w:rsidTr="00D00855">
        <w:trPr>
          <w:trHeight w:val="290"/>
        </w:trPr>
        <w:tc>
          <w:tcPr>
            <w:tcW w:w="1255" w:type="dxa"/>
            <w:noWrap/>
            <w:vAlign w:val="center"/>
          </w:tcPr>
          <w:p w14:paraId="703F7856" w14:textId="77777777" w:rsidR="002F12C5" w:rsidRPr="00EC48C0" w:rsidRDefault="002F12C5" w:rsidP="00D00855">
            <w:pPr>
              <w:jc w:val="center"/>
              <w:rPr>
                <w:rFonts w:ascii="Georgia" w:hAnsi="Georgia"/>
                <w:color w:val="000000"/>
                <w:sz w:val="20"/>
                <w:szCs w:val="20"/>
              </w:rPr>
            </w:pPr>
            <w:r w:rsidRPr="00EC48C0">
              <w:rPr>
                <w:rFonts w:ascii="Georgia" w:hAnsi="Georgia"/>
                <w:color w:val="000000"/>
              </w:rPr>
              <w:t>J9292</w:t>
            </w:r>
          </w:p>
        </w:tc>
        <w:tc>
          <w:tcPr>
            <w:tcW w:w="8910" w:type="dxa"/>
            <w:tcBorders>
              <w:top w:val="single" w:sz="4" w:space="0" w:color="auto"/>
              <w:left w:val="single" w:sz="4" w:space="0" w:color="auto"/>
              <w:bottom w:val="single" w:sz="4" w:space="0" w:color="auto"/>
              <w:right w:val="single" w:sz="4" w:space="0" w:color="auto"/>
            </w:tcBorders>
            <w:noWrap/>
            <w:vAlign w:val="center"/>
          </w:tcPr>
          <w:p w14:paraId="4DF863EB" w14:textId="77777777" w:rsidR="002F12C5" w:rsidRPr="00EC48C0" w:rsidRDefault="002F12C5" w:rsidP="00D00855">
            <w:pPr>
              <w:rPr>
                <w:rFonts w:ascii="Georgia" w:hAnsi="Georgia"/>
                <w:color w:val="000000"/>
                <w:sz w:val="20"/>
                <w:szCs w:val="20"/>
              </w:rPr>
            </w:pPr>
            <w:r w:rsidRPr="00EC48C0">
              <w:rPr>
                <w:rFonts w:ascii="Georgia" w:hAnsi="Georgia"/>
                <w:color w:val="000000"/>
              </w:rPr>
              <w:t>Injection, Pemetrexed Dipotassium, 10 Mg</w:t>
            </w:r>
          </w:p>
        </w:tc>
      </w:tr>
    </w:tbl>
    <w:p w14:paraId="761ABF0C" w14:textId="77777777" w:rsidR="002F12C5" w:rsidRPr="00182D05" w:rsidRDefault="002F12C5" w:rsidP="002F12C5">
      <w:pPr>
        <w:rPr>
          <w:rFonts w:ascii="Georgia" w:hAnsi="Georgia"/>
        </w:rPr>
      </w:pPr>
    </w:p>
    <w:p w14:paraId="20334B71" w14:textId="769ED79E" w:rsidR="00794505" w:rsidRPr="00231067" w:rsidRDefault="00794505" w:rsidP="00231067"/>
    <w:sectPr w:rsidR="00794505" w:rsidRPr="00231067" w:rsidSect="00825AC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8C72" w14:textId="77777777" w:rsidR="00FC16F8" w:rsidRDefault="00FC16F8" w:rsidP="00153DCE">
      <w:r>
        <w:separator/>
      </w:r>
    </w:p>
  </w:endnote>
  <w:endnote w:type="continuationSeparator" w:id="0">
    <w:p w14:paraId="088D4214" w14:textId="77777777" w:rsidR="00FC16F8" w:rsidRDefault="00FC16F8"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B454" w14:textId="77777777" w:rsidR="00EB788C" w:rsidRDefault="00EB7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84352"/>
      <w:docPartObj>
        <w:docPartGallery w:val="Page Numbers (Bottom of Page)"/>
        <w:docPartUnique/>
      </w:docPartObj>
    </w:sdtPr>
    <w:sdtEndPr>
      <w:rPr>
        <w:rFonts w:ascii="Georgia" w:hAnsi="Georgia"/>
        <w:noProof/>
      </w:rPr>
    </w:sdtEndPr>
    <w:sdtContent>
      <w:p w14:paraId="71A6D57F" w14:textId="593FA569" w:rsidR="00825ACD" w:rsidRDefault="00825A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638B16" w14:textId="5148310E" w:rsidR="7FB0469D" w:rsidRDefault="7FB0469D" w:rsidP="7FB04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00367"/>
      <w:docPartObj>
        <w:docPartGallery w:val="Page Numbers (Bottom of Page)"/>
        <w:docPartUnique/>
      </w:docPartObj>
    </w:sdtPr>
    <w:sdtEndPr>
      <w:rPr>
        <w:rFonts w:ascii="Georgia" w:hAnsi="Georgia"/>
        <w:noProof/>
      </w:rPr>
    </w:sdtEndPr>
    <w:sdtContent>
      <w:p w14:paraId="07E259AA" w14:textId="3424D3C3" w:rsidR="00825ACD" w:rsidRDefault="00825A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0A769" w14:textId="51E6C83A" w:rsidR="7FB0469D" w:rsidRDefault="7FB0469D" w:rsidP="7FB04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AAC49" w14:textId="77777777" w:rsidR="00FC16F8" w:rsidRDefault="00FC16F8" w:rsidP="00153DCE">
      <w:r>
        <w:separator/>
      </w:r>
    </w:p>
  </w:footnote>
  <w:footnote w:type="continuationSeparator" w:id="0">
    <w:p w14:paraId="650C9403" w14:textId="77777777" w:rsidR="00FC16F8" w:rsidRDefault="00FC16F8"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125B" w14:textId="77777777" w:rsidR="00EB788C" w:rsidRDefault="00EB7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3C96" w14:textId="2EE60A83" w:rsidR="7FB0469D" w:rsidRPr="00CC1451" w:rsidRDefault="00825ACD" w:rsidP="7FB0469D">
    <w:pPr>
      <w:pStyle w:val="Header"/>
      <w:rPr>
        <w:rFonts w:ascii="Georgia" w:hAnsi="Georgia"/>
      </w:rPr>
    </w:pPr>
    <w:r>
      <w:tab/>
    </w:r>
    <w:r>
      <w:tab/>
    </w:r>
    <w:r w:rsidR="004B0F64" w:rsidRPr="00CC1451">
      <w:rPr>
        <w:rFonts w:ascii="Georgia" w:hAnsi="Georgia"/>
      </w:rPr>
      <w:t>EOHHS</w:t>
    </w:r>
  </w:p>
  <w:p w14:paraId="58326626" w14:textId="52CD3085" w:rsidR="00CC1451" w:rsidRPr="00CC1451" w:rsidRDefault="00CC1451" w:rsidP="7FB0469D">
    <w:pPr>
      <w:pStyle w:val="Header"/>
      <w:rPr>
        <w:rFonts w:ascii="Georgia" w:hAnsi="Georgia"/>
        <w:color w:val="EE0000"/>
      </w:rPr>
    </w:pPr>
    <w:r w:rsidRPr="00CC1451">
      <w:rPr>
        <w:rFonts w:ascii="Georgia" w:hAnsi="Georgia"/>
      </w:rPr>
      <w:tab/>
    </w:r>
    <w:r w:rsidRPr="00CC1451">
      <w:rPr>
        <w:rFonts w:ascii="Georgia" w:hAnsi="Georgia"/>
      </w:rPr>
      <w:tab/>
      <w:t>Administrative Bulletin 25-</w:t>
    </w:r>
    <w:r w:rsidR="00EB788C" w:rsidRPr="00EB788C">
      <w:rPr>
        <w:rFonts w:ascii="Georgia" w:hAnsi="Georgia"/>
      </w:rPr>
      <w:t>28</w:t>
    </w:r>
  </w:p>
  <w:p w14:paraId="40C82A2C" w14:textId="24CB51DC" w:rsidR="00CC1451" w:rsidRDefault="00CC1451" w:rsidP="7FB0469D">
    <w:pPr>
      <w:pStyle w:val="Header"/>
      <w:rPr>
        <w:rFonts w:ascii="Georgia" w:hAnsi="Georgia"/>
      </w:rPr>
    </w:pPr>
    <w:r w:rsidRPr="00CC1451">
      <w:rPr>
        <w:rFonts w:ascii="Georgia" w:hAnsi="Georgia"/>
        <w:color w:val="EE0000"/>
      </w:rPr>
      <w:tab/>
    </w:r>
    <w:r w:rsidRPr="00CC1451">
      <w:rPr>
        <w:rFonts w:ascii="Georgia" w:hAnsi="Georgia"/>
        <w:color w:val="EE0000"/>
      </w:rPr>
      <w:tab/>
    </w:r>
    <w:r w:rsidRPr="00CC1451">
      <w:rPr>
        <w:rFonts w:ascii="Georgia" w:hAnsi="Georgia"/>
      </w:rPr>
      <w:t>Effective July 1,</w:t>
    </w:r>
    <w:r w:rsidR="00EB788C">
      <w:rPr>
        <w:rFonts w:ascii="Georgia" w:hAnsi="Georgia"/>
      </w:rPr>
      <w:t xml:space="preserve"> </w:t>
    </w:r>
    <w:r w:rsidRPr="00CC1451">
      <w:rPr>
        <w:rFonts w:ascii="Georgia" w:hAnsi="Georgia"/>
      </w:rPr>
      <w:t>2025</w:t>
    </w:r>
  </w:p>
  <w:p w14:paraId="442A7A50" w14:textId="77777777" w:rsidR="00DF586D" w:rsidRDefault="00DF586D" w:rsidP="7FB0469D">
    <w:pPr>
      <w:pStyle w:val="Header"/>
      <w:rPr>
        <w:rFonts w:ascii="Georgia" w:hAnsi="Georgia"/>
      </w:rPr>
    </w:pPr>
  </w:p>
  <w:p w14:paraId="585C1347" w14:textId="77777777" w:rsidR="00DF586D" w:rsidRPr="00CC1451" w:rsidRDefault="00DF586D" w:rsidP="7FB0469D">
    <w:pPr>
      <w:pStyle w:val="Header"/>
      <w:rPr>
        <w:rFonts w:ascii="Georgia" w:hAnsi="Georg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1931" w14:textId="77777777" w:rsidR="004B20FF" w:rsidRPr="006E5DED" w:rsidRDefault="004B20FF" w:rsidP="004B20FF">
    <w:pPr>
      <w:pStyle w:val="Header"/>
      <w:ind w:right="475"/>
      <w:rPr>
        <w:noProof/>
        <w:color w:val="1F497D" w:themeColor="text2"/>
      </w:rPr>
    </w:pPr>
    <w:r w:rsidRPr="006E5DED">
      <w:rPr>
        <w:noProof/>
        <w:color w:val="1F497D" w:themeColor="text2"/>
      </w:rPr>
      <mc:AlternateContent>
        <mc:Choice Requires="wps">
          <w:drawing>
            <wp:anchor distT="0" distB="0" distL="114300" distR="114300" simplePos="0" relativeHeight="251659264" behindDoc="0" locked="0" layoutInCell="1" allowOverlap="1" wp14:anchorId="685BF59F" wp14:editId="2AEACE4C">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6508FB8F" w14:textId="77777777" w:rsidR="004B20FF" w:rsidRDefault="004B20FF" w:rsidP="004B20FF">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24A79848" w14:textId="77777777" w:rsidR="004B20FF" w:rsidRDefault="004B20FF" w:rsidP="004B20FF">
                          <w:pPr>
                            <w:pStyle w:val="Header"/>
                            <w:jc w:val="center"/>
                            <w:rPr>
                              <w:b/>
                              <w:color w:val="1F497D" w:themeColor="text2"/>
                            </w:rPr>
                          </w:pPr>
                          <w:r w:rsidRPr="00153DCE">
                            <w:rPr>
                              <w:b/>
                              <w:color w:val="1F497D" w:themeColor="text2"/>
                            </w:rPr>
                            <w:t>COMMONWEALTH OF MASSACHUSETTS</w:t>
                          </w:r>
                        </w:p>
                        <w:p w14:paraId="4C89DB3F" w14:textId="77777777" w:rsidR="004B20FF" w:rsidRPr="005F66F1" w:rsidRDefault="004B20FF" w:rsidP="004B20FF">
                          <w:pPr>
                            <w:pStyle w:val="Header"/>
                            <w:jc w:val="center"/>
                            <w:rPr>
                              <w:bCs/>
                              <w:color w:val="1F497D" w:themeColor="text2"/>
                            </w:rPr>
                          </w:pPr>
                          <w:r w:rsidRPr="005F66F1">
                            <w:rPr>
                              <w:bCs/>
                              <w:color w:val="1F497D" w:themeColor="text2"/>
                            </w:rPr>
                            <w:t>OFFICE OF MEDICAID</w:t>
                          </w:r>
                        </w:p>
                        <w:p w14:paraId="5FACD89A" w14:textId="77777777" w:rsidR="004B20FF" w:rsidRPr="00153DCE" w:rsidRDefault="004B20FF" w:rsidP="004B20FF">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04FE6830" w14:textId="77777777" w:rsidR="004B20FF" w:rsidRPr="00153DCE" w:rsidRDefault="004B20FF" w:rsidP="004B20FF">
                          <w:pPr>
                            <w:pStyle w:val="Header"/>
                            <w:rPr>
                              <w:color w:val="1F497D" w:themeColor="text2"/>
                            </w:rPr>
                          </w:pPr>
                        </w:p>
                        <w:p w14:paraId="2EEF9D8E" w14:textId="77777777" w:rsidR="004B20FF" w:rsidRDefault="004B20FF" w:rsidP="004B20FF">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5BF59F"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6508FB8F" w14:textId="77777777" w:rsidR="004B20FF" w:rsidRDefault="004B20FF" w:rsidP="004B20FF">
                    <w:pPr>
                      <w:pStyle w:val="Header"/>
                      <w:jc w:val="center"/>
                      <w:rPr>
                        <w:color w:val="1F497D" w:themeColor="text2"/>
                        <w:sz w:val="20"/>
                      </w:rPr>
                    </w:pPr>
                    <w:r>
                      <w:rPr>
                        <w:color w:val="1F497D" w:themeColor="text2"/>
                      </w:rPr>
                      <w:t xml:space="preserve">EXECUTIVE </w:t>
                    </w:r>
                    <w:r w:rsidRPr="00153DCE">
                      <w:rPr>
                        <w:color w:val="1F497D" w:themeColor="text2"/>
                      </w:rPr>
                      <w:t>O</w:t>
                    </w:r>
                    <w:r w:rsidRPr="00B623EB">
                      <w:rPr>
                        <w:color w:val="1F497D" w:themeColor="text2"/>
                      </w:rPr>
                      <w:t>F</w:t>
                    </w:r>
                    <w:r w:rsidRPr="005B5D35">
                      <w:rPr>
                        <w:color w:val="1F497D" w:themeColor="text2"/>
                      </w:rPr>
                      <w:t>FICE OF HEALTH AND HUMAN SERVICES</w:t>
                    </w:r>
                  </w:p>
                  <w:p w14:paraId="24A79848" w14:textId="77777777" w:rsidR="004B20FF" w:rsidRDefault="004B20FF" w:rsidP="004B20FF">
                    <w:pPr>
                      <w:pStyle w:val="Header"/>
                      <w:jc w:val="center"/>
                      <w:rPr>
                        <w:b/>
                        <w:color w:val="1F497D" w:themeColor="text2"/>
                      </w:rPr>
                    </w:pPr>
                    <w:r w:rsidRPr="00153DCE">
                      <w:rPr>
                        <w:b/>
                        <w:color w:val="1F497D" w:themeColor="text2"/>
                      </w:rPr>
                      <w:t>COMMONWEALTH OF MASSACHUSETTS</w:t>
                    </w:r>
                  </w:p>
                  <w:p w14:paraId="4C89DB3F" w14:textId="77777777" w:rsidR="004B20FF" w:rsidRPr="005F66F1" w:rsidRDefault="004B20FF" w:rsidP="004B20FF">
                    <w:pPr>
                      <w:pStyle w:val="Header"/>
                      <w:jc w:val="center"/>
                      <w:rPr>
                        <w:bCs/>
                        <w:color w:val="1F497D" w:themeColor="text2"/>
                      </w:rPr>
                    </w:pPr>
                    <w:r w:rsidRPr="005F66F1">
                      <w:rPr>
                        <w:bCs/>
                        <w:color w:val="1F497D" w:themeColor="text2"/>
                      </w:rPr>
                      <w:t>OFFICE OF MEDICAID</w:t>
                    </w:r>
                  </w:p>
                  <w:p w14:paraId="5FACD89A" w14:textId="77777777" w:rsidR="004B20FF" w:rsidRPr="00153DCE" w:rsidRDefault="004B20FF" w:rsidP="004B20FF">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04FE6830" w14:textId="77777777" w:rsidR="004B20FF" w:rsidRPr="00153DCE" w:rsidRDefault="004B20FF" w:rsidP="004B20FF">
                    <w:pPr>
                      <w:pStyle w:val="Header"/>
                      <w:rPr>
                        <w:color w:val="1F497D" w:themeColor="text2"/>
                      </w:rPr>
                    </w:pPr>
                  </w:p>
                  <w:p w14:paraId="2EEF9D8E" w14:textId="77777777" w:rsidR="004B20FF" w:rsidRDefault="004B20FF" w:rsidP="004B20FF">
                    <w:pPr>
                      <w:ind w:left="720"/>
                      <w:jc w:val="right"/>
                    </w:pPr>
                  </w:p>
                </w:txbxContent>
              </v:textbox>
            </v:shape>
          </w:pict>
        </mc:Fallback>
      </mc:AlternateContent>
    </w:r>
    <w:r>
      <w:rPr>
        <w:noProof/>
        <w:color w:val="1F497D" w:themeColor="text2"/>
      </w:rPr>
      <w:drawing>
        <wp:anchor distT="0" distB="0" distL="114300" distR="114300" simplePos="0" relativeHeight="251660288" behindDoc="0" locked="0" layoutInCell="1" allowOverlap="1" wp14:anchorId="0CF904EA" wp14:editId="483E4D8A">
          <wp:simplePos x="0" y="0"/>
          <wp:positionH relativeFrom="column">
            <wp:posOffset>4775200</wp:posOffset>
          </wp:positionH>
          <wp:positionV relativeFrom="paragraph">
            <wp:posOffset>127000</wp:posOffset>
          </wp:positionV>
          <wp:extent cx="1179576" cy="621792"/>
          <wp:effectExtent l="0" t="0" r="1905" b="6985"/>
          <wp:wrapNone/>
          <wp:docPr id="149156239" name="Picture 1491562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9576" cy="621792"/>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themeColor="text2"/>
      </w:rPr>
      <w:drawing>
        <wp:inline distT="0" distB="0" distL="0" distR="0" wp14:anchorId="19317A61" wp14:editId="4BFEE3B4">
          <wp:extent cx="1164590" cy="1377950"/>
          <wp:effectExtent l="0" t="0" r="0" b="0"/>
          <wp:docPr id="940552701" name="Picture 94055270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52701" name="Picture 940552701" descr="A picture containing text&#10;&#10;AI-generated content may be incorrect."/>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68DF4703" w14:textId="77777777" w:rsidR="004B20FF" w:rsidRDefault="004B20FF" w:rsidP="004B20FF">
    <w:pPr>
      <w:pStyle w:val="Header"/>
    </w:pPr>
    <w:r>
      <w:ptab w:relativeTo="margin" w:alignment="right" w:leader="none"/>
    </w:r>
  </w:p>
  <w:p w14:paraId="58B4329A" w14:textId="1809BBB6" w:rsidR="004B20FF" w:rsidRDefault="004B20FF" w:rsidP="004B20FF">
    <w:pPr>
      <w:pStyle w:val="Header"/>
      <w:rPr>
        <w:b/>
        <w:color w:val="1F497D" w:themeColor="text2"/>
      </w:rPr>
    </w:pPr>
    <w:r>
      <w:rPr>
        <w:b/>
        <w:color w:val="1F497D" w:themeColor="text2"/>
      </w:rPr>
      <w:t>MAURA T. HEALEY</w:t>
    </w:r>
    <w:r w:rsidRPr="00153DCE">
      <w:rPr>
        <w:b/>
        <w:color w:val="1F497D" w:themeColor="text2"/>
      </w:rPr>
      <w:tab/>
    </w:r>
    <w:r>
      <w:rPr>
        <w:b/>
        <w:color w:val="1F497D" w:themeColor="text2"/>
      </w:rPr>
      <w:tab/>
    </w:r>
    <w:r w:rsidR="001A7D23">
      <w:rPr>
        <w:b/>
        <w:color w:val="1F497D" w:themeColor="text2"/>
      </w:rPr>
      <w:t>KIAME MAHANIAH, MD</w:t>
    </w:r>
    <w:r w:rsidR="00F65976">
      <w:rPr>
        <w:b/>
        <w:color w:val="1F497D" w:themeColor="text2"/>
      </w:rPr>
      <w:t>, MBA</w:t>
    </w:r>
  </w:p>
  <w:p w14:paraId="14062919" w14:textId="77777777" w:rsidR="004B20FF" w:rsidRDefault="004B20FF" w:rsidP="004B20FF">
    <w:pPr>
      <w:pStyle w:val="Header"/>
      <w:rPr>
        <w:b/>
        <w:color w:val="1F497D" w:themeColor="text2"/>
      </w:rPr>
    </w:pPr>
    <w:r w:rsidRPr="00153DCE">
      <w:rPr>
        <w:color w:val="1F497D" w:themeColor="text2"/>
        <w:sz w:val="20"/>
        <w:szCs w:val="20"/>
      </w:rPr>
      <w:t>GOVERNOR</w:t>
    </w:r>
    <w:r>
      <w:rPr>
        <w:b/>
        <w:color w:val="1F497D" w:themeColor="text2"/>
      </w:rPr>
      <w:t xml:space="preserve"> </w:t>
    </w:r>
    <w:r w:rsidRPr="00153DCE">
      <w:rPr>
        <w:b/>
        <w:color w:val="1F497D" w:themeColor="text2"/>
      </w:rPr>
      <w:t xml:space="preserve">                                                             </w:t>
    </w:r>
    <w:r>
      <w:rPr>
        <w:b/>
        <w:color w:val="1F497D" w:themeColor="text2"/>
      </w:rPr>
      <w:t xml:space="preserve">                                              </w:t>
    </w:r>
    <w:r>
      <w:rPr>
        <w:b/>
        <w:color w:val="1F497D" w:themeColor="text2"/>
      </w:rPr>
      <w:tab/>
      <w:t xml:space="preserve">     </w:t>
    </w:r>
    <w:r>
      <w:rPr>
        <w:color w:val="1F497D" w:themeColor="text2"/>
        <w:sz w:val="20"/>
        <w:szCs w:val="20"/>
      </w:rPr>
      <w:t>SECRETARY</w:t>
    </w:r>
  </w:p>
  <w:p w14:paraId="4B634DD1" w14:textId="77777777" w:rsidR="004B20FF" w:rsidRDefault="004B20FF" w:rsidP="004B20FF">
    <w:pPr>
      <w:pStyle w:val="Header"/>
      <w:rPr>
        <w:b/>
        <w:color w:val="1F497D" w:themeColor="text2"/>
      </w:rPr>
    </w:pPr>
  </w:p>
  <w:p w14:paraId="3BAD2B6F" w14:textId="77777777" w:rsidR="004B20FF" w:rsidRPr="00734039" w:rsidRDefault="004B20FF" w:rsidP="004B20FF">
    <w:pPr>
      <w:pStyle w:val="Header"/>
      <w:rPr>
        <w:b/>
        <w:color w:val="1F497D" w:themeColor="text2"/>
      </w:rPr>
    </w:pPr>
    <w:r>
      <w:rPr>
        <w:b/>
        <w:color w:val="1F497D" w:themeColor="text2"/>
      </w:rPr>
      <w:t>KIMBERLEY DRISCOLL</w:t>
    </w:r>
    <w:r w:rsidRPr="00153DCE">
      <w:rPr>
        <w:b/>
        <w:color w:val="1F497D" w:themeColor="text2"/>
      </w:rPr>
      <w:t xml:space="preserve">                                   </w:t>
    </w:r>
    <w:r w:rsidRPr="00153DCE">
      <w:rPr>
        <w:color w:val="1F497D" w:themeColor="text2"/>
      </w:rPr>
      <w:t xml:space="preserve">     </w:t>
    </w:r>
    <w:r>
      <w:tab/>
    </w:r>
    <w:r>
      <w:tab/>
    </w:r>
    <w:r>
      <w:rPr>
        <w:b/>
        <w:color w:val="1F497D" w:themeColor="text2"/>
      </w:rPr>
      <w:t>MIKE LEVINE</w:t>
    </w:r>
    <w:r>
      <w:t xml:space="preserve">         </w:t>
    </w:r>
  </w:p>
  <w:p w14:paraId="7D68195D" w14:textId="77777777" w:rsidR="004B20FF" w:rsidRDefault="004B20FF" w:rsidP="004B20FF">
    <w:pPr>
      <w:pStyle w:val="Header"/>
      <w:rPr>
        <w:color w:val="1F497D" w:themeColor="text2"/>
        <w:sz w:val="20"/>
        <w:szCs w:val="20"/>
      </w:rPr>
    </w:pPr>
    <w:r w:rsidRPr="00153DCE">
      <w:rPr>
        <w:color w:val="1F497D" w:themeColor="text2"/>
        <w:sz w:val="20"/>
        <w:szCs w:val="20"/>
      </w:rPr>
      <w:t>LIEUTENANT GOVERNOR</w:t>
    </w:r>
    <w:r>
      <w:rPr>
        <w:color w:val="1F497D" w:themeColor="text2"/>
        <w:sz w:val="20"/>
        <w:szCs w:val="20"/>
      </w:rPr>
      <w:t xml:space="preserve"> </w:t>
    </w:r>
    <w:r>
      <w:rPr>
        <w:color w:val="1F497D" w:themeColor="text2"/>
        <w:sz w:val="20"/>
        <w:szCs w:val="20"/>
      </w:rPr>
      <w:tab/>
    </w:r>
    <w:r>
      <w:rPr>
        <w:color w:val="1F497D" w:themeColor="text2"/>
        <w:sz w:val="20"/>
        <w:szCs w:val="20"/>
      </w:rPr>
      <w:tab/>
      <w:t>UNDERSECRETARY</w:t>
    </w:r>
  </w:p>
  <w:p w14:paraId="1E75DEA9" w14:textId="2985DEA8" w:rsidR="005F66F1" w:rsidRPr="00607406" w:rsidRDefault="004B20FF">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7208196">
    <w:abstractNumId w:val="0"/>
  </w:num>
  <w:num w:numId="2" w16cid:durableId="1873033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2C5D"/>
    <w:rsid w:val="00024809"/>
    <w:rsid w:val="000722C4"/>
    <w:rsid w:val="00076098"/>
    <w:rsid w:val="00081C79"/>
    <w:rsid w:val="00092705"/>
    <w:rsid w:val="000B3478"/>
    <w:rsid w:val="000C6122"/>
    <w:rsid w:val="00127ADD"/>
    <w:rsid w:val="00134791"/>
    <w:rsid w:val="00153DCE"/>
    <w:rsid w:val="00154CA9"/>
    <w:rsid w:val="001738CF"/>
    <w:rsid w:val="00182D05"/>
    <w:rsid w:val="00193348"/>
    <w:rsid w:val="00196732"/>
    <w:rsid w:val="001A1AE8"/>
    <w:rsid w:val="001A7742"/>
    <w:rsid w:val="001A7D23"/>
    <w:rsid w:val="001D628B"/>
    <w:rsid w:val="00204499"/>
    <w:rsid w:val="00231067"/>
    <w:rsid w:val="00266B97"/>
    <w:rsid w:val="0029135D"/>
    <w:rsid w:val="002F12C5"/>
    <w:rsid w:val="003113E4"/>
    <w:rsid w:val="0033130A"/>
    <w:rsid w:val="003319B1"/>
    <w:rsid w:val="00344D29"/>
    <w:rsid w:val="00345A69"/>
    <w:rsid w:val="00351564"/>
    <w:rsid w:val="00373A2B"/>
    <w:rsid w:val="003A3882"/>
    <w:rsid w:val="003F6AAE"/>
    <w:rsid w:val="003F7AC5"/>
    <w:rsid w:val="00407059"/>
    <w:rsid w:val="00443CDB"/>
    <w:rsid w:val="00465E5A"/>
    <w:rsid w:val="00475558"/>
    <w:rsid w:val="004B0F64"/>
    <w:rsid w:val="004B20FF"/>
    <w:rsid w:val="004E3CBA"/>
    <w:rsid w:val="0053555D"/>
    <w:rsid w:val="0056474D"/>
    <w:rsid w:val="0057224E"/>
    <w:rsid w:val="00581F51"/>
    <w:rsid w:val="00585302"/>
    <w:rsid w:val="00597C39"/>
    <w:rsid w:val="005B5D35"/>
    <w:rsid w:val="005D5709"/>
    <w:rsid w:val="005F20AC"/>
    <w:rsid w:val="005F66F1"/>
    <w:rsid w:val="00607406"/>
    <w:rsid w:val="00623EC4"/>
    <w:rsid w:val="0064272D"/>
    <w:rsid w:val="006718AB"/>
    <w:rsid w:val="006725D9"/>
    <w:rsid w:val="006B1D87"/>
    <w:rsid w:val="006B6EE0"/>
    <w:rsid w:val="006D5F0F"/>
    <w:rsid w:val="006E5DED"/>
    <w:rsid w:val="0070235D"/>
    <w:rsid w:val="00720C4F"/>
    <w:rsid w:val="00734039"/>
    <w:rsid w:val="00782360"/>
    <w:rsid w:val="00794505"/>
    <w:rsid w:val="007B48C3"/>
    <w:rsid w:val="007F04B8"/>
    <w:rsid w:val="007F60E9"/>
    <w:rsid w:val="007F692B"/>
    <w:rsid w:val="00800711"/>
    <w:rsid w:val="00824DC4"/>
    <w:rsid w:val="00825ACD"/>
    <w:rsid w:val="008926E2"/>
    <w:rsid w:val="008A50C9"/>
    <w:rsid w:val="008B604A"/>
    <w:rsid w:val="00964EDE"/>
    <w:rsid w:val="00997B11"/>
    <w:rsid w:val="009D7F71"/>
    <w:rsid w:val="00A02640"/>
    <w:rsid w:val="00A06267"/>
    <w:rsid w:val="00A06F80"/>
    <w:rsid w:val="00A34C8D"/>
    <w:rsid w:val="00AB33D8"/>
    <w:rsid w:val="00B623EB"/>
    <w:rsid w:val="00B65FE0"/>
    <w:rsid w:val="00B763FE"/>
    <w:rsid w:val="00BA66AC"/>
    <w:rsid w:val="00BA6D03"/>
    <w:rsid w:val="00BB35CE"/>
    <w:rsid w:val="00BB4F1B"/>
    <w:rsid w:val="00BD0DF7"/>
    <w:rsid w:val="00BF1834"/>
    <w:rsid w:val="00BF354B"/>
    <w:rsid w:val="00C347D1"/>
    <w:rsid w:val="00C36F22"/>
    <w:rsid w:val="00C400D6"/>
    <w:rsid w:val="00C8112A"/>
    <w:rsid w:val="00C87BF7"/>
    <w:rsid w:val="00CC1451"/>
    <w:rsid w:val="00D160CC"/>
    <w:rsid w:val="00D37A14"/>
    <w:rsid w:val="00D51024"/>
    <w:rsid w:val="00D5182F"/>
    <w:rsid w:val="00D63172"/>
    <w:rsid w:val="00D6762F"/>
    <w:rsid w:val="00D761F6"/>
    <w:rsid w:val="00DA2AA3"/>
    <w:rsid w:val="00DF586D"/>
    <w:rsid w:val="00E10A6E"/>
    <w:rsid w:val="00E27559"/>
    <w:rsid w:val="00E320F9"/>
    <w:rsid w:val="00E56BD5"/>
    <w:rsid w:val="00E64DF7"/>
    <w:rsid w:val="00E74BC2"/>
    <w:rsid w:val="00E92AC9"/>
    <w:rsid w:val="00E93668"/>
    <w:rsid w:val="00EB788C"/>
    <w:rsid w:val="00EE4CAE"/>
    <w:rsid w:val="00F14562"/>
    <w:rsid w:val="00F26245"/>
    <w:rsid w:val="00F44C98"/>
    <w:rsid w:val="00F56C47"/>
    <w:rsid w:val="00F65976"/>
    <w:rsid w:val="00F65E52"/>
    <w:rsid w:val="00F8728D"/>
    <w:rsid w:val="00F95208"/>
    <w:rsid w:val="00FB216E"/>
    <w:rsid w:val="00FC16F8"/>
    <w:rsid w:val="00FE4AA0"/>
    <w:rsid w:val="00FF58CD"/>
    <w:rsid w:val="7FB0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2F12C5"/>
    <w:pPr>
      <w:tabs>
        <w:tab w:val="left" w:pos="3165"/>
      </w:tabs>
      <w:jc w:val="center"/>
      <w:outlineLvl w:val="0"/>
    </w:pPr>
    <w:rPr>
      <w:rFonts w:ascii="Georgia" w:eastAsia="Calibri" w:hAnsi="Georgia" w:cs="Times New Roman"/>
      <w:b/>
      <w:sz w:val="28"/>
      <w:szCs w:val="28"/>
    </w:rPr>
  </w:style>
  <w:style w:type="paragraph" w:styleId="Heading2">
    <w:name w:val="heading 2"/>
    <w:basedOn w:val="Normal"/>
    <w:next w:val="Normal"/>
    <w:link w:val="Heading2Char"/>
    <w:uiPriority w:val="9"/>
    <w:unhideWhenUsed/>
    <w:qFormat/>
    <w:rsid w:val="002F12C5"/>
    <w:pPr>
      <w:keepNext/>
      <w:keepLines/>
      <w:spacing w:before="120" w:after="120" w:line="276" w:lineRule="auto"/>
      <w:outlineLvl w:val="1"/>
    </w:pPr>
    <w:rPr>
      <w:rFonts w:ascii="Georgia" w:eastAsiaTheme="majorEastAsia" w:hAnsi="Georgia" w:cstheme="majorBidi"/>
      <w:b/>
      <w:bCs/>
      <w:sz w:val="26"/>
      <w:szCs w:val="26"/>
    </w:rPr>
  </w:style>
  <w:style w:type="paragraph" w:styleId="Heading3">
    <w:name w:val="heading 3"/>
    <w:basedOn w:val="Normal"/>
    <w:next w:val="Normal"/>
    <w:link w:val="Heading3Char"/>
    <w:uiPriority w:val="9"/>
    <w:unhideWhenUsed/>
    <w:qFormat/>
    <w:rsid w:val="002F12C5"/>
    <w:pPr>
      <w:spacing w:before="240" w:after="120" w:line="276" w:lineRule="auto"/>
      <w:outlineLvl w:val="2"/>
    </w:pPr>
    <w:rPr>
      <w:rFonts w:ascii="Georgia" w:hAnsi="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paragraph" w:customStyle="1" w:styleId="StyleRight-1Before72ptAfter3pt">
    <w:name w:val="Style Right:  -1&quot; Before:  7.2 pt After:  3 pt"/>
    <w:basedOn w:val="Normal"/>
    <w:rsid w:val="00794505"/>
    <w:pPr>
      <w:spacing w:before="144" w:after="60"/>
      <w:ind w:right="-1440"/>
    </w:pPr>
    <w:rPr>
      <w:rFonts w:ascii="Times New Roman" w:eastAsia="Times New Roman" w:hAnsi="Times New Roman" w:cs="Times New Roman"/>
      <w:sz w:val="24"/>
      <w:szCs w:val="20"/>
    </w:rPr>
  </w:style>
  <w:style w:type="paragraph" w:customStyle="1" w:styleId="Default">
    <w:name w:val="Default"/>
    <w:rsid w:val="00794505"/>
    <w:pPr>
      <w:autoSpaceDE w:val="0"/>
      <w:autoSpaceDN w:val="0"/>
      <w:adjustRightInd w:val="0"/>
    </w:pPr>
    <w:rPr>
      <w:rFonts w:ascii="Arial" w:eastAsia="Times New Roman" w:hAnsi="Arial" w:cs="Arial"/>
      <w:color w:val="000000"/>
      <w:sz w:val="24"/>
      <w:szCs w:val="24"/>
    </w:rPr>
  </w:style>
  <w:style w:type="paragraph" w:styleId="NoSpacing">
    <w:name w:val="No Spacing"/>
    <w:uiPriority w:val="1"/>
    <w:qFormat/>
    <w:rsid w:val="00BB35CE"/>
  </w:style>
  <w:style w:type="paragraph" w:customStyle="1" w:styleId="paragraph">
    <w:name w:val="paragraph"/>
    <w:basedOn w:val="Normal"/>
    <w:rsid w:val="00BB35CE"/>
    <w:pPr>
      <w:spacing w:before="100" w:beforeAutospacing="1" w:after="100" w:afterAutospacing="1"/>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8B604A"/>
    <w:rPr>
      <w:sz w:val="20"/>
      <w:szCs w:val="20"/>
    </w:rPr>
  </w:style>
  <w:style w:type="character" w:customStyle="1" w:styleId="EndnoteTextChar">
    <w:name w:val="Endnote Text Char"/>
    <w:basedOn w:val="DefaultParagraphFont"/>
    <w:link w:val="EndnoteText"/>
    <w:uiPriority w:val="99"/>
    <w:semiHidden/>
    <w:rsid w:val="008B604A"/>
    <w:rPr>
      <w:sz w:val="20"/>
      <w:szCs w:val="20"/>
    </w:rPr>
  </w:style>
  <w:style w:type="character" w:styleId="EndnoteReference">
    <w:name w:val="endnote reference"/>
    <w:basedOn w:val="DefaultParagraphFont"/>
    <w:uiPriority w:val="99"/>
    <w:semiHidden/>
    <w:unhideWhenUsed/>
    <w:rsid w:val="008B604A"/>
    <w:rPr>
      <w:vertAlign w:val="superscript"/>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2F12C5"/>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2F12C5"/>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F12C5"/>
    <w:rPr>
      <w:rFonts w:ascii="Georgia" w:hAnsi="Georgia"/>
      <w:b/>
      <w:bCs/>
      <w:sz w:val="24"/>
      <w:szCs w:val="24"/>
    </w:rPr>
  </w:style>
  <w:style w:type="character" w:styleId="CommentReference">
    <w:name w:val="annotation reference"/>
    <w:basedOn w:val="DefaultParagraphFont"/>
    <w:uiPriority w:val="99"/>
    <w:semiHidden/>
    <w:unhideWhenUsed/>
    <w:rsid w:val="002F12C5"/>
    <w:rPr>
      <w:sz w:val="16"/>
      <w:szCs w:val="16"/>
    </w:rPr>
  </w:style>
  <w:style w:type="paragraph" w:styleId="CommentText">
    <w:name w:val="annotation text"/>
    <w:basedOn w:val="Normal"/>
    <w:link w:val="CommentTextChar"/>
    <w:uiPriority w:val="99"/>
    <w:unhideWhenUsed/>
    <w:rsid w:val="002F12C5"/>
    <w:rPr>
      <w:rFonts w:ascii="Georgia" w:hAnsi="Georgia"/>
      <w:sz w:val="20"/>
      <w:szCs w:val="20"/>
    </w:rPr>
  </w:style>
  <w:style w:type="character" w:customStyle="1" w:styleId="CommentTextChar">
    <w:name w:val="Comment Text Char"/>
    <w:basedOn w:val="DefaultParagraphFont"/>
    <w:link w:val="CommentText"/>
    <w:uiPriority w:val="99"/>
    <w:rsid w:val="002F12C5"/>
    <w:rPr>
      <w:rFonts w:ascii="Georgia" w:hAnsi="Georgia"/>
      <w:sz w:val="20"/>
      <w:szCs w:val="20"/>
    </w:rPr>
  </w:style>
  <w:style w:type="paragraph" w:styleId="Revision">
    <w:name w:val="Revision"/>
    <w:hidden/>
    <w:uiPriority w:val="99"/>
    <w:semiHidden/>
    <w:rsid w:val="007F60E9"/>
  </w:style>
  <w:style w:type="paragraph" w:styleId="CommentSubject">
    <w:name w:val="annotation subject"/>
    <w:basedOn w:val="CommentText"/>
    <w:next w:val="CommentText"/>
    <w:link w:val="CommentSubjectChar"/>
    <w:uiPriority w:val="99"/>
    <w:semiHidden/>
    <w:unhideWhenUsed/>
    <w:rsid w:val="00F56C47"/>
    <w:rPr>
      <w:rFonts w:asciiTheme="minorHAnsi" w:hAnsiTheme="minorHAnsi"/>
      <w:b/>
      <w:bCs/>
    </w:rPr>
  </w:style>
  <w:style w:type="character" w:customStyle="1" w:styleId="CommentSubjectChar">
    <w:name w:val="Comment Subject Char"/>
    <w:basedOn w:val="CommentTextChar"/>
    <w:link w:val="CommentSubject"/>
    <w:uiPriority w:val="99"/>
    <w:semiHidden/>
    <w:rsid w:val="00F56C47"/>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82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ate xmlns="0772689b-326b-46a5-b84c-c726c57fbc8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815f96416c9c84a0d35dd2addc832d9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454df5e17178da1bd9ee2f3dfcf57d59"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2.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0772689b-326b-46a5-b84c-c726c57fbc8b"/>
    <ds:schemaRef ds:uri="d8ecd2c7-f42d-412b-950c-7056a0e524ed"/>
    <ds:schemaRef ds:uri="91f3e3b9-8052-4988-a4eb-24f16969dcab"/>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196DD3AA-F551-4782-A526-8685594AD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DeLeo, Dan (EHS)</cp:lastModifiedBy>
  <cp:revision>3</cp:revision>
  <cp:lastPrinted>2025-07-14T20:07:00Z</cp:lastPrinted>
  <dcterms:created xsi:type="dcterms:W3CDTF">2025-11-05T17:14:00Z</dcterms:created>
  <dcterms:modified xsi:type="dcterms:W3CDTF">2025-11-05T17:23:00Z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Order">
    <vt:r8>9600</vt:r8>
  </property>
  <property fmtid="{D5CDD505-2E9C-101B-9397-08002B2CF9AE}" pid="4" name="MediaServiceImageTags">
    <vt:lpwstr/>
  </property>
</Properties>
</file>