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466AA688" w:rsidR="00533A3B" w:rsidRPr="00A40FEF" w:rsidRDefault="00533A3B" w:rsidP="00A40FEF">
      <w:pPr>
        <w:pStyle w:val="Heading1"/>
        <w:spacing w:before="120" w:after="0"/>
        <w:rPr>
          <w:color w:val="000000" w:themeColor="text1"/>
        </w:rPr>
      </w:pPr>
      <w:r w:rsidRPr="00100E5C">
        <w:t>Administrative Bulletin</w:t>
      </w:r>
      <w:r w:rsidRPr="00852C7F">
        <w:t xml:space="preserve"> </w:t>
      </w:r>
      <w:r w:rsidR="00852C7F" w:rsidRPr="00852C7F">
        <w:t>2</w:t>
      </w:r>
      <w:r w:rsidR="00F84155">
        <w:t>6</w:t>
      </w:r>
      <w:r w:rsidR="00A40FEF" w:rsidRPr="00A40FEF">
        <w:rPr>
          <w:color w:val="000000" w:themeColor="text1"/>
        </w:rPr>
        <w:t>-</w:t>
      </w:r>
      <w:r w:rsidR="00A40FEF">
        <w:rPr>
          <w:color w:val="000000" w:themeColor="text1"/>
        </w:rPr>
        <w:t>01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62B5CE44" w:rsidR="00533A3B" w:rsidRDefault="00533A3B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502E55">
        <w:rPr>
          <w:b/>
          <w:bCs/>
          <w:sz w:val="24"/>
          <w:szCs w:val="24"/>
        </w:rPr>
        <w:t>343.</w:t>
      </w:r>
      <w:r w:rsidRPr="00796A70">
        <w:rPr>
          <w:b/>
          <w:bCs/>
          <w:sz w:val="24"/>
          <w:szCs w:val="24"/>
        </w:rPr>
        <w:t xml:space="preserve">00: </w:t>
      </w:r>
      <w:r w:rsidR="00502E55" w:rsidRPr="00502E55">
        <w:rPr>
          <w:b/>
          <w:bCs/>
          <w:i/>
          <w:iCs/>
          <w:sz w:val="24"/>
          <w:szCs w:val="24"/>
        </w:rPr>
        <w:t>Rates for Hospice Services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1D4E89CA" w:rsidR="00533A3B" w:rsidRPr="00502E55" w:rsidRDefault="00533A3B" w:rsidP="00A72FAD">
      <w:pPr>
        <w:spacing w:after="0"/>
        <w:jc w:val="center"/>
        <w:rPr>
          <w:color w:val="000000" w:themeColor="text1"/>
          <w:sz w:val="24"/>
          <w:szCs w:val="24"/>
        </w:rPr>
      </w:pPr>
      <w:r w:rsidRPr="00F07142">
        <w:rPr>
          <w:sz w:val="24"/>
          <w:szCs w:val="24"/>
        </w:rPr>
        <w:t xml:space="preserve">Effective </w:t>
      </w:r>
      <w:r w:rsidR="00502E55" w:rsidRPr="00F07142">
        <w:rPr>
          <w:color w:val="000000" w:themeColor="text1"/>
          <w:sz w:val="24"/>
          <w:szCs w:val="24"/>
        </w:rPr>
        <w:t>October 1, 2025</w:t>
      </w:r>
    </w:p>
    <w:p w14:paraId="02B0D633" w14:textId="77777777" w:rsidR="00A72FAD" w:rsidRPr="00502E55" w:rsidRDefault="00A72FAD" w:rsidP="00A72FAD">
      <w:pPr>
        <w:spacing w:after="0"/>
        <w:rPr>
          <w:color w:val="000000" w:themeColor="text1"/>
        </w:rPr>
      </w:pPr>
    </w:p>
    <w:p w14:paraId="3A51AEF5" w14:textId="77777777" w:rsidR="00502E55" w:rsidRPr="00A3239F" w:rsidRDefault="00502E55" w:rsidP="00502E55">
      <w:pPr>
        <w:pStyle w:val="SubjectLine"/>
        <w:spacing w:before="0" w:after="0" w:line="240" w:lineRule="auto"/>
      </w:pPr>
      <w:r w:rsidRPr="00A3239F">
        <w:t>Updates to the Hospice Rates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6F41E6" w14:textId="5164DB78" w:rsidR="003C3334" w:rsidRDefault="003C3334" w:rsidP="003C3334">
      <w:pPr>
        <w:pStyle w:val="Heading2"/>
      </w:pPr>
      <w:r>
        <w:t>Overview</w:t>
      </w:r>
    </w:p>
    <w:p w14:paraId="0D6DEA68" w14:textId="2FC1FAF2" w:rsidR="00DB56BF" w:rsidRPr="00607AEA" w:rsidRDefault="0030724C" w:rsidP="00607AEA">
      <w:pPr>
        <w:spacing w:after="0"/>
        <w:rPr>
          <w:sz w:val="24"/>
          <w:szCs w:val="24"/>
        </w:rPr>
      </w:pPr>
      <w:r w:rsidRPr="00607AEA">
        <w:rPr>
          <w:sz w:val="24"/>
          <w:szCs w:val="24"/>
        </w:rPr>
        <w:t>In accordance with</w:t>
      </w:r>
      <w:r w:rsidR="00EB35F5" w:rsidRPr="00607AEA">
        <w:rPr>
          <w:sz w:val="24"/>
          <w:szCs w:val="24"/>
        </w:rPr>
        <w:t xml:space="preserve"> </w:t>
      </w:r>
      <w:r w:rsidRPr="00607AEA">
        <w:rPr>
          <w:sz w:val="24"/>
          <w:szCs w:val="24"/>
        </w:rPr>
        <w:t>101 CMR 343.01(4) and 343.04(3)(b)</w:t>
      </w:r>
      <w:r w:rsidR="00502E55" w:rsidRPr="00607AEA">
        <w:rPr>
          <w:sz w:val="24"/>
          <w:szCs w:val="24"/>
        </w:rPr>
        <w:t>, the Executive Office of Health and Human Services (EOHHS)</w:t>
      </w:r>
      <w:r w:rsidR="008A206B" w:rsidRPr="00607AEA">
        <w:rPr>
          <w:sz w:val="24"/>
          <w:szCs w:val="24"/>
        </w:rPr>
        <w:t xml:space="preserve"> is</w:t>
      </w:r>
      <w:r w:rsidR="00502E55" w:rsidRPr="00607AEA">
        <w:rPr>
          <w:sz w:val="24"/>
          <w:szCs w:val="24"/>
        </w:rPr>
        <w:t xml:space="preserve"> updat</w:t>
      </w:r>
      <w:r w:rsidR="008A206B" w:rsidRPr="00607AEA">
        <w:rPr>
          <w:sz w:val="24"/>
          <w:szCs w:val="24"/>
        </w:rPr>
        <w:t>ing</w:t>
      </w:r>
      <w:r w:rsidR="00502E55" w:rsidRPr="00607AEA">
        <w:rPr>
          <w:sz w:val="24"/>
          <w:szCs w:val="24"/>
        </w:rPr>
        <w:t xml:space="preserve"> the hospice service rates for MassHealth hospice providers</w:t>
      </w:r>
      <w:r w:rsidR="00141D22" w:rsidRPr="00607AEA">
        <w:rPr>
          <w:sz w:val="24"/>
          <w:szCs w:val="24"/>
        </w:rPr>
        <w:t xml:space="preserve">, effective for dates of service on or after October 1, 2025.  </w:t>
      </w:r>
      <w:r w:rsidR="008B508F" w:rsidRPr="00607AEA">
        <w:rPr>
          <w:sz w:val="24"/>
          <w:szCs w:val="24"/>
        </w:rPr>
        <w:t>MassHealth hospice</w:t>
      </w:r>
      <w:r w:rsidR="00D7751A" w:rsidRPr="00607AEA">
        <w:rPr>
          <w:sz w:val="24"/>
          <w:szCs w:val="24"/>
        </w:rPr>
        <w:t xml:space="preserve"> rates are calculated </w:t>
      </w:r>
      <w:r w:rsidR="004B1332" w:rsidRPr="00607AEA">
        <w:rPr>
          <w:sz w:val="24"/>
          <w:szCs w:val="24"/>
        </w:rPr>
        <w:t xml:space="preserve">in accordance with federal law at 42 USC § 1396a(a)(13)(B) and </w:t>
      </w:r>
      <w:r w:rsidR="00D7751A" w:rsidRPr="00607AEA">
        <w:rPr>
          <w:sz w:val="24"/>
          <w:szCs w:val="24"/>
        </w:rPr>
        <w:t xml:space="preserve">following the </w:t>
      </w:r>
      <w:r w:rsidR="0058022E" w:rsidRPr="00607AEA">
        <w:rPr>
          <w:sz w:val="24"/>
          <w:szCs w:val="24"/>
        </w:rPr>
        <w:t>rate methodology described in the FFY2026 Hospice Wage Index and Payment Rate Update and Hospice</w:t>
      </w:r>
      <w:r w:rsidR="00575F64">
        <w:rPr>
          <w:sz w:val="24"/>
          <w:szCs w:val="24"/>
        </w:rPr>
        <w:t xml:space="preserve"> </w:t>
      </w:r>
      <w:r w:rsidR="00575F64" w:rsidRPr="00B807EA">
        <w:rPr>
          <w:sz w:val="24"/>
          <w:szCs w:val="24"/>
        </w:rPr>
        <w:t>Quality Reporting Program Requirements</w:t>
      </w:r>
      <w:r w:rsidR="0058022E" w:rsidRPr="00607AEA">
        <w:rPr>
          <w:sz w:val="24"/>
          <w:szCs w:val="24"/>
        </w:rPr>
        <w:t>, CMS-1835-F</w:t>
      </w:r>
      <w:r w:rsidR="00FC23A4">
        <w:rPr>
          <w:sz w:val="24"/>
          <w:szCs w:val="24"/>
        </w:rPr>
        <w:t>,</w:t>
      </w:r>
      <w:r w:rsidR="00656CA4">
        <w:rPr>
          <w:sz w:val="24"/>
          <w:szCs w:val="24"/>
        </w:rPr>
        <w:t xml:space="preserve"> and </w:t>
      </w:r>
      <w:r w:rsidR="000611FE">
        <w:rPr>
          <w:sz w:val="24"/>
          <w:szCs w:val="24"/>
        </w:rPr>
        <w:t>the CMS memorandum</w:t>
      </w:r>
      <w:r w:rsidR="002011E2">
        <w:rPr>
          <w:sz w:val="24"/>
          <w:szCs w:val="24"/>
        </w:rPr>
        <w:t>, “</w:t>
      </w:r>
      <w:r w:rsidR="002011E2" w:rsidRPr="002011E2">
        <w:rPr>
          <w:sz w:val="24"/>
          <w:szCs w:val="24"/>
        </w:rPr>
        <w:t>Annual Change in Medicaid Hospice Payment Rates</w:t>
      </w:r>
      <w:r w:rsidR="002011E2">
        <w:rPr>
          <w:sz w:val="24"/>
          <w:szCs w:val="24"/>
        </w:rPr>
        <w:t xml:space="preserve">” issued on September </w:t>
      </w:r>
      <w:r w:rsidR="00FC23A4">
        <w:rPr>
          <w:sz w:val="24"/>
          <w:szCs w:val="24"/>
        </w:rPr>
        <w:t>5, 2025.</w:t>
      </w:r>
      <w:r w:rsidR="00D7751A" w:rsidRPr="00607AEA">
        <w:rPr>
          <w:sz w:val="24"/>
          <w:szCs w:val="24"/>
        </w:rPr>
        <w:t xml:space="preserve"> </w:t>
      </w:r>
    </w:p>
    <w:p w14:paraId="013D830A" w14:textId="77777777" w:rsidR="00DB56BF" w:rsidRPr="00A3239F" w:rsidRDefault="00DB56BF" w:rsidP="00607AEA">
      <w:pPr>
        <w:spacing w:after="0"/>
      </w:pPr>
    </w:p>
    <w:p w14:paraId="12C93941" w14:textId="55EBBD02" w:rsidR="00502E55" w:rsidRPr="00607AEA" w:rsidRDefault="007C01E7" w:rsidP="00607AEA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Centers for Medicare &amp; Medicaid</w:t>
      </w:r>
      <w:r w:rsidR="003D1F33">
        <w:rPr>
          <w:sz w:val="24"/>
          <w:szCs w:val="24"/>
        </w:rPr>
        <w:t xml:space="preserve"> Services</w:t>
      </w:r>
      <w:r>
        <w:rPr>
          <w:sz w:val="24"/>
          <w:szCs w:val="24"/>
        </w:rPr>
        <w:t xml:space="preserve"> (</w:t>
      </w:r>
      <w:r w:rsidR="00502E55" w:rsidRPr="00607AEA">
        <w:rPr>
          <w:sz w:val="24"/>
          <w:szCs w:val="24"/>
        </w:rPr>
        <w:t>CMS</w:t>
      </w:r>
      <w:r>
        <w:rPr>
          <w:sz w:val="24"/>
          <w:szCs w:val="24"/>
        </w:rPr>
        <w:t>)</w:t>
      </w:r>
      <w:r w:rsidR="00502E55" w:rsidRPr="00607AEA">
        <w:rPr>
          <w:sz w:val="24"/>
          <w:szCs w:val="24"/>
        </w:rPr>
        <w:t xml:space="preserve"> has a two-rate system for the Medicaid national components for compliance and noncompliance with federal quality reporting standards. Hospice providers that fail to submit required quality data to CMS </w:t>
      </w:r>
      <w:bookmarkStart w:id="0" w:name="_Int_zsNTNRp8"/>
      <w:proofErr w:type="gramStart"/>
      <w:r w:rsidR="00502E55" w:rsidRPr="00607AEA">
        <w:rPr>
          <w:sz w:val="24"/>
          <w:szCs w:val="24"/>
        </w:rPr>
        <w:t>in a given year</w:t>
      </w:r>
      <w:bookmarkEnd w:id="0"/>
      <w:proofErr w:type="gramEnd"/>
      <w:r w:rsidR="00502E55" w:rsidRPr="00607AEA">
        <w:rPr>
          <w:sz w:val="24"/>
          <w:szCs w:val="24"/>
        </w:rPr>
        <w:t xml:space="preserve"> will incur a four-</w:t>
      </w:r>
      <w:proofErr w:type="gramStart"/>
      <w:r w:rsidR="00502E55" w:rsidRPr="00607AEA">
        <w:rPr>
          <w:sz w:val="24"/>
          <w:szCs w:val="24"/>
        </w:rPr>
        <w:t>percentage</w:t>
      </w:r>
      <w:proofErr w:type="gramEnd"/>
      <w:r w:rsidR="00502E55" w:rsidRPr="00607AEA">
        <w:rPr>
          <w:sz w:val="24"/>
          <w:szCs w:val="24"/>
        </w:rPr>
        <w:t xml:space="preserve"> point reduction to the market basket percentage increase. </w:t>
      </w:r>
    </w:p>
    <w:p w14:paraId="584D6166" w14:textId="77777777" w:rsidR="00DB56BF" w:rsidRDefault="00DB56BF" w:rsidP="00607AEA">
      <w:pPr>
        <w:spacing w:after="0"/>
      </w:pPr>
    </w:p>
    <w:p w14:paraId="1CD0D4E0" w14:textId="0F0BF1F1" w:rsidR="00502E55" w:rsidRPr="00607AEA" w:rsidRDefault="00502E55" w:rsidP="00607AEA">
      <w:pPr>
        <w:spacing w:after="0"/>
        <w:rPr>
          <w:sz w:val="24"/>
          <w:szCs w:val="24"/>
        </w:rPr>
      </w:pPr>
      <w:r w:rsidRPr="00607AEA">
        <w:rPr>
          <w:sz w:val="24"/>
          <w:szCs w:val="24"/>
        </w:rPr>
        <w:t xml:space="preserve">The </w:t>
      </w:r>
      <w:r w:rsidR="0065758F" w:rsidRPr="00607AEA">
        <w:rPr>
          <w:sz w:val="24"/>
          <w:szCs w:val="24"/>
        </w:rPr>
        <w:t xml:space="preserve">MassHealth </w:t>
      </w:r>
      <w:proofErr w:type="gramStart"/>
      <w:r w:rsidRPr="00607AEA">
        <w:rPr>
          <w:sz w:val="24"/>
          <w:szCs w:val="24"/>
        </w:rPr>
        <w:t>hospice</w:t>
      </w:r>
      <w:proofErr w:type="gramEnd"/>
      <w:r w:rsidRPr="00607AEA">
        <w:rPr>
          <w:sz w:val="24"/>
          <w:szCs w:val="24"/>
        </w:rPr>
        <w:t xml:space="preserve"> per </w:t>
      </w:r>
      <w:proofErr w:type="gramStart"/>
      <w:r w:rsidRPr="00607AEA">
        <w:rPr>
          <w:sz w:val="24"/>
          <w:szCs w:val="24"/>
        </w:rPr>
        <w:t>diem</w:t>
      </w:r>
      <w:proofErr w:type="gramEnd"/>
      <w:r w:rsidRPr="00607AEA">
        <w:rPr>
          <w:sz w:val="24"/>
          <w:szCs w:val="24"/>
        </w:rPr>
        <w:t xml:space="preserve"> and per hour rates by county are as follows:</w:t>
      </w:r>
    </w:p>
    <w:p w14:paraId="6A57929E" w14:textId="101D5CF5" w:rsidR="00B05E0C" w:rsidRDefault="003C3334" w:rsidP="005B3499">
      <w:pPr>
        <w:pStyle w:val="Heading2"/>
      </w:pPr>
      <w:r w:rsidRPr="003C3334">
        <w:lastRenderedPageBreak/>
        <w:t>Barnstable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E0" w:firstRow="1" w:lastRow="1" w:firstColumn="1" w:lastColumn="0" w:noHBand="0" w:noVBand="1"/>
      </w:tblPr>
      <w:tblGrid>
        <w:gridCol w:w="2408"/>
        <w:gridCol w:w="2266"/>
        <w:gridCol w:w="1473"/>
        <w:gridCol w:w="1406"/>
        <w:gridCol w:w="1797"/>
      </w:tblGrid>
      <w:tr w:rsidR="00F5120A" w:rsidRPr="00961E55" w14:paraId="36FE15E7" w14:textId="77777777" w:rsidTr="005B3499">
        <w:trPr>
          <w:trHeight w:val="600"/>
          <w:tblHeader/>
        </w:trPr>
        <w:tc>
          <w:tcPr>
            <w:tcW w:w="2419" w:type="dxa"/>
            <w:vAlign w:val="center"/>
          </w:tcPr>
          <w:p w14:paraId="22BCC6C1" w14:textId="59B1022B" w:rsidR="00F5120A" w:rsidRPr="005C0FE7" w:rsidRDefault="00F5120A" w:rsidP="00F5120A">
            <w:pPr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272" w:type="dxa"/>
            <w:vAlign w:val="center"/>
          </w:tcPr>
          <w:p w14:paraId="3F2191A3" w14:textId="645EF705" w:rsidR="00F5120A" w:rsidRPr="005C0FE7" w:rsidRDefault="00F5120A" w:rsidP="00F5120A">
            <w:pPr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74" w:type="dxa"/>
            <w:vAlign w:val="center"/>
          </w:tcPr>
          <w:p w14:paraId="05DCE48C" w14:textId="6FCB9B0C" w:rsidR="00F5120A" w:rsidRPr="00F07142" w:rsidRDefault="00513480" w:rsidP="00F512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388" w:type="dxa"/>
            <w:noWrap/>
            <w:vAlign w:val="center"/>
          </w:tcPr>
          <w:p w14:paraId="06388988" w14:textId="0359C913" w:rsidR="00F5120A" w:rsidRPr="005C0FE7" w:rsidRDefault="00F5120A" w:rsidP="00F512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97" w:type="dxa"/>
            <w:noWrap/>
            <w:vAlign w:val="center"/>
          </w:tcPr>
          <w:p w14:paraId="4200E280" w14:textId="1FA990B5" w:rsidR="00F5120A" w:rsidRPr="005C0FE7" w:rsidRDefault="00F5120A" w:rsidP="00F512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F5120A" w:rsidRPr="00961E55" w14:paraId="5BBD1AC5" w14:textId="77777777" w:rsidTr="005B3499">
        <w:trPr>
          <w:trHeight w:val="600"/>
        </w:trPr>
        <w:tc>
          <w:tcPr>
            <w:tcW w:w="2419" w:type="dxa"/>
            <w:vAlign w:val="center"/>
            <w:hideMark/>
          </w:tcPr>
          <w:p w14:paraId="2DD8D05F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272" w:type="dxa"/>
            <w:vAlign w:val="center"/>
            <w:hideMark/>
          </w:tcPr>
          <w:p w14:paraId="71BEA0BB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39291D12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474" w:type="dxa"/>
            <w:vAlign w:val="center"/>
            <w:hideMark/>
          </w:tcPr>
          <w:p w14:paraId="794D0E2F" w14:textId="77777777" w:rsidR="00F5120A" w:rsidRPr="005C0FE7" w:rsidRDefault="00F5120A" w:rsidP="00F5120A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388" w:type="dxa"/>
            <w:noWrap/>
            <w:vAlign w:val="center"/>
            <w:hideMark/>
          </w:tcPr>
          <w:p w14:paraId="1C260854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$270.09</w:t>
            </w:r>
          </w:p>
        </w:tc>
        <w:tc>
          <w:tcPr>
            <w:tcW w:w="1797" w:type="dxa"/>
            <w:noWrap/>
            <w:vAlign w:val="center"/>
            <w:hideMark/>
          </w:tcPr>
          <w:p w14:paraId="7A1A3DAD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$259.56</w:t>
            </w:r>
          </w:p>
        </w:tc>
      </w:tr>
      <w:tr w:rsidR="00F5120A" w:rsidRPr="00961E55" w14:paraId="3D61FCF6" w14:textId="77777777" w:rsidTr="005B3499">
        <w:trPr>
          <w:trHeight w:val="300"/>
        </w:trPr>
        <w:tc>
          <w:tcPr>
            <w:tcW w:w="2419" w:type="dxa"/>
            <w:vAlign w:val="center"/>
            <w:hideMark/>
          </w:tcPr>
          <w:p w14:paraId="00B8DA67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272" w:type="dxa"/>
            <w:vAlign w:val="center"/>
            <w:hideMark/>
          </w:tcPr>
          <w:p w14:paraId="4E9F44EF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4F246269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474" w:type="dxa"/>
            <w:vAlign w:val="center"/>
            <w:hideMark/>
          </w:tcPr>
          <w:p w14:paraId="41E0366D" w14:textId="77777777" w:rsidR="00F5120A" w:rsidRPr="005C0FE7" w:rsidRDefault="00F5120A" w:rsidP="00F5120A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388" w:type="dxa"/>
            <w:noWrap/>
            <w:vAlign w:val="center"/>
            <w:hideMark/>
          </w:tcPr>
          <w:p w14:paraId="5194DD19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$212.89</w:t>
            </w:r>
          </w:p>
        </w:tc>
        <w:tc>
          <w:tcPr>
            <w:tcW w:w="1797" w:type="dxa"/>
            <w:noWrap/>
            <w:vAlign w:val="center"/>
            <w:hideMark/>
          </w:tcPr>
          <w:p w14:paraId="56F2D854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$204.58</w:t>
            </w:r>
          </w:p>
        </w:tc>
      </w:tr>
      <w:tr w:rsidR="00F5120A" w:rsidRPr="00961E55" w14:paraId="29BE139C" w14:textId="77777777" w:rsidTr="005B3499">
        <w:trPr>
          <w:trHeight w:val="620"/>
        </w:trPr>
        <w:tc>
          <w:tcPr>
            <w:tcW w:w="2419" w:type="dxa"/>
            <w:vAlign w:val="center"/>
            <w:hideMark/>
          </w:tcPr>
          <w:p w14:paraId="7332392A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272" w:type="dxa"/>
            <w:vAlign w:val="center"/>
            <w:hideMark/>
          </w:tcPr>
          <w:p w14:paraId="68C7EB41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474" w:type="dxa"/>
            <w:vAlign w:val="center"/>
            <w:hideMark/>
          </w:tcPr>
          <w:p w14:paraId="58990523" w14:textId="77777777" w:rsidR="00F5120A" w:rsidRPr="005C0FE7" w:rsidRDefault="00F5120A" w:rsidP="00F5120A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388" w:type="dxa"/>
            <w:noWrap/>
            <w:vAlign w:val="center"/>
            <w:hideMark/>
          </w:tcPr>
          <w:p w14:paraId="0166F878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$83.19</w:t>
            </w:r>
          </w:p>
        </w:tc>
        <w:tc>
          <w:tcPr>
            <w:tcW w:w="1797" w:type="dxa"/>
            <w:noWrap/>
            <w:vAlign w:val="center"/>
            <w:hideMark/>
          </w:tcPr>
          <w:p w14:paraId="6656C485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$79.95</w:t>
            </w:r>
          </w:p>
        </w:tc>
      </w:tr>
      <w:tr w:rsidR="00F5120A" w:rsidRPr="00961E55" w14:paraId="41D26563" w14:textId="77777777" w:rsidTr="005B3499">
        <w:trPr>
          <w:trHeight w:val="300"/>
        </w:trPr>
        <w:tc>
          <w:tcPr>
            <w:tcW w:w="2419" w:type="dxa"/>
            <w:vAlign w:val="center"/>
            <w:hideMark/>
          </w:tcPr>
          <w:p w14:paraId="7C031F2F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272" w:type="dxa"/>
            <w:vAlign w:val="center"/>
            <w:hideMark/>
          </w:tcPr>
          <w:p w14:paraId="1ED05446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474" w:type="dxa"/>
            <w:vAlign w:val="center"/>
            <w:hideMark/>
          </w:tcPr>
          <w:p w14:paraId="393DC132" w14:textId="77777777" w:rsidR="00F5120A" w:rsidRPr="005C0FE7" w:rsidRDefault="00F5120A" w:rsidP="00F5120A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388" w:type="dxa"/>
            <w:noWrap/>
            <w:vAlign w:val="center"/>
            <w:hideMark/>
          </w:tcPr>
          <w:p w14:paraId="112964BF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$83.19</w:t>
            </w:r>
          </w:p>
        </w:tc>
        <w:tc>
          <w:tcPr>
            <w:tcW w:w="1797" w:type="dxa"/>
            <w:noWrap/>
            <w:vAlign w:val="center"/>
            <w:hideMark/>
          </w:tcPr>
          <w:p w14:paraId="7C0AB518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$79.95</w:t>
            </w:r>
          </w:p>
        </w:tc>
      </w:tr>
      <w:tr w:rsidR="00F5120A" w:rsidRPr="00961E55" w14:paraId="47B6D1D1" w14:textId="77777777" w:rsidTr="005B3499">
        <w:trPr>
          <w:trHeight w:val="300"/>
        </w:trPr>
        <w:tc>
          <w:tcPr>
            <w:tcW w:w="2419" w:type="dxa"/>
            <w:vAlign w:val="center"/>
            <w:hideMark/>
          </w:tcPr>
          <w:p w14:paraId="3F88509F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272" w:type="dxa"/>
            <w:vAlign w:val="center"/>
            <w:hideMark/>
          </w:tcPr>
          <w:p w14:paraId="6B89AC71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474" w:type="dxa"/>
            <w:vAlign w:val="center"/>
            <w:hideMark/>
          </w:tcPr>
          <w:p w14:paraId="1BA94C3C" w14:textId="77777777" w:rsidR="00F5120A" w:rsidRPr="005C0FE7" w:rsidRDefault="00F5120A" w:rsidP="00F5120A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388" w:type="dxa"/>
            <w:noWrap/>
            <w:vAlign w:val="center"/>
            <w:hideMark/>
          </w:tcPr>
          <w:p w14:paraId="48DE63E7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$647.83</w:t>
            </w:r>
          </w:p>
        </w:tc>
        <w:tc>
          <w:tcPr>
            <w:tcW w:w="1797" w:type="dxa"/>
            <w:noWrap/>
            <w:vAlign w:val="center"/>
            <w:hideMark/>
          </w:tcPr>
          <w:p w14:paraId="16AB610C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$622.57</w:t>
            </w:r>
          </w:p>
        </w:tc>
      </w:tr>
      <w:tr w:rsidR="00F5120A" w:rsidRPr="00961E55" w14:paraId="67F98464" w14:textId="77777777" w:rsidTr="005B3499">
        <w:trPr>
          <w:trHeight w:val="300"/>
        </w:trPr>
        <w:tc>
          <w:tcPr>
            <w:tcW w:w="2419" w:type="dxa"/>
            <w:vAlign w:val="center"/>
            <w:hideMark/>
          </w:tcPr>
          <w:p w14:paraId="4B9C0B34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272" w:type="dxa"/>
            <w:vAlign w:val="center"/>
            <w:hideMark/>
          </w:tcPr>
          <w:p w14:paraId="3C66A049" w14:textId="77777777" w:rsidR="00F5120A" w:rsidRPr="005C0FE7" w:rsidRDefault="00F5120A" w:rsidP="00F5120A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474" w:type="dxa"/>
            <w:vAlign w:val="center"/>
            <w:hideMark/>
          </w:tcPr>
          <w:p w14:paraId="481FD48E" w14:textId="77777777" w:rsidR="00F5120A" w:rsidRPr="005C0FE7" w:rsidRDefault="00F5120A" w:rsidP="00F5120A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388" w:type="dxa"/>
            <w:noWrap/>
            <w:vAlign w:val="center"/>
            <w:hideMark/>
          </w:tcPr>
          <w:p w14:paraId="082A22BB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$1,394.45</w:t>
            </w:r>
          </w:p>
        </w:tc>
        <w:tc>
          <w:tcPr>
            <w:tcW w:w="1797" w:type="dxa"/>
            <w:noWrap/>
            <w:vAlign w:val="center"/>
            <w:hideMark/>
          </w:tcPr>
          <w:p w14:paraId="53831CED" w14:textId="77777777" w:rsidR="00F5120A" w:rsidRPr="005C0FE7" w:rsidRDefault="00F5120A" w:rsidP="00F5120A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$1,340.09</w:t>
            </w:r>
          </w:p>
        </w:tc>
      </w:tr>
    </w:tbl>
    <w:p w14:paraId="24583A86" w14:textId="77777777" w:rsidR="003C3334" w:rsidRDefault="003C3334" w:rsidP="002354AF">
      <w:pPr>
        <w:snapToGrid w:val="0"/>
        <w:spacing w:line="276" w:lineRule="auto"/>
        <w:contextualSpacing/>
        <w:rPr>
          <w:rFonts w:ascii="Times New Roman" w:hAnsi="Times New Roman"/>
          <w:b/>
          <w:szCs w:val="24"/>
        </w:rPr>
      </w:pPr>
    </w:p>
    <w:p w14:paraId="7958F33F" w14:textId="5183D98D" w:rsidR="00C21463" w:rsidRDefault="003C3334" w:rsidP="003C3334">
      <w:pPr>
        <w:pStyle w:val="Heading2"/>
      </w:pPr>
      <w:r w:rsidRPr="003C3334">
        <w:t>Berkshire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2299"/>
        <w:gridCol w:w="1491"/>
        <w:gridCol w:w="1406"/>
        <w:gridCol w:w="1707"/>
      </w:tblGrid>
      <w:tr w:rsidR="00F5120A" w:rsidRPr="00961E55" w14:paraId="3485D177" w14:textId="77777777" w:rsidTr="00015F2B">
        <w:trPr>
          <w:trHeight w:val="600"/>
        </w:trPr>
        <w:tc>
          <w:tcPr>
            <w:tcW w:w="2448" w:type="dxa"/>
            <w:vAlign w:val="center"/>
          </w:tcPr>
          <w:p w14:paraId="1B5FC7BD" w14:textId="0829F941" w:rsidR="00F5120A" w:rsidRPr="005C0FE7" w:rsidRDefault="00F5120A" w:rsidP="00FB41A3">
            <w:pPr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300" w:type="dxa"/>
            <w:vAlign w:val="center"/>
          </w:tcPr>
          <w:p w14:paraId="447E6093" w14:textId="7C303B9E" w:rsidR="00F5120A" w:rsidRPr="005C0FE7" w:rsidRDefault="00F5120A" w:rsidP="00FB41A3">
            <w:pPr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91" w:type="dxa"/>
            <w:vAlign w:val="center"/>
          </w:tcPr>
          <w:p w14:paraId="3F4BAE3F" w14:textId="646FEA38" w:rsidR="00F5120A" w:rsidRPr="005C0FE7" w:rsidRDefault="00513480" w:rsidP="00FB41A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404" w:type="dxa"/>
            <w:noWrap/>
            <w:vAlign w:val="center"/>
          </w:tcPr>
          <w:p w14:paraId="556889F1" w14:textId="27390D7C" w:rsidR="00F5120A" w:rsidRPr="005C0FE7" w:rsidRDefault="00F5120A" w:rsidP="00FB41A3">
            <w:pPr>
              <w:jc w:val="center"/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07" w:type="dxa"/>
            <w:noWrap/>
            <w:vAlign w:val="center"/>
          </w:tcPr>
          <w:p w14:paraId="2680C156" w14:textId="576D4040" w:rsidR="00F5120A" w:rsidRPr="005C0FE7" w:rsidRDefault="00F5120A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502E55" w:rsidRPr="00961E55" w14:paraId="3A1CEB68" w14:textId="77777777" w:rsidTr="00015F2B">
        <w:trPr>
          <w:trHeight w:val="600"/>
        </w:trPr>
        <w:tc>
          <w:tcPr>
            <w:tcW w:w="2448" w:type="dxa"/>
            <w:vAlign w:val="center"/>
            <w:hideMark/>
          </w:tcPr>
          <w:p w14:paraId="244350D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300" w:type="dxa"/>
            <w:vAlign w:val="center"/>
            <w:hideMark/>
          </w:tcPr>
          <w:p w14:paraId="4581C909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1F0A3231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491" w:type="dxa"/>
            <w:vAlign w:val="center"/>
            <w:hideMark/>
          </w:tcPr>
          <w:p w14:paraId="6534460F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2170997F" w14:textId="77777777" w:rsidR="00502E55" w:rsidRPr="005C0FE7" w:rsidRDefault="00502E55" w:rsidP="00FB41A3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$231.13</w:t>
            </w:r>
          </w:p>
        </w:tc>
        <w:tc>
          <w:tcPr>
            <w:tcW w:w="1707" w:type="dxa"/>
            <w:noWrap/>
            <w:vAlign w:val="center"/>
            <w:hideMark/>
          </w:tcPr>
          <w:p w14:paraId="77BD742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$222.12 </w:t>
            </w:r>
          </w:p>
        </w:tc>
      </w:tr>
      <w:tr w:rsidR="00502E55" w:rsidRPr="00961E55" w14:paraId="0082E359" w14:textId="77777777" w:rsidTr="00015F2B">
        <w:trPr>
          <w:trHeight w:val="300"/>
        </w:trPr>
        <w:tc>
          <w:tcPr>
            <w:tcW w:w="2448" w:type="dxa"/>
            <w:vAlign w:val="center"/>
            <w:hideMark/>
          </w:tcPr>
          <w:p w14:paraId="027FD152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300" w:type="dxa"/>
            <w:vAlign w:val="center"/>
            <w:hideMark/>
          </w:tcPr>
          <w:p w14:paraId="7C8DF6C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6D410EC7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491" w:type="dxa"/>
            <w:vAlign w:val="center"/>
            <w:hideMark/>
          </w:tcPr>
          <w:p w14:paraId="73E0DB01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143EB92A" w14:textId="77777777" w:rsidR="00502E55" w:rsidRPr="005C0FE7" w:rsidRDefault="00502E55" w:rsidP="00FB41A3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$182.18</w:t>
            </w:r>
          </w:p>
        </w:tc>
        <w:tc>
          <w:tcPr>
            <w:tcW w:w="1707" w:type="dxa"/>
            <w:noWrap/>
            <w:vAlign w:val="center"/>
            <w:hideMark/>
          </w:tcPr>
          <w:p w14:paraId="45524737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$175.07 </w:t>
            </w:r>
          </w:p>
        </w:tc>
      </w:tr>
      <w:tr w:rsidR="00502E55" w:rsidRPr="00961E55" w14:paraId="162FDEBB" w14:textId="77777777" w:rsidTr="00015F2B">
        <w:trPr>
          <w:trHeight w:val="602"/>
        </w:trPr>
        <w:tc>
          <w:tcPr>
            <w:tcW w:w="2448" w:type="dxa"/>
            <w:vAlign w:val="center"/>
            <w:hideMark/>
          </w:tcPr>
          <w:p w14:paraId="3858830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300" w:type="dxa"/>
            <w:vAlign w:val="center"/>
            <w:hideMark/>
          </w:tcPr>
          <w:p w14:paraId="36A892F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491" w:type="dxa"/>
            <w:vAlign w:val="center"/>
            <w:hideMark/>
          </w:tcPr>
          <w:p w14:paraId="7C1BF695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404" w:type="dxa"/>
            <w:noWrap/>
            <w:vAlign w:val="center"/>
            <w:hideMark/>
          </w:tcPr>
          <w:p w14:paraId="57CFA9F0" w14:textId="77777777" w:rsidR="00502E55" w:rsidRPr="005C0FE7" w:rsidRDefault="00502E55" w:rsidP="00FB41A3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$69.79</w:t>
            </w:r>
          </w:p>
        </w:tc>
        <w:tc>
          <w:tcPr>
            <w:tcW w:w="1707" w:type="dxa"/>
            <w:noWrap/>
            <w:vAlign w:val="center"/>
            <w:hideMark/>
          </w:tcPr>
          <w:p w14:paraId="54B7471C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$67.07 </w:t>
            </w:r>
          </w:p>
        </w:tc>
      </w:tr>
      <w:tr w:rsidR="00502E55" w:rsidRPr="00961E55" w14:paraId="41603157" w14:textId="77777777" w:rsidTr="00015F2B">
        <w:trPr>
          <w:trHeight w:val="300"/>
        </w:trPr>
        <w:tc>
          <w:tcPr>
            <w:tcW w:w="2448" w:type="dxa"/>
            <w:vAlign w:val="center"/>
            <w:hideMark/>
          </w:tcPr>
          <w:p w14:paraId="45807271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300" w:type="dxa"/>
            <w:vAlign w:val="center"/>
            <w:hideMark/>
          </w:tcPr>
          <w:p w14:paraId="6BB32FF7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491" w:type="dxa"/>
            <w:vAlign w:val="center"/>
            <w:hideMark/>
          </w:tcPr>
          <w:p w14:paraId="54440B8B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404" w:type="dxa"/>
            <w:noWrap/>
            <w:vAlign w:val="center"/>
            <w:hideMark/>
          </w:tcPr>
          <w:p w14:paraId="517BB43A" w14:textId="77777777" w:rsidR="00502E55" w:rsidRPr="005C0FE7" w:rsidRDefault="00502E55" w:rsidP="00FB41A3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$69.79</w:t>
            </w:r>
          </w:p>
        </w:tc>
        <w:tc>
          <w:tcPr>
            <w:tcW w:w="1707" w:type="dxa"/>
            <w:noWrap/>
            <w:vAlign w:val="center"/>
            <w:hideMark/>
          </w:tcPr>
          <w:p w14:paraId="11BE0205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$67.07 </w:t>
            </w:r>
          </w:p>
        </w:tc>
      </w:tr>
      <w:tr w:rsidR="00502E55" w:rsidRPr="00961E55" w14:paraId="755BECE8" w14:textId="77777777" w:rsidTr="00015F2B">
        <w:trPr>
          <w:trHeight w:val="300"/>
        </w:trPr>
        <w:tc>
          <w:tcPr>
            <w:tcW w:w="2448" w:type="dxa"/>
            <w:vAlign w:val="center"/>
            <w:hideMark/>
          </w:tcPr>
          <w:p w14:paraId="2251A0F0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300" w:type="dxa"/>
            <w:vAlign w:val="center"/>
            <w:hideMark/>
          </w:tcPr>
          <w:p w14:paraId="3097D1D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491" w:type="dxa"/>
            <w:vAlign w:val="center"/>
            <w:hideMark/>
          </w:tcPr>
          <w:p w14:paraId="4B5AA104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6EDFE3DA" w14:textId="77777777" w:rsidR="00502E55" w:rsidRPr="005C0FE7" w:rsidRDefault="00502E55" w:rsidP="00FB41A3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$560.51</w:t>
            </w:r>
          </w:p>
        </w:tc>
        <w:tc>
          <w:tcPr>
            <w:tcW w:w="1707" w:type="dxa"/>
            <w:noWrap/>
            <w:vAlign w:val="center"/>
            <w:hideMark/>
          </w:tcPr>
          <w:p w14:paraId="1E351463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$538.65 </w:t>
            </w:r>
          </w:p>
        </w:tc>
      </w:tr>
      <w:tr w:rsidR="00502E55" w:rsidRPr="00961E55" w14:paraId="7BB7D7E3" w14:textId="77777777" w:rsidTr="00015F2B">
        <w:trPr>
          <w:trHeight w:val="300"/>
        </w:trPr>
        <w:tc>
          <w:tcPr>
            <w:tcW w:w="2448" w:type="dxa"/>
            <w:vAlign w:val="center"/>
            <w:hideMark/>
          </w:tcPr>
          <w:p w14:paraId="629C8367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300" w:type="dxa"/>
            <w:vAlign w:val="center"/>
            <w:hideMark/>
          </w:tcPr>
          <w:p w14:paraId="296A01D4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491" w:type="dxa"/>
            <w:vAlign w:val="center"/>
            <w:hideMark/>
          </w:tcPr>
          <w:p w14:paraId="62D4DBB5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1AFDA9B7" w14:textId="77777777" w:rsidR="00502E55" w:rsidRPr="005C0FE7" w:rsidRDefault="00502E55" w:rsidP="00FB41A3">
            <w:pPr>
              <w:jc w:val="center"/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$1,199.86</w:t>
            </w:r>
          </w:p>
        </w:tc>
        <w:tc>
          <w:tcPr>
            <w:tcW w:w="1707" w:type="dxa"/>
            <w:noWrap/>
            <w:vAlign w:val="center"/>
            <w:hideMark/>
          </w:tcPr>
          <w:p w14:paraId="106487BB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>$1,153.08</w:t>
            </w:r>
          </w:p>
        </w:tc>
      </w:tr>
    </w:tbl>
    <w:p w14:paraId="007FE4FB" w14:textId="77777777" w:rsidR="00502E55" w:rsidRDefault="00502E55" w:rsidP="002354AF">
      <w:pPr>
        <w:snapToGrid w:val="0"/>
        <w:spacing w:line="276" w:lineRule="auto"/>
        <w:contextualSpacing/>
      </w:pPr>
    </w:p>
    <w:p w14:paraId="5CA98F73" w14:textId="6FF118A6" w:rsidR="003C3334" w:rsidRDefault="003C3334" w:rsidP="003C3334">
      <w:pPr>
        <w:pStyle w:val="Heading2"/>
      </w:pPr>
      <w:r w:rsidRPr="003C3334">
        <w:t>Bristol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2294"/>
        <w:gridCol w:w="1491"/>
        <w:gridCol w:w="1406"/>
        <w:gridCol w:w="1707"/>
      </w:tblGrid>
      <w:tr w:rsidR="00015F2B" w:rsidRPr="005C0FE7" w14:paraId="3BDE077E" w14:textId="77777777" w:rsidTr="005B3499">
        <w:trPr>
          <w:trHeight w:val="600"/>
          <w:tblHeader/>
        </w:trPr>
        <w:tc>
          <w:tcPr>
            <w:tcW w:w="2453" w:type="dxa"/>
            <w:vAlign w:val="center"/>
          </w:tcPr>
          <w:p w14:paraId="3A47EB16" w14:textId="251E966F" w:rsidR="00015F2B" w:rsidRPr="005C0FE7" w:rsidRDefault="00015F2B" w:rsidP="00FB41A3">
            <w:pPr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295" w:type="dxa"/>
            <w:vAlign w:val="center"/>
          </w:tcPr>
          <w:p w14:paraId="7412704C" w14:textId="2845F6D4" w:rsidR="00015F2B" w:rsidRPr="005C0FE7" w:rsidRDefault="00015F2B" w:rsidP="00FB41A3">
            <w:pPr>
              <w:rPr>
                <w:b/>
                <w:bCs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91" w:type="dxa"/>
            <w:vAlign w:val="center"/>
          </w:tcPr>
          <w:p w14:paraId="026B147D" w14:textId="2DF5D656" w:rsidR="00015F2B" w:rsidRPr="005C0FE7" w:rsidRDefault="00513480" w:rsidP="00FB41A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404" w:type="dxa"/>
            <w:noWrap/>
            <w:vAlign w:val="center"/>
          </w:tcPr>
          <w:p w14:paraId="60FDC312" w14:textId="24B6547E" w:rsidR="00015F2B" w:rsidRPr="005C0FE7" w:rsidRDefault="00015F2B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07" w:type="dxa"/>
            <w:noWrap/>
            <w:vAlign w:val="center"/>
          </w:tcPr>
          <w:p w14:paraId="02316435" w14:textId="55E4569F" w:rsidR="00015F2B" w:rsidRPr="005C0FE7" w:rsidRDefault="00015F2B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502E55" w:rsidRPr="005C0FE7" w14:paraId="23F2EDF9" w14:textId="77777777" w:rsidTr="00015F2B">
        <w:trPr>
          <w:trHeight w:val="600"/>
        </w:trPr>
        <w:tc>
          <w:tcPr>
            <w:tcW w:w="2453" w:type="dxa"/>
            <w:vAlign w:val="center"/>
            <w:hideMark/>
          </w:tcPr>
          <w:p w14:paraId="43BC9EF8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295" w:type="dxa"/>
            <w:vAlign w:val="center"/>
            <w:hideMark/>
          </w:tcPr>
          <w:p w14:paraId="362B6FC7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3B6BFD69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491" w:type="dxa"/>
            <w:vAlign w:val="center"/>
            <w:hideMark/>
          </w:tcPr>
          <w:p w14:paraId="38E57000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55067515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$231.74 </w:t>
            </w:r>
          </w:p>
        </w:tc>
        <w:tc>
          <w:tcPr>
            <w:tcW w:w="1707" w:type="dxa"/>
            <w:noWrap/>
            <w:vAlign w:val="center"/>
            <w:hideMark/>
          </w:tcPr>
          <w:p w14:paraId="73C69299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$222.71 </w:t>
            </w:r>
          </w:p>
        </w:tc>
      </w:tr>
      <w:tr w:rsidR="00502E55" w:rsidRPr="005C0FE7" w14:paraId="73D00B1D" w14:textId="77777777" w:rsidTr="00015F2B">
        <w:trPr>
          <w:trHeight w:val="300"/>
        </w:trPr>
        <w:tc>
          <w:tcPr>
            <w:tcW w:w="2453" w:type="dxa"/>
            <w:vAlign w:val="center"/>
            <w:hideMark/>
          </w:tcPr>
          <w:p w14:paraId="39A01CA2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295" w:type="dxa"/>
            <w:vAlign w:val="center"/>
            <w:hideMark/>
          </w:tcPr>
          <w:p w14:paraId="4E774F03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521F0FF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491" w:type="dxa"/>
            <w:vAlign w:val="center"/>
            <w:hideMark/>
          </w:tcPr>
          <w:p w14:paraId="0CB44376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7A8CB957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$182.66 </w:t>
            </w:r>
          </w:p>
        </w:tc>
        <w:tc>
          <w:tcPr>
            <w:tcW w:w="1707" w:type="dxa"/>
            <w:noWrap/>
            <w:vAlign w:val="center"/>
            <w:hideMark/>
          </w:tcPr>
          <w:p w14:paraId="03AF36A5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$175.53 </w:t>
            </w:r>
          </w:p>
        </w:tc>
      </w:tr>
      <w:tr w:rsidR="00502E55" w:rsidRPr="005C0FE7" w14:paraId="57F0DAD1" w14:textId="77777777" w:rsidTr="00015F2B">
        <w:trPr>
          <w:trHeight w:val="605"/>
        </w:trPr>
        <w:tc>
          <w:tcPr>
            <w:tcW w:w="2453" w:type="dxa"/>
            <w:vAlign w:val="center"/>
            <w:hideMark/>
          </w:tcPr>
          <w:p w14:paraId="0F475A10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295" w:type="dxa"/>
            <w:vAlign w:val="center"/>
            <w:hideMark/>
          </w:tcPr>
          <w:p w14:paraId="3F56DB79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491" w:type="dxa"/>
            <w:vAlign w:val="center"/>
            <w:hideMark/>
          </w:tcPr>
          <w:p w14:paraId="022E8BA0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404" w:type="dxa"/>
            <w:noWrap/>
            <w:vAlign w:val="center"/>
            <w:hideMark/>
          </w:tcPr>
          <w:p w14:paraId="4EAF245C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$70.00 </w:t>
            </w:r>
          </w:p>
        </w:tc>
        <w:tc>
          <w:tcPr>
            <w:tcW w:w="1707" w:type="dxa"/>
            <w:noWrap/>
            <w:vAlign w:val="center"/>
            <w:hideMark/>
          </w:tcPr>
          <w:p w14:paraId="3012AFD9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$67.27 </w:t>
            </w:r>
          </w:p>
        </w:tc>
      </w:tr>
      <w:tr w:rsidR="00502E55" w:rsidRPr="005C0FE7" w14:paraId="015972F0" w14:textId="77777777" w:rsidTr="00015F2B">
        <w:trPr>
          <w:trHeight w:val="300"/>
        </w:trPr>
        <w:tc>
          <w:tcPr>
            <w:tcW w:w="2453" w:type="dxa"/>
            <w:vAlign w:val="center"/>
            <w:hideMark/>
          </w:tcPr>
          <w:p w14:paraId="4E076C9A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295" w:type="dxa"/>
            <w:vAlign w:val="center"/>
            <w:hideMark/>
          </w:tcPr>
          <w:p w14:paraId="0DDE204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491" w:type="dxa"/>
            <w:vAlign w:val="center"/>
            <w:hideMark/>
          </w:tcPr>
          <w:p w14:paraId="1D88C61E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404" w:type="dxa"/>
            <w:noWrap/>
            <w:vAlign w:val="center"/>
            <w:hideMark/>
          </w:tcPr>
          <w:p w14:paraId="23253894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$70.00 </w:t>
            </w:r>
          </w:p>
        </w:tc>
        <w:tc>
          <w:tcPr>
            <w:tcW w:w="1707" w:type="dxa"/>
            <w:noWrap/>
            <w:vAlign w:val="center"/>
            <w:hideMark/>
          </w:tcPr>
          <w:p w14:paraId="65F84AC6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$67.27 </w:t>
            </w:r>
          </w:p>
        </w:tc>
      </w:tr>
      <w:tr w:rsidR="00502E55" w:rsidRPr="005C0FE7" w14:paraId="72E70085" w14:textId="77777777" w:rsidTr="00015F2B">
        <w:trPr>
          <w:trHeight w:val="300"/>
        </w:trPr>
        <w:tc>
          <w:tcPr>
            <w:tcW w:w="2453" w:type="dxa"/>
            <w:hideMark/>
          </w:tcPr>
          <w:p w14:paraId="5F9B0EF8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295" w:type="dxa"/>
            <w:vAlign w:val="center"/>
            <w:hideMark/>
          </w:tcPr>
          <w:p w14:paraId="5A9A1942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491" w:type="dxa"/>
            <w:hideMark/>
          </w:tcPr>
          <w:p w14:paraId="64C7E41F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63876FB9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$561.88 </w:t>
            </w:r>
          </w:p>
        </w:tc>
        <w:tc>
          <w:tcPr>
            <w:tcW w:w="1707" w:type="dxa"/>
            <w:noWrap/>
            <w:vAlign w:val="center"/>
            <w:hideMark/>
          </w:tcPr>
          <w:p w14:paraId="5DD5ECB7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$539.96 </w:t>
            </w:r>
          </w:p>
        </w:tc>
      </w:tr>
      <w:tr w:rsidR="00502E55" w:rsidRPr="005C0FE7" w14:paraId="262E98C0" w14:textId="77777777" w:rsidTr="00015F2B">
        <w:trPr>
          <w:trHeight w:val="300"/>
        </w:trPr>
        <w:tc>
          <w:tcPr>
            <w:tcW w:w="2453" w:type="dxa"/>
            <w:hideMark/>
          </w:tcPr>
          <w:p w14:paraId="230BD891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295" w:type="dxa"/>
            <w:vAlign w:val="center"/>
            <w:hideMark/>
          </w:tcPr>
          <w:p w14:paraId="187FFC09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491" w:type="dxa"/>
            <w:hideMark/>
          </w:tcPr>
          <w:p w14:paraId="00F49215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4194D492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$1,202.91</w:t>
            </w:r>
          </w:p>
        </w:tc>
        <w:tc>
          <w:tcPr>
            <w:tcW w:w="1707" w:type="dxa"/>
            <w:noWrap/>
            <w:vAlign w:val="center"/>
            <w:hideMark/>
          </w:tcPr>
          <w:p w14:paraId="05ABAD93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$1,156.01</w:t>
            </w:r>
          </w:p>
        </w:tc>
      </w:tr>
    </w:tbl>
    <w:p w14:paraId="1E7BBDE5" w14:textId="77777777" w:rsidR="00654273" w:rsidRDefault="00654273" w:rsidP="002354AF">
      <w:pPr>
        <w:snapToGrid w:val="0"/>
        <w:spacing w:line="276" w:lineRule="auto"/>
        <w:contextualSpacing/>
      </w:pPr>
    </w:p>
    <w:p w14:paraId="18DD3E89" w14:textId="4A3DD90E" w:rsidR="00F07142" w:rsidRDefault="003C3334" w:rsidP="005B3499">
      <w:pPr>
        <w:pStyle w:val="Heading2"/>
      </w:pPr>
      <w:r w:rsidRPr="003C3334">
        <w:t>Essex/Middlesex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2299"/>
        <w:gridCol w:w="1491"/>
        <w:gridCol w:w="1406"/>
        <w:gridCol w:w="1707"/>
      </w:tblGrid>
      <w:tr w:rsidR="00F07142" w:rsidRPr="00F07142" w14:paraId="6007CE98" w14:textId="77777777" w:rsidTr="00F07142">
        <w:trPr>
          <w:trHeight w:val="600"/>
        </w:trPr>
        <w:tc>
          <w:tcPr>
            <w:tcW w:w="2448" w:type="dxa"/>
            <w:vAlign w:val="center"/>
          </w:tcPr>
          <w:p w14:paraId="065D16AC" w14:textId="44B06528" w:rsidR="00F07142" w:rsidRPr="00F07142" w:rsidRDefault="00F07142" w:rsidP="00FB41A3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0F07142">
              <w:rPr>
                <w:rStyle w:val="CommentReference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300" w:type="dxa"/>
            <w:vAlign w:val="center"/>
          </w:tcPr>
          <w:p w14:paraId="3C3B727E" w14:textId="51AF0477" w:rsidR="00F07142" w:rsidRPr="00F07142" w:rsidRDefault="00F07142" w:rsidP="00FB41A3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91" w:type="dxa"/>
            <w:vAlign w:val="center"/>
          </w:tcPr>
          <w:p w14:paraId="4FA4137B" w14:textId="04F640BE" w:rsidR="00F07142" w:rsidRPr="00F07142" w:rsidRDefault="00513480" w:rsidP="00FB41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404" w:type="dxa"/>
            <w:noWrap/>
            <w:vAlign w:val="center"/>
          </w:tcPr>
          <w:p w14:paraId="648C2900" w14:textId="601F09D8" w:rsidR="00F07142" w:rsidRPr="00F07142" w:rsidRDefault="00F07142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07" w:type="dxa"/>
            <w:noWrap/>
            <w:vAlign w:val="center"/>
          </w:tcPr>
          <w:p w14:paraId="700DE49A" w14:textId="4207C765" w:rsidR="00F07142" w:rsidRPr="00F07142" w:rsidRDefault="00F07142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0FE7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502E55" w:rsidRPr="00961E55" w14:paraId="25D7EDF6" w14:textId="77777777" w:rsidTr="00F07142">
        <w:trPr>
          <w:trHeight w:val="600"/>
        </w:trPr>
        <w:tc>
          <w:tcPr>
            <w:tcW w:w="2448" w:type="dxa"/>
            <w:vAlign w:val="center"/>
            <w:hideMark/>
          </w:tcPr>
          <w:p w14:paraId="7D6647F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300" w:type="dxa"/>
            <w:vAlign w:val="center"/>
            <w:hideMark/>
          </w:tcPr>
          <w:p w14:paraId="57E4987D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77BADCA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491" w:type="dxa"/>
            <w:vAlign w:val="center"/>
            <w:hideMark/>
          </w:tcPr>
          <w:p w14:paraId="56B10748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60712999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$241.40 </w:t>
            </w:r>
          </w:p>
        </w:tc>
        <w:tc>
          <w:tcPr>
            <w:tcW w:w="1707" w:type="dxa"/>
            <w:noWrap/>
            <w:vAlign w:val="center"/>
            <w:hideMark/>
          </w:tcPr>
          <w:p w14:paraId="7055C79E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$231.99 </w:t>
            </w:r>
          </w:p>
        </w:tc>
      </w:tr>
      <w:tr w:rsidR="00502E55" w:rsidRPr="00961E55" w14:paraId="69C1ED1C" w14:textId="77777777" w:rsidTr="00F07142">
        <w:trPr>
          <w:trHeight w:val="300"/>
        </w:trPr>
        <w:tc>
          <w:tcPr>
            <w:tcW w:w="2448" w:type="dxa"/>
            <w:vAlign w:val="center"/>
            <w:hideMark/>
          </w:tcPr>
          <w:p w14:paraId="67D0D00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300" w:type="dxa"/>
            <w:vAlign w:val="center"/>
            <w:hideMark/>
          </w:tcPr>
          <w:p w14:paraId="50CA932F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067D53B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491" w:type="dxa"/>
            <w:vAlign w:val="center"/>
            <w:hideMark/>
          </w:tcPr>
          <w:p w14:paraId="1101143C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7171EE3A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$190.27 </w:t>
            </w:r>
          </w:p>
        </w:tc>
        <w:tc>
          <w:tcPr>
            <w:tcW w:w="1707" w:type="dxa"/>
            <w:noWrap/>
            <w:vAlign w:val="center"/>
            <w:hideMark/>
          </w:tcPr>
          <w:p w14:paraId="3ACD1C42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$182.85 </w:t>
            </w:r>
          </w:p>
        </w:tc>
      </w:tr>
      <w:tr w:rsidR="00502E55" w:rsidRPr="00961E55" w14:paraId="3AE59453" w14:textId="77777777" w:rsidTr="00F07142">
        <w:trPr>
          <w:trHeight w:val="619"/>
        </w:trPr>
        <w:tc>
          <w:tcPr>
            <w:tcW w:w="2448" w:type="dxa"/>
            <w:vAlign w:val="center"/>
            <w:hideMark/>
          </w:tcPr>
          <w:p w14:paraId="4FB242E8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300" w:type="dxa"/>
            <w:vAlign w:val="center"/>
            <w:hideMark/>
          </w:tcPr>
          <w:p w14:paraId="04BDA22A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491" w:type="dxa"/>
            <w:vAlign w:val="center"/>
            <w:hideMark/>
          </w:tcPr>
          <w:p w14:paraId="7A02DD9A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404" w:type="dxa"/>
            <w:noWrap/>
            <w:vAlign w:val="center"/>
            <w:hideMark/>
          </w:tcPr>
          <w:p w14:paraId="5AFC4D9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$73.32 </w:t>
            </w:r>
          </w:p>
        </w:tc>
        <w:tc>
          <w:tcPr>
            <w:tcW w:w="1707" w:type="dxa"/>
            <w:noWrap/>
            <w:vAlign w:val="center"/>
            <w:hideMark/>
          </w:tcPr>
          <w:p w14:paraId="1C386774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$70.46 </w:t>
            </w:r>
          </w:p>
        </w:tc>
      </w:tr>
      <w:tr w:rsidR="00502E55" w:rsidRPr="00961E55" w14:paraId="1124604D" w14:textId="77777777" w:rsidTr="00F07142">
        <w:trPr>
          <w:trHeight w:val="300"/>
        </w:trPr>
        <w:tc>
          <w:tcPr>
            <w:tcW w:w="2448" w:type="dxa"/>
            <w:vAlign w:val="center"/>
            <w:hideMark/>
          </w:tcPr>
          <w:p w14:paraId="1477FD10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300" w:type="dxa"/>
            <w:vAlign w:val="center"/>
            <w:hideMark/>
          </w:tcPr>
          <w:p w14:paraId="5A33F82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491" w:type="dxa"/>
            <w:vAlign w:val="center"/>
            <w:hideMark/>
          </w:tcPr>
          <w:p w14:paraId="16C49404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404" w:type="dxa"/>
            <w:noWrap/>
            <w:vAlign w:val="center"/>
            <w:hideMark/>
          </w:tcPr>
          <w:p w14:paraId="0E6F23BD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$73.32 </w:t>
            </w:r>
          </w:p>
        </w:tc>
        <w:tc>
          <w:tcPr>
            <w:tcW w:w="1707" w:type="dxa"/>
            <w:noWrap/>
            <w:vAlign w:val="center"/>
            <w:hideMark/>
          </w:tcPr>
          <w:p w14:paraId="58BACBAC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$70.46 </w:t>
            </w:r>
          </w:p>
        </w:tc>
      </w:tr>
      <w:tr w:rsidR="00502E55" w:rsidRPr="00961E55" w14:paraId="3E46F340" w14:textId="77777777" w:rsidTr="00F07142">
        <w:trPr>
          <w:trHeight w:val="300"/>
        </w:trPr>
        <w:tc>
          <w:tcPr>
            <w:tcW w:w="2448" w:type="dxa"/>
            <w:vAlign w:val="center"/>
            <w:hideMark/>
          </w:tcPr>
          <w:p w14:paraId="3B8F2325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300" w:type="dxa"/>
            <w:vAlign w:val="center"/>
            <w:hideMark/>
          </w:tcPr>
          <w:p w14:paraId="7D440C9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491" w:type="dxa"/>
            <w:vAlign w:val="center"/>
            <w:hideMark/>
          </w:tcPr>
          <w:p w14:paraId="36A502DC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736B7654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$583.52 </w:t>
            </w:r>
          </w:p>
        </w:tc>
        <w:tc>
          <w:tcPr>
            <w:tcW w:w="1707" w:type="dxa"/>
            <w:noWrap/>
            <w:vAlign w:val="center"/>
            <w:hideMark/>
          </w:tcPr>
          <w:p w14:paraId="7CA76E7F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$560.76 </w:t>
            </w:r>
          </w:p>
        </w:tc>
      </w:tr>
      <w:tr w:rsidR="00502E55" w:rsidRPr="00961E55" w14:paraId="0702BACB" w14:textId="77777777" w:rsidTr="00F07142">
        <w:trPr>
          <w:trHeight w:val="300"/>
        </w:trPr>
        <w:tc>
          <w:tcPr>
            <w:tcW w:w="2448" w:type="dxa"/>
            <w:vAlign w:val="center"/>
            <w:hideMark/>
          </w:tcPr>
          <w:p w14:paraId="42EEB47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300" w:type="dxa"/>
            <w:vAlign w:val="center"/>
            <w:hideMark/>
          </w:tcPr>
          <w:p w14:paraId="5A8F223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491" w:type="dxa"/>
            <w:vAlign w:val="center"/>
            <w:hideMark/>
          </w:tcPr>
          <w:p w14:paraId="4021372E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4" w:type="dxa"/>
            <w:noWrap/>
            <w:vAlign w:val="center"/>
            <w:hideMark/>
          </w:tcPr>
          <w:p w14:paraId="554EC251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$1,251.14</w:t>
            </w:r>
          </w:p>
        </w:tc>
        <w:tc>
          <w:tcPr>
            <w:tcW w:w="1707" w:type="dxa"/>
            <w:noWrap/>
            <w:vAlign w:val="center"/>
            <w:hideMark/>
          </w:tcPr>
          <w:p w14:paraId="498178C3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$1,202.36</w:t>
            </w:r>
          </w:p>
        </w:tc>
      </w:tr>
    </w:tbl>
    <w:p w14:paraId="564536A8" w14:textId="77777777" w:rsidR="00502E55" w:rsidRDefault="00502E55" w:rsidP="002354AF">
      <w:pPr>
        <w:snapToGrid w:val="0"/>
        <w:spacing w:line="276" w:lineRule="auto"/>
        <w:contextualSpacing/>
      </w:pPr>
    </w:p>
    <w:p w14:paraId="72AC13C6" w14:textId="5CC23DBB" w:rsidR="003C3334" w:rsidRDefault="003C3334" w:rsidP="003C3334">
      <w:pPr>
        <w:pStyle w:val="Heading2"/>
      </w:pPr>
      <w:r w:rsidRPr="003C3334">
        <w:t>Franklin/Hampden/Hampshire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265"/>
        <w:gridCol w:w="1488"/>
        <w:gridCol w:w="1406"/>
        <w:gridCol w:w="1749"/>
      </w:tblGrid>
      <w:tr w:rsidR="00F07142" w:rsidRPr="005C0FE7" w14:paraId="48907AC2" w14:textId="77777777" w:rsidTr="005B3499">
        <w:trPr>
          <w:trHeight w:val="300"/>
          <w:tblHeader/>
        </w:trPr>
        <w:tc>
          <w:tcPr>
            <w:tcW w:w="2442" w:type="dxa"/>
            <w:vAlign w:val="center"/>
          </w:tcPr>
          <w:p w14:paraId="5BA1C05C" w14:textId="1269946A" w:rsidR="00F07142" w:rsidRPr="00F07142" w:rsidRDefault="00F07142" w:rsidP="00FB41A3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265" w:type="dxa"/>
            <w:vAlign w:val="center"/>
          </w:tcPr>
          <w:p w14:paraId="675D6FEC" w14:textId="107AEE6A" w:rsidR="00F07142" w:rsidRPr="00F07142" w:rsidRDefault="00F07142" w:rsidP="00FB41A3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88" w:type="dxa"/>
            <w:vAlign w:val="center"/>
          </w:tcPr>
          <w:p w14:paraId="069B9D29" w14:textId="0A5483BC" w:rsidR="00F07142" w:rsidRPr="00F07142" w:rsidRDefault="00513480" w:rsidP="00FB41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406" w:type="dxa"/>
            <w:noWrap/>
            <w:vAlign w:val="center"/>
          </w:tcPr>
          <w:p w14:paraId="1AE8DB01" w14:textId="70256D64" w:rsidR="00F07142" w:rsidRPr="00F07142" w:rsidRDefault="00F07142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49" w:type="dxa"/>
            <w:noWrap/>
            <w:vAlign w:val="center"/>
          </w:tcPr>
          <w:p w14:paraId="7226762C" w14:textId="0D01C387" w:rsidR="00F07142" w:rsidRPr="00F07142" w:rsidRDefault="00F07142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502E55" w:rsidRPr="005C0FE7" w14:paraId="1EE8D546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71C86140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265" w:type="dxa"/>
            <w:vAlign w:val="center"/>
            <w:hideMark/>
          </w:tcPr>
          <w:p w14:paraId="2F47BE6D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6E611DE8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488" w:type="dxa"/>
            <w:vAlign w:val="center"/>
            <w:hideMark/>
          </w:tcPr>
          <w:p w14:paraId="1EC543F8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10CD5025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$231.13 </w:t>
            </w:r>
          </w:p>
        </w:tc>
        <w:tc>
          <w:tcPr>
            <w:tcW w:w="1749" w:type="dxa"/>
            <w:noWrap/>
            <w:vAlign w:val="center"/>
            <w:hideMark/>
          </w:tcPr>
          <w:p w14:paraId="2F88671F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$222.12 </w:t>
            </w:r>
          </w:p>
        </w:tc>
      </w:tr>
      <w:tr w:rsidR="00502E55" w:rsidRPr="005C0FE7" w14:paraId="6C22A936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654A9D11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265" w:type="dxa"/>
            <w:vAlign w:val="center"/>
            <w:hideMark/>
          </w:tcPr>
          <w:p w14:paraId="7A788FA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7E2D05B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488" w:type="dxa"/>
            <w:vAlign w:val="center"/>
            <w:hideMark/>
          </w:tcPr>
          <w:p w14:paraId="2042037F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1F8CDEE7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$182.18 </w:t>
            </w:r>
          </w:p>
        </w:tc>
        <w:tc>
          <w:tcPr>
            <w:tcW w:w="1749" w:type="dxa"/>
            <w:noWrap/>
            <w:vAlign w:val="center"/>
            <w:hideMark/>
          </w:tcPr>
          <w:p w14:paraId="7A500D7F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$175.07 </w:t>
            </w:r>
          </w:p>
        </w:tc>
      </w:tr>
      <w:tr w:rsidR="00502E55" w:rsidRPr="005C0FE7" w14:paraId="3D6F026F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08C26200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265" w:type="dxa"/>
            <w:vAlign w:val="center"/>
            <w:hideMark/>
          </w:tcPr>
          <w:p w14:paraId="2436445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488" w:type="dxa"/>
            <w:vAlign w:val="center"/>
            <w:hideMark/>
          </w:tcPr>
          <w:p w14:paraId="50E862C5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406" w:type="dxa"/>
            <w:noWrap/>
            <w:vAlign w:val="center"/>
            <w:hideMark/>
          </w:tcPr>
          <w:p w14:paraId="7E21FD0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$69.79 </w:t>
            </w:r>
          </w:p>
        </w:tc>
        <w:tc>
          <w:tcPr>
            <w:tcW w:w="1749" w:type="dxa"/>
            <w:noWrap/>
            <w:vAlign w:val="center"/>
            <w:hideMark/>
          </w:tcPr>
          <w:p w14:paraId="78F3D63E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$67.07 </w:t>
            </w:r>
          </w:p>
        </w:tc>
      </w:tr>
      <w:tr w:rsidR="00502E55" w:rsidRPr="005C0FE7" w14:paraId="0AB4747E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66BD242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265" w:type="dxa"/>
            <w:vAlign w:val="center"/>
            <w:hideMark/>
          </w:tcPr>
          <w:p w14:paraId="0121D9F9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488" w:type="dxa"/>
            <w:vAlign w:val="center"/>
            <w:hideMark/>
          </w:tcPr>
          <w:p w14:paraId="0AB3D018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406" w:type="dxa"/>
            <w:noWrap/>
            <w:vAlign w:val="center"/>
            <w:hideMark/>
          </w:tcPr>
          <w:p w14:paraId="2F42E9C2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$69.79 </w:t>
            </w:r>
          </w:p>
        </w:tc>
        <w:tc>
          <w:tcPr>
            <w:tcW w:w="1749" w:type="dxa"/>
            <w:noWrap/>
            <w:vAlign w:val="center"/>
            <w:hideMark/>
          </w:tcPr>
          <w:p w14:paraId="350E8FEE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$67.07 </w:t>
            </w:r>
          </w:p>
        </w:tc>
      </w:tr>
      <w:tr w:rsidR="00502E55" w:rsidRPr="005C0FE7" w14:paraId="6631F0DF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47E5CB7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265" w:type="dxa"/>
            <w:vAlign w:val="center"/>
            <w:hideMark/>
          </w:tcPr>
          <w:p w14:paraId="55BC8E6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488" w:type="dxa"/>
            <w:vAlign w:val="center"/>
            <w:hideMark/>
          </w:tcPr>
          <w:p w14:paraId="3DB0F877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4938B34A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$560.51 </w:t>
            </w:r>
          </w:p>
        </w:tc>
        <w:tc>
          <w:tcPr>
            <w:tcW w:w="1749" w:type="dxa"/>
            <w:noWrap/>
            <w:vAlign w:val="center"/>
            <w:hideMark/>
          </w:tcPr>
          <w:p w14:paraId="1F42F15B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$538.65 </w:t>
            </w:r>
          </w:p>
        </w:tc>
      </w:tr>
      <w:tr w:rsidR="00502E55" w:rsidRPr="005C0FE7" w14:paraId="262C2C1F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24F2796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265" w:type="dxa"/>
            <w:vAlign w:val="center"/>
            <w:hideMark/>
          </w:tcPr>
          <w:p w14:paraId="0528F8FB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488" w:type="dxa"/>
            <w:vAlign w:val="center"/>
            <w:hideMark/>
          </w:tcPr>
          <w:p w14:paraId="0FE4795F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4B10F03A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>$1,199.86</w:t>
            </w:r>
          </w:p>
        </w:tc>
        <w:tc>
          <w:tcPr>
            <w:tcW w:w="1749" w:type="dxa"/>
            <w:noWrap/>
            <w:vAlign w:val="center"/>
            <w:hideMark/>
          </w:tcPr>
          <w:p w14:paraId="63DCBC2E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>$1,153.08</w:t>
            </w:r>
          </w:p>
        </w:tc>
      </w:tr>
    </w:tbl>
    <w:p w14:paraId="5CFCACE6" w14:textId="77777777" w:rsidR="005B3499" w:rsidRDefault="005B3499" w:rsidP="005B3499">
      <w:pPr>
        <w:snapToGrid w:val="0"/>
        <w:spacing w:line="276" w:lineRule="auto"/>
        <w:contextualSpacing/>
      </w:pPr>
    </w:p>
    <w:p w14:paraId="6069FCC2" w14:textId="4C61BF82" w:rsidR="003C3334" w:rsidRDefault="003C3334" w:rsidP="003C3334">
      <w:pPr>
        <w:pStyle w:val="Heading2"/>
      </w:pPr>
      <w:r w:rsidRPr="003C3334">
        <w:t>Norfolk/Plymouth/Suffolk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298"/>
        <w:gridCol w:w="1491"/>
        <w:gridCol w:w="1406"/>
        <w:gridCol w:w="1706"/>
      </w:tblGrid>
      <w:tr w:rsidR="00F07142" w:rsidRPr="00F07142" w14:paraId="68C531D4" w14:textId="77777777" w:rsidTr="005B3499">
        <w:trPr>
          <w:trHeight w:val="600"/>
        </w:trPr>
        <w:tc>
          <w:tcPr>
            <w:tcW w:w="2449" w:type="dxa"/>
            <w:vAlign w:val="center"/>
          </w:tcPr>
          <w:p w14:paraId="0E5FB0E3" w14:textId="2A3AF22A" w:rsidR="00F07142" w:rsidRPr="00F07142" w:rsidRDefault="00F07142" w:rsidP="00FB41A3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298" w:type="dxa"/>
            <w:vAlign w:val="center"/>
          </w:tcPr>
          <w:p w14:paraId="0811BDC0" w14:textId="12A945DC" w:rsidR="00F07142" w:rsidRPr="00F07142" w:rsidRDefault="00F07142" w:rsidP="00FB41A3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91" w:type="dxa"/>
            <w:vAlign w:val="center"/>
          </w:tcPr>
          <w:p w14:paraId="2BA91497" w14:textId="4663704B" w:rsidR="00F07142" w:rsidRPr="00513480" w:rsidRDefault="00513480" w:rsidP="00FB41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406" w:type="dxa"/>
            <w:noWrap/>
            <w:vAlign w:val="center"/>
          </w:tcPr>
          <w:p w14:paraId="1087B448" w14:textId="52C19458" w:rsidR="00F07142" w:rsidRPr="00F07142" w:rsidRDefault="00F07142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06" w:type="dxa"/>
            <w:noWrap/>
            <w:vAlign w:val="center"/>
          </w:tcPr>
          <w:p w14:paraId="411BF650" w14:textId="3D672D4F" w:rsidR="00F07142" w:rsidRPr="00F07142" w:rsidRDefault="00F07142" w:rsidP="00FB41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502E55" w:rsidRPr="00961E55" w14:paraId="5AF1B93D" w14:textId="77777777" w:rsidTr="005B3499">
        <w:trPr>
          <w:trHeight w:val="600"/>
        </w:trPr>
        <w:tc>
          <w:tcPr>
            <w:tcW w:w="2449" w:type="dxa"/>
            <w:vAlign w:val="center"/>
            <w:hideMark/>
          </w:tcPr>
          <w:p w14:paraId="3D30876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298" w:type="dxa"/>
            <w:vAlign w:val="center"/>
            <w:hideMark/>
          </w:tcPr>
          <w:p w14:paraId="09C8593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66141734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491" w:type="dxa"/>
            <w:vAlign w:val="center"/>
            <w:hideMark/>
          </w:tcPr>
          <w:p w14:paraId="2BCB1FE0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2A92A32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$254.30 </w:t>
            </w:r>
          </w:p>
        </w:tc>
        <w:tc>
          <w:tcPr>
            <w:tcW w:w="1706" w:type="dxa"/>
            <w:noWrap/>
            <w:vAlign w:val="center"/>
            <w:hideMark/>
          </w:tcPr>
          <w:p w14:paraId="5688D8CB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$244.39 </w:t>
            </w:r>
          </w:p>
        </w:tc>
      </w:tr>
      <w:tr w:rsidR="00502E55" w:rsidRPr="00961E55" w14:paraId="38B8D72C" w14:textId="77777777" w:rsidTr="005B3499">
        <w:trPr>
          <w:trHeight w:val="600"/>
        </w:trPr>
        <w:tc>
          <w:tcPr>
            <w:tcW w:w="2449" w:type="dxa"/>
            <w:vAlign w:val="center"/>
            <w:hideMark/>
          </w:tcPr>
          <w:p w14:paraId="065C3CAB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298" w:type="dxa"/>
            <w:vAlign w:val="center"/>
            <w:hideMark/>
          </w:tcPr>
          <w:p w14:paraId="1B9027FE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045AF3C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491" w:type="dxa"/>
            <w:vAlign w:val="center"/>
            <w:hideMark/>
          </w:tcPr>
          <w:p w14:paraId="3046A4C2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212B784D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$200.44 </w:t>
            </w:r>
          </w:p>
        </w:tc>
        <w:tc>
          <w:tcPr>
            <w:tcW w:w="1706" w:type="dxa"/>
            <w:noWrap/>
            <w:vAlign w:val="center"/>
            <w:hideMark/>
          </w:tcPr>
          <w:p w14:paraId="1BB2E2F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$192.62 </w:t>
            </w:r>
          </w:p>
        </w:tc>
      </w:tr>
      <w:tr w:rsidR="00502E55" w:rsidRPr="00961E55" w14:paraId="3AFFC300" w14:textId="77777777" w:rsidTr="005B3499">
        <w:trPr>
          <w:trHeight w:val="302"/>
        </w:trPr>
        <w:tc>
          <w:tcPr>
            <w:tcW w:w="2449" w:type="dxa"/>
            <w:vAlign w:val="center"/>
            <w:hideMark/>
          </w:tcPr>
          <w:p w14:paraId="26237F7D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298" w:type="dxa"/>
            <w:vAlign w:val="center"/>
            <w:hideMark/>
          </w:tcPr>
          <w:p w14:paraId="3ADEA358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491" w:type="dxa"/>
            <w:vAlign w:val="center"/>
            <w:hideMark/>
          </w:tcPr>
          <w:p w14:paraId="0A2D4502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406" w:type="dxa"/>
            <w:noWrap/>
            <w:vAlign w:val="center"/>
            <w:hideMark/>
          </w:tcPr>
          <w:p w14:paraId="05BD0FA2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$77.76 </w:t>
            </w:r>
          </w:p>
        </w:tc>
        <w:tc>
          <w:tcPr>
            <w:tcW w:w="1706" w:type="dxa"/>
            <w:noWrap/>
            <w:vAlign w:val="center"/>
            <w:hideMark/>
          </w:tcPr>
          <w:p w14:paraId="410D6C47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$74.73 </w:t>
            </w:r>
          </w:p>
        </w:tc>
      </w:tr>
      <w:tr w:rsidR="00502E55" w:rsidRPr="00961E55" w14:paraId="1C90994D" w14:textId="77777777" w:rsidTr="005B3499">
        <w:trPr>
          <w:trHeight w:val="300"/>
        </w:trPr>
        <w:tc>
          <w:tcPr>
            <w:tcW w:w="2449" w:type="dxa"/>
            <w:vAlign w:val="center"/>
            <w:hideMark/>
          </w:tcPr>
          <w:p w14:paraId="00E89D5D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298" w:type="dxa"/>
            <w:vAlign w:val="center"/>
            <w:hideMark/>
          </w:tcPr>
          <w:p w14:paraId="76E99B6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491" w:type="dxa"/>
            <w:vAlign w:val="center"/>
            <w:hideMark/>
          </w:tcPr>
          <w:p w14:paraId="7AFB951C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406" w:type="dxa"/>
            <w:noWrap/>
            <w:vAlign w:val="bottom"/>
            <w:hideMark/>
          </w:tcPr>
          <w:p w14:paraId="20943EB2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$77.76 </w:t>
            </w:r>
          </w:p>
        </w:tc>
        <w:tc>
          <w:tcPr>
            <w:tcW w:w="1706" w:type="dxa"/>
            <w:noWrap/>
            <w:vAlign w:val="center"/>
            <w:hideMark/>
          </w:tcPr>
          <w:p w14:paraId="7235FF5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$74.73 </w:t>
            </w:r>
          </w:p>
        </w:tc>
      </w:tr>
      <w:tr w:rsidR="00502E55" w:rsidRPr="00961E55" w14:paraId="4C5946BD" w14:textId="77777777" w:rsidTr="005B3499">
        <w:trPr>
          <w:trHeight w:val="300"/>
        </w:trPr>
        <w:tc>
          <w:tcPr>
            <w:tcW w:w="2449" w:type="dxa"/>
            <w:vAlign w:val="center"/>
            <w:hideMark/>
          </w:tcPr>
          <w:p w14:paraId="7255CE8D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298" w:type="dxa"/>
            <w:vAlign w:val="center"/>
            <w:hideMark/>
          </w:tcPr>
          <w:p w14:paraId="60E1DE2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491" w:type="dxa"/>
            <w:vAlign w:val="center"/>
            <w:hideMark/>
          </w:tcPr>
          <w:p w14:paraId="54152E00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bottom"/>
            <w:hideMark/>
          </w:tcPr>
          <w:p w14:paraId="4B92A50B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$612.45 </w:t>
            </w:r>
          </w:p>
        </w:tc>
        <w:tc>
          <w:tcPr>
            <w:tcW w:w="1706" w:type="dxa"/>
            <w:noWrap/>
            <w:vAlign w:val="center"/>
            <w:hideMark/>
          </w:tcPr>
          <w:p w14:paraId="53D2782D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$588.56 </w:t>
            </w:r>
          </w:p>
        </w:tc>
      </w:tr>
      <w:tr w:rsidR="00502E55" w:rsidRPr="00961E55" w14:paraId="1805AB6D" w14:textId="77777777" w:rsidTr="005B3499">
        <w:trPr>
          <w:trHeight w:val="300"/>
        </w:trPr>
        <w:tc>
          <w:tcPr>
            <w:tcW w:w="2449" w:type="dxa"/>
            <w:vAlign w:val="center"/>
            <w:hideMark/>
          </w:tcPr>
          <w:p w14:paraId="17FBAC2F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298" w:type="dxa"/>
            <w:vAlign w:val="center"/>
            <w:hideMark/>
          </w:tcPr>
          <w:p w14:paraId="2D0953A7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491" w:type="dxa"/>
            <w:vAlign w:val="center"/>
            <w:hideMark/>
          </w:tcPr>
          <w:p w14:paraId="59DAF992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bottom"/>
            <w:hideMark/>
          </w:tcPr>
          <w:p w14:paraId="40A52FF4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$1,315.59</w:t>
            </w:r>
          </w:p>
        </w:tc>
        <w:tc>
          <w:tcPr>
            <w:tcW w:w="1706" w:type="dxa"/>
            <w:noWrap/>
            <w:vAlign w:val="center"/>
            <w:hideMark/>
          </w:tcPr>
          <w:p w14:paraId="1C2D7C49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$1,264.30</w:t>
            </w:r>
          </w:p>
        </w:tc>
      </w:tr>
    </w:tbl>
    <w:p w14:paraId="2C8E4333" w14:textId="77777777" w:rsidR="00502E55" w:rsidRDefault="00502E55" w:rsidP="002354AF">
      <w:pPr>
        <w:snapToGrid w:val="0"/>
        <w:spacing w:line="276" w:lineRule="auto"/>
        <w:contextualSpacing/>
      </w:pPr>
    </w:p>
    <w:p w14:paraId="418E99B8" w14:textId="16AC0B47" w:rsidR="003C3334" w:rsidRPr="002354AF" w:rsidRDefault="003C3334" w:rsidP="003C3334">
      <w:pPr>
        <w:pStyle w:val="Heading2"/>
      </w:pPr>
      <w:r w:rsidRPr="003C3334">
        <w:t>Worcester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2250"/>
        <w:gridCol w:w="1533"/>
        <w:gridCol w:w="1406"/>
        <w:gridCol w:w="1749"/>
      </w:tblGrid>
      <w:tr w:rsidR="00F07142" w:rsidRPr="00F07142" w14:paraId="52B5BAE0" w14:textId="77777777" w:rsidTr="005B3499">
        <w:trPr>
          <w:trHeight w:val="600"/>
          <w:tblHeader/>
        </w:trPr>
        <w:tc>
          <w:tcPr>
            <w:tcW w:w="2412" w:type="dxa"/>
          </w:tcPr>
          <w:p w14:paraId="54B3482B" w14:textId="77777777" w:rsidR="00F07142" w:rsidRPr="00F07142" w:rsidRDefault="00F07142" w:rsidP="00447A6A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250" w:type="dxa"/>
          </w:tcPr>
          <w:p w14:paraId="7CE46E23" w14:textId="77777777" w:rsidR="00F07142" w:rsidRPr="00F07142" w:rsidRDefault="00F07142" w:rsidP="00447A6A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533" w:type="dxa"/>
          </w:tcPr>
          <w:p w14:paraId="626230B8" w14:textId="45001D06" w:rsidR="00F07142" w:rsidRPr="00513480" w:rsidRDefault="00513480" w:rsidP="00447A6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406" w:type="dxa"/>
            <w:noWrap/>
          </w:tcPr>
          <w:p w14:paraId="6BF3F45C" w14:textId="77777777" w:rsidR="00F07142" w:rsidRPr="00F07142" w:rsidRDefault="00F07142" w:rsidP="00447A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49" w:type="dxa"/>
            <w:noWrap/>
          </w:tcPr>
          <w:p w14:paraId="08F24E62" w14:textId="77777777" w:rsidR="00F07142" w:rsidRPr="00F07142" w:rsidRDefault="00F07142" w:rsidP="00447A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502E55" w:rsidRPr="005C0FE7" w14:paraId="77C48529" w14:textId="77777777" w:rsidTr="00F07142">
        <w:trPr>
          <w:trHeight w:val="600"/>
        </w:trPr>
        <w:tc>
          <w:tcPr>
            <w:tcW w:w="2412" w:type="dxa"/>
            <w:vAlign w:val="center"/>
            <w:hideMark/>
          </w:tcPr>
          <w:p w14:paraId="72EF5E77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250" w:type="dxa"/>
            <w:vAlign w:val="center"/>
            <w:hideMark/>
          </w:tcPr>
          <w:p w14:paraId="6407EDCB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1F3A7A9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533" w:type="dxa"/>
            <w:vAlign w:val="center"/>
            <w:hideMark/>
          </w:tcPr>
          <w:p w14:paraId="217E81CC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0D4641C2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$237.46 </w:t>
            </w:r>
          </w:p>
        </w:tc>
        <w:tc>
          <w:tcPr>
            <w:tcW w:w="1749" w:type="dxa"/>
            <w:noWrap/>
            <w:vAlign w:val="center"/>
            <w:hideMark/>
          </w:tcPr>
          <w:p w14:paraId="5B55705D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$228.20 </w:t>
            </w:r>
          </w:p>
        </w:tc>
      </w:tr>
      <w:tr w:rsidR="00502E55" w:rsidRPr="005C0FE7" w14:paraId="66048DB0" w14:textId="77777777" w:rsidTr="00F07142">
        <w:trPr>
          <w:trHeight w:val="300"/>
        </w:trPr>
        <w:tc>
          <w:tcPr>
            <w:tcW w:w="2412" w:type="dxa"/>
            <w:vAlign w:val="center"/>
            <w:hideMark/>
          </w:tcPr>
          <w:p w14:paraId="49356CE1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250" w:type="dxa"/>
            <w:vAlign w:val="center"/>
            <w:hideMark/>
          </w:tcPr>
          <w:p w14:paraId="219EDEAA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66D0DAF3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533" w:type="dxa"/>
            <w:vAlign w:val="center"/>
            <w:hideMark/>
          </w:tcPr>
          <w:p w14:paraId="756C8925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5FD64DB8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$187.17 </w:t>
            </w:r>
          </w:p>
        </w:tc>
        <w:tc>
          <w:tcPr>
            <w:tcW w:w="1749" w:type="dxa"/>
            <w:noWrap/>
            <w:vAlign w:val="center"/>
            <w:hideMark/>
          </w:tcPr>
          <w:p w14:paraId="3B7080A8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$179.86 </w:t>
            </w:r>
          </w:p>
        </w:tc>
      </w:tr>
      <w:tr w:rsidR="00502E55" w:rsidRPr="005C0FE7" w14:paraId="445B1BF8" w14:textId="77777777" w:rsidTr="00F07142">
        <w:trPr>
          <w:trHeight w:val="302"/>
        </w:trPr>
        <w:tc>
          <w:tcPr>
            <w:tcW w:w="2412" w:type="dxa"/>
            <w:vAlign w:val="center"/>
            <w:hideMark/>
          </w:tcPr>
          <w:p w14:paraId="57BC7EEA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250" w:type="dxa"/>
            <w:vAlign w:val="center"/>
            <w:hideMark/>
          </w:tcPr>
          <w:p w14:paraId="755DB903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533" w:type="dxa"/>
            <w:vAlign w:val="center"/>
            <w:hideMark/>
          </w:tcPr>
          <w:p w14:paraId="278F9869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406" w:type="dxa"/>
            <w:noWrap/>
            <w:vAlign w:val="center"/>
            <w:hideMark/>
          </w:tcPr>
          <w:p w14:paraId="4AD6B269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$71.97 </w:t>
            </w:r>
          </w:p>
        </w:tc>
        <w:tc>
          <w:tcPr>
            <w:tcW w:w="1749" w:type="dxa"/>
            <w:noWrap/>
            <w:vAlign w:val="center"/>
            <w:hideMark/>
          </w:tcPr>
          <w:p w14:paraId="29873DD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$69.16 </w:t>
            </w:r>
          </w:p>
        </w:tc>
      </w:tr>
      <w:tr w:rsidR="00502E55" w:rsidRPr="005C0FE7" w14:paraId="49935467" w14:textId="77777777" w:rsidTr="00F07142">
        <w:trPr>
          <w:trHeight w:val="300"/>
        </w:trPr>
        <w:tc>
          <w:tcPr>
            <w:tcW w:w="2412" w:type="dxa"/>
            <w:vAlign w:val="center"/>
            <w:hideMark/>
          </w:tcPr>
          <w:p w14:paraId="764CD6E7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250" w:type="dxa"/>
            <w:vAlign w:val="center"/>
            <w:hideMark/>
          </w:tcPr>
          <w:p w14:paraId="7CDD45A3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533" w:type="dxa"/>
            <w:vAlign w:val="center"/>
            <w:hideMark/>
          </w:tcPr>
          <w:p w14:paraId="4FC589CE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406" w:type="dxa"/>
            <w:noWrap/>
            <w:vAlign w:val="center"/>
            <w:hideMark/>
          </w:tcPr>
          <w:p w14:paraId="68448CF5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$71.97 </w:t>
            </w:r>
          </w:p>
        </w:tc>
        <w:tc>
          <w:tcPr>
            <w:tcW w:w="1749" w:type="dxa"/>
            <w:noWrap/>
            <w:vAlign w:val="center"/>
            <w:hideMark/>
          </w:tcPr>
          <w:p w14:paraId="28E08D24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$69.16 </w:t>
            </w:r>
          </w:p>
        </w:tc>
      </w:tr>
      <w:tr w:rsidR="00502E55" w:rsidRPr="005C0FE7" w14:paraId="5953E4FB" w14:textId="77777777" w:rsidTr="00F07142">
        <w:trPr>
          <w:trHeight w:val="300"/>
        </w:trPr>
        <w:tc>
          <w:tcPr>
            <w:tcW w:w="2412" w:type="dxa"/>
            <w:vAlign w:val="center"/>
            <w:hideMark/>
          </w:tcPr>
          <w:p w14:paraId="3419C158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250" w:type="dxa"/>
            <w:vAlign w:val="center"/>
            <w:hideMark/>
          </w:tcPr>
          <w:p w14:paraId="5B1B233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533" w:type="dxa"/>
            <w:vAlign w:val="center"/>
            <w:hideMark/>
          </w:tcPr>
          <w:p w14:paraId="3B22AB14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3C09FDA6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$574.70 </w:t>
            </w:r>
          </w:p>
        </w:tc>
        <w:tc>
          <w:tcPr>
            <w:tcW w:w="1749" w:type="dxa"/>
            <w:noWrap/>
            <w:vAlign w:val="center"/>
            <w:hideMark/>
          </w:tcPr>
          <w:p w14:paraId="6654ABE9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$552.29 </w:t>
            </w:r>
          </w:p>
        </w:tc>
      </w:tr>
      <w:tr w:rsidR="00502E55" w:rsidRPr="005C0FE7" w14:paraId="6954FEE0" w14:textId="77777777" w:rsidTr="00F07142">
        <w:trPr>
          <w:trHeight w:val="300"/>
        </w:trPr>
        <w:tc>
          <w:tcPr>
            <w:tcW w:w="2412" w:type="dxa"/>
            <w:vAlign w:val="center"/>
            <w:hideMark/>
          </w:tcPr>
          <w:p w14:paraId="02845B23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250" w:type="dxa"/>
            <w:vAlign w:val="center"/>
            <w:hideMark/>
          </w:tcPr>
          <w:p w14:paraId="2AA8FB0C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533" w:type="dxa"/>
            <w:vAlign w:val="center"/>
            <w:hideMark/>
          </w:tcPr>
          <w:p w14:paraId="2FB3D115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2068D551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$1,231.48</w:t>
            </w:r>
          </w:p>
        </w:tc>
        <w:tc>
          <w:tcPr>
            <w:tcW w:w="1749" w:type="dxa"/>
            <w:noWrap/>
            <w:vAlign w:val="center"/>
            <w:hideMark/>
          </w:tcPr>
          <w:p w14:paraId="70CC513A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$1,183.47</w:t>
            </w:r>
          </w:p>
        </w:tc>
      </w:tr>
    </w:tbl>
    <w:p w14:paraId="7CC2CB49" w14:textId="77777777" w:rsidR="00502E55" w:rsidRDefault="00502E55" w:rsidP="002354AF">
      <w:pPr>
        <w:snapToGrid w:val="0"/>
        <w:spacing w:line="276" w:lineRule="auto"/>
        <w:contextualSpacing/>
      </w:pPr>
    </w:p>
    <w:p w14:paraId="11BEF521" w14:textId="65CEA231" w:rsidR="003C3334" w:rsidRPr="005C0FE7" w:rsidRDefault="003C3334" w:rsidP="005B3499">
      <w:pPr>
        <w:pStyle w:val="Heading2"/>
      </w:pPr>
      <w:r w:rsidRPr="005B3499">
        <w:t>Rural: Dukes and Nantucket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265"/>
        <w:gridCol w:w="1488"/>
        <w:gridCol w:w="1406"/>
        <w:gridCol w:w="1749"/>
      </w:tblGrid>
      <w:tr w:rsidR="00513480" w:rsidRPr="00F07142" w14:paraId="780823CE" w14:textId="77777777" w:rsidTr="005B3499">
        <w:trPr>
          <w:trHeight w:val="600"/>
        </w:trPr>
        <w:tc>
          <w:tcPr>
            <w:tcW w:w="2442" w:type="dxa"/>
          </w:tcPr>
          <w:p w14:paraId="35674024" w14:textId="77777777" w:rsidR="00513480" w:rsidRPr="00F07142" w:rsidRDefault="00513480" w:rsidP="00447A6A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265" w:type="dxa"/>
          </w:tcPr>
          <w:p w14:paraId="5514770C" w14:textId="77777777" w:rsidR="00513480" w:rsidRPr="00F07142" w:rsidRDefault="00513480" w:rsidP="00447A6A">
            <w:pPr>
              <w:rPr>
                <w:b/>
                <w:bCs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88" w:type="dxa"/>
          </w:tcPr>
          <w:p w14:paraId="0D27FCA0" w14:textId="60E38147" w:rsidR="00513480" w:rsidRPr="00513480" w:rsidRDefault="00513480" w:rsidP="00447A6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406" w:type="dxa"/>
            <w:noWrap/>
          </w:tcPr>
          <w:p w14:paraId="521343DD" w14:textId="77777777" w:rsidR="00513480" w:rsidRPr="00F07142" w:rsidRDefault="00513480" w:rsidP="00447A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Compliant Rate</w:t>
            </w:r>
          </w:p>
        </w:tc>
        <w:tc>
          <w:tcPr>
            <w:tcW w:w="1749" w:type="dxa"/>
            <w:noWrap/>
          </w:tcPr>
          <w:p w14:paraId="481F68E6" w14:textId="77777777" w:rsidR="00513480" w:rsidRPr="00F07142" w:rsidRDefault="00513480" w:rsidP="00447A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7142">
              <w:rPr>
                <w:b/>
                <w:bCs/>
                <w:sz w:val="22"/>
                <w:szCs w:val="22"/>
              </w:rPr>
              <w:t>Non-Compliant Rate</w:t>
            </w:r>
          </w:p>
        </w:tc>
      </w:tr>
      <w:tr w:rsidR="00502E55" w:rsidRPr="00961E55" w14:paraId="1E842EB3" w14:textId="77777777" w:rsidTr="005B3499">
        <w:trPr>
          <w:trHeight w:val="600"/>
        </w:trPr>
        <w:tc>
          <w:tcPr>
            <w:tcW w:w="2442" w:type="dxa"/>
            <w:vAlign w:val="center"/>
            <w:hideMark/>
          </w:tcPr>
          <w:p w14:paraId="33BBFCC6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</w:t>
            </w:r>
          </w:p>
        </w:tc>
        <w:tc>
          <w:tcPr>
            <w:tcW w:w="2265" w:type="dxa"/>
            <w:vAlign w:val="center"/>
            <w:hideMark/>
          </w:tcPr>
          <w:p w14:paraId="4DDCF69B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30ED831F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(1-60 days)</w:t>
            </w:r>
          </w:p>
        </w:tc>
        <w:tc>
          <w:tcPr>
            <w:tcW w:w="1488" w:type="dxa"/>
            <w:vAlign w:val="center"/>
            <w:hideMark/>
          </w:tcPr>
          <w:p w14:paraId="22CC0026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072E7B03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$252.06 </w:t>
            </w:r>
          </w:p>
        </w:tc>
        <w:tc>
          <w:tcPr>
            <w:tcW w:w="1749" w:type="dxa"/>
            <w:noWrap/>
            <w:vAlign w:val="center"/>
            <w:hideMark/>
          </w:tcPr>
          <w:p w14:paraId="1D31E753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$242.23 </w:t>
            </w:r>
          </w:p>
        </w:tc>
      </w:tr>
      <w:tr w:rsidR="00502E55" w:rsidRPr="00961E55" w14:paraId="3303EA85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500050CF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T2042 UD</w:t>
            </w:r>
          </w:p>
        </w:tc>
        <w:tc>
          <w:tcPr>
            <w:tcW w:w="2265" w:type="dxa"/>
            <w:vAlign w:val="center"/>
            <w:hideMark/>
          </w:tcPr>
          <w:p w14:paraId="3728EF7D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 xml:space="preserve">Routine Home Care </w:t>
            </w:r>
          </w:p>
          <w:p w14:paraId="38786388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(61+ days)</w:t>
            </w:r>
          </w:p>
        </w:tc>
        <w:tc>
          <w:tcPr>
            <w:tcW w:w="1488" w:type="dxa"/>
            <w:vAlign w:val="center"/>
            <w:hideMark/>
          </w:tcPr>
          <w:p w14:paraId="7D8F1911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75C19802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$198.68 </w:t>
            </w:r>
          </w:p>
        </w:tc>
        <w:tc>
          <w:tcPr>
            <w:tcW w:w="1749" w:type="dxa"/>
            <w:noWrap/>
            <w:vAlign w:val="center"/>
            <w:hideMark/>
          </w:tcPr>
          <w:p w14:paraId="1EF1883A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$190.92 </w:t>
            </w:r>
          </w:p>
        </w:tc>
      </w:tr>
      <w:tr w:rsidR="00502E55" w:rsidRPr="00961E55" w14:paraId="628BFFB3" w14:textId="77777777" w:rsidTr="005B3499">
        <w:trPr>
          <w:trHeight w:val="302"/>
        </w:trPr>
        <w:tc>
          <w:tcPr>
            <w:tcW w:w="2442" w:type="dxa"/>
            <w:vAlign w:val="center"/>
            <w:hideMark/>
          </w:tcPr>
          <w:p w14:paraId="3848B4CD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G0299 (RN services) G0155 (Social Worker services)</w:t>
            </w:r>
          </w:p>
        </w:tc>
        <w:tc>
          <w:tcPr>
            <w:tcW w:w="2265" w:type="dxa"/>
            <w:vAlign w:val="center"/>
            <w:hideMark/>
          </w:tcPr>
          <w:p w14:paraId="584CF70F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Service Intensity Add-on</w:t>
            </w:r>
          </w:p>
        </w:tc>
        <w:tc>
          <w:tcPr>
            <w:tcW w:w="1488" w:type="dxa"/>
            <w:vAlign w:val="center"/>
            <w:hideMark/>
          </w:tcPr>
          <w:p w14:paraId="1BAEEB72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Hour/Max four hours</w:t>
            </w:r>
          </w:p>
        </w:tc>
        <w:tc>
          <w:tcPr>
            <w:tcW w:w="1406" w:type="dxa"/>
            <w:noWrap/>
            <w:vAlign w:val="center"/>
            <w:hideMark/>
          </w:tcPr>
          <w:p w14:paraId="208B2498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$76.99 </w:t>
            </w:r>
          </w:p>
        </w:tc>
        <w:tc>
          <w:tcPr>
            <w:tcW w:w="1749" w:type="dxa"/>
            <w:noWrap/>
            <w:vAlign w:val="center"/>
            <w:hideMark/>
          </w:tcPr>
          <w:p w14:paraId="1507AD31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$73.99 </w:t>
            </w:r>
          </w:p>
        </w:tc>
      </w:tr>
      <w:tr w:rsidR="00502E55" w:rsidRPr="00961E55" w14:paraId="1983BBB7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2FDD5A22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T2043</w:t>
            </w:r>
          </w:p>
        </w:tc>
        <w:tc>
          <w:tcPr>
            <w:tcW w:w="2265" w:type="dxa"/>
            <w:vAlign w:val="center"/>
            <w:hideMark/>
          </w:tcPr>
          <w:p w14:paraId="59D7979A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Continuous Home Care</w:t>
            </w:r>
          </w:p>
        </w:tc>
        <w:tc>
          <w:tcPr>
            <w:tcW w:w="1488" w:type="dxa"/>
            <w:vAlign w:val="center"/>
            <w:hideMark/>
          </w:tcPr>
          <w:p w14:paraId="3EDFD333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Hour</w:t>
            </w:r>
          </w:p>
        </w:tc>
        <w:tc>
          <w:tcPr>
            <w:tcW w:w="1406" w:type="dxa"/>
            <w:noWrap/>
            <w:vAlign w:val="center"/>
            <w:hideMark/>
          </w:tcPr>
          <w:p w14:paraId="2BB626B7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$76.99 </w:t>
            </w:r>
          </w:p>
        </w:tc>
        <w:tc>
          <w:tcPr>
            <w:tcW w:w="1749" w:type="dxa"/>
            <w:noWrap/>
            <w:vAlign w:val="center"/>
            <w:hideMark/>
          </w:tcPr>
          <w:p w14:paraId="05F8167F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$73.99 </w:t>
            </w:r>
          </w:p>
        </w:tc>
      </w:tr>
      <w:tr w:rsidR="00502E55" w:rsidRPr="00961E55" w14:paraId="34A20D1B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6DC50A15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T2044</w:t>
            </w:r>
          </w:p>
        </w:tc>
        <w:tc>
          <w:tcPr>
            <w:tcW w:w="2265" w:type="dxa"/>
            <w:vAlign w:val="center"/>
            <w:hideMark/>
          </w:tcPr>
          <w:p w14:paraId="3B20C715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Inpatient Respite</w:t>
            </w:r>
          </w:p>
        </w:tc>
        <w:tc>
          <w:tcPr>
            <w:tcW w:w="1488" w:type="dxa"/>
            <w:vAlign w:val="center"/>
            <w:hideMark/>
          </w:tcPr>
          <w:p w14:paraId="7382496B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68477113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$607.42 </w:t>
            </w:r>
          </w:p>
        </w:tc>
        <w:tc>
          <w:tcPr>
            <w:tcW w:w="1749" w:type="dxa"/>
            <w:noWrap/>
            <w:vAlign w:val="center"/>
            <w:hideMark/>
          </w:tcPr>
          <w:p w14:paraId="17C9D2A0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$583.73 </w:t>
            </w:r>
          </w:p>
        </w:tc>
      </w:tr>
      <w:tr w:rsidR="00502E55" w:rsidRPr="00961E55" w14:paraId="4016C29D" w14:textId="77777777" w:rsidTr="005B3499">
        <w:trPr>
          <w:trHeight w:val="300"/>
        </w:trPr>
        <w:tc>
          <w:tcPr>
            <w:tcW w:w="2442" w:type="dxa"/>
            <w:vAlign w:val="center"/>
            <w:hideMark/>
          </w:tcPr>
          <w:p w14:paraId="47DD9B80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T2045</w:t>
            </w:r>
          </w:p>
        </w:tc>
        <w:tc>
          <w:tcPr>
            <w:tcW w:w="2265" w:type="dxa"/>
            <w:vAlign w:val="center"/>
            <w:hideMark/>
          </w:tcPr>
          <w:p w14:paraId="1BA35D69" w14:textId="77777777" w:rsidR="00502E55" w:rsidRPr="005C0FE7" w:rsidRDefault="00502E55" w:rsidP="00FB41A3">
            <w:pPr>
              <w:rPr>
                <w:sz w:val="22"/>
                <w:szCs w:val="22"/>
              </w:rPr>
            </w:pPr>
            <w:r w:rsidRPr="005C0FE7">
              <w:rPr>
                <w:sz w:val="22"/>
                <w:szCs w:val="22"/>
              </w:rPr>
              <w:t>General Inpatient</w:t>
            </w:r>
          </w:p>
        </w:tc>
        <w:tc>
          <w:tcPr>
            <w:tcW w:w="1488" w:type="dxa"/>
            <w:vAlign w:val="center"/>
            <w:hideMark/>
          </w:tcPr>
          <w:p w14:paraId="65434BCD" w14:textId="77777777" w:rsidR="00502E55" w:rsidRPr="005C0FE7" w:rsidRDefault="00502E55" w:rsidP="00FB41A3">
            <w:pPr>
              <w:rPr>
                <w:i/>
                <w:iCs/>
                <w:sz w:val="22"/>
                <w:szCs w:val="22"/>
              </w:rPr>
            </w:pPr>
            <w:r w:rsidRPr="005C0FE7">
              <w:rPr>
                <w:i/>
                <w:iCs/>
                <w:sz w:val="22"/>
                <w:szCs w:val="22"/>
              </w:rPr>
              <w:t>Per Diem</w:t>
            </w:r>
          </w:p>
        </w:tc>
        <w:tc>
          <w:tcPr>
            <w:tcW w:w="1406" w:type="dxa"/>
            <w:noWrap/>
            <w:vAlign w:val="center"/>
            <w:hideMark/>
          </w:tcPr>
          <w:p w14:paraId="61BFDC53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$1,304.39</w:t>
            </w:r>
          </w:p>
        </w:tc>
        <w:tc>
          <w:tcPr>
            <w:tcW w:w="1749" w:type="dxa"/>
            <w:noWrap/>
            <w:vAlign w:val="center"/>
            <w:hideMark/>
          </w:tcPr>
          <w:p w14:paraId="187448BA" w14:textId="77777777" w:rsidR="00502E55" w:rsidRPr="005C0FE7" w:rsidRDefault="00502E55" w:rsidP="00FB41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C0FE7">
              <w:rPr>
                <w:color w:val="000000" w:themeColor="text1"/>
                <w:sz w:val="22"/>
                <w:szCs w:val="22"/>
              </w:rPr>
              <w:t xml:space="preserve"> $1,253.54</w:t>
            </w:r>
          </w:p>
        </w:tc>
      </w:tr>
    </w:tbl>
    <w:p w14:paraId="6E1618CD" w14:textId="77777777" w:rsidR="00DD626A" w:rsidRDefault="00DD626A" w:rsidP="00100E5C"/>
    <w:sectPr w:rsidR="00DD626A" w:rsidSect="00E964C3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957E" w14:textId="77777777" w:rsidR="00EA1847" w:rsidRDefault="00EA1847" w:rsidP="00AC798F">
      <w:r>
        <w:separator/>
      </w:r>
    </w:p>
    <w:p w14:paraId="1874EF1F" w14:textId="77777777" w:rsidR="00EA1847" w:rsidRDefault="00EA1847"/>
  </w:endnote>
  <w:endnote w:type="continuationSeparator" w:id="0">
    <w:p w14:paraId="608E97E0" w14:textId="77777777" w:rsidR="00EA1847" w:rsidRDefault="00EA1847" w:rsidP="00AC798F">
      <w:r>
        <w:continuationSeparator/>
      </w:r>
    </w:p>
    <w:p w14:paraId="59656888" w14:textId="77777777" w:rsidR="00EA1847" w:rsidRDefault="00EA1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Content>
      <w:sdt>
        <w:sdtPr>
          <w:id w:val="-1786192084"/>
          <w:docPartObj>
            <w:docPartGallery w:val="Page Numbers (Top of Page)"/>
            <w:docPartUnique/>
          </w:docPartObj>
        </w:sdtPr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3124" w14:textId="77777777" w:rsidR="00EA1847" w:rsidRDefault="00EA1847" w:rsidP="00AC798F">
      <w:r>
        <w:separator/>
      </w:r>
    </w:p>
    <w:p w14:paraId="677FF343" w14:textId="77777777" w:rsidR="00EA1847" w:rsidRDefault="00EA1847"/>
  </w:footnote>
  <w:footnote w:type="continuationSeparator" w:id="0">
    <w:p w14:paraId="6501515B" w14:textId="77777777" w:rsidR="00EA1847" w:rsidRDefault="00EA1847" w:rsidP="00AC798F">
      <w:r>
        <w:continuationSeparator/>
      </w:r>
    </w:p>
    <w:p w14:paraId="7E9AFC7A" w14:textId="77777777" w:rsidR="00EA1847" w:rsidRDefault="00EA1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338777039" name="Picture 338777039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1971271798" name="Picture 197127179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3D7EEC55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</w:t>
    </w:r>
    <w:r w:rsidR="000B79D2">
      <w:rPr>
        <w:b/>
        <w:bCs/>
        <w:color w:val="1F497D" w:themeColor="text2"/>
      </w:rPr>
      <w:t>IAME MAHANIAH</w:t>
    </w:r>
    <w:r w:rsidR="00D23D23">
      <w:rPr>
        <w:b/>
        <w:bCs/>
        <w:color w:val="1F497D" w:themeColor="text2"/>
      </w:rPr>
      <w:t>, MD, MBA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05726EE9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</w:r>
    <w:r w:rsidR="006C41D9">
      <w:rPr>
        <w:color w:val="1F497D" w:themeColor="text2"/>
      </w:rPr>
      <w:t>UNDER</w:t>
    </w:r>
    <w:r w:rsidRPr="00AC798F">
      <w:rPr>
        <w:color w:val="1F497D" w:themeColor="text2"/>
      </w:rPr>
      <w:t>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6041BBE2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F84155" w:rsidRPr="00F84155">
      <w:t>26</w:t>
    </w:r>
    <w:r w:rsidRPr="00A40FEF">
      <w:rPr>
        <w:color w:val="000000" w:themeColor="text1"/>
      </w:rPr>
      <w:t>-</w:t>
    </w:r>
    <w:r w:rsidR="00A40FEF">
      <w:rPr>
        <w:color w:val="000000" w:themeColor="text1"/>
      </w:rPr>
      <w:t>01</w:t>
    </w:r>
  </w:p>
  <w:p w14:paraId="64299DFB" w14:textId="71A21169" w:rsidR="00E964C3" w:rsidRPr="00AC798F" w:rsidRDefault="00E964C3" w:rsidP="0071737A">
    <w:pPr>
      <w:spacing w:after="0" w:line="276" w:lineRule="auto"/>
      <w:jc w:val="right"/>
    </w:pPr>
    <w:r w:rsidRPr="00AC798F">
      <w:t xml:space="preserve">Effective </w:t>
    </w:r>
    <w:r w:rsidR="00A87E92">
      <w:t xml:space="preserve">October </w:t>
    </w:r>
    <w:r w:rsidR="00DC37DD">
      <w:t>1</w:t>
    </w:r>
    <w:r w:rsidR="00A87E92">
      <w:t>, 202</w:t>
    </w:r>
    <w:r w:rsidR="00DC37DD">
      <w:t>5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94878"/>
    <w:multiLevelType w:val="hybridMultilevel"/>
    <w:tmpl w:val="B1D6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2"/>
  </w:num>
  <w:num w:numId="3" w16cid:durableId="2899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15F2B"/>
    <w:rsid w:val="00015F47"/>
    <w:rsid w:val="00024809"/>
    <w:rsid w:val="000300AA"/>
    <w:rsid w:val="000611FE"/>
    <w:rsid w:val="00065517"/>
    <w:rsid w:val="000722C4"/>
    <w:rsid w:val="000726C8"/>
    <w:rsid w:val="000B3478"/>
    <w:rsid w:val="000B79D2"/>
    <w:rsid w:val="000C017C"/>
    <w:rsid w:val="000C66E7"/>
    <w:rsid w:val="000E35E6"/>
    <w:rsid w:val="00100E5C"/>
    <w:rsid w:val="00103746"/>
    <w:rsid w:val="00120D8B"/>
    <w:rsid w:val="00130559"/>
    <w:rsid w:val="00134791"/>
    <w:rsid w:val="00141D22"/>
    <w:rsid w:val="00146C2F"/>
    <w:rsid w:val="00153DCE"/>
    <w:rsid w:val="00154CA9"/>
    <w:rsid w:val="001804E6"/>
    <w:rsid w:val="00184094"/>
    <w:rsid w:val="00193348"/>
    <w:rsid w:val="00195F63"/>
    <w:rsid w:val="001A7742"/>
    <w:rsid w:val="001A7A68"/>
    <w:rsid w:val="001D628B"/>
    <w:rsid w:val="001F5A72"/>
    <w:rsid w:val="002011E2"/>
    <w:rsid w:val="002044D5"/>
    <w:rsid w:val="0022152B"/>
    <w:rsid w:val="002354AF"/>
    <w:rsid w:val="00240EF9"/>
    <w:rsid w:val="002448DD"/>
    <w:rsid w:val="00266B97"/>
    <w:rsid w:val="00271D28"/>
    <w:rsid w:val="0027639F"/>
    <w:rsid w:val="00284238"/>
    <w:rsid w:val="00291039"/>
    <w:rsid w:val="002A779E"/>
    <w:rsid w:val="002E0806"/>
    <w:rsid w:val="0030724C"/>
    <w:rsid w:val="003113E4"/>
    <w:rsid w:val="0033130A"/>
    <w:rsid w:val="00351564"/>
    <w:rsid w:val="003632D1"/>
    <w:rsid w:val="003644F6"/>
    <w:rsid w:val="00397811"/>
    <w:rsid w:val="003A3292"/>
    <w:rsid w:val="003A3882"/>
    <w:rsid w:val="003C3334"/>
    <w:rsid w:val="003D1F33"/>
    <w:rsid w:val="003E21B2"/>
    <w:rsid w:val="003F6AAE"/>
    <w:rsid w:val="0041466F"/>
    <w:rsid w:val="0041715C"/>
    <w:rsid w:val="00421B27"/>
    <w:rsid w:val="00443CDB"/>
    <w:rsid w:val="00465E5A"/>
    <w:rsid w:val="004B1332"/>
    <w:rsid w:val="004D48D7"/>
    <w:rsid w:val="00502E55"/>
    <w:rsid w:val="005126DD"/>
    <w:rsid w:val="00513480"/>
    <w:rsid w:val="005246D9"/>
    <w:rsid w:val="00525DD4"/>
    <w:rsid w:val="00533A3B"/>
    <w:rsid w:val="0053555D"/>
    <w:rsid w:val="0055409A"/>
    <w:rsid w:val="00556450"/>
    <w:rsid w:val="0056474D"/>
    <w:rsid w:val="005702E6"/>
    <w:rsid w:val="0057224E"/>
    <w:rsid w:val="00575F64"/>
    <w:rsid w:val="0058022E"/>
    <w:rsid w:val="00585302"/>
    <w:rsid w:val="00597C39"/>
    <w:rsid w:val="005B3499"/>
    <w:rsid w:val="005B5D35"/>
    <w:rsid w:val="005C0FE7"/>
    <w:rsid w:val="005C507F"/>
    <w:rsid w:val="005E2329"/>
    <w:rsid w:val="005E2623"/>
    <w:rsid w:val="005E6B45"/>
    <w:rsid w:val="005F20AC"/>
    <w:rsid w:val="005F66F1"/>
    <w:rsid w:val="00607406"/>
    <w:rsid w:val="00607AEA"/>
    <w:rsid w:val="00632452"/>
    <w:rsid w:val="0064272D"/>
    <w:rsid w:val="00654273"/>
    <w:rsid w:val="00656CA4"/>
    <w:rsid w:val="00656FFF"/>
    <w:rsid w:val="0065758F"/>
    <w:rsid w:val="006718AB"/>
    <w:rsid w:val="0067799F"/>
    <w:rsid w:val="006A4559"/>
    <w:rsid w:val="006A6684"/>
    <w:rsid w:val="006B1D87"/>
    <w:rsid w:val="006B6EE0"/>
    <w:rsid w:val="006C1330"/>
    <w:rsid w:val="006C41D9"/>
    <w:rsid w:val="006E5DED"/>
    <w:rsid w:val="006F115D"/>
    <w:rsid w:val="0070235D"/>
    <w:rsid w:val="0071737A"/>
    <w:rsid w:val="00720C4F"/>
    <w:rsid w:val="00721C69"/>
    <w:rsid w:val="0072206E"/>
    <w:rsid w:val="00723F15"/>
    <w:rsid w:val="00734039"/>
    <w:rsid w:val="00752392"/>
    <w:rsid w:val="00755604"/>
    <w:rsid w:val="00781A78"/>
    <w:rsid w:val="00782360"/>
    <w:rsid w:val="00796A70"/>
    <w:rsid w:val="007B48C3"/>
    <w:rsid w:val="007C01E7"/>
    <w:rsid w:val="007C2DFC"/>
    <w:rsid w:val="007D0648"/>
    <w:rsid w:val="007D46D4"/>
    <w:rsid w:val="007F028A"/>
    <w:rsid w:val="007F04B8"/>
    <w:rsid w:val="00800711"/>
    <w:rsid w:val="00801812"/>
    <w:rsid w:val="00806C3A"/>
    <w:rsid w:val="00825F98"/>
    <w:rsid w:val="00835637"/>
    <w:rsid w:val="00835677"/>
    <w:rsid w:val="00852C7F"/>
    <w:rsid w:val="00852E4B"/>
    <w:rsid w:val="008669CB"/>
    <w:rsid w:val="0089320E"/>
    <w:rsid w:val="00894C49"/>
    <w:rsid w:val="00894DE4"/>
    <w:rsid w:val="008A206B"/>
    <w:rsid w:val="008A50C9"/>
    <w:rsid w:val="008B508F"/>
    <w:rsid w:val="008C14AB"/>
    <w:rsid w:val="008C4B81"/>
    <w:rsid w:val="008C7C8A"/>
    <w:rsid w:val="009035F3"/>
    <w:rsid w:val="009512DA"/>
    <w:rsid w:val="00964EDE"/>
    <w:rsid w:val="00967682"/>
    <w:rsid w:val="00971782"/>
    <w:rsid w:val="00984786"/>
    <w:rsid w:val="009A3538"/>
    <w:rsid w:val="009D0015"/>
    <w:rsid w:val="00A01D8C"/>
    <w:rsid w:val="00A06F80"/>
    <w:rsid w:val="00A13213"/>
    <w:rsid w:val="00A21BF4"/>
    <w:rsid w:val="00A2440E"/>
    <w:rsid w:val="00A34C8D"/>
    <w:rsid w:val="00A40946"/>
    <w:rsid w:val="00A40FEF"/>
    <w:rsid w:val="00A5078D"/>
    <w:rsid w:val="00A60250"/>
    <w:rsid w:val="00A72FAD"/>
    <w:rsid w:val="00A75CD6"/>
    <w:rsid w:val="00A87E92"/>
    <w:rsid w:val="00AB33D8"/>
    <w:rsid w:val="00AC4639"/>
    <w:rsid w:val="00AC798F"/>
    <w:rsid w:val="00AD09C4"/>
    <w:rsid w:val="00AD1945"/>
    <w:rsid w:val="00B0173B"/>
    <w:rsid w:val="00B03290"/>
    <w:rsid w:val="00B05E0C"/>
    <w:rsid w:val="00B10BF2"/>
    <w:rsid w:val="00B150C5"/>
    <w:rsid w:val="00B43710"/>
    <w:rsid w:val="00B623EB"/>
    <w:rsid w:val="00B807EA"/>
    <w:rsid w:val="00BA6D03"/>
    <w:rsid w:val="00BE1FB2"/>
    <w:rsid w:val="00C1076E"/>
    <w:rsid w:val="00C175E3"/>
    <w:rsid w:val="00C21463"/>
    <w:rsid w:val="00C34D23"/>
    <w:rsid w:val="00C400D6"/>
    <w:rsid w:val="00C4194A"/>
    <w:rsid w:val="00C6711D"/>
    <w:rsid w:val="00C773D1"/>
    <w:rsid w:val="00C87BF7"/>
    <w:rsid w:val="00CD0456"/>
    <w:rsid w:val="00CF15BF"/>
    <w:rsid w:val="00D11CBE"/>
    <w:rsid w:val="00D160CC"/>
    <w:rsid w:val="00D22A62"/>
    <w:rsid w:val="00D23D23"/>
    <w:rsid w:val="00D35714"/>
    <w:rsid w:val="00D407CF"/>
    <w:rsid w:val="00D4459C"/>
    <w:rsid w:val="00D448BF"/>
    <w:rsid w:val="00D5182F"/>
    <w:rsid w:val="00D532B2"/>
    <w:rsid w:val="00D54F0B"/>
    <w:rsid w:val="00D62B73"/>
    <w:rsid w:val="00D63172"/>
    <w:rsid w:val="00D65BB1"/>
    <w:rsid w:val="00D67859"/>
    <w:rsid w:val="00D761F6"/>
    <w:rsid w:val="00D7751A"/>
    <w:rsid w:val="00DA095C"/>
    <w:rsid w:val="00DB18A0"/>
    <w:rsid w:val="00DB3896"/>
    <w:rsid w:val="00DB56BF"/>
    <w:rsid w:val="00DC37DD"/>
    <w:rsid w:val="00DD626A"/>
    <w:rsid w:val="00E06A5D"/>
    <w:rsid w:val="00E10A6E"/>
    <w:rsid w:val="00E27559"/>
    <w:rsid w:val="00E320F9"/>
    <w:rsid w:val="00E467DD"/>
    <w:rsid w:val="00E56BD5"/>
    <w:rsid w:val="00E620A3"/>
    <w:rsid w:val="00E74BC2"/>
    <w:rsid w:val="00E92AC9"/>
    <w:rsid w:val="00E964C3"/>
    <w:rsid w:val="00EA1847"/>
    <w:rsid w:val="00EB35F5"/>
    <w:rsid w:val="00EE4CAE"/>
    <w:rsid w:val="00EF33F6"/>
    <w:rsid w:val="00F07142"/>
    <w:rsid w:val="00F12C5F"/>
    <w:rsid w:val="00F247CB"/>
    <w:rsid w:val="00F30AF6"/>
    <w:rsid w:val="00F44C98"/>
    <w:rsid w:val="00F44E10"/>
    <w:rsid w:val="00F5120A"/>
    <w:rsid w:val="00F531D7"/>
    <w:rsid w:val="00F56D7C"/>
    <w:rsid w:val="00F60649"/>
    <w:rsid w:val="00F65E52"/>
    <w:rsid w:val="00F84155"/>
    <w:rsid w:val="00F8728D"/>
    <w:rsid w:val="00F90E50"/>
    <w:rsid w:val="00F941AC"/>
    <w:rsid w:val="00FA0A3E"/>
    <w:rsid w:val="00FB216E"/>
    <w:rsid w:val="00FC23A4"/>
    <w:rsid w:val="00FE4AA0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502E5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54AF"/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AC4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63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639"/>
    <w:rPr>
      <w:rFonts w:ascii="Georgia" w:hAnsi="Georg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4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Administrative Bulletin [YY-##]</vt:lpstr>
      <vt:lpstr>    Overview</vt:lpstr>
      <vt:lpstr>    Barnstable</vt:lpstr>
      <vt:lpstr>    Berkshire </vt:lpstr>
      <vt:lpstr>    Bristol</vt:lpstr>
      <vt:lpstr>    Essex/Middlesex</vt:lpstr>
      <vt:lpstr>    Franklin/Hampden/Hampshire</vt:lpstr>
      <vt:lpstr>    </vt:lpstr>
      <vt:lpstr>    Norfolk/Plymouth/Suffolk</vt:lpstr>
      <vt:lpstr>    Worcester</vt:lpstr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Gambarini, Jacqueline (EHS)</cp:lastModifiedBy>
  <cp:revision>2</cp:revision>
  <cp:lastPrinted>2023-03-01T20:48:00Z</cp:lastPrinted>
  <dcterms:created xsi:type="dcterms:W3CDTF">2026-01-08T18:09:00Z</dcterms:created>
  <dcterms:modified xsi:type="dcterms:W3CDTF">2026-01-08T18:09:00Z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