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D57EAB" w14:textId="08040FCE" w:rsidR="00533A3B" w:rsidRDefault="00533A3B" w:rsidP="00EB0D5E">
      <w:pPr>
        <w:pStyle w:val="Heading1"/>
        <w:spacing w:before="120" w:after="220"/>
      </w:pPr>
      <w:r w:rsidRPr="00100E5C">
        <w:t xml:space="preserve">Administrative Bulletin </w:t>
      </w:r>
      <w:r w:rsidR="00D73326">
        <w:t>2</w:t>
      </w:r>
      <w:r w:rsidR="00D73326" w:rsidRPr="00FD6012">
        <w:t>6-</w:t>
      </w:r>
      <w:r w:rsidR="00FD6012" w:rsidRPr="00FD6012">
        <w:t>08</w:t>
      </w:r>
    </w:p>
    <w:p w14:paraId="1D3755FA" w14:textId="0FAB8CC2" w:rsidR="00533A3B" w:rsidRDefault="00D73326" w:rsidP="00EB0D5E">
      <w:pPr>
        <w:spacing w:after="220"/>
        <w:jc w:val="center"/>
        <w:rPr>
          <w:b/>
          <w:bCs/>
          <w:i/>
          <w:iCs/>
          <w:sz w:val="24"/>
          <w:szCs w:val="24"/>
        </w:rPr>
      </w:pPr>
      <w:r w:rsidRPr="00D73326">
        <w:rPr>
          <w:b/>
          <w:bCs/>
          <w:sz w:val="24"/>
          <w:szCs w:val="24"/>
        </w:rPr>
        <w:t xml:space="preserve">101 CMR 320.00: </w:t>
      </w:r>
      <w:r>
        <w:rPr>
          <w:b/>
          <w:bCs/>
          <w:sz w:val="24"/>
          <w:szCs w:val="24"/>
        </w:rPr>
        <w:t xml:space="preserve"> </w:t>
      </w:r>
      <w:r w:rsidRPr="00D73326">
        <w:rPr>
          <w:b/>
          <w:bCs/>
          <w:i/>
          <w:iCs/>
          <w:sz w:val="24"/>
          <w:szCs w:val="24"/>
        </w:rPr>
        <w:t>Rates for Clinical Laboratory Services</w:t>
      </w:r>
    </w:p>
    <w:p w14:paraId="27A5BE69" w14:textId="3A5449E8" w:rsidR="00533A3B" w:rsidRPr="00D73326" w:rsidRDefault="00533A3B" w:rsidP="00EB0D5E">
      <w:pPr>
        <w:spacing w:after="220"/>
        <w:jc w:val="center"/>
        <w:rPr>
          <w:sz w:val="24"/>
          <w:szCs w:val="24"/>
        </w:rPr>
      </w:pPr>
      <w:r w:rsidRPr="00D73326">
        <w:rPr>
          <w:sz w:val="24"/>
          <w:szCs w:val="24"/>
        </w:rPr>
        <w:t xml:space="preserve">Effective </w:t>
      </w:r>
      <w:r w:rsidR="00D73326" w:rsidRPr="00D73326">
        <w:rPr>
          <w:sz w:val="24"/>
          <w:szCs w:val="24"/>
        </w:rPr>
        <w:t>January 1, 2026</w:t>
      </w:r>
    </w:p>
    <w:p w14:paraId="7673694D" w14:textId="24713E57" w:rsidR="00F44E10" w:rsidRPr="00F44E10" w:rsidRDefault="00D73326" w:rsidP="00EB0D5E">
      <w:pPr>
        <w:pStyle w:val="SubjectLine"/>
        <w:spacing w:before="0" w:after="220" w:line="240" w:lineRule="auto"/>
        <w:rPr>
          <w:noProof w:val="0"/>
        </w:rPr>
      </w:pPr>
      <w:r w:rsidRPr="00D73326">
        <w:rPr>
          <w:noProof w:val="0"/>
        </w:rPr>
        <w:t>CPT Coding Rates Updates</w:t>
      </w:r>
    </w:p>
    <w:p w14:paraId="258963A2" w14:textId="5A545C4A" w:rsidR="00852E4B" w:rsidRPr="00D73326" w:rsidRDefault="00D73326" w:rsidP="00DA095C">
      <w:pPr>
        <w:pStyle w:val="Heading2"/>
      </w:pPr>
      <w:r w:rsidRPr="00D73326">
        <w:t>Summary</w:t>
      </w:r>
    </w:p>
    <w:p w14:paraId="22BFFC0B" w14:textId="3CD1E005" w:rsidR="00852E4B" w:rsidRPr="00D73326" w:rsidRDefault="00D73326" w:rsidP="00852E4B">
      <w:pPr>
        <w:spacing w:line="276" w:lineRule="auto"/>
        <w:rPr>
          <w:sz w:val="24"/>
          <w:szCs w:val="24"/>
        </w:rPr>
      </w:pPr>
      <w:r w:rsidRPr="00D73326">
        <w:rPr>
          <w:sz w:val="24"/>
          <w:szCs w:val="24"/>
        </w:rPr>
        <w:t xml:space="preserve">Under the authority of 101 CMR 320.01(4): </w:t>
      </w:r>
      <w:r w:rsidR="00C80035">
        <w:rPr>
          <w:sz w:val="24"/>
          <w:szCs w:val="24"/>
        </w:rPr>
        <w:t xml:space="preserve"> </w:t>
      </w:r>
      <w:r w:rsidRPr="007246D1">
        <w:rPr>
          <w:i/>
          <w:iCs/>
          <w:sz w:val="24"/>
          <w:szCs w:val="24"/>
        </w:rPr>
        <w:t>Coding Updates and Corrections</w:t>
      </w:r>
      <w:r w:rsidRPr="00D73326">
        <w:rPr>
          <w:sz w:val="24"/>
          <w:szCs w:val="24"/>
        </w:rPr>
        <w:t>, the Executive Office of Health and Human Services (EOHHS) is updating the rates for the following service codes</w:t>
      </w:r>
      <w:r w:rsidR="00C56107">
        <w:rPr>
          <w:sz w:val="24"/>
          <w:szCs w:val="24"/>
        </w:rPr>
        <w:t>,</w:t>
      </w:r>
      <w:r w:rsidRPr="00D73326">
        <w:rPr>
          <w:sz w:val="24"/>
          <w:szCs w:val="24"/>
        </w:rPr>
        <w:t xml:space="preserve"> effective for dates of service on </w:t>
      </w:r>
      <w:r w:rsidR="00C56107">
        <w:rPr>
          <w:sz w:val="24"/>
          <w:szCs w:val="24"/>
        </w:rPr>
        <w:t>or</w:t>
      </w:r>
      <w:r w:rsidR="00C56107" w:rsidRPr="00D73326">
        <w:rPr>
          <w:sz w:val="24"/>
          <w:szCs w:val="24"/>
        </w:rPr>
        <w:t xml:space="preserve"> </w:t>
      </w:r>
      <w:r w:rsidRPr="00D73326">
        <w:rPr>
          <w:sz w:val="24"/>
          <w:szCs w:val="24"/>
        </w:rPr>
        <w:t xml:space="preserve">after January 1, 2026. Rates are calculated </w:t>
      </w:r>
      <w:r w:rsidR="00C56107">
        <w:rPr>
          <w:sz w:val="24"/>
          <w:szCs w:val="24"/>
        </w:rPr>
        <w:t>using</w:t>
      </w:r>
      <w:r w:rsidRPr="00D73326">
        <w:rPr>
          <w:sz w:val="24"/>
          <w:szCs w:val="24"/>
        </w:rPr>
        <w:t xml:space="preserve"> the rate methodology under 101 CMR 320.00. Rates listed in this administrative bulletin are applicable until revised rates are issued by EOHHS.</w:t>
      </w:r>
    </w:p>
    <w:p w14:paraId="69FC58DF" w14:textId="77777777" w:rsidR="00D73326" w:rsidRPr="00D73326" w:rsidRDefault="00D73326" w:rsidP="00D73326">
      <w:pPr>
        <w:pStyle w:val="Heading2"/>
      </w:pPr>
      <w:r w:rsidRPr="00D73326">
        <w:t>Summary</w:t>
      </w:r>
    </w:p>
    <w:tbl>
      <w:tblPr>
        <w:tblStyle w:val="TableGrid"/>
        <w:tblW w:w="0" w:type="dxa"/>
        <w:tblLook w:val="04A0" w:firstRow="1" w:lastRow="0" w:firstColumn="1" w:lastColumn="0" w:noHBand="0" w:noVBand="1"/>
      </w:tblPr>
      <w:tblGrid>
        <w:gridCol w:w="1409"/>
        <w:gridCol w:w="1591"/>
        <w:gridCol w:w="6350"/>
      </w:tblGrid>
      <w:tr w:rsidR="00407ED4" w:rsidRPr="00407ED4" w14:paraId="0B09EE58" w14:textId="77777777" w:rsidTr="002F7453">
        <w:trPr>
          <w:trHeight w:val="422"/>
          <w:tblHeader/>
        </w:trPr>
        <w:tc>
          <w:tcPr>
            <w:tcW w:w="1435" w:type="dxa"/>
            <w:noWrap/>
            <w:vAlign w:val="center"/>
            <w:hideMark/>
          </w:tcPr>
          <w:p w14:paraId="51271D4A" w14:textId="77777777" w:rsidR="00407ED4" w:rsidRPr="00BE6732" w:rsidRDefault="00407ED4" w:rsidP="00407ED4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BE6732">
              <w:rPr>
                <w:b/>
                <w:bCs/>
                <w:sz w:val="24"/>
                <w:szCs w:val="24"/>
              </w:rPr>
              <w:t>Code</w:t>
            </w:r>
          </w:p>
        </w:tc>
        <w:tc>
          <w:tcPr>
            <w:tcW w:w="1620" w:type="dxa"/>
            <w:vAlign w:val="center"/>
            <w:hideMark/>
          </w:tcPr>
          <w:p w14:paraId="649B6FFB" w14:textId="77777777" w:rsidR="00407ED4" w:rsidRPr="00BE6732" w:rsidRDefault="00407ED4" w:rsidP="00407ED4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BE6732">
              <w:rPr>
                <w:b/>
                <w:bCs/>
                <w:sz w:val="24"/>
                <w:szCs w:val="24"/>
              </w:rPr>
              <w:t>Rate</w:t>
            </w:r>
          </w:p>
        </w:tc>
        <w:tc>
          <w:tcPr>
            <w:tcW w:w="6480" w:type="dxa"/>
            <w:noWrap/>
            <w:vAlign w:val="center"/>
            <w:hideMark/>
          </w:tcPr>
          <w:p w14:paraId="3A23D0B1" w14:textId="77777777" w:rsidR="00407ED4" w:rsidRPr="00BE6732" w:rsidRDefault="00407ED4" w:rsidP="00407ED4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BE6732">
              <w:rPr>
                <w:b/>
                <w:bCs/>
                <w:sz w:val="24"/>
                <w:szCs w:val="24"/>
              </w:rPr>
              <w:t>Description</w:t>
            </w:r>
          </w:p>
        </w:tc>
      </w:tr>
      <w:tr w:rsidR="00407ED4" w:rsidRPr="00407ED4" w14:paraId="7A7BA73B" w14:textId="77777777" w:rsidTr="002F7453">
        <w:trPr>
          <w:trHeight w:val="260"/>
        </w:trPr>
        <w:tc>
          <w:tcPr>
            <w:tcW w:w="1435" w:type="dxa"/>
            <w:noWrap/>
            <w:vAlign w:val="center"/>
            <w:hideMark/>
          </w:tcPr>
          <w:p w14:paraId="170969DB" w14:textId="77777777" w:rsidR="00407ED4" w:rsidRPr="00BE6732" w:rsidRDefault="00407ED4" w:rsidP="00407ED4">
            <w:pPr>
              <w:spacing w:line="276" w:lineRule="auto"/>
              <w:rPr>
                <w:sz w:val="24"/>
                <w:szCs w:val="24"/>
              </w:rPr>
            </w:pPr>
            <w:r w:rsidRPr="00BE6732">
              <w:rPr>
                <w:sz w:val="24"/>
                <w:szCs w:val="24"/>
              </w:rPr>
              <w:t>82233</w:t>
            </w:r>
          </w:p>
        </w:tc>
        <w:tc>
          <w:tcPr>
            <w:tcW w:w="1620" w:type="dxa"/>
            <w:noWrap/>
            <w:vAlign w:val="center"/>
            <w:hideMark/>
          </w:tcPr>
          <w:p w14:paraId="5F2EBFC3" w14:textId="77777777" w:rsidR="00407ED4" w:rsidRPr="00BE6732" w:rsidRDefault="00407ED4" w:rsidP="00407ED4">
            <w:pPr>
              <w:spacing w:line="276" w:lineRule="auto"/>
              <w:rPr>
                <w:sz w:val="24"/>
                <w:szCs w:val="24"/>
              </w:rPr>
            </w:pPr>
            <w:r w:rsidRPr="00BE6732">
              <w:rPr>
                <w:sz w:val="24"/>
                <w:szCs w:val="24"/>
              </w:rPr>
              <w:t>$113.69</w:t>
            </w:r>
          </w:p>
        </w:tc>
        <w:tc>
          <w:tcPr>
            <w:tcW w:w="6480" w:type="dxa"/>
            <w:noWrap/>
            <w:vAlign w:val="bottom"/>
            <w:hideMark/>
          </w:tcPr>
          <w:p w14:paraId="1F7F8770" w14:textId="77777777" w:rsidR="00407ED4" w:rsidRPr="00BE6732" w:rsidRDefault="00407ED4" w:rsidP="00407ED4">
            <w:pPr>
              <w:spacing w:line="276" w:lineRule="auto"/>
              <w:rPr>
                <w:sz w:val="24"/>
                <w:szCs w:val="24"/>
              </w:rPr>
            </w:pPr>
            <w:r w:rsidRPr="00BE6732">
              <w:rPr>
                <w:sz w:val="24"/>
                <w:szCs w:val="24"/>
              </w:rPr>
              <w:t>Beta-amyloid; 1-40 (</w:t>
            </w:r>
            <w:proofErr w:type="spellStart"/>
            <w:r w:rsidRPr="00BE6732">
              <w:rPr>
                <w:sz w:val="24"/>
                <w:szCs w:val="24"/>
              </w:rPr>
              <w:t>abeta</w:t>
            </w:r>
            <w:proofErr w:type="spellEnd"/>
            <w:r w:rsidRPr="00BE6732">
              <w:rPr>
                <w:sz w:val="24"/>
                <w:szCs w:val="24"/>
              </w:rPr>
              <w:t xml:space="preserve"> 40)</w:t>
            </w:r>
          </w:p>
        </w:tc>
      </w:tr>
      <w:tr w:rsidR="00407ED4" w:rsidRPr="00407ED4" w14:paraId="2E475392" w14:textId="77777777" w:rsidTr="002F7453">
        <w:trPr>
          <w:trHeight w:val="290"/>
        </w:trPr>
        <w:tc>
          <w:tcPr>
            <w:tcW w:w="1435" w:type="dxa"/>
            <w:noWrap/>
            <w:vAlign w:val="center"/>
            <w:hideMark/>
          </w:tcPr>
          <w:p w14:paraId="74CB7093" w14:textId="77777777" w:rsidR="00407ED4" w:rsidRPr="00BE6732" w:rsidRDefault="00407ED4" w:rsidP="00407ED4">
            <w:pPr>
              <w:spacing w:line="276" w:lineRule="auto"/>
              <w:rPr>
                <w:sz w:val="24"/>
                <w:szCs w:val="24"/>
              </w:rPr>
            </w:pPr>
            <w:r w:rsidRPr="00BE6732">
              <w:rPr>
                <w:sz w:val="24"/>
                <w:szCs w:val="24"/>
              </w:rPr>
              <w:t>82234</w:t>
            </w:r>
          </w:p>
        </w:tc>
        <w:tc>
          <w:tcPr>
            <w:tcW w:w="1620" w:type="dxa"/>
            <w:noWrap/>
            <w:vAlign w:val="center"/>
            <w:hideMark/>
          </w:tcPr>
          <w:p w14:paraId="3BAAB834" w14:textId="77777777" w:rsidR="00407ED4" w:rsidRPr="00BE6732" w:rsidRDefault="00407ED4" w:rsidP="00407ED4">
            <w:pPr>
              <w:spacing w:line="276" w:lineRule="auto"/>
              <w:rPr>
                <w:sz w:val="24"/>
                <w:szCs w:val="24"/>
              </w:rPr>
            </w:pPr>
            <w:r w:rsidRPr="00BE6732">
              <w:rPr>
                <w:sz w:val="24"/>
                <w:szCs w:val="24"/>
              </w:rPr>
              <w:t>$113.69</w:t>
            </w:r>
          </w:p>
        </w:tc>
        <w:tc>
          <w:tcPr>
            <w:tcW w:w="6480" w:type="dxa"/>
            <w:noWrap/>
            <w:vAlign w:val="bottom"/>
            <w:hideMark/>
          </w:tcPr>
          <w:p w14:paraId="1F698606" w14:textId="77777777" w:rsidR="00407ED4" w:rsidRPr="00BE6732" w:rsidRDefault="00407ED4" w:rsidP="00407ED4">
            <w:pPr>
              <w:spacing w:line="276" w:lineRule="auto"/>
              <w:rPr>
                <w:sz w:val="24"/>
                <w:szCs w:val="24"/>
              </w:rPr>
            </w:pPr>
            <w:r w:rsidRPr="00BE6732">
              <w:rPr>
                <w:sz w:val="24"/>
                <w:szCs w:val="24"/>
              </w:rPr>
              <w:t>Beta-amyloid; 1-42 (</w:t>
            </w:r>
            <w:proofErr w:type="spellStart"/>
            <w:r w:rsidRPr="00BE6732">
              <w:rPr>
                <w:sz w:val="24"/>
                <w:szCs w:val="24"/>
              </w:rPr>
              <w:t>abeta</w:t>
            </w:r>
            <w:proofErr w:type="spellEnd"/>
            <w:r w:rsidRPr="00BE6732">
              <w:rPr>
                <w:sz w:val="24"/>
                <w:szCs w:val="24"/>
              </w:rPr>
              <w:t xml:space="preserve"> 42)</w:t>
            </w:r>
          </w:p>
        </w:tc>
      </w:tr>
      <w:tr w:rsidR="00407ED4" w:rsidRPr="00407ED4" w14:paraId="3D403607" w14:textId="77777777" w:rsidTr="002F7453">
        <w:trPr>
          <w:trHeight w:val="290"/>
        </w:trPr>
        <w:tc>
          <w:tcPr>
            <w:tcW w:w="1435" w:type="dxa"/>
            <w:noWrap/>
            <w:vAlign w:val="center"/>
            <w:hideMark/>
          </w:tcPr>
          <w:p w14:paraId="015DD525" w14:textId="77777777" w:rsidR="00407ED4" w:rsidRPr="00BE6732" w:rsidRDefault="00407ED4" w:rsidP="00407ED4">
            <w:pPr>
              <w:spacing w:line="276" w:lineRule="auto"/>
              <w:rPr>
                <w:sz w:val="24"/>
                <w:szCs w:val="24"/>
              </w:rPr>
            </w:pPr>
            <w:r w:rsidRPr="00BE6732">
              <w:rPr>
                <w:sz w:val="24"/>
                <w:szCs w:val="24"/>
              </w:rPr>
              <w:t>83884</w:t>
            </w:r>
          </w:p>
        </w:tc>
        <w:tc>
          <w:tcPr>
            <w:tcW w:w="1620" w:type="dxa"/>
            <w:noWrap/>
            <w:vAlign w:val="center"/>
            <w:hideMark/>
          </w:tcPr>
          <w:p w14:paraId="07C69C66" w14:textId="77777777" w:rsidR="00407ED4" w:rsidRPr="00BE6732" w:rsidRDefault="00407ED4" w:rsidP="00407ED4">
            <w:pPr>
              <w:spacing w:line="276" w:lineRule="auto"/>
              <w:rPr>
                <w:sz w:val="24"/>
                <w:szCs w:val="24"/>
              </w:rPr>
            </w:pPr>
            <w:r w:rsidRPr="00BE6732">
              <w:rPr>
                <w:sz w:val="24"/>
                <w:szCs w:val="24"/>
              </w:rPr>
              <w:t>$102.50</w:t>
            </w:r>
          </w:p>
        </w:tc>
        <w:tc>
          <w:tcPr>
            <w:tcW w:w="6480" w:type="dxa"/>
            <w:noWrap/>
            <w:vAlign w:val="bottom"/>
            <w:hideMark/>
          </w:tcPr>
          <w:p w14:paraId="696AB21F" w14:textId="77777777" w:rsidR="00407ED4" w:rsidRPr="00BE6732" w:rsidRDefault="00407ED4" w:rsidP="00407ED4">
            <w:pPr>
              <w:spacing w:line="276" w:lineRule="auto"/>
              <w:rPr>
                <w:sz w:val="24"/>
                <w:szCs w:val="24"/>
              </w:rPr>
            </w:pPr>
            <w:r w:rsidRPr="00BE6732">
              <w:rPr>
                <w:sz w:val="24"/>
                <w:szCs w:val="24"/>
              </w:rPr>
              <w:t>Neurofilament light chain (</w:t>
            </w:r>
            <w:proofErr w:type="spellStart"/>
            <w:r w:rsidRPr="00BE6732">
              <w:rPr>
                <w:sz w:val="24"/>
                <w:szCs w:val="24"/>
              </w:rPr>
              <w:t>nfl</w:t>
            </w:r>
            <w:proofErr w:type="spellEnd"/>
            <w:r w:rsidRPr="00BE6732">
              <w:rPr>
                <w:sz w:val="24"/>
                <w:szCs w:val="24"/>
              </w:rPr>
              <w:t>)</w:t>
            </w:r>
          </w:p>
        </w:tc>
      </w:tr>
      <w:tr w:rsidR="00407ED4" w:rsidRPr="00407ED4" w14:paraId="483A49F9" w14:textId="77777777" w:rsidTr="002F7453">
        <w:trPr>
          <w:trHeight w:val="290"/>
        </w:trPr>
        <w:tc>
          <w:tcPr>
            <w:tcW w:w="1435" w:type="dxa"/>
            <w:noWrap/>
            <w:vAlign w:val="center"/>
            <w:hideMark/>
          </w:tcPr>
          <w:p w14:paraId="636575C5" w14:textId="77777777" w:rsidR="00407ED4" w:rsidRPr="00BE6732" w:rsidRDefault="00407ED4" w:rsidP="00407ED4">
            <w:pPr>
              <w:spacing w:line="276" w:lineRule="auto"/>
              <w:rPr>
                <w:sz w:val="24"/>
                <w:szCs w:val="24"/>
              </w:rPr>
            </w:pPr>
            <w:r w:rsidRPr="00BE6732">
              <w:rPr>
                <w:sz w:val="24"/>
                <w:szCs w:val="24"/>
              </w:rPr>
              <w:t>84393</w:t>
            </w:r>
          </w:p>
        </w:tc>
        <w:tc>
          <w:tcPr>
            <w:tcW w:w="1620" w:type="dxa"/>
            <w:noWrap/>
            <w:vAlign w:val="center"/>
            <w:hideMark/>
          </w:tcPr>
          <w:p w14:paraId="4663EE7E" w14:textId="77777777" w:rsidR="00407ED4" w:rsidRPr="00BE6732" w:rsidRDefault="00407ED4" w:rsidP="00407ED4">
            <w:pPr>
              <w:spacing w:line="276" w:lineRule="auto"/>
              <w:rPr>
                <w:sz w:val="24"/>
                <w:szCs w:val="24"/>
              </w:rPr>
            </w:pPr>
            <w:r w:rsidRPr="00BE6732">
              <w:rPr>
                <w:sz w:val="24"/>
                <w:szCs w:val="24"/>
              </w:rPr>
              <w:t>$113.69</w:t>
            </w:r>
          </w:p>
        </w:tc>
        <w:tc>
          <w:tcPr>
            <w:tcW w:w="6480" w:type="dxa"/>
            <w:noWrap/>
            <w:vAlign w:val="bottom"/>
            <w:hideMark/>
          </w:tcPr>
          <w:p w14:paraId="02C12F25" w14:textId="77777777" w:rsidR="00407ED4" w:rsidRPr="00BE6732" w:rsidRDefault="00407ED4" w:rsidP="00407ED4">
            <w:pPr>
              <w:spacing w:line="276" w:lineRule="auto"/>
              <w:rPr>
                <w:sz w:val="24"/>
                <w:szCs w:val="24"/>
              </w:rPr>
            </w:pPr>
            <w:r w:rsidRPr="00BE6732">
              <w:rPr>
                <w:sz w:val="24"/>
                <w:szCs w:val="24"/>
              </w:rPr>
              <w:t>Tau, phosphorylated (</w:t>
            </w:r>
            <w:proofErr w:type="spellStart"/>
            <w:r w:rsidRPr="00BE6732">
              <w:rPr>
                <w:sz w:val="24"/>
                <w:szCs w:val="24"/>
              </w:rPr>
              <w:t>eg</w:t>
            </w:r>
            <w:proofErr w:type="spellEnd"/>
            <w:r w:rsidRPr="00BE6732">
              <w:rPr>
                <w:sz w:val="24"/>
                <w:szCs w:val="24"/>
              </w:rPr>
              <w:t xml:space="preserve">, </w:t>
            </w:r>
            <w:proofErr w:type="spellStart"/>
            <w:r w:rsidRPr="00BE6732">
              <w:rPr>
                <w:sz w:val="24"/>
                <w:szCs w:val="24"/>
              </w:rPr>
              <w:t>ptau</w:t>
            </w:r>
            <w:proofErr w:type="spellEnd"/>
            <w:r w:rsidRPr="00BE6732">
              <w:rPr>
                <w:sz w:val="24"/>
                <w:szCs w:val="24"/>
              </w:rPr>
              <w:t xml:space="preserve"> 181, </w:t>
            </w:r>
            <w:proofErr w:type="spellStart"/>
            <w:r w:rsidRPr="00BE6732">
              <w:rPr>
                <w:sz w:val="24"/>
                <w:szCs w:val="24"/>
              </w:rPr>
              <w:t>ptau</w:t>
            </w:r>
            <w:proofErr w:type="spellEnd"/>
            <w:r w:rsidRPr="00BE6732">
              <w:rPr>
                <w:sz w:val="24"/>
                <w:szCs w:val="24"/>
              </w:rPr>
              <w:t xml:space="preserve"> 217), each</w:t>
            </w:r>
          </w:p>
        </w:tc>
      </w:tr>
      <w:tr w:rsidR="00407ED4" w:rsidRPr="00407ED4" w14:paraId="49A44B9D" w14:textId="77777777" w:rsidTr="002F7453">
        <w:trPr>
          <w:trHeight w:val="290"/>
        </w:trPr>
        <w:tc>
          <w:tcPr>
            <w:tcW w:w="1435" w:type="dxa"/>
            <w:noWrap/>
            <w:vAlign w:val="center"/>
            <w:hideMark/>
          </w:tcPr>
          <w:p w14:paraId="7F34C3C0" w14:textId="77777777" w:rsidR="00407ED4" w:rsidRPr="00BE6732" w:rsidRDefault="00407ED4" w:rsidP="00407ED4">
            <w:pPr>
              <w:spacing w:line="276" w:lineRule="auto"/>
              <w:rPr>
                <w:sz w:val="24"/>
                <w:szCs w:val="24"/>
              </w:rPr>
            </w:pPr>
            <w:r w:rsidRPr="00BE6732">
              <w:rPr>
                <w:sz w:val="24"/>
                <w:szCs w:val="24"/>
              </w:rPr>
              <w:t>84394</w:t>
            </w:r>
          </w:p>
        </w:tc>
        <w:tc>
          <w:tcPr>
            <w:tcW w:w="1620" w:type="dxa"/>
            <w:noWrap/>
            <w:vAlign w:val="center"/>
            <w:hideMark/>
          </w:tcPr>
          <w:p w14:paraId="26469BFB" w14:textId="77777777" w:rsidR="00407ED4" w:rsidRPr="00BE6732" w:rsidRDefault="00407ED4" w:rsidP="00407ED4">
            <w:pPr>
              <w:spacing w:line="276" w:lineRule="auto"/>
              <w:rPr>
                <w:sz w:val="24"/>
                <w:szCs w:val="24"/>
              </w:rPr>
            </w:pPr>
            <w:r w:rsidRPr="00BE6732">
              <w:rPr>
                <w:sz w:val="24"/>
                <w:szCs w:val="24"/>
              </w:rPr>
              <w:t>$113.69</w:t>
            </w:r>
          </w:p>
        </w:tc>
        <w:tc>
          <w:tcPr>
            <w:tcW w:w="6480" w:type="dxa"/>
            <w:noWrap/>
            <w:vAlign w:val="bottom"/>
            <w:hideMark/>
          </w:tcPr>
          <w:p w14:paraId="7DDAB024" w14:textId="77777777" w:rsidR="00407ED4" w:rsidRPr="00BE6732" w:rsidRDefault="00407ED4" w:rsidP="00407ED4">
            <w:pPr>
              <w:spacing w:line="276" w:lineRule="auto"/>
              <w:rPr>
                <w:sz w:val="24"/>
                <w:szCs w:val="24"/>
              </w:rPr>
            </w:pPr>
            <w:r w:rsidRPr="00BE6732">
              <w:rPr>
                <w:sz w:val="24"/>
                <w:szCs w:val="24"/>
              </w:rPr>
              <w:t>Tau, total (</w:t>
            </w:r>
            <w:proofErr w:type="spellStart"/>
            <w:r w:rsidRPr="00BE6732">
              <w:rPr>
                <w:sz w:val="24"/>
                <w:szCs w:val="24"/>
              </w:rPr>
              <w:t>ttau</w:t>
            </w:r>
            <w:proofErr w:type="spellEnd"/>
            <w:r w:rsidRPr="00BE6732">
              <w:rPr>
                <w:sz w:val="24"/>
                <w:szCs w:val="24"/>
              </w:rPr>
              <w:t>)</w:t>
            </w:r>
          </w:p>
        </w:tc>
      </w:tr>
      <w:tr w:rsidR="00407ED4" w:rsidRPr="00407ED4" w14:paraId="1A5A005D" w14:textId="77777777" w:rsidTr="002F7453">
        <w:trPr>
          <w:trHeight w:val="512"/>
        </w:trPr>
        <w:tc>
          <w:tcPr>
            <w:tcW w:w="1435" w:type="dxa"/>
            <w:noWrap/>
            <w:vAlign w:val="center"/>
          </w:tcPr>
          <w:p w14:paraId="3EF5ADA9" w14:textId="77777777" w:rsidR="00407ED4" w:rsidRPr="00BE6732" w:rsidRDefault="00407ED4" w:rsidP="00407ED4">
            <w:pPr>
              <w:spacing w:line="276" w:lineRule="auto"/>
              <w:rPr>
                <w:sz w:val="24"/>
                <w:szCs w:val="24"/>
              </w:rPr>
            </w:pPr>
            <w:r w:rsidRPr="00BE6732">
              <w:rPr>
                <w:sz w:val="24"/>
                <w:szCs w:val="24"/>
              </w:rPr>
              <w:t>86581</w:t>
            </w:r>
          </w:p>
        </w:tc>
        <w:tc>
          <w:tcPr>
            <w:tcW w:w="1620" w:type="dxa"/>
            <w:noWrap/>
            <w:vAlign w:val="center"/>
          </w:tcPr>
          <w:p w14:paraId="72140E40" w14:textId="77777777" w:rsidR="00407ED4" w:rsidRPr="00BE6732" w:rsidRDefault="00407ED4" w:rsidP="00407ED4">
            <w:pPr>
              <w:spacing w:line="276" w:lineRule="auto"/>
              <w:rPr>
                <w:sz w:val="24"/>
                <w:szCs w:val="24"/>
              </w:rPr>
            </w:pPr>
            <w:r w:rsidRPr="00BE6732">
              <w:rPr>
                <w:sz w:val="24"/>
                <w:szCs w:val="24"/>
              </w:rPr>
              <w:t>$81.16</w:t>
            </w:r>
          </w:p>
        </w:tc>
        <w:tc>
          <w:tcPr>
            <w:tcW w:w="6480" w:type="dxa"/>
            <w:noWrap/>
            <w:vAlign w:val="bottom"/>
          </w:tcPr>
          <w:p w14:paraId="06738FA2" w14:textId="77777777" w:rsidR="00407ED4" w:rsidRPr="00BE6732" w:rsidRDefault="00407ED4" w:rsidP="00407ED4">
            <w:pPr>
              <w:spacing w:line="276" w:lineRule="auto"/>
              <w:rPr>
                <w:sz w:val="24"/>
                <w:szCs w:val="24"/>
              </w:rPr>
            </w:pPr>
            <w:r w:rsidRPr="00BE6732">
              <w:rPr>
                <w:sz w:val="24"/>
                <w:szCs w:val="24"/>
              </w:rPr>
              <w:t>Streptococcus pneumoniae antibody (igg), serotypes, multiplex immunoassay, quantitative</w:t>
            </w:r>
          </w:p>
        </w:tc>
      </w:tr>
    </w:tbl>
    <w:p w14:paraId="28535F3D" w14:textId="2A18F551" w:rsidR="00852E4B" w:rsidRPr="00533A3B" w:rsidRDefault="00852E4B" w:rsidP="00C80035">
      <w:pPr>
        <w:spacing w:line="276" w:lineRule="auto"/>
      </w:pPr>
    </w:p>
    <w:sectPr w:rsidR="00852E4B" w:rsidRPr="00533A3B" w:rsidSect="00E964C3">
      <w:headerReference w:type="default" r:id="rId8"/>
      <w:footerReference w:type="default" r:id="rId9"/>
      <w:headerReference w:type="first" r:id="rId10"/>
      <w:type w:val="continuous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F07E75" w14:textId="77777777" w:rsidR="00123A2A" w:rsidRDefault="00123A2A" w:rsidP="00AC798F">
      <w:r>
        <w:separator/>
      </w:r>
    </w:p>
    <w:p w14:paraId="1F301D68" w14:textId="77777777" w:rsidR="00123A2A" w:rsidRDefault="00123A2A"/>
  </w:endnote>
  <w:endnote w:type="continuationSeparator" w:id="0">
    <w:p w14:paraId="4DECCDEE" w14:textId="77777777" w:rsidR="00123A2A" w:rsidRDefault="00123A2A" w:rsidP="00AC798F">
      <w:r>
        <w:continuationSeparator/>
      </w:r>
    </w:p>
    <w:p w14:paraId="10A507B8" w14:textId="77777777" w:rsidR="00123A2A" w:rsidRDefault="00123A2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86680705"/>
      <w:docPartObj>
        <w:docPartGallery w:val="Page Numbers (Bottom of Page)"/>
        <w:docPartUnique/>
      </w:docPartObj>
    </w:sdtPr>
    <w:sdtEndPr/>
    <w:sdtContent>
      <w:sdt>
        <w:sdtPr>
          <w:id w:val="-1786192084"/>
          <w:docPartObj>
            <w:docPartGallery w:val="Page Numbers (Top of Page)"/>
            <w:docPartUnique/>
          </w:docPartObj>
        </w:sdtPr>
        <w:sdtEndPr/>
        <w:sdtContent>
          <w:p w14:paraId="304747B2" w14:textId="18B32623" w:rsidR="00835677" w:rsidRDefault="00835677" w:rsidP="00835677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D8AEA8" w14:textId="77777777" w:rsidR="00123A2A" w:rsidRDefault="00123A2A" w:rsidP="00AC798F">
      <w:r>
        <w:separator/>
      </w:r>
    </w:p>
    <w:p w14:paraId="6CB12B69" w14:textId="77777777" w:rsidR="00123A2A" w:rsidRDefault="00123A2A"/>
  </w:footnote>
  <w:footnote w:type="continuationSeparator" w:id="0">
    <w:p w14:paraId="6E389A83" w14:textId="77777777" w:rsidR="00123A2A" w:rsidRDefault="00123A2A" w:rsidP="00AC798F">
      <w:r>
        <w:continuationSeparator/>
      </w:r>
    </w:p>
    <w:p w14:paraId="0C8C8496" w14:textId="77777777" w:rsidR="00123A2A" w:rsidRDefault="00123A2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94F95" w14:textId="77777777" w:rsidR="00E964C3" w:rsidRPr="00AC798F" w:rsidRDefault="00E964C3" w:rsidP="0071737A">
    <w:pPr>
      <w:spacing w:after="0" w:line="276" w:lineRule="auto"/>
      <w:jc w:val="right"/>
    </w:pPr>
    <w:r w:rsidRPr="00AC798F">
      <w:t>EOHHS</w:t>
    </w:r>
  </w:p>
  <w:p w14:paraId="035EBA9C" w14:textId="77777777" w:rsidR="00E964C3" w:rsidRPr="00AC798F" w:rsidRDefault="00E964C3" w:rsidP="0071737A">
    <w:pPr>
      <w:spacing w:after="0" w:line="276" w:lineRule="auto"/>
      <w:jc w:val="right"/>
    </w:pPr>
    <w:r w:rsidRPr="00AC798F">
      <w:t>Administrative Bulletin [</w:t>
    </w:r>
    <w:r w:rsidRPr="00AC798F">
      <w:rPr>
        <w:color w:val="FF0000"/>
      </w:rPr>
      <w:t>YY-#</w:t>
    </w:r>
    <w:r w:rsidRPr="00AC798F">
      <w:t>]</w:t>
    </w:r>
  </w:p>
  <w:p w14:paraId="64299DFB" w14:textId="77777777" w:rsidR="00E964C3" w:rsidRPr="00AC798F" w:rsidRDefault="00E964C3" w:rsidP="0071737A">
    <w:pPr>
      <w:spacing w:after="0" w:line="276" w:lineRule="auto"/>
      <w:jc w:val="right"/>
    </w:pPr>
    <w:r w:rsidRPr="00AC798F">
      <w:t>Effective [</w:t>
    </w:r>
    <w:r w:rsidRPr="0022152B">
      <w:rPr>
        <w:color w:val="FF0000"/>
      </w:rPr>
      <w:t>Month Day, YYYY</w:t>
    </w:r>
    <w:r w:rsidRPr="00AC798F">
      <w:t>]</w:t>
    </w:r>
  </w:p>
  <w:p w14:paraId="2B9E7F93" w14:textId="77777777" w:rsidR="00E964C3" w:rsidRDefault="00E964C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3AF51" w14:textId="77777777" w:rsidR="00AE6EEE" w:rsidRPr="006E5DED" w:rsidRDefault="00AE6EEE" w:rsidP="00AE6EEE">
    <w:pPr>
      <w:pStyle w:val="Header"/>
      <w:spacing w:after="0"/>
      <w:rPr>
        <w:noProof/>
      </w:rPr>
    </w:pPr>
    <w:r w:rsidRPr="006E5DED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1F627C6" wp14:editId="3B60BD35">
              <wp:simplePos x="0" y="0"/>
              <wp:positionH relativeFrom="column">
                <wp:posOffset>1247775</wp:posOffset>
              </wp:positionH>
              <wp:positionV relativeFrom="paragraph">
                <wp:posOffset>1</wp:posOffset>
              </wp:positionV>
              <wp:extent cx="3589020" cy="971550"/>
              <wp:effectExtent l="0" t="0" r="0" b="0"/>
              <wp:wrapNone/>
              <wp:docPr id="1" name="Text Box 2" descr="Text box:&#10;Executive Office of Health and Human Services&#10;Commonwealth of Massachusetts&#10;One Ashburton Place&#10;Boston, MA 02108&#10;(617) 573-1600&#10;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89020" cy="971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67EBAB0" w14:textId="77777777" w:rsidR="00AE6EEE" w:rsidRPr="00AC798F" w:rsidRDefault="00AE6EEE" w:rsidP="00AE6EEE">
                          <w:pPr>
                            <w:pStyle w:val="Header"/>
                            <w:spacing w:after="0"/>
                            <w:jc w:val="center"/>
                            <w:rPr>
                              <w:color w:val="4F81BD" w:themeColor="accent1"/>
                              <w:sz w:val="20"/>
                            </w:rPr>
                          </w:pPr>
                          <w:r w:rsidRPr="00AC798F">
                            <w:rPr>
                              <w:color w:val="4F81BD" w:themeColor="accent1"/>
                            </w:rPr>
                            <w:t>EXECUTIVE OFFICE OF HEALTH AND HUMAN SERVICES</w:t>
                          </w:r>
                        </w:p>
                        <w:p w14:paraId="56CCD1FF" w14:textId="77777777" w:rsidR="00AE6EEE" w:rsidRPr="00AC798F" w:rsidRDefault="00AE6EEE" w:rsidP="00AE6EEE">
                          <w:pPr>
                            <w:pStyle w:val="Header"/>
                            <w:spacing w:after="0"/>
                            <w:jc w:val="center"/>
                            <w:rPr>
                              <w:b/>
                              <w:bCs/>
                              <w:color w:val="4F81BD" w:themeColor="accent1"/>
                            </w:rPr>
                          </w:pPr>
                          <w:r w:rsidRPr="00AC798F">
                            <w:rPr>
                              <w:b/>
                              <w:bCs/>
                              <w:color w:val="4F81BD" w:themeColor="accent1"/>
                            </w:rPr>
                            <w:t>COMMONWEALTH OF MASSACHUSETTS</w:t>
                          </w:r>
                        </w:p>
                        <w:p w14:paraId="0AA0F83C" w14:textId="77777777" w:rsidR="00AE6EEE" w:rsidRDefault="00AE6EEE" w:rsidP="00AE6EEE">
                          <w:pPr>
                            <w:pStyle w:val="Header"/>
                            <w:spacing w:after="0"/>
                            <w:jc w:val="center"/>
                            <w:rPr>
                              <w:color w:val="4F81BD" w:themeColor="accent1"/>
                            </w:rPr>
                          </w:pPr>
                          <w:r w:rsidRPr="00AC798F">
                            <w:rPr>
                              <w:color w:val="4F81BD" w:themeColor="accent1"/>
                            </w:rPr>
                            <w:t>ONE ASHBURTON PLACE, BOSTON, MA 02108</w:t>
                          </w:r>
                        </w:p>
                        <w:p w14:paraId="5C5FCC0B" w14:textId="77777777" w:rsidR="00AE6EEE" w:rsidRPr="00C773D1" w:rsidRDefault="00AE6EEE" w:rsidP="00AE6EEE">
                          <w:pPr>
                            <w:pStyle w:val="Header"/>
                            <w:spacing w:after="0"/>
                            <w:jc w:val="center"/>
                            <w:rPr>
                              <w:color w:val="4F81BD" w:themeColor="accent1"/>
                            </w:rPr>
                          </w:pPr>
                          <w:r>
                            <w:rPr>
                              <w:color w:val="4F81BD" w:themeColor="accent1"/>
                            </w:rPr>
                            <w:t>(617) 573-1600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1F627C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Text box:&#10;Executive Office of Health and Human Services&#10;Commonwealth of Massachusetts&#10;One Ashburton Place&#10;Boston, MA 02108&#10;(617) 573-1600&#10;" style="position:absolute;margin-left:98.25pt;margin-top:0;width:282.6pt;height:7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" filled="f" stroked="f">
              <v:textbox>
                <w:txbxContent>
                  <w:p w14:paraId="567EBAB0" w14:textId="77777777" w:rsidR="00AE6EEE" w:rsidRPr="00AC798F" w:rsidRDefault="00AE6EEE" w:rsidP="00AE6EEE">
                    <w:pPr>
                      <w:pStyle w:val="Header"/>
                      <w:spacing w:after="0"/>
                      <w:jc w:val="center"/>
                      <w:rPr>
                        <w:color w:val="4F81BD" w:themeColor="accent1"/>
                        <w:sz w:val="20"/>
                      </w:rPr>
                    </w:pPr>
                    <w:r w:rsidRPr="00AC798F">
                      <w:rPr>
                        <w:color w:val="4F81BD" w:themeColor="accent1"/>
                      </w:rPr>
                      <w:t>EXECUTIVE OFFICE OF HEALTH AND HUMAN SERVICES</w:t>
                    </w:r>
                  </w:p>
                  <w:p w14:paraId="56CCD1FF" w14:textId="77777777" w:rsidR="00AE6EEE" w:rsidRPr="00AC798F" w:rsidRDefault="00AE6EEE" w:rsidP="00AE6EEE">
                    <w:pPr>
                      <w:pStyle w:val="Header"/>
                      <w:spacing w:after="0"/>
                      <w:jc w:val="center"/>
                      <w:rPr>
                        <w:b/>
                        <w:bCs/>
                        <w:color w:val="4F81BD" w:themeColor="accent1"/>
                      </w:rPr>
                    </w:pPr>
                    <w:r w:rsidRPr="00AC798F">
                      <w:rPr>
                        <w:b/>
                        <w:bCs/>
                        <w:color w:val="4F81BD" w:themeColor="accent1"/>
                      </w:rPr>
                      <w:t>COMMONWEALTH OF MASSACHUSETTS</w:t>
                    </w:r>
                  </w:p>
                  <w:p w14:paraId="0AA0F83C" w14:textId="77777777" w:rsidR="00AE6EEE" w:rsidRDefault="00AE6EEE" w:rsidP="00AE6EEE">
                    <w:pPr>
                      <w:pStyle w:val="Header"/>
                      <w:spacing w:after="0"/>
                      <w:jc w:val="center"/>
                      <w:rPr>
                        <w:color w:val="4F81BD" w:themeColor="accent1"/>
                      </w:rPr>
                    </w:pPr>
                    <w:r w:rsidRPr="00AC798F">
                      <w:rPr>
                        <w:color w:val="4F81BD" w:themeColor="accent1"/>
                      </w:rPr>
                      <w:t>ONE ASHBURTON PLACE, BOSTON, MA 02108</w:t>
                    </w:r>
                  </w:p>
                  <w:p w14:paraId="5C5FCC0B" w14:textId="77777777" w:rsidR="00AE6EEE" w:rsidRPr="00C773D1" w:rsidRDefault="00AE6EEE" w:rsidP="00AE6EEE">
                    <w:pPr>
                      <w:pStyle w:val="Header"/>
                      <w:spacing w:after="0"/>
                      <w:jc w:val="center"/>
                      <w:rPr>
                        <w:color w:val="4F81BD" w:themeColor="accent1"/>
                      </w:rPr>
                    </w:pPr>
                    <w:r>
                      <w:rPr>
                        <w:color w:val="4F81BD" w:themeColor="accent1"/>
                      </w:rPr>
                      <w:t>(617) 573-1600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color w:val="1F497D" w:themeColor="text2"/>
      </w:rPr>
      <w:drawing>
        <wp:anchor distT="0" distB="0" distL="114300" distR="114300" simplePos="0" relativeHeight="251660288" behindDoc="0" locked="0" layoutInCell="1" allowOverlap="1" wp14:anchorId="094771C6" wp14:editId="14E47267">
          <wp:simplePos x="0" y="0"/>
          <wp:positionH relativeFrom="column">
            <wp:posOffset>4829175</wp:posOffset>
          </wp:positionH>
          <wp:positionV relativeFrom="paragraph">
            <wp:posOffset>0</wp:posOffset>
          </wp:positionV>
          <wp:extent cx="1174115" cy="621665"/>
          <wp:effectExtent l="0" t="0" r="6985" b="6985"/>
          <wp:wrapNone/>
          <wp:docPr id="1597423463" name="Picture 1597423463" descr="MassHealth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7423463" name="Picture 1597423463" descr="MassHealth logo"/>
                  <pic:cNvPicPr/>
                </pic:nvPicPr>
                <pic:blipFill>
                  <a:blip r:embed="rId1">
                    <a:duotone>
                      <a:schemeClr val="accent1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4115" cy="6216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1B05991C" wp14:editId="40CF89C9">
          <wp:extent cx="1164590" cy="1377950"/>
          <wp:effectExtent l="0" t="0" r="0" b="0"/>
          <wp:docPr id="819895468" name="Picture 819895468" descr="Massachusetts state se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9895468" name="Picture 819895468" descr="Massachusetts state seal"/>
                  <pic:cNvPicPr>
                    <a:picLocks noChangeAspect="1" noChangeArrowheads="1"/>
                  </pic:cNvPicPr>
                </pic:nvPicPr>
                <pic:blipFill>
                  <a:blip r:embed="rId2">
                    <a:duotone>
                      <a:schemeClr val="accent1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4590" cy="1377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E0990CB" w14:textId="77777777" w:rsidR="00AE6EEE" w:rsidRDefault="00AE6EEE" w:rsidP="00AE6EEE">
    <w:pPr>
      <w:pStyle w:val="Header"/>
    </w:pPr>
    <w:r>
      <w:ptab w:relativeTo="margin" w:alignment="right" w:leader="none"/>
    </w:r>
  </w:p>
  <w:p w14:paraId="20047179" w14:textId="77777777" w:rsidR="00AE6EEE" w:rsidRPr="00AC798F" w:rsidRDefault="00AE6EEE" w:rsidP="00AE6EEE">
    <w:pPr>
      <w:pStyle w:val="Header"/>
      <w:spacing w:after="0"/>
      <w:rPr>
        <w:b/>
        <w:bCs/>
        <w:color w:val="1F497D" w:themeColor="text2"/>
      </w:rPr>
    </w:pPr>
    <w:r w:rsidRPr="00AC798F">
      <w:rPr>
        <w:b/>
        <w:bCs/>
        <w:color w:val="1F497D" w:themeColor="text2"/>
      </w:rPr>
      <w:t>MAURA T. HEALEY</w:t>
    </w:r>
    <w:r w:rsidRPr="00AC798F">
      <w:rPr>
        <w:b/>
        <w:bCs/>
        <w:color w:val="1F497D" w:themeColor="text2"/>
      </w:rPr>
      <w:tab/>
    </w:r>
    <w:r w:rsidRPr="00AC798F">
      <w:rPr>
        <w:b/>
        <w:bCs/>
        <w:color w:val="1F497D" w:themeColor="text2"/>
      </w:rPr>
      <w:tab/>
      <w:t>K</w:t>
    </w:r>
    <w:r>
      <w:rPr>
        <w:b/>
        <w:bCs/>
        <w:color w:val="1F497D" w:themeColor="text2"/>
      </w:rPr>
      <w:t>IAME MAHANIAH, MD, MBA</w:t>
    </w:r>
  </w:p>
  <w:p w14:paraId="6581EB7F" w14:textId="77777777" w:rsidR="00AE6EEE" w:rsidRPr="00AC798F" w:rsidRDefault="00AE6EEE" w:rsidP="00AE6EEE">
    <w:pPr>
      <w:pStyle w:val="Header"/>
      <w:spacing w:after="0"/>
      <w:rPr>
        <w:b/>
        <w:color w:val="1F497D" w:themeColor="text2"/>
      </w:rPr>
    </w:pPr>
    <w:r w:rsidRPr="00AC798F">
      <w:rPr>
        <w:color w:val="1F497D" w:themeColor="text2"/>
      </w:rPr>
      <w:t>GOVERNOR</w:t>
    </w:r>
    <w:r w:rsidRPr="00AC798F">
      <w:rPr>
        <w:color w:val="1F497D" w:themeColor="text2"/>
      </w:rPr>
      <w:tab/>
    </w:r>
    <w:r w:rsidRPr="00AC798F">
      <w:rPr>
        <w:b/>
        <w:color w:val="1F497D" w:themeColor="text2"/>
      </w:rPr>
      <w:tab/>
    </w:r>
    <w:r w:rsidRPr="00AC798F">
      <w:rPr>
        <w:color w:val="1F497D" w:themeColor="text2"/>
      </w:rPr>
      <w:t>SECRETARY</w:t>
    </w:r>
  </w:p>
  <w:p w14:paraId="44345E59" w14:textId="77777777" w:rsidR="00AE6EEE" w:rsidRPr="00AC798F" w:rsidRDefault="00AE6EEE" w:rsidP="00AE6EEE">
    <w:pPr>
      <w:pStyle w:val="Header"/>
      <w:rPr>
        <w:color w:val="1F497D" w:themeColor="text2"/>
      </w:rPr>
    </w:pPr>
  </w:p>
  <w:p w14:paraId="281455CC" w14:textId="77777777" w:rsidR="00AE6EEE" w:rsidRPr="00AC798F" w:rsidRDefault="00AE6EEE" w:rsidP="00AE6EEE">
    <w:pPr>
      <w:pStyle w:val="Header"/>
      <w:spacing w:after="0"/>
      <w:rPr>
        <w:b/>
        <w:bCs/>
        <w:color w:val="1F497D" w:themeColor="text2"/>
      </w:rPr>
    </w:pPr>
    <w:r w:rsidRPr="00AC798F">
      <w:rPr>
        <w:b/>
        <w:bCs/>
        <w:color w:val="1F497D" w:themeColor="text2"/>
      </w:rPr>
      <w:t>KIMBERLEY DRISCOLL</w:t>
    </w:r>
    <w:r w:rsidRPr="00AC798F">
      <w:rPr>
        <w:b/>
        <w:bCs/>
        <w:color w:val="1F497D" w:themeColor="text2"/>
      </w:rPr>
      <w:tab/>
    </w:r>
    <w:r w:rsidRPr="00AC798F">
      <w:rPr>
        <w:b/>
        <w:bCs/>
        <w:color w:val="1F497D" w:themeColor="text2"/>
      </w:rPr>
      <w:tab/>
      <w:t>MIKE LEVINE</w:t>
    </w:r>
  </w:p>
  <w:p w14:paraId="2F2C484E" w14:textId="77777777" w:rsidR="00AE6EEE" w:rsidRPr="00AC798F" w:rsidRDefault="00AE6EEE" w:rsidP="00AE6EEE">
    <w:pPr>
      <w:pStyle w:val="Header"/>
      <w:spacing w:after="0"/>
      <w:rPr>
        <w:color w:val="1F497D" w:themeColor="text2"/>
      </w:rPr>
    </w:pPr>
    <w:r w:rsidRPr="00AC798F">
      <w:rPr>
        <w:color w:val="1F497D" w:themeColor="text2"/>
      </w:rPr>
      <w:t xml:space="preserve">LIEUTENANT GOVERNOR </w:t>
    </w:r>
    <w:r w:rsidRPr="00AC798F">
      <w:rPr>
        <w:color w:val="1F497D" w:themeColor="text2"/>
      </w:rPr>
      <w:tab/>
    </w:r>
    <w:r w:rsidRPr="00AC798F">
      <w:rPr>
        <w:color w:val="1F497D" w:themeColor="text2"/>
      </w:rPr>
      <w:tab/>
    </w:r>
    <w:r>
      <w:rPr>
        <w:color w:val="1F497D" w:themeColor="text2"/>
      </w:rPr>
      <w:t>UNDER</w:t>
    </w:r>
    <w:r w:rsidRPr="00AC798F">
      <w:rPr>
        <w:color w:val="1F497D" w:themeColor="text2"/>
      </w:rPr>
      <w:t>SECRETARY</w:t>
    </w:r>
  </w:p>
  <w:p w14:paraId="50DE9FF7" w14:textId="77777777" w:rsidR="00AE6EEE" w:rsidRPr="00AC798F" w:rsidRDefault="00AE6EEE" w:rsidP="00AE6EEE">
    <w:pPr>
      <w:pStyle w:val="Header"/>
      <w:spacing w:after="0"/>
      <w:rPr>
        <w:color w:val="1F497D" w:themeColor="text2"/>
      </w:rPr>
    </w:pPr>
    <w:r w:rsidRPr="00AC798F">
      <w:rPr>
        <w:color w:val="1F497D" w:themeColor="text2"/>
      </w:rPr>
      <w:tab/>
    </w:r>
    <w:r w:rsidRPr="00AC798F">
      <w:rPr>
        <w:color w:val="1F497D" w:themeColor="text2"/>
      </w:rPr>
      <w:tab/>
      <w:t>FOR MASSHEALTH</w:t>
    </w:r>
  </w:p>
  <w:p w14:paraId="223A6C49" w14:textId="77777777" w:rsidR="00AE6EEE" w:rsidRDefault="00AE6EE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4A4997"/>
    <w:multiLevelType w:val="hybridMultilevel"/>
    <w:tmpl w:val="BEE4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DA49C1"/>
    <w:multiLevelType w:val="hybridMultilevel"/>
    <w:tmpl w:val="69762E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8056383">
    <w:abstractNumId w:val="0"/>
  </w:num>
  <w:num w:numId="2" w16cid:durableId="12159692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DCE"/>
    <w:rsid w:val="00007C23"/>
    <w:rsid w:val="00024809"/>
    <w:rsid w:val="000722C4"/>
    <w:rsid w:val="000B3478"/>
    <w:rsid w:val="000B79D2"/>
    <w:rsid w:val="000E200A"/>
    <w:rsid w:val="000F5268"/>
    <w:rsid w:val="00100E5C"/>
    <w:rsid w:val="00103746"/>
    <w:rsid w:val="00123A2A"/>
    <w:rsid w:val="00130559"/>
    <w:rsid w:val="00130D9D"/>
    <w:rsid w:val="00134791"/>
    <w:rsid w:val="00146C2F"/>
    <w:rsid w:val="00153DCE"/>
    <w:rsid w:val="00154CA9"/>
    <w:rsid w:val="00193348"/>
    <w:rsid w:val="00195F63"/>
    <w:rsid w:val="001A7742"/>
    <w:rsid w:val="001A7A68"/>
    <w:rsid w:val="001D628B"/>
    <w:rsid w:val="0022152B"/>
    <w:rsid w:val="002448DD"/>
    <w:rsid w:val="00266B97"/>
    <w:rsid w:val="00271D28"/>
    <w:rsid w:val="0027639F"/>
    <w:rsid w:val="00284238"/>
    <w:rsid w:val="00291039"/>
    <w:rsid w:val="002A779E"/>
    <w:rsid w:val="002C38A9"/>
    <w:rsid w:val="002E0806"/>
    <w:rsid w:val="003113E4"/>
    <w:rsid w:val="0033130A"/>
    <w:rsid w:val="00351564"/>
    <w:rsid w:val="003563D7"/>
    <w:rsid w:val="003644F6"/>
    <w:rsid w:val="003A3882"/>
    <w:rsid w:val="003E5A62"/>
    <w:rsid w:val="003F6AAE"/>
    <w:rsid w:val="00407ED4"/>
    <w:rsid w:val="0041466F"/>
    <w:rsid w:val="0041715C"/>
    <w:rsid w:val="00421B27"/>
    <w:rsid w:val="00443CDB"/>
    <w:rsid w:val="00456CCC"/>
    <w:rsid w:val="00461525"/>
    <w:rsid w:val="00465E5A"/>
    <w:rsid w:val="004D48D7"/>
    <w:rsid w:val="005246D9"/>
    <w:rsid w:val="00525DD4"/>
    <w:rsid w:val="00533A3B"/>
    <w:rsid w:val="0053555D"/>
    <w:rsid w:val="00556450"/>
    <w:rsid w:val="0056474D"/>
    <w:rsid w:val="00566D3A"/>
    <w:rsid w:val="005702E6"/>
    <w:rsid w:val="0057224E"/>
    <w:rsid w:val="00585302"/>
    <w:rsid w:val="00597C39"/>
    <w:rsid w:val="005B5D35"/>
    <w:rsid w:val="005E2329"/>
    <w:rsid w:val="005F20AC"/>
    <w:rsid w:val="005F66F1"/>
    <w:rsid w:val="00607406"/>
    <w:rsid w:val="00622D5C"/>
    <w:rsid w:val="0064272D"/>
    <w:rsid w:val="00656F89"/>
    <w:rsid w:val="00656FFF"/>
    <w:rsid w:val="006718AB"/>
    <w:rsid w:val="006845D7"/>
    <w:rsid w:val="006A6684"/>
    <w:rsid w:val="006B1D87"/>
    <w:rsid w:val="006B6EE0"/>
    <w:rsid w:val="006C41D9"/>
    <w:rsid w:val="006D224D"/>
    <w:rsid w:val="006E5DED"/>
    <w:rsid w:val="006F115D"/>
    <w:rsid w:val="0070235D"/>
    <w:rsid w:val="0070281D"/>
    <w:rsid w:val="0071737A"/>
    <w:rsid w:val="00720C4F"/>
    <w:rsid w:val="00721C69"/>
    <w:rsid w:val="007246D1"/>
    <w:rsid w:val="00727219"/>
    <w:rsid w:val="00734039"/>
    <w:rsid w:val="00752392"/>
    <w:rsid w:val="00782360"/>
    <w:rsid w:val="00796A70"/>
    <w:rsid w:val="007B48C3"/>
    <w:rsid w:val="007D4B06"/>
    <w:rsid w:val="007F04B8"/>
    <w:rsid w:val="00800711"/>
    <w:rsid w:val="00835677"/>
    <w:rsid w:val="00852E4B"/>
    <w:rsid w:val="008669CB"/>
    <w:rsid w:val="008A50C9"/>
    <w:rsid w:val="008C4034"/>
    <w:rsid w:val="008C7C8A"/>
    <w:rsid w:val="00923116"/>
    <w:rsid w:val="00964EDE"/>
    <w:rsid w:val="00972205"/>
    <w:rsid w:val="00984786"/>
    <w:rsid w:val="009A3538"/>
    <w:rsid w:val="00A01D8C"/>
    <w:rsid w:val="00A06F80"/>
    <w:rsid w:val="00A13213"/>
    <w:rsid w:val="00A2440E"/>
    <w:rsid w:val="00A34C8D"/>
    <w:rsid w:val="00A40946"/>
    <w:rsid w:val="00A72FAD"/>
    <w:rsid w:val="00A75CD6"/>
    <w:rsid w:val="00AB33D8"/>
    <w:rsid w:val="00AC798F"/>
    <w:rsid w:val="00AD1945"/>
    <w:rsid w:val="00AE6EEE"/>
    <w:rsid w:val="00B0173B"/>
    <w:rsid w:val="00B05E0C"/>
    <w:rsid w:val="00B150C5"/>
    <w:rsid w:val="00B178B6"/>
    <w:rsid w:val="00B623EB"/>
    <w:rsid w:val="00B70022"/>
    <w:rsid w:val="00BA6D03"/>
    <w:rsid w:val="00BD3C0A"/>
    <w:rsid w:val="00BE1FB2"/>
    <w:rsid w:val="00BE6732"/>
    <w:rsid w:val="00C1076E"/>
    <w:rsid w:val="00C30E3D"/>
    <w:rsid w:val="00C34D23"/>
    <w:rsid w:val="00C400D6"/>
    <w:rsid w:val="00C4133C"/>
    <w:rsid w:val="00C4194A"/>
    <w:rsid w:val="00C56107"/>
    <w:rsid w:val="00C773D1"/>
    <w:rsid w:val="00C80035"/>
    <w:rsid w:val="00C87BF7"/>
    <w:rsid w:val="00CD0456"/>
    <w:rsid w:val="00D160CC"/>
    <w:rsid w:val="00D23D23"/>
    <w:rsid w:val="00D35714"/>
    <w:rsid w:val="00D407CF"/>
    <w:rsid w:val="00D448BF"/>
    <w:rsid w:val="00D5182F"/>
    <w:rsid w:val="00D63172"/>
    <w:rsid w:val="00D73326"/>
    <w:rsid w:val="00D761F6"/>
    <w:rsid w:val="00DA095C"/>
    <w:rsid w:val="00DC2316"/>
    <w:rsid w:val="00DD626A"/>
    <w:rsid w:val="00E06A5D"/>
    <w:rsid w:val="00E10A6E"/>
    <w:rsid w:val="00E27559"/>
    <w:rsid w:val="00E320F9"/>
    <w:rsid w:val="00E33094"/>
    <w:rsid w:val="00E56BD5"/>
    <w:rsid w:val="00E620A3"/>
    <w:rsid w:val="00E74BC2"/>
    <w:rsid w:val="00E92AC9"/>
    <w:rsid w:val="00E964C3"/>
    <w:rsid w:val="00EB0D5E"/>
    <w:rsid w:val="00EC2E78"/>
    <w:rsid w:val="00EE4CAE"/>
    <w:rsid w:val="00EF33F6"/>
    <w:rsid w:val="00F12C5F"/>
    <w:rsid w:val="00F247CB"/>
    <w:rsid w:val="00F24EEA"/>
    <w:rsid w:val="00F30AF6"/>
    <w:rsid w:val="00F44C98"/>
    <w:rsid w:val="00F44E10"/>
    <w:rsid w:val="00F531D7"/>
    <w:rsid w:val="00F56D7C"/>
    <w:rsid w:val="00F60649"/>
    <w:rsid w:val="00F65E52"/>
    <w:rsid w:val="00F8728D"/>
    <w:rsid w:val="00FB216E"/>
    <w:rsid w:val="00FD6012"/>
    <w:rsid w:val="00FE4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881F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1945"/>
    <w:pPr>
      <w:spacing w:after="120"/>
    </w:pPr>
    <w:rPr>
      <w:rFonts w:ascii="Georgia" w:hAnsi="Georgia"/>
    </w:rPr>
  </w:style>
  <w:style w:type="paragraph" w:styleId="Heading1">
    <w:name w:val="heading 1"/>
    <w:basedOn w:val="Normal"/>
    <w:next w:val="Normal"/>
    <w:link w:val="Heading1Char"/>
    <w:qFormat/>
    <w:rsid w:val="00100E5C"/>
    <w:pPr>
      <w:tabs>
        <w:tab w:val="left" w:pos="3165"/>
      </w:tabs>
      <w:spacing w:after="240"/>
      <w:jc w:val="center"/>
      <w:outlineLvl w:val="0"/>
    </w:pPr>
    <w:rPr>
      <w:rFonts w:eastAsia="Calibri" w:cs="Times New Roman"/>
      <w:b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1737A"/>
    <w:pPr>
      <w:keepNext/>
      <w:spacing w:before="240" w:line="276" w:lineRule="auto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91039"/>
    <w:pPr>
      <w:keepNext/>
      <w:spacing w:before="240" w:line="276" w:lineRule="auto"/>
      <w:outlineLvl w:val="2"/>
    </w:pPr>
    <w:rPr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75CD6"/>
    <w:pPr>
      <w:keepNext/>
      <w:spacing w:before="40" w:after="0"/>
      <w:outlineLvl w:val="3"/>
    </w:pPr>
    <w:rPr>
      <w:rFonts w:asciiTheme="majorHAnsi" w:eastAsiaTheme="majorEastAsia" w:hAnsiTheme="majorHAnsi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798F"/>
    <w:pPr>
      <w:tabs>
        <w:tab w:val="center" w:pos="4680"/>
        <w:tab w:val="right" w:pos="9360"/>
      </w:tabs>
    </w:pPr>
    <w:rPr>
      <w:rFonts w:asciiTheme="minorHAnsi" w:hAnsiTheme="minorHAnsi"/>
    </w:rPr>
  </w:style>
  <w:style w:type="character" w:customStyle="1" w:styleId="HeaderChar">
    <w:name w:val="Header Char"/>
    <w:basedOn w:val="DefaultParagraphFont"/>
    <w:link w:val="Header"/>
    <w:uiPriority w:val="99"/>
    <w:rsid w:val="00AC798F"/>
  </w:style>
  <w:style w:type="paragraph" w:styleId="Footer">
    <w:name w:val="footer"/>
    <w:basedOn w:val="Normal"/>
    <w:link w:val="FooterChar"/>
    <w:uiPriority w:val="99"/>
    <w:unhideWhenUsed/>
    <w:rsid w:val="00153DC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3DCE"/>
  </w:style>
  <w:style w:type="paragraph" w:styleId="BalloonText">
    <w:name w:val="Balloon Text"/>
    <w:basedOn w:val="Normal"/>
    <w:link w:val="BalloonTextChar"/>
    <w:uiPriority w:val="99"/>
    <w:semiHidden/>
    <w:unhideWhenUsed/>
    <w:rsid w:val="00153D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3DCE"/>
    <w:rPr>
      <w:rFonts w:ascii="Tahoma" w:hAnsi="Tahoma" w:cs="Tahoma"/>
      <w:sz w:val="16"/>
      <w:szCs w:val="16"/>
    </w:rPr>
  </w:style>
  <w:style w:type="character" w:styleId="Hyperlink">
    <w:name w:val="Hyperlink"/>
    <w:rsid w:val="0070235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0235D"/>
    <w:pPr>
      <w:spacing w:after="200" w:line="276" w:lineRule="auto"/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100E5C"/>
    <w:rPr>
      <w:rFonts w:ascii="Georgia" w:eastAsia="Calibri" w:hAnsi="Georgia" w:cs="Times New Roman"/>
      <w:b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1737A"/>
    <w:rPr>
      <w:rFonts w:ascii="Georgia" w:eastAsiaTheme="majorEastAsia" w:hAnsi="Georgia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91039"/>
    <w:rPr>
      <w:rFonts w:ascii="Georgia" w:hAnsi="Georgia"/>
      <w:b/>
      <w:bCs/>
      <w:sz w:val="24"/>
      <w:szCs w:val="24"/>
    </w:rPr>
  </w:style>
  <w:style w:type="paragraph" w:customStyle="1" w:styleId="SubjectLine">
    <w:name w:val="Subject Line"/>
    <w:basedOn w:val="Normal"/>
    <w:link w:val="SubjectLineChar"/>
    <w:qFormat/>
    <w:rsid w:val="00F44E10"/>
    <w:pPr>
      <w:tabs>
        <w:tab w:val="left" w:pos="900"/>
      </w:tabs>
      <w:spacing w:before="120" w:line="276" w:lineRule="auto"/>
      <w:ind w:left="1080" w:hanging="1080"/>
      <w:jc w:val="center"/>
    </w:pPr>
    <w:rPr>
      <w:rFonts w:eastAsia="Times New Roman" w:cs="Times New Roman"/>
      <w:b/>
      <w:bCs/>
      <w:noProof/>
      <w:sz w:val="24"/>
      <w:szCs w:val="24"/>
    </w:rPr>
  </w:style>
  <w:style w:type="character" w:customStyle="1" w:styleId="SubjectLineChar">
    <w:name w:val="Subject Line Char"/>
    <w:basedOn w:val="DefaultParagraphFont"/>
    <w:link w:val="SubjectLine"/>
    <w:rsid w:val="00F44E10"/>
    <w:rPr>
      <w:rFonts w:ascii="Georgia" w:eastAsia="Times New Roman" w:hAnsi="Georgia" w:cs="Times New Roman"/>
      <w:b/>
      <w:bCs/>
      <w:noProof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A75CD6"/>
    <w:rPr>
      <w:rFonts w:asciiTheme="majorHAnsi" w:eastAsiaTheme="majorEastAsia" w:hAnsiTheme="majorHAnsi" w:cstheme="majorBidi"/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E3309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3309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33094"/>
    <w:rPr>
      <w:rFonts w:ascii="Georgia" w:hAnsi="Georg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3309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33094"/>
    <w:rPr>
      <w:rFonts w:ascii="Georgia" w:hAnsi="Georgia"/>
      <w:b/>
      <w:bCs/>
      <w:sz w:val="20"/>
      <w:szCs w:val="20"/>
    </w:rPr>
  </w:style>
  <w:style w:type="table" w:styleId="TableGrid">
    <w:name w:val="Table Grid"/>
    <w:basedOn w:val="TableNormal"/>
    <w:uiPriority w:val="59"/>
    <w:rsid w:val="00407E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C80035"/>
    <w:rPr>
      <w:rFonts w:ascii="Georgia" w:hAnsi="Georg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C86C88-07C1-4361-8AD7-2F635A547B2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2026-03-30T18:39:00Z</dcterms:created>
  <dcterms:modified xsi:type="dcterms:W3CDTF">2026-03-30T18:41:00Z</dcterms:modified>
</cp:coreProperties>
</file>