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E3BD3" w14:textId="77777777" w:rsidR="0005675F" w:rsidRPr="00F71887" w:rsidRDefault="0005675F" w:rsidP="00995C34">
      <w:pPr>
        <w:spacing w:after="0" w:line="240" w:lineRule="auto"/>
        <w:rPr>
          <w:sz w:val="24"/>
          <w:szCs w:val="24"/>
        </w:rPr>
      </w:pPr>
      <w:r w:rsidRPr="00F71887">
        <w:rPr>
          <w:b/>
          <w:bCs/>
          <w:sz w:val="24"/>
          <w:szCs w:val="24"/>
        </w:rPr>
        <w:t>Massachusetts Department of Public Health</w:t>
      </w:r>
    </w:p>
    <w:p w14:paraId="4B49B07E" w14:textId="77777777" w:rsidR="0005675F" w:rsidRPr="00F71887" w:rsidRDefault="0005675F" w:rsidP="00995C34">
      <w:pPr>
        <w:spacing w:after="0" w:line="240" w:lineRule="auto"/>
        <w:rPr>
          <w:sz w:val="24"/>
          <w:szCs w:val="24"/>
        </w:rPr>
      </w:pPr>
      <w:r w:rsidRPr="00F71887">
        <w:rPr>
          <w:b/>
          <w:bCs/>
          <w:sz w:val="24"/>
          <w:szCs w:val="24"/>
        </w:rPr>
        <w:t>Bureau of Infectious Disease and Laboratory Sciences</w:t>
      </w:r>
    </w:p>
    <w:p w14:paraId="01E1B910" w14:textId="7ED90A24" w:rsidR="0005675F" w:rsidRPr="00F71887" w:rsidRDefault="0005675F" w:rsidP="00995C34">
      <w:pPr>
        <w:spacing w:after="0" w:line="240" w:lineRule="auto"/>
        <w:rPr>
          <w:sz w:val="24"/>
          <w:szCs w:val="24"/>
        </w:rPr>
      </w:pPr>
      <w:r w:rsidRPr="00F71887">
        <w:rPr>
          <w:b/>
          <w:bCs/>
          <w:sz w:val="24"/>
          <w:szCs w:val="24"/>
        </w:rPr>
        <w:t xml:space="preserve">Massachusetts HIV Epidemiologic Profile: Data as of </w:t>
      </w:r>
      <w:r w:rsidR="00E211D3">
        <w:rPr>
          <w:b/>
          <w:bCs/>
          <w:sz w:val="24"/>
          <w:szCs w:val="24"/>
        </w:rPr>
        <w:t>1/1/2022</w:t>
      </w:r>
    </w:p>
    <w:p w14:paraId="04879B1F" w14:textId="2B192624" w:rsidR="00F71887" w:rsidRPr="00995C34" w:rsidRDefault="0005675F" w:rsidP="00995C34">
      <w:pPr>
        <w:spacing w:after="120" w:line="240" w:lineRule="auto"/>
        <w:rPr>
          <w:sz w:val="24"/>
          <w:szCs w:val="24"/>
        </w:rPr>
      </w:pPr>
      <w:r w:rsidRPr="00F71887">
        <w:rPr>
          <w:b/>
          <w:bCs/>
          <w:sz w:val="24"/>
          <w:szCs w:val="24"/>
        </w:rPr>
        <w:t>Population Report: Adolescents and Young Adults</w:t>
      </w:r>
      <w:r w:rsidR="00F71887" w:rsidRPr="00F71887">
        <w:rPr>
          <w:b/>
          <w:bCs/>
          <w:sz w:val="24"/>
          <w:szCs w:val="24"/>
        </w:rPr>
        <w:t>, Accessible</w:t>
      </w:r>
      <w:r w:rsidR="00995C34">
        <w:rPr>
          <w:sz w:val="24"/>
          <w:szCs w:val="24"/>
        </w:rPr>
        <w:t xml:space="preserve"> </w:t>
      </w:r>
      <w:r w:rsidR="00F71887" w:rsidRPr="00F71887">
        <w:rPr>
          <w:b/>
          <w:bCs/>
          <w:sz w:val="24"/>
          <w:szCs w:val="24"/>
        </w:rPr>
        <w:t xml:space="preserve">MS Word Version, optimized for screen reader </w:t>
      </w:r>
      <w:proofErr w:type="gramStart"/>
      <w:r w:rsidR="00F71887" w:rsidRPr="00F71887">
        <w:rPr>
          <w:b/>
          <w:bCs/>
          <w:sz w:val="24"/>
          <w:szCs w:val="24"/>
        </w:rPr>
        <w:t>use</w:t>
      </w:r>
      <w:proofErr w:type="gramEnd"/>
    </w:p>
    <w:p w14:paraId="4E789F64" w14:textId="3ACFAA78" w:rsidR="00F71887" w:rsidRPr="00F71887" w:rsidRDefault="6A22A716" w:rsidP="00AB3EF8">
      <w:pPr>
        <w:spacing w:after="120" w:line="240" w:lineRule="auto"/>
        <w:rPr>
          <w:i/>
          <w:iCs/>
          <w:sz w:val="24"/>
          <w:szCs w:val="24"/>
        </w:rPr>
      </w:pPr>
      <w:r w:rsidRPr="052B8E56">
        <w:rPr>
          <w:i/>
          <w:iCs/>
          <w:sz w:val="24"/>
          <w:szCs w:val="24"/>
        </w:rPr>
        <w:t xml:space="preserve">Please note that while the content of this report is the same as the </w:t>
      </w:r>
      <w:r w:rsidR="2891308B" w:rsidRPr="052B8E56">
        <w:rPr>
          <w:i/>
          <w:iCs/>
          <w:sz w:val="24"/>
          <w:szCs w:val="24"/>
        </w:rPr>
        <w:t xml:space="preserve">PDF </w:t>
      </w:r>
      <w:r w:rsidRPr="052B8E56">
        <w:rPr>
          <w:i/>
          <w:iCs/>
          <w:sz w:val="24"/>
          <w:szCs w:val="24"/>
        </w:rPr>
        <w:t xml:space="preserve">version, the format and pagination have been modified significantly to optimize use with screen readers to ensure access for blind or visually impaired audiences. </w:t>
      </w:r>
    </w:p>
    <w:p w14:paraId="51647DB9" w14:textId="7F8FE607" w:rsidR="0005675F" w:rsidRPr="00F71887" w:rsidRDefault="0005675F" w:rsidP="00AB3EF8">
      <w:pPr>
        <w:spacing w:after="120" w:line="240" w:lineRule="auto"/>
        <w:rPr>
          <w:sz w:val="24"/>
          <w:szCs w:val="24"/>
        </w:rPr>
      </w:pPr>
      <w:r w:rsidRPr="00F71887">
        <w:rPr>
          <w:b/>
          <w:bCs/>
          <w:sz w:val="24"/>
          <w:szCs w:val="24"/>
        </w:rPr>
        <w:t>Suggested citation:</w:t>
      </w:r>
    </w:p>
    <w:p w14:paraId="17380E55" w14:textId="78556514" w:rsidR="0005675F" w:rsidRPr="00F71887" w:rsidRDefault="0005675F" w:rsidP="00AB3EF8">
      <w:pPr>
        <w:spacing w:after="120" w:line="240" w:lineRule="auto"/>
        <w:rPr>
          <w:sz w:val="24"/>
          <w:szCs w:val="24"/>
        </w:rPr>
      </w:pPr>
      <w:r w:rsidRPr="07B472EE">
        <w:rPr>
          <w:sz w:val="24"/>
          <w:szCs w:val="24"/>
        </w:rPr>
        <w:t xml:space="preserve">Massachusetts Department of Public Health, Bureau of Infectious Disease and Laboratory Sciences. Massachusetts HIV Epidemiologic Profile: Data as of </w:t>
      </w:r>
      <w:r w:rsidR="00E211D3" w:rsidRPr="07B472EE">
        <w:rPr>
          <w:sz w:val="24"/>
          <w:szCs w:val="24"/>
        </w:rPr>
        <w:t>1/1/2022</w:t>
      </w:r>
      <w:r w:rsidRPr="07B472EE">
        <w:rPr>
          <w:sz w:val="24"/>
          <w:szCs w:val="24"/>
        </w:rPr>
        <w:t xml:space="preserve">, Population Report: Adolescents and Young Adults, </w:t>
      </w:r>
      <w:hyperlink r:id="rId11">
        <w:r w:rsidRPr="07B472EE">
          <w:rPr>
            <w:rStyle w:val="Hyperlink"/>
            <w:sz w:val="24"/>
            <w:szCs w:val="24"/>
          </w:rPr>
          <w:t>https://www.mass.gov/lists/hivaids-epidemiologic-profiles</w:t>
        </w:r>
      </w:hyperlink>
      <w:r w:rsidRPr="07B472EE">
        <w:rPr>
          <w:b/>
          <w:bCs/>
          <w:sz w:val="24"/>
          <w:szCs w:val="24"/>
        </w:rPr>
        <w:t xml:space="preserve"> </w:t>
      </w:r>
      <w:r w:rsidRPr="07B472EE">
        <w:rPr>
          <w:sz w:val="24"/>
          <w:szCs w:val="24"/>
        </w:rPr>
        <w:t xml:space="preserve">Published </w:t>
      </w:r>
      <w:r w:rsidR="007D340D" w:rsidRPr="07B472EE">
        <w:rPr>
          <w:sz w:val="24"/>
          <w:szCs w:val="24"/>
        </w:rPr>
        <w:t>April</w:t>
      </w:r>
      <w:r w:rsidRPr="07B472EE">
        <w:rPr>
          <w:sz w:val="24"/>
          <w:szCs w:val="24"/>
        </w:rPr>
        <w:t xml:space="preserve"> 202</w:t>
      </w:r>
      <w:r w:rsidR="00E211D3" w:rsidRPr="07B472EE">
        <w:rPr>
          <w:sz w:val="24"/>
          <w:szCs w:val="24"/>
        </w:rPr>
        <w:t>3</w:t>
      </w:r>
      <w:r w:rsidRPr="07B472EE">
        <w:rPr>
          <w:sz w:val="24"/>
          <w:szCs w:val="24"/>
        </w:rPr>
        <w:t>. Accessed [date].</w:t>
      </w:r>
    </w:p>
    <w:p w14:paraId="5C8A8A79" w14:textId="77777777" w:rsidR="0005675F" w:rsidRPr="00F71887" w:rsidRDefault="0005675F" w:rsidP="00AB3EF8">
      <w:pPr>
        <w:spacing w:after="120" w:line="240" w:lineRule="auto"/>
        <w:rPr>
          <w:sz w:val="24"/>
          <w:szCs w:val="24"/>
        </w:rPr>
      </w:pPr>
      <w:r w:rsidRPr="00F71887">
        <w:rPr>
          <w:b/>
          <w:bCs/>
          <w:sz w:val="24"/>
          <w:szCs w:val="24"/>
        </w:rPr>
        <w:t>Bureau of Infectious Disease and Laboratory Sciences</w:t>
      </w:r>
      <w:r w:rsidRPr="00F71887">
        <w:rPr>
          <w:sz w:val="24"/>
          <w:szCs w:val="24"/>
        </w:rPr>
        <w:br/>
      </w:r>
      <w:r w:rsidRPr="00F71887">
        <w:rPr>
          <w:b/>
          <w:bCs/>
          <w:sz w:val="24"/>
          <w:szCs w:val="24"/>
        </w:rPr>
        <w:t>Massachusetts Department of Public Health</w:t>
      </w:r>
    </w:p>
    <w:p w14:paraId="49EF3B9E" w14:textId="77777777" w:rsidR="0005675F" w:rsidRPr="00F71887" w:rsidRDefault="0005675F" w:rsidP="00AB3EF8">
      <w:pPr>
        <w:spacing w:after="120" w:line="240" w:lineRule="auto"/>
        <w:rPr>
          <w:sz w:val="24"/>
          <w:szCs w:val="24"/>
        </w:rPr>
      </w:pPr>
      <w:r w:rsidRPr="00F71887">
        <w:rPr>
          <w:b/>
          <w:bCs/>
          <w:sz w:val="24"/>
          <w:szCs w:val="24"/>
        </w:rPr>
        <w:t>Jamaica Plain Campus/State Public Health Laboratory</w:t>
      </w:r>
    </w:p>
    <w:p w14:paraId="79CEF94E" w14:textId="77777777" w:rsidR="0005675F" w:rsidRPr="00F71887" w:rsidRDefault="0005675F" w:rsidP="00AB3EF8">
      <w:pPr>
        <w:spacing w:after="120" w:line="240" w:lineRule="auto"/>
        <w:rPr>
          <w:sz w:val="24"/>
          <w:szCs w:val="24"/>
        </w:rPr>
      </w:pPr>
      <w:r w:rsidRPr="00F71887">
        <w:rPr>
          <w:sz w:val="24"/>
          <w:szCs w:val="24"/>
        </w:rPr>
        <w:t>305 South Street</w:t>
      </w:r>
      <w:r w:rsidRPr="00F71887">
        <w:rPr>
          <w:sz w:val="24"/>
          <w:szCs w:val="24"/>
        </w:rPr>
        <w:br/>
        <w:t>Jamaica Plain, MA 02130</w:t>
      </w:r>
    </w:p>
    <w:p w14:paraId="143F2E88" w14:textId="77777777" w:rsidR="0005675F" w:rsidRPr="00F71887" w:rsidRDefault="0005675F" w:rsidP="00AB3EF8">
      <w:pPr>
        <w:spacing w:after="120" w:line="240" w:lineRule="auto"/>
        <w:rPr>
          <w:sz w:val="24"/>
          <w:szCs w:val="24"/>
        </w:rPr>
      </w:pPr>
      <w:r w:rsidRPr="00F71887">
        <w:rPr>
          <w:b/>
          <w:bCs/>
          <w:sz w:val="24"/>
          <w:szCs w:val="24"/>
        </w:rPr>
        <w:t>Questions about this report</w:t>
      </w:r>
    </w:p>
    <w:p w14:paraId="56E8E15C" w14:textId="77777777" w:rsidR="0005675F" w:rsidRPr="00F71887" w:rsidRDefault="0005675F" w:rsidP="00AB3EF8">
      <w:pPr>
        <w:spacing w:after="120" w:line="240" w:lineRule="auto"/>
        <w:rPr>
          <w:sz w:val="24"/>
          <w:szCs w:val="24"/>
        </w:rPr>
      </w:pPr>
      <w:r w:rsidRPr="00F71887">
        <w:rPr>
          <w:sz w:val="24"/>
          <w:szCs w:val="24"/>
        </w:rPr>
        <w:t>Tel: (617) 983-6560</w:t>
      </w:r>
    </w:p>
    <w:p w14:paraId="3F1A6AFA" w14:textId="0034D564" w:rsidR="0005675F" w:rsidRPr="00F71887" w:rsidRDefault="0005675F" w:rsidP="00AB3EF8">
      <w:pPr>
        <w:spacing w:after="120" w:line="240" w:lineRule="auto"/>
        <w:rPr>
          <w:sz w:val="24"/>
          <w:szCs w:val="24"/>
        </w:rPr>
      </w:pPr>
      <w:r w:rsidRPr="00F71887">
        <w:rPr>
          <w:b/>
          <w:bCs/>
          <w:sz w:val="24"/>
          <w:szCs w:val="24"/>
        </w:rPr>
        <w:t>To reach the Reporting and Partner Services Line</w:t>
      </w:r>
      <w:r w:rsidR="00E211D3">
        <w:rPr>
          <w:rStyle w:val="FootnoteReference"/>
          <w:b/>
          <w:bCs/>
          <w:sz w:val="24"/>
          <w:szCs w:val="24"/>
        </w:rPr>
        <w:footnoteReference w:id="1"/>
      </w:r>
    </w:p>
    <w:p w14:paraId="7386C984" w14:textId="77777777" w:rsidR="0005675F" w:rsidRPr="00F71887" w:rsidRDefault="0005675F" w:rsidP="00AB3EF8">
      <w:pPr>
        <w:spacing w:after="120" w:line="240" w:lineRule="auto"/>
        <w:rPr>
          <w:sz w:val="24"/>
          <w:szCs w:val="24"/>
        </w:rPr>
      </w:pPr>
      <w:r w:rsidRPr="00F71887">
        <w:rPr>
          <w:sz w:val="24"/>
          <w:szCs w:val="24"/>
        </w:rPr>
        <w:t>Tel: (617) 983-6999</w:t>
      </w:r>
    </w:p>
    <w:p w14:paraId="14EDBED9" w14:textId="77777777" w:rsidR="0005675F" w:rsidRPr="00F71887" w:rsidRDefault="0005675F" w:rsidP="00AB3EF8">
      <w:pPr>
        <w:spacing w:after="120" w:line="240" w:lineRule="auto"/>
        <w:rPr>
          <w:sz w:val="24"/>
          <w:szCs w:val="24"/>
        </w:rPr>
      </w:pPr>
      <w:r w:rsidRPr="00F71887">
        <w:rPr>
          <w:b/>
          <w:bCs/>
          <w:sz w:val="24"/>
          <w:szCs w:val="24"/>
        </w:rPr>
        <w:t xml:space="preserve">To speak to the on-call epidemiologist </w:t>
      </w:r>
    </w:p>
    <w:p w14:paraId="7FBF41E7" w14:textId="77777777" w:rsidR="0005675F" w:rsidRPr="00F71887" w:rsidRDefault="0005675F" w:rsidP="00AB3EF8">
      <w:pPr>
        <w:spacing w:after="120" w:line="240" w:lineRule="auto"/>
        <w:rPr>
          <w:sz w:val="24"/>
          <w:szCs w:val="24"/>
        </w:rPr>
      </w:pPr>
      <w:r w:rsidRPr="00F71887">
        <w:rPr>
          <w:sz w:val="24"/>
          <w:szCs w:val="24"/>
        </w:rPr>
        <w:t>Tel: (617) 983-6800</w:t>
      </w:r>
    </w:p>
    <w:p w14:paraId="67502829" w14:textId="77777777" w:rsidR="0005675F" w:rsidRPr="00F71887" w:rsidRDefault="0005675F" w:rsidP="00AB3EF8">
      <w:pPr>
        <w:spacing w:after="120" w:line="240" w:lineRule="auto"/>
        <w:rPr>
          <w:sz w:val="24"/>
          <w:szCs w:val="24"/>
        </w:rPr>
      </w:pPr>
      <w:r w:rsidRPr="00F71887">
        <w:rPr>
          <w:b/>
          <w:bCs/>
          <w:sz w:val="24"/>
          <w:szCs w:val="24"/>
        </w:rPr>
        <w:t>Questions about infectious disease reporting</w:t>
      </w:r>
    </w:p>
    <w:p w14:paraId="0921A6CE" w14:textId="77777777" w:rsidR="0005675F" w:rsidRPr="00F71887" w:rsidRDefault="0005675F" w:rsidP="00AB3EF8">
      <w:pPr>
        <w:spacing w:after="120" w:line="240" w:lineRule="auto"/>
        <w:rPr>
          <w:sz w:val="24"/>
          <w:szCs w:val="24"/>
        </w:rPr>
      </w:pPr>
      <w:r w:rsidRPr="00F71887">
        <w:rPr>
          <w:sz w:val="24"/>
          <w:szCs w:val="24"/>
        </w:rPr>
        <w:t>Tel: (617) 983-6801</w:t>
      </w:r>
    </w:p>
    <w:p w14:paraId="6B08F49D" w14:textId="77777777" w:rsidR="0005675F" w:rsidRPr="00F71887" w:rsidRDefault="0005675F" w:rsidP="00AB3EF8">
      <w:pPr>
        <w:spacing w:after="120" w:line="240" w:lineRule="auto"/>
        <w:rPr>
          <w:sz w:val="24"/>
          <w:szCs w:val="24"/>
        </w:rPr>
      </w:pPr>
      <w:r w:rsidRPr="00F71887">
        <w:rPr>
          <w:b/>
          <w:bCs/>
          <w:sz w:val="24"/>
          <w:szCs w:val="24"/>
        </w:rPr>
        <w:t>Requests for additional data</w:t>
      </w:r>
    </w:p>
    <w:p w14:paraId="519D2BB0" w14:textId="77777777" w:rsidR="0005675F" w:rsidRPr="00F71887" w:rsidRDefault="00000000" w:rsidP="00AB3EF8">
      <w:pPr>
        <w:spacing w:after="120" w:line="240" w:lineRule="auto"/>
        <w:rPr>
          <w:sz w:val="24"/>
          <w:szCs w:val="24"/>
        </w:rPr>
      </w:pPr>
      <w:hyperlink r:id="rId12" w:history="1">
        <w:r w:rsidR="0005675F" w:rsidRPr="00F71887">
          <w:rPr>
            <w:rStyle w:val="Hyperlink"/>
            <w:sz w:val="24"/>
            <w:szCs w:val="24"/>
          </w:rPr>
          <w:t>https://www.mass.gov/lists/infectious-disease-data-reports-and-requests</w:t>
        </w:r>
      </w:hyperlink>
      <w:r w:rsidR="0005675F" w:rsidRPr="00F71887">
        <w:rPr>
          <w:sz w:val="24"/>
          <w:szCs w:val="24"/>
        </w:rPr>
        <w:t xml:space="preserve"> </w:t>
      </w:r>
    </w:p>
    <w:p w14:paraId="15A1D422" w14:textId="5DEECF9C" w:rsidR="0005675F" w:rsidRPr="00F71887" w:rsidRDefault="400213B1" w:rsidP="00AB3EF8">
      <w:pPr>
        <w:spacing w:after="120" w:line="240" w:lineRule="auto"/>
        <w:rPr>
          <w:sz w:val="24"/>
          <w:szCs w:val="24"/>
        </w:rPr>
      </w:pPr>
      <w:r w:rsidRPr="052B8E56">
        <w:rPr>
          <w:b/>
          <w:bCs/>
          <w:sz w:val="24"/>
          <w:szCs w:val="24"/>
        </w:rPr>
        <w:t>Slide sets for HIV Epidemiologic Profile Reports</w:t>
      </w:r>
    </w:p>
    <w:p w14:paraId="7D8B1292" w14:textId="5B0FB162" w:rsidR="00176B1E" w:rsidRPr="00F71887" w:rsidRDefault="00000000" w:rsidP="00AB3EF8">
      <w:pPr>
        <w:spacing w:after="120" w:line="240" w:lineRule="auto"/>
        <w:rPr>
          <w:rStyle w:val="Hyperlink"/>
          <w:sz w:val="24"/>
          <w:szCs w:val="24"/>
        </w:rPr>
      </w:pPr>
      <w:hyperlink r:id="rId13">
        <w:r w:rsidR="0005675F" w:rsidRPr="750A2E2F">
          <w:rPr>
            <w:rStyle w:val="Hyperlink"/>
            <w:sz w:val="24"/>
            <w:szCs w:val="24"/>
          </w:rPr>
          <w:t>https://www.mass.gov/lists/hivaids-epidemiologic-profiles</w:t>
        </w:r>
      </w:hyperlink>
      <w:r w:rsidRPr="750A2E2F">
        <w:rPr>
          <w:rStyle w:val="Hyperlink"/>
          <w:sz w:val="24"/>
          <w:szCs w:val="24"/>
        </w:rPr>
        <w:br w:type="page"/>
      </w:r>
    </w:p>
    <w:p w14:paraId="29D0169B" w14:textId="18416F25" w:rsidR="1A4488C8" w:rsidRDefault="1A4488C8" w:rsidP="750A2E2F">
      <w:pPr>
        <w:spacing w:line="240" w:lineRule="auto"/>
        <w:rPr>
          <w:sz w:val="24"/>
          <w:szCs w:val="24"/>
        </w:rPr>
      </w:pPr>
      <w:r w:rsidRPr="00C7586D">
        <w:rPr>
          <w:b/>
          <w:bCs/>
          <w:sz w:val="24"/>
          <w:szCs w:val="24"/>
        </w:rPr>
        <w:lastRenderedPageBreak/>
        <w:t>ADOLESCENTS AND YOUNG ADULTS AT A GLANCE</w:t>
      </w:r>
    </w:p>
    <w:p w14:paraId="52191141" w14:textId="5A1A7A40" w:rsidR="00AE583C" w:rsidRPr="00F71887" w:rsidRDefault="00AE583C" w:rsidP="00F41CFD">
      <w:pPr>
        <w:spacing w:line="240" w:lineRule="auto"/>
        <w:rPr>
          <w:sz w:val="24"/>
          <w:szCs w:val="24"/>
        </w:rPr>
      </w:pPr>
      <w:r w:rsidRPr="00F71887">
        <w:rPr>
          <w:sz w:val="24"/>
          <w:szCs w:val="24"/>
        </w:rPr>
        <w:t>N =</w:t>
      </w:r>
      <w:r w:rsidRPr="1EC2BCC2">
        <w:rPr>
          <w:rFonts w:ascii="Arial Narrow" w:eastAsiaTheme="minorEastAsia" w:hAnsi="Arial Narrow"/>
          <w:b/>
          <w:bCs/>
          <w:color w:val="FFFFFF" w:themeColor="light1"/>
          <w:kern w:val="24"/>
          <w:sz w:val="24"/>
          <w:szCs w:val="24"/>
        </w:rPr>
        <w:t xml:space="preserve"> </w:t>
      </w:r>
      <w:r w:rsidR="00451CD5">
        <w:rPr>
          <w:sz w:val="24"/>
          <w:szCs w:val="24"/>
        </w:rPr>
        <w:t>199</w:t>
      </w:r>
      <w:r w:rsidRPr="00F71887">
        <w:rPr>
          <w:sz w:val="24"/>
          <w:szCs w:val="24"/>
        </w:rPr>
        <w:t>, 1</w:t>
      </w:r>
      <w:r w:rsidR="00451CD5">
        <w:rPr>
          <w:sz w:val="24"/>
          <w:szCs w:val="24"/>
        </w:rPr>
        <w:t>2</w:t>
      </w:r>
      <w:r w:rsidRPr="00F71887">
        <w:rPr>
          <w:sz w:val="24"/>
          <w:szCs w:val="24"/>
        </w:rPr>
        <w:t xml:space="preserve">% of </w:t>
      </w:r>
      <w:r w:rsidR="00451CD5">
        <w:rPr>
          <w:sz w:val="24"/>
          <w:szCs w:val="24"/>
        </w:rPr>
        <w:t xml:space="preserve">1,635 </w:t>
      </w:r>
      <w:r w:rsidRPr="00F71887">
        <w:rPr>
          <w:sz w:val="24"/>
          <w:szCs w:val="24"/>
        </w:rPr>
        <w:t xml:space="preserve">new HIV diagnoses from </w:t>
      </w:r>
      <w:r w:rsidR="00E211D3">
        <w:rPr>
          <w:sz w:val="24"/>
          <w:szCs w:val="24"/>
        </w:rPr>
        <w:t>2018–2020</w:t>
      </w:r>
      <w:r w:rsidR="00451CD5" w:rsidRPr="00451CD5">
        <w:rPr>
          <w:rStyle w:val="FootnoteReference"/>
          <w:sz w:val="24"/>
          <w:szCs w:val="24"/>
        </w:rPr>
        <w:footnoteReference w:id="2"/>
      </w:r>
      <w:r w:rsidRPr="00451CD5">
        <w:rPr>
          <w:sz w:val="24"/>
          <w:szCs w:val="24"/>
        </w:rPr>
        <w:t xml:space="preserve"> </w:t>
      </w:r>
      <w:r w:rsidR="7EBE66F7" w:rsidRPr="750A2E2F">
        <w:rPr>
          <w:sz w:val="24"/>
          <w:szCs w:val="24"/>
        </w:rPr>
        <w:t xml:space="preserve">were </w:t>
      </w:r>
      <w:r w:rsidRPr="00F71887">
        <w:rPr>
          <w:sz w:val="24"/>
          <w:szCs w:val="24"/>
        </w:rPr>
        <w:t>among adolescents and young adults</w:t>
      </w:r>
      <w:r w:rsidR="712D481F" w:rsidRPr="00F71887">
        <w:rPr>
          <w:sz w:val="24"/>
          <w:szCs w:val="24"/>
        </w:rPr>
        <w:t xml:space="preserve"> (aged 13 to 24 years)</w:t>
      </w:r>
    </w:p>
    <w:p w14:paraId="26B7C73A" w14:textId="58CE8589" w:rsidR="00AE583C" w:rsidRPr="00F71887" w:rsidRDefault="1EBB3014" w:rsidP="00F41CFD">
      <w:pPr>
        <w:spacing w:line="240" w:lineRule="auto"/>
        <w:rPr>
          <w:sz w:val="24"/>
          <w:szCs w:val="24"/>
        </w:rPr>
      </w:pPr>
      <w:r w:rsidRPr="7D95A935">
        <w:rPr>
          <w:sz w:val="24"/>
          <w:szCs w:val="24"/>
        </w:rPr>
        <w:t>N =</w:t>
      </w:r>
      <w:r w:rsidR="435D7CA6" w:rsidRPr="7D95A935">
        <w:rPr>
          <w:sz w:val="24"/>
          <w:szCs w:val="24"/>
        </w:rPr>
        <w:t>347</w:t>
      </w:r>
      <w:r w:rsidRPr="7D95A935">
        <w:rPr>
          <w:sz w:val="24"/>
          <w:szCs w:val="24"/>
        </w:rPr>
        <w:t xml:space="preserve">, </w:t>
      </w:r>
      <w:r w:rsidR="055B59F1" w:rsidRPr="7D95A935">
        <w:rPr>
          <w:sz w:val="24"/>
          <w:szCs w:val="24"/>
        </w:rPr>
        <w:t>1</w:t>
      </w:r>
      <w:r w:rsidRPr="7D95A935">
        <w:rPr>
          <w:sz w:val="24"/>
          <w:szCs w:val="24"/>
        </w:rPr>
        <w:t xml:space="preserve">% of </w:t>
      </w:r>
      <w:r w:rsidR="435D7CA6" w:rsidRPr="7D95A935">
        <w:rPr>
          <w:sz w:val="24"/>
          <w:szCs w:val="24"/>
        </w:rPr>
        <w:t xml:space="preserve">23,368 </w:t>
      </w:r>
      <w:r w:rsidRPr="7D95A935">
        <w:rPr>
          <w:sz w:val="24"/>
          <w:szCs w:val="24"/>
        </w:rPr>
        <w:t xml:space="preserve">persons living with HIV infection in MA as of </w:t>
      </w:r>
      <w:r w:rsidR="0BF63D61" w:rsidRPr="7D95A935">
        <w:rPr>
          <w:sz w:val="24"/>
          <w:szCs w:val="24"/>
        </w:rPr>
        <w:t>12/31/2020</w:t>
      </w:r>
      <w:r w:rsidRPr="7D95A935">
        <w:rPr>
          <w:sz w:val="24"/>
          <w:szCs w:val="24"/>
        </w:rPr>
        <w:t xml:space="preserve"> were adolescents and young adults</w:t>
      </w:r>
      <w:r w:rsidR="6B404DD6" w:rsidRPr="7D95A935">
        <w:rPr>
          <w:sz w:val="24"/>
          <w:szCs w:val="24"/>
        </w:rPr>
        <w:t xml:space="preserve"> (aged 13 t</w:t>
      </w:r>
      <w:r w:rsidR="1F9299A8" w:rsidRPr="7D95A935">
        <w:rPr>
          <w:sz w:val="24"/>
          <w:szCs w:val="24"/>
        </w:rPr>
        <w:t>o</w:t>
      </w:r>
      <w:r w:rsidR="6B404DD6" w:rsidRPr="7D95A935">
        <w:rPr>
          <w:sz w:val="24"/>
          <w:szCs w:val="24"/>
        </w:rPr>
        <w:t xml:space="preserve"> 24 years)</w:t>
      </w:r>
    </w:p>
    <w:p w14:paraId="3BA91D0F" w14:textId="1B5B5BB9" w:rsidR="00AE583C" w:rsidRPr="00F71887" w:rsidRDefault="00E211D3" w:rsidP="00F41CFD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KEY FINDING</w:t>
      </w:r>
      <w:r w:rsidR="00AE583C" w:rsidRPr="00F71887">
        <w:rPr>
          <w:b/>
          <w:bCs/>
          <w:sz w:val="24"/>
          <w:szCs w:val="24"/>
        </w:rPr>
        <w:t xml:space="preserve">: </w:t>
      </w:r>
      <w:r w:rsidR="00451CD5" w:rsidRPr="00451CD5">
        <w:rPr>
          <w:sz w:val="24"/>
          <w:szCs w:val="24"/>
        </w:rPr>
        <w:t>Nationally, from 2018 to 2020, 26% of HIV infections were diagnosed among adolescents and young adults (aged 13 to 24 years),</w:t>
      </w:r>
      <w:r w:rsidR="00451CD5">
        <w:rPr>
          <w:rStyle w:val="FootnoteReference"/>
          <w:sz w:val="24"/>
          <w:szCs w:val="24"/>
        </w:rPr>
        <w:footnoteReference w:id="3"/>
      </w:r>
      <w:r w:rsidR="00451CD5" w:rsidRPr="00451CD5">
        <w:rPr>
          <w:sz w:val="24"/>
          <w:szCs w:val="24"/>
        </w:rPr>
        <w:t xml:space="preserve"> compared to 12% in Massachusetts.</w:t>
      </w:r>
    </w:p>
    <w:p w14:paraId="4E48C0D2" w14:textId="5A5201B4" w:rsidR="00AE583C" w:rsidRPr="00F71887" w:rsidRDefault="1EBB3014" w:rsidP="00F41CFD">
      <w:pPr>
        <w:spacing w:line="240" w:lineRule="auto"/>
        <w:rPr>
          <w:sz w:val="24"/>
          <w:szCs w:val="24"/>
        </w:rPr>
      </w:pPr>
      <w:r w:rsidRPr="052B8E56">
        <w:rPr>
          <w:b/>
          <w:bCs/>
          <w:sz w:val="24"/>
          <w:szCs w:val="24"/>
        </w:rPr>
        <w:t>FIGURE 1</w:t>
      </w:r>
      <w:r w:rsidRPr="052B8E56">
        <w:rPr>
          <w:sz w:val="24"/>
          <w:szCs w:val="24"/>
        </w:rPr>
        <w:t>. Individuals diagnosed with HIV infection at age 13–19 years vs. 20–24 years by sex assigned at birth, race/ethnicity, and exposure mode</w:t>
      </w:r>
      <w:r w:rsidR="17632CF8" w:rsidRPr="052B8E56">
        <w:rPr>
          <w:sz w:val="24"/>
          <w:szCs w:val="24"/>
        </w:rPr>
        <w:t>,</w:t>
      </w:r>
      <w:r w:rsidRPr="052B8E56">
        <w:rPr>
          <w:sz w:val="24"/>
          <w:szCs w:val="24"/>
        </w:rPr>
        <w:t xml:space="preserve"> Massachusetts </w:t>
      </w:r>
      <w:r w:rsidR="0BF63D61" w:rsidRPr="052B8E56">
        <w:rPr>
          <w:sz w:val="24"/>
          <w:szCs w:val="24"/>
        </w:rPr>
        <w:t>2018–2020</w:t>
      </w:r>
    </w:p>
    <w:p w14:paraId="19C6D067" w14:textId="17182AD6" w:rsidR="00AE583C" w:rsidRPr="00F71887" w:rsidRDefault="0B7C9DA3" w:rsidP="50D7C1AF">
      <w:pPr>
        <w:spacing w:line="240" w:lineRule="auto"/>
      </w:pPr>
      <w:r>
        <w:rPr>
          <w:noProof/>
        </w:rPr>
        <w:drawing>
          <wp:inline distT="0" distB="0" distL="0" distR="0" wp14:anchorId="7FCA50AD" wp14:editId="382F0A28">
            <wp:extent cx="5791200" cy="1821815"/>
            <wp:effectExtent l="0" t="0" r="0" b="0"/>
            <wp:docPr id="1140125563" name="Picture 1140125563" descr="FIGURE 1. Individuals diagnosed with HIV infection at age 13–19 years vs. 20–24 years by sex assigned at birth, race/ethnicity, and exposure mode: Massachusetts, 2018–2020&#10;The figure is a bar chart displaying the percentage distribution of individuals diagnosed at age 13-19 years (N=29) verses age 20-24 years (N=170) by sex assigned at birth (male, female), race/ethnicity (white (non-Hispanic), black (non-Hispanic), Hispanic/Latino, Other/Unknown), and primary exposure mode (male-to-male sex, injection drug use, male-to-male sex/injection drug use, heterosexual sex, presumed heterosexual sex, and no identified risk)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125563" name="Picture 1140125563" descr="FIGURE 1. Individuals diagnosed with HIV infection at age 13–19 years vs. 20–24 years by sex assigned at birth, race/ethnicity, and exposure mode: Massachusetts, 2018–2020&#10;The figure is a bar chart displaying the percentage distribution of individuals diagnosed at age 13-19 years (N=29) verses age 20-24 years (N=170) by sex assigned at birth (male, female), race/ethnicity (white (non-Hispanic), black (non-Hispanic), Hispanic/Latino, Other/Unknown), and primary exposure mode (male-to-male sex, injection drug use, male-to-male sex/injection drug use, heterosexual sex, presumed heterosexual sex, and no identified risk).&#10;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182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E623C" w14:textId="66FBF27D" w:rsidR="00AE583C" w:rsidRPr="00BE6699" w:rsidRDefault="1EBB3014" w:rsidP="00F41CFD">
      <w:pPr>
        <w:spacing w:line="240" w:lineRule="auto"/>
        <w:rPr>
          <w:sz w:val="20"/>
          <w:szCs w:val="20"/>
        </w:rPr>
      </w:pPr>
      <w:r w:rsidRPr="00BE6699">
        <w:rPr>
          <w:sz w:val="20"/>
          <w:szCs w:val="20"/>
        </w:rPr>
        <w:t xml:space="preserve">* Values less than five are suppressed for populations less than 50,000 or for populations of unknown size. </w:t>
      </w:r>
      <w:bookmarkStart w:id="0" w:name="_Hlk127808869"/>
      <w:r w:rsidR="008322E7" w:rsidRPr="008322E7">
        <w:rPr>
          <w:sz w:val="20"/>
          <w:szCs w:val="20"/>
        </w:rPr>
        <w:t xml:space="preserve">MSM=male-to-male sex; IDU=injection drug use; HTSX=heterosexual sex; Pres. HTSX=presumed heterosexual exposure, </w:t>
      </w:r>
      <w:r w:rsidR="00992F58">
        <w:rPr>
          <w:sz w:val="20"/>
          <w:szCs w:val="20"/>
        </w:rPr>
        <w:t>i</w:t>
      </w:r>
      <w:r w:rsidR="00992F58" w:rsidRPr="00992F58">
        <w:rPr>
          <w:sz w:val="20"/>
          <w:szCs w:val="20"/>
        </w:rPr>
        <w:t xml:space="preserve">ncludes </w:t>
      </w:r>
      <w:r w:rsidR="00992F58">
        <w:rPr>
          <w:sz w:val="20"/>
          <w:szCs w:val="20"/>
        </w:rPr>
        <w:t>individuals assigned female at birth</w:t>
      </w:r>
      <w:r w:rsidR="00992F58" w:rsidRPr="00992F58">
        <w:rPr>
          <w:sz w:val="20"/>
          <w:szCs w:val="20"/>
        </w:rPr>
        <w:t xml:space="preserve"> with a negative history of injection drug use who report having sex with a</w:t>
      </w:r>
      <w:r w:rsidR="00992F58">
        <w:rPr>
          <w:sz w:val="20"/>
          <w:szCs w:val="20"/>
        </w:rPr>
        <w:t xml:space="preserve">n individual that identifies as male </w:t>
      </w:r>
      <w:r w:rsidR="00992F58" w:rsidRPr="00992F58">
        <w:rPr>
          <w:sz w:val="20"/>
          <w:szCs w:val="20"/>
        </w:rPr>
        <w:t xml:space="preserve">of unknown HIV status </w:t>
      </w:r>
      <w:r w:rsidR="00992F58">
        <w:rPr>
          <w:sz w:val="20"/>
          <w:szCs w:val="20"/>
        </w:rPr>
        <w:t>and</w:t>
      </w:r>
      <w:r w:rsidR="00992F58" w:rsidRPr="00992F58">
        <w:rPr>
          <w:sz w:val="20"/>
          <w:szCs w:val="20"/>
        </w:rPr>
        <w:t xml:space="preserve"> risk</w:t>
      </w:r>
      <w:r w:rsidR="008322E7" w:rsidRPr="008322E7">
        <w:rPr>
          <w:sz w:val="20"/>
          <w:szCs w:val="20"/>
        </w:rPr>
        <w:t>; NIR=no identified risk</w:t>
      </w:r>
      <w:bookmarkEnd w:id="0"/>
    </w:p>
    <w:p w14:paraId="4F9EF481" w14:textId="3D407B17" w:rsidR="00451CD5" w:rsidRPr="00451CD5" w:rsidRDefault="00451CD5" w:rsidP="00451CD5">
      <w:pPr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592CBFF7">
        <w:rPr>
          <w:sz w:val="24"/>
          <w:szCs w:val="24"/>
        </w:rPr>
        <w:t>Among adolescents and young adults (aged 13–24 years) recently diagnosed with HIV infection (2018–2020), 85% (N=170) were 20 to 24 years of age and 15% (N=29) were 13 to 19 years of age</w:t>
      </w:r>
      <w:r w:rsidR="00BE6699">
        <w:rPr>
          <w:sz w:val="24"/>
          <w:szCs w:val="24"/>
        </w:rPr>
        <w:t xml:space="preserve">. Additionally, 4% (N=8) were </w:t>
      </w:r>
      <w:r w:rsidR="0067549A">
        <w:rPr>
          <w:sz w:val="24"/>
          <w:szCs w:val="24"/>
        </w:rPr>
        <w:t>considered minors (</w:t>
      </w:r>
      <w:r w:rsidR="00BE6699">
        <w:rPr>
          <w:sz w:val="24"/>
          <w:szCs w:val="24"/>
        </w:rPr>
        <w:t>under 18 years of age</w:t>
      </w:r>
      <w:r w:rsidR="0067549A">
        <w:rPr>
          <w:sz w:val="24"/>
          <w:szCs w:val="24"/>
        </w:rPr>
        <w:t>)</w:t>
      </w:r>
      <w:r w:rsidR="00BE6699">
        <w:rPr>
          <w:sz w:val="24"/>
          <w:szCs w:val="24"/>
        </w:rPr>
        <w:t xml:space="preserve"> and 96% </w:t>
      </w:r>
      <w:r w:rsidR="003D477A">
        <w:rPr>
          <w:sz w:val="24"/>
          <w:szCs w:val="24"/>
        </w:rPr>
        <w:t xml:space="preserve">(N=191) </w:t>
      </w:r>
      <w:r w:rsidR="00BE6699">
        <w:rPr>
          <w:sz w:val="24"/>
          <w:szCs w:val="24"/>
        </w:rPr>
        <w:t>were</w:t>
      </w:r>
      <w:r w:rsidR="003D477A">
        <w:rPr>
          <w:sz w:val="24"/>
          <w:szCs w:val="24"/>
        </w:rPr>
        <w:t xml:space="preserve"> 18 years of age</w:t>
      </w:r>
      <w:r w:rsidR="00F60691">
        <w:rPr>
          <w:sz w:val="24"/>
          <w:szCs w:val="24"/>
        </w:rPr>
        <w:t xml:space="preserve"> or older</w:t>
      </w:r>
      <w:r w:rsidR="003D477A">
        <w:rPr>
          <w:sz w:val="24"/>
          <w:szCs w:val="24"/>
        </w:rPr>
        <w:t>.</w:t>
      </w:r>
    </w:p>
    <w:p w14:paraId="2016CE82" w14:textId="77777777" w:rsidR="00451CD5" w:rsidRPr="00451CD5" w:rsidRDefault="00451CD5" w:rsidP="00451CD5">
      <w:pPr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451CD5">
        <w:rPr>
          <w:sz w:val="24"/>
          <w:szCs w:val="24"/>
        </w:rPr>
        <w:t xml:space="preserve">A larger proportion of youth diagnosed with HIV infection at age 13–19 years than at age 20–24 years was assigned male at birth (90% vs. 84%), and a smaller proportion was assigned female at birth (10% vs. 16%). </w:t>
      </w:r>
    </w:p>
    <w:p w14:paraId="25FD1C4E" w14:textId="77777777" w:rsidR="00451CD5" w:rsidRPr="00451CD5" w:rsidRDefault="00451CD5" w:rsidP="00451CD5">
      <w:pPr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451CD5">
        <w:rPr>
          <w:sz w:val="24"/>
          <w:szCs w:val="24"/>
        </w:rPr>
        <w:t xml:space="preserve">The distribution by race/ethnicity was similar for youth recently diagnosed with HIV infection at age 13–19 years and those diagnosed at age 20–24 years. </w:t>
      </w:r>
    </w:p>
    <w:p w14:paraId="0FD1B986" w14:textId="252CC8A5" w:rsidR="008B030B" w:rsidRPr="00451CD5" w:rsidRDefault="00451CD5" w:rsidP="00F41CFD">
      <w:pPr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451CD5">
        <w:rPr>
          <w:sz w:val="24"/>
          <w:szCs w:val="24"/>
        </w:rPr>
        <w:t xml:space="preserve">The proportion of youth recently diagnosed with HIV infection at age 13–19 years with no identified risk for HIV exposure mode (24%) was greater than that among youth diagnosed at age 20–24 years (18%). </w:t>
      </w:r>
      <w:r w:rsidR="008B030B" w:rsidRPr="00451CD5">
        <w:rPr>
          <w:b/>
          <w:bCs/>
          <w:sz w:val="24"/>
          <w:szCs w:val="24"/>
        </w:rPr>
        <w:br w:type="page"/>
      </w:r>
    </w:p>
    <w:p w14:paraId="7BA28D70" w14:textId="12EC56FC" w:rsidR="000270C2" w:rsidRPr="00F71887" w:rsidRDefault="000270C2" w:rsidP="00F41CFD">
      <w:pPr>
        <w:spacing w:line="240" w:lineRule="auto"/>
        <w:rPr>
          <w:sz w:val="24"/>
          <w:szCs w:val="24"/>
        </w:rPr>
      </w:pPr>
      <w:r w:rsidRPr="00F71887">
        <w:rPr>
          <w:b/>
          <w:bCs/>
          <w:sz w:val="24"/>
          <w:szCs w:val="24"/>
        </w:rPr>
        <w:lastRenderedPageBreak/>
        <w:t>SEX ASSIGNED AT BIRTH</w:t>
      </w:r>
    </w:p>
    <w:p w14:paraId="44860E89" w14:textId="21B2BDDF" w:rsidR="00B954CA" w:rsidRPr="00F71887" w:rsidRDefault="4B4DB862" w:rsidP="00F41CFD">
      <w:pPr>
        <w:spacing w:line="240" w:lineRule="auto"/>
        <w:rPr>
          <w:sz w:val="24"/>
          <w:szCs w:val="24"/>
        </w:rPr>
      </w:pPr>
      <w:r w:rsidRPr="00F71887">
        <w:rPr>
          <w:b/>
          <w:bCs/>
          <w:sz w:val="24"/>
          <w:szCs w:val="24"/>
        </w:rPr>
        <w:t>FIGURE 2</w:t>
      </w:r>
      <w:r w:rsidRPr="00F71887">
        <w:rPr>
          <w:sz w:val="24"/>
          <w:szCs w:val="24"/>
        </w:rPr>
        <w:t>. HIV infection diagnoses by age at HIV diagnosis and sex assigned at birth</w:t>
      </w:r>
      <w:r w:rsidR="27D34CBA" w:rsidRPr="00F71887">
        <w:rPr>
          <w:sz w:val="24"/>
          <w:szCs w:val="24"/>
        </w:rPr>
        <w:t>,</w:t>
      </w:r>
      <w:r w:rsidRPr="00F71887">
        <w:rPr>
          <w:sz w:val="24"/>
          <w:szCs w:val="24"/>
        </w:rPr>
        <w:t xml:space="preserve"> Massachusetts </w:t>
      </w:r>
      <w:r w:rsidR="0BF63D61">
        <w:rPr>
          <w:sz w:val="24"/>
          <w:szCs w:val="24"/>
        </w:rPr>
        <w:t>2018–2020</w:t>
      </w:r>
      <w:r w:rsidR="00451CD5" w:rsidRPr="00451CD5">
        <w:rPr>
          <w:rStyle w:val="FootnoteReference"/>
          <w:sz w:val="24"/>
          <w:szCs w:val="24"/>
        </w:rPr>
        <w:footnoteReference w:id="4"/>
      </w:r>
    </w:p>
    <w:p w14:paraId="3459B415" w14:textId="5CAB5C98" w:rsidR="00B954CA" w:rsidRPr="00F71887" w:rsidRDefault="00451CD5" w:rsidP="00F41CFD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8B0AD21" wp14:editId="15FED537">
            <wp:extent cx="3853180" cy="1560830"/>
            <wp:effectExtent l="0" t="0" r="0" b="0"/>
            <wp:docPr id="7" name="Picture 7" descr="FIGURE 2. HIV infection diagnoses by age at HIV diagnosis and sex assigned at birth: Massachusetts, 2018–2020&#10;The figure is a bar chart displaying the distribution of individuals diagnosed at 13-24 years of age (N=199) verses 25+ years of age (N=1,434) by sex assigned at birth (male, female)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FIGURE 2. HIV infection diagnoses by age at HIV diagnosis and sex assigned at birth: Massachusetts, 2018–2020&#10;The figure is a bar chart displaying the distribution of individuals diagnosed at 13-24 years of age (N=199) verses 25+ years of age (N=1,434) by sex assigned at birth (male, female).&#10;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18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30B7E4" w14:textId="77777777" w:rsidR="00451CD5" w:rsidRPr="00451CD5" w:rsidRDefault="00451CD5" w:rsidP="00451CD5">
      <w:pPr>
        <w:numPr>
          <w:ilvl w:val="0"/>
          <w:numId w:val="18"/>
        </w:numPr>
        <w:spacing w:line="240" w:lineRule="auto"/>
        <w:rPr>
          <w:sz w:val="24"/>
          <w:szCs w:val="24"/>
        </w:rPr>
      </w:pPr>
      <w:r w:rsidRPr="00451CD5">
        <w:rPr>
          <w:sz w:val="24"/>
          <w:szCs w:val="24"/>
        </w:rPr>
        <w:t xml:space="preserve">A larger proportion of adolescents and young adults recently diagnosed with HIV infection at age 13–24 years (84%) than at age 25 years and older (71%) was assigned male at birth (AMAB). </w:t>
      </w:r>
    </w:p>
    <w:p w14:paraId="1BD4B221" w14:textId="77777777" w:rsidR="00B954CA" w:rsidRPr="00F71887" w:rsidRDefault="00B954CA" w:rsidP="00F41CFD">
      <w:pPr>
        <w:spacing w:line="240" w:lineRule="auto"/>
        <w:rPr>
          <w:sz w:val="24"/>
          <w:szCs w:val="24"/>
        </w:rPr>
      </w:pPr>
      <w:r w:rsidRPr="00F71887">
        <w:rPr>
          <w:b/>
          <w:bCs/>
          <w:sz w:val="24"/>
          <w:szCs w:val="24"/>
        </w:rPr>
        <w:t>RACE/ETHNICITY</w:t>
      </w:r>
    </w:p>
    <w:p w14:paraId="28D5609B" w14:textId="45D9E28B" w:rsidR="00B954CA" w:rsidRPr="00F71887" w:rsidRDefault="4B4DB862" w:rsidP="00F41CFD">
      <w:pPr>
        <w:spacing w:line="240" w:lineRule="auto"/>
        <w:rPr>
          <w:sz w:val="24"/>
          <w:szCs w:val="24"/>
        </w:rPr>
      </w:pPr>
      <w:r w:rsidRPr="052B8E56">
        <w:rPr>
          <w:b/>
          <w:bCs/>
          <w:sz w:val="24"/>
          <w:szCs w:val="24"/>
        </w:rPr>
        <w:t>FIGURE 3</w:t>
      </w:r>
      <w:r w:rsidRPr="052B8E56">
        <w:rPr>
          <w:sz w:val="24"/>
          <w:szCs w:val="24"/>
        </w:rPr>
        <w:t>. HIV infection diagnoses by age at HIV diagnosis and race/ethnicity</w:t>
      </w:r>
      <w:r w:rsidR="0F6C5FB3" w:rsidRPr="052B8E56">
        <w:rPr>
          <w:sz w:val="24"/>
          <w:szCs w:val="24"/>
        </w:rPr>
        <w:t>,</w:t>
      </w:r>
      <w:r w:rsidRPr="052B8E56">
        <w:rPr>
          <w:sz w:val="24"/>
          <w:szCs w:val="24"/>
        </w:rPr>
        <w:t xml:space="preserve"> Massachusetts </w:t>
      </w:r>
      <w:r w:rsidR="0BF63D61" w:rsidRPr="052B8E56">
        <w:rPr>
          <w:sz w:val="24"/>
          <w:szCs w:val="24"/>
        </w:rPr>
        <w:t>2018–2020</w:t>
      </w:r>
    </w:p>
    <w:p w14:paraId="057B638E" w14:textId="2B515E96" w:rsidR="00405650" w:rsidRPr="00F71887" w:rsidRDefault="00451CD5" w:rsidP="00F41CFD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8EC858B" wp14:editId="619C7B40">
            <wp:extent cx="4121150" cy="2426335"/>
            <wp:effectExtent l="0" t="0" r="0" b="0"/>
            <wp:docPr id="8" name="Picture 8" descr="FIGURE 3. HIV infection diagnoses by age at HIV diagnosis and race/ethnicity: Massachusetts, 2018–2020&#10;The figure is a bar chart displaying the distribution of individuals diagnosed at 13-24 years of age (N=199) verses 25+ years of age (N=1,434) by race/ethnicity (White non-Hispanic, Black non-Hispanic, Hispanic/Latino, Other/Unknown)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FIGURE 3. HIV infection diagnoses by age at HIV diagnosis and race/ethnicity: Massachusetts, 2018–2020&#10;The figure is a bar chart displaying the distribution of individuals diagnosed at 13-24 years of age (N=199) verses 25+ years of age (N=1,434) by race/ethnicity (White non-Hispanic, Black non-Hispanic, Hispanic/Latino, Other/Unknown).&#10;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0" cy="2426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470696" w14:textId="77777777" w:rsidR="00451CD5" w:rsidRPr="00451CD5" w:rsidRDefault="00451CD5" w:rsidP="00451CD5">
      <w:pPr>
        <w:numPr>
          <w:ilvl w:val="0"/>
          <w:numId w:val="19"/>
        </w:numPr>
        <w:spacing w:line="240" w:lineRule="auto"/>
        <w:rPr>
          <w:sz w:val="24"/>
          <w:szCs w:val="24"/>
        </w:rPr>
      </w:pPr>
      <w:r w:rsidRPr="00451CD5">
        <w:rPr>
          <w:sz w:val="24"/>
          <w:szCs w:val="24"/>
        </w:rPr>
        <w:t>While the largest proportion of adolescents and young adults recently diagnosed with HIV infection at age 13–24 years was Hispanic/Latino (40%), the largest proportion of individuals recently diagnosed at age 25 years and older was white (non-Hispanic) (37%).</w:t>
      </w:r>
    </w:p>
    <w:p w14:paraId="2A2FEAFC" w14:textId="77777777" w:rsidR="00451CD5" w:rsidRDefault="00451CD5" w:rsidP="00F41CFD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BBBDB48" w14:textId="4BBCEF2A" w:rsidR="00B954CA" w:rsidRPr="00F71887" w:rsidRDefault="00B954CA" w:rsidP="00F41CFD">
      <w:pPr>
        <w:spacing w:line="240" w:lineRule="auto"/>
        <w:rPr>
          <w:sz w:val="24"/>
          <w:szCs w:val="24"/>
        </w:rPr>
      </w:pPr>
      <w:r w:rsidRPr="00F71887">
        <w:rPr>
          <w:b/>
          <w:bCs/>
          <w:sz w:val="24"/>
          <w:szCs w:val="24"/>
        </w:rPr>
        <w:lastRenderedPageBreak/>
        <w:t>EXPOSURE MODE</w:t>
      </w:r>
    </w:p>
    <w:p w14:paraId="5589B405" w14:textId="4B313644" w:rsidR="00B954CA" w:rsidRPr="00F71887" w:rsidRDefault="00B954CA" w:rsidP="00F41CFD">
      <w:pPr>
        <w:spacing w:line="240" w:lineRule="auto"/>
        <w:rPr>
          <w:sz w:val="24"/>
          <w:szCs w:val="24"/>
        </w:rPr>
      </w:pPr>
      <w:r w:rsidRPr="00F71887">
        <w:rPr>
          <w:b/>
          <w:bCs/>
          <w:sz w:val="24"/>
          <w:szCs w:val="24"/>
        </w:rPr>
        <w:t>FIGURE 4</w:t>
      </w:r>
      <w:r w:rsidRPr="00F71887">
        <w:rPr>
          <w:sz w:val="24"/>
          <w:szCs w:val="24"/>
        </w:rPr>
        <w:t>. HIV infection diagnoses by age at HIV diagnosis and exposure mode</w:t>
      </w:r>
      <w:r w:rsidR="73DDA322" w:rsidRPr="00F71887">
        <w:rPr>
          <w:sz w:val="24"/>
          <w:szCs w:val="24"/>
        </w:rPr>
        <w:t>,</w:t>
      </w:r>
      <w:r w:rsidRPr="00F71887">
        <w:rPr>
          <w:sz w:val="24"/>
          <w:szCs w:val="24"/>
        </w:rPr>
        <w:t xml:space="preserve"> Massachusetts </w:t>
      </w:r>
      <w:r w:rsidR="00E211D3">
        <w:rPr>
          <w:sz w:val="24"/>
          <w:szCs w:val="24"/>
        </w:rPr>
        <w:t>2018–2020</w:t>
      </w:r>
      <w:r w:rsidR="00451CD5" w:rsidRPr="00451CD5">
        <w:rPr>
          <w:rStyle w:val="FootnoteReference"/>
          <w:sz w:val="24"/>
          <w:szCs w:val="24"/>
        </w:rPr>
        <w:footnoteReference w:id="5"/>
      </w:r>
    </w:p>
    <w:p w14:paraId="25176E0A" w14:textId="1839A347" w:rsidR="00B954CA" w:rsidRPr="00F71887" w:rsidRDefault="00451CD5" w:rsidP="00F41CFD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EA6E5D1" wp14:editId="09AB2993">
            <wp:extent cx="3409037" cy="3253740"/>
            <wp:effectExtent l="0" t="0" r="0" b="0"/>
            <wp:docPr id="9" name="Picture 9" descr="FIGURE 4. HIV infection diagnoses by age at HIV diagnosis and exposure mode: Massachusetts, 2018–2020&#10;The figure is a bar chart displaying the distribution of individuals diagnosed at 13-24 years of age (N=199) verses 25+ years of age (N=1,434) by exposure mode (male-to-male sex (MSM), injection drug use (IDU), MSM/IDU, heterosexual sex, presumed heterosexual sex, no identified risk)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FIGURE 4. HIV infection diagnoses by age at HIV diagnosis and exposure mode: Massachusetts, 2018–2020&#10;The figure is a bar chart displaying the distribution of individuals diagnosed at 13-24 years of age (N=199) verses 25+ years of age (N=1,434) by exposure mode (male-to-male sex (MSM), injection drug use (IDU), MSM/IDU, heterosexual sex, presumed heterosexual sex, no identified risk).&#10;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590" cy="32552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05AEE9" w14:textId="6FBBF72B" w:rsidR="007C394C" w:rsidRPr="0000014B" w:rsidRDefault="76EB4013" w:rsidP="00F41CFD">
      <w:pPr>
        <w:spacing w:line="240" w:lineRule="auto"/>
        <w:rPr>
          <w:sz w:val="20"/>
          <w:szCs w:val="20"/>
        </w:rPr>
      </w:pPr>
      <w:r w:rsidRPr="0000014B">
        <w:rPr>
          <w:sz w:val="20"/>
          <w:szCs w:val="20"/>
        </w:rPr>
        <w:t>MSM=male-to-male sex</w:t>
      </w:r>
      <w:r w:rsidR="008322E7" w:rsidRPr="0000014B">
        <w:rPr>
          <w:sz w:val="20"/>
          <w:szCs w:val="20"/>
        </w:rPr>
        <w:t>;</w:t>
      </w:r>
      <w:r w:rsidRPr="0000014B">
        <w:rPr>
          <w:sz w:val="20"/>
          <w:szCs w:val="20"/>
        </w:rPr>
        <w:t xml:space="preserve"> IDU=injection drug use</w:t>
      </w:r>
      <w:r w:rsidR="008322E7" w:rsidRPr="0000014B">
        <w:rPr>
          <w:sz w:val="20"/>
          <w:szCs w:val="20"/>
        </w:rPr>
        <w:t>;</w:t>
      </w:r>
      <w:r w:rsidRPr="0000014B">
        <w:rPr>
          <w:sz w:val="20"/>
          <w:szCs w:val="20"/>
        </w:rPr>
        <w:t xml:space="preserve"> HTSX=heterosexual sex</w:t>
      </w:r>
      <w:r w:rsidR="008322E7" w:rsidRPr="0000014B">
        <w:rPr>
          <w:sz w:val="20"/>
          <w:szCs w:val="20"/>
        </w:rPr>
        <w:t>;</w:t>
      </w:r>
      <w:r w:rsidRPr="0000014B">
        <w:rPr>
          <w:sz w:val="20"/>
          <w:szCs w:val="20"/>
        </w:rPr>
        <w:t xml:space="preserve"> Pres.</w:t>
      </w:r>
      <w:r w:rsidR="2F72D855" w:rsidRPr="0000014B">
        <w:rPr>
          <w:sz w:val="20"/>
          <w:szCs w:val="20"/>
        </w:rPr>
        <w:t xml:space="preserve"> </w:t>
      </w:r>
      <w:r w:rsidR="382DE3D3" w:rsidRPr="0000014B">
        <w:rPr>
          <w:sz w:val="20"/>
          <w:szCs w:val="20"/>
        </w:rPr>
        <w:t>HTSX</w:t>
      </w:r>
      <w:r w:rsidRPr="0000014B">
        <w:rPr>
          <w:sz w:val="20"/>
          <w:szCs w:val="20"/>
        </w:rPr>
        <w:t>=</w:t>
      </w:r>
      <w:r w:rsidR="38CEECD0" w:rsidRPr="0000014B">
        <w:rPr>
          <w:sz w:val="20"/>
          <w:szCs w:val="20"/>
        </w:rPr>
        <w:t>presumed heterosexual exposure</w:t>
      </w:r>
      <w:r w:rsidR="008322E7" w:rsidRPr="0000014B">
        <w:rPr>
          <w:sz w:val="20"/>
          <w:szCs w:val="20"/>
        </w:rPr>
        <w:t>,</w:t>
      </w:r>
      <w:r w:rsidR="38CEECD0" w:rsidRPr="0000014B">
        <w:rPr>
          <w:sz w:val="20"/>
          <w:szCs w:val="20"/>
        </w:rPr>
        <w:t xml:space="preserve"> </w:t>
      </w:r>
      <w:r w:rsidR="00A369CE" w:rsidRPr="00A369CE">
        <w:rPr>
          <w:sz w:val="20"/>
          <w:szCs w:val="20"/>
        </w:rPr>
        <w:t>includes individuals assigned female at birth with a negative history of injection drug use who report having sex with an individual that identifies as male of unknown HIV status and risk</w:t>
      </w:r>
      <w:r w:rsidR="008322E7" w:rsidRPr="0000014B">
        <w:rPr>
          <w:sz w:val="20"/>
          <w:szCs w:val="20"/>
        </w:rPr>
        <w:t>;</w:t>
      </w:r>
      <w:r w:rsidRPr="0000014B">
        <w:rPr>
          <w:sz w:val="20"/>
          <w:szCs w:val="20"/>
        </w:rPr>
        <w:t xml:space="preserve"> NIR=no identified risk</w:t>
      </w:r>
    </w:p>
    <w:p w14:paraId="41A50359" w14:textId="65B8871E" w:rsidR="00183A98" w:rsidRPr="00183A98" w:rsidRDefault="00E211D3" w:rsidP="00183A98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KEY FINDING</w:t>
      </w:r>
    </w:p>
    <w:p w14:paraId="7653EF06" w14:textId="77777777" w:rsidR="00451CD5" w:rsidRPr="00451CD5" w:rsidRDefault="00451CD5" w:rsidP="00451CD5">
      <w:pPr>
        <w:numPr>
          <w:ilvl w:val="0"/>
          <w:numId w:val="20"/>
        </w:numPr>
        <w:spacing w:line="240" w:lineRule="auto"/>
        <w:rPr>
          <w:sz w:val="24"/>
          <w:szCs w:val="24"/>
        </w:rPr>
      </w:pPr>
      <w:r w:rsidRPr="00451CD5">
        <w:rPr>
          <w:sz w:val="24"/>
          <w:szCs w:val="24"/>
        </w:rPr>
        <w:t>A larger proportion of individuals recently diagnosed with HIV infection at age 13–24 years (66%) than at age 25 years and older (36%) had MSM exposure mode.</w:t>
      </w:r>
    </w:p>
    <w:p w14:paraId="5A773A20" w14:textId="5A296C42" w:rsidR="00183A98" w:rsidRPr="00183A98" w:rsidRDefault="00E211D3" w:rsidP="00183A98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KEY FINDING</w:t>
      </w:r>
    </w:p>
    <w:p w14:paraId="53DDB6FC" w14:textId="77777777" w:rsidR="00451CD5" w:rsidRPr="00451CD5" w:rsidRDefault="00451CD5" w:rsidP="00451CD5">
      <w:pPr>
        <w:numPr>
          <w:ilvl w:val="0"/>
          <w:numId w:val="21"/>
        </w:numPr>
        <w:spacing w:line="240" w:lineRule="auto"/>
        <w:rPr>
          <w:sz w:val="24"/>
          <w:szCs w:val="24"/>
        </w:rPr>
      </w:pPr>
      <w:r w:rsidRPr="00451CD5">
        <w:rPr>
          <w:sz w:val="24"/>
          <w:szCs w:val="24"/>
        </w:rPr>
        <w:t>A larger proportion of individuals AMAB recently diagnosed with HIV infection at age 13–24 years (78%, N=131/168) than at age 25 years and older (51%, N=514/1,019) had MSM exposure mode.</w:t>
      </w:r>
    </w:p>
    <w:p w14:paraId="27FDA55F" w14:textId="77777777" w:rsidR="00451CD5" w:rsidRDefault="00451CD5" w:rsidP="00F41CFD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5A6D21FA" w14:textId="25CCA2FF" w:rsidR="007C394C" w:rsidRPr="00F71887" w:rsidRDefault="76EB4013" w:rsidP="00F41CFD">
      <w:pPr>
        <w:spacing w:line="240" w:lineRule="auto"/>
        <w:rPr>
          <w:sz w:val="24"/>
          <w:szCs w:val="24"/>
        </w:rPr>
      </w:pPr>
      <w:r w:rsidRPr="00F71887">
        <w:rPr>
          <w:b/>
          <w:bCs/>
          <w:sz w:val="24"/>
          <w:szCs w:val="24"/>
        </w:rPr>
        <w:lastRenderedPageBreak/>
        <w:t>FIGURE 5</w:t>
      </w:r>
      <w:r w:rsidRPr="00F71887">
        <w:rPr>
          <w:sz w:val="24"/>
          <w:szCs w:val="24"/>
        </w:rPr>
        <w:t>. HIV infection diagnoses among individuals aged 13–24 years by race/ethnicity and exposure mode</w:t>
      </w:r>
      <w:r w:rsidR="02F89F45" w:rsidRPr="00F71887">
        <w:rPr>
          <w:sz w:val="24"/>
          <w:szCs w:val="24"/>
        </w:rPr>
        <w:t>,</w:t>
      </w:r>
      <w:r w:rsidRPr="00F71887">
        <w:rPr>
          <w:sz w:val="24"/>
          <w:szCs w:val="24"/>
        </w:rPr>
        <w:t xml:space="preserve"> Massachusetts </w:t>
      </w:r>
      <w:r w:rsidR="0BF63D61">
        <w:rPr>
          <w:sz w:val="24"/>
          <w:szCs w:val="24"/>
        </w:rPr>
        <w:t>2018–2020</w:t>
      </w:r>
      <w:r w:rsidR="00451CD5" w:rsidRPr="00451CD5">
        <w:rPr>
          <w:rStyle w:val="FootnoteReference"/>
          <w:sz w:val="24"/>
          <w:szCs w:val="24"/>
        </w:rPr>
        <w:footnoteReference w:id="6"/>
      </w:r>
    </w:p>
    <w:p w14:paraId="5CD1417B" w14:textId="2D1363C7" w:rsidR="007C394C" w:rsidRPr="00F71887" w:rsidRDefault="00451CD5" w:rsidP="00F41CFD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FBA2BD1" wp14:editId="50D10D62">
            <wp:extent cx="4200525" cy="2859405"/>
            <wp:effectExtent l="0" t="0" r="0" b="0"/>
            <wp:docPr id="10" name="Picture 10" descr="FIGURE 5. HIV infection diagnoses among individuals aged 13–24 years by race/ethnicity and exposure mode: Massachusetts, 2018–2020&#10;The figure is a bar chart displaying the distribution of individuals diagnosed with HIV infection at age 13-24 years by exposure mode (MSM, IDU, MSM/IDU, HTSX, Presumed HTSX, Other, NIR) for three groups: White NH (N=53), Black NH (N=52), and Hispanic/Latino (N=79)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FIGURE 5. HIV infection diagnoses among individuals aged 13–24 years by race/ethnicity and exposure mode: Massachusetts, 2018–2020&#10;The figure is a bar chart displaying the distribution of individuals diagnosed with HIV infection at age 13-24 years by exposure mode (MSM, IDU, MSM/IDU, HTSX, Presumed HTSX, Other, NIR) for three groups: White NH (N=53), Black NH (N=52), and Hispanic/Latino (N=79).&#10;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F9AE3A" w14:textId="258FEB79" w:rsidR="003018C5" w:rsidRPr="00DA189C" w:rsidRDefault="003018C5" w:rsidP="00F41CFD">
      <w:pPr>
        <w:spacing w:line="240" w:lineRule="auto"/>
        <w:rPr>
          <w:sz w:val="20"/>
          <w:szCs w:val="20"/>
        </w:rPr>
      </w:pPr>
      <w:r w:rsidRPr="00DA189C">
        <w:rPr>
          <w:sz w:val="20"/>
          <w:szCs w:val="20"/>
          <w:vertAlign w:val="superscript"/>
        </w:rPr>
        <w:t>*</w:t>
      </w:r>
      <w:r w:rsidRPr="00DA189C">
        <w:rPr>
          <w:sz w:val="20"/>
          <w:szCs w:val="20"/>
        </w:rPr>
        <w:t xml:space="preserve"> Values less than five are suppressed for populations less than 50,000 or for populations of unknown size. </w:t>
      </w:r>
      <w:r w:rsidR="008D167A">
        <w:rPr>
          <w:sz w:val="20"/>
          <w:szCs w:val="20"/>
        </w:rPr>
        <w:t>Percentages do not add up to 100% due to suppressed values.</w:t>
      </w:r>
    </w:p>
    <w:p w14:paraId="2AC035A7" w14:textId="77777777" w:rsidR="00451CD5" w:rsidRPr="00451CD5" w:rsidRDefault="00451CD5" w:rsidP="00451CD5">
      <w:pPr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451CD5">
        <w:rPr>
          <w:sz w:val="24"/>
          <w:szCs w:val="24"/>
        </w:rPr>
        <w:t>The proportion of adolescents and young adults (aged 13–24 years) recently diagnosed with MSM exposure mode was 66% among white (non-Hispanic) youth, 65% among Hispanic/Latino youth, and 64% among black (non-Hispanic) youth.</w:t>
      </w:r>
    </w:p>
    <w:p w14:paraId="2AD7227C" w14:textId="77777777" w:rsidR="00451CD5" w:rsidRPr="00451CD5" w:rsidRDefault="00451CD5" w:rsidP="00451CD5">
      <w:pPr>
        <w:numPr>
          <w:ilvl w:val="0"/>
          <w:numId w:val="22"/>
        </w:numPr>
        <w:spacing w:line="240" w:lineRule="auto"/>
        <w:rPr>
          <w:sz w:val="24"/>
          <w:szCs w:val="24"/>
        </w:rPr>
      </w:pPr>
      <w:r w:rsidRPr="00451CD5">
        <w:rPr>
          <w:sz w:val="24"/>
          <w:szCs w:val="24"/>
        </w:rPr>
        <w:t>IDU was the exposure mode for a larger proportion of adolescents and young adults (aged 13–24 years) recently diagnosed with HIV among white (non-Hispanic) youth (15%) than among other race/ethnicities.</w:t>
      </w:r>
    </w:p>
    <w:p w14:paraId="754AA91B" w14:textId="449803DD" w:rsidR="003018C5" w:rsidRPr="00F71887" w:rsidRDefault="00FE3EEC" w:rsidP="00F41CFD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AREA</w:t>
      </w:r>
      <w:r w:rsidR="003018C5" w:rsidRPr="00F71887">
        <w:rPr>
          <w:b/>
          <w:bCs/>
          <w:sz w:val="24"/>
          <w:szCs w:val="24"/>
        </w:rPr>
        <w:t xml:space="preserve"> OF RESIDENCE</w:t>
      </w:r>
    </w:p>
    <w:p w14:paraId="7FD9C30B" w14:textId="601C722F" w:rsidR="00801279" w:rsidRDefault="7F491F75" w:rsidP="00F41CFD">
      <w:pPr>
        <w:spacing w:line="240" w:lineRule="auto"/>
        <w:rPr>
          <w:sz w:val="24"/>
          <w:szCs w:val="24"/>
        </w:rPr>
      </w:pPr>
      <w:r w:rsidRPr="00F71887">
        <w:rPr>
          <w:b/>
          <w:bCs/>
          <w:sz w:val="24"/>
          <w:szCs w:val="24"/>
        </w:rPr>
        <w:t xml:space="preserve">TABLE 1. </w:t>
      </w:r>
      <w:r w:rsidRPr="00F71887">
        <w:rPr>
          <w:sz w:val="24"/>
          <w:szCs w:val="24"/>
        </w:rPr>
        <w:t>Massachusetts cities/towns</w:t>
      </w:r>
      <w:r w:rsidR="008C7D79" w:rsidRPr="00F71887">
        <w:rPr>
          <w:rStyle w:val="FootnoteReference"/>
          <w:sz w:val="24"/>
          <w:szCs w:val="24"/>
        </w:rPr>
        <w:footnoteReference w:id="7"/>
      </w:r>
      <w:r w:rsidRPr="00F71887">
        <w:rPr>
          <w:sz w:val="24"/>
          <w:szCs w:val="24"/>
        </w:rPr>
        <w:t xml:space="preserve"> with the highest percentage of HIV diagnoses among adolescents and young adults (13–24 years old), </w:t>
      </w:r>
      <w:r w:rsidR="0BF63D61">
        <w:rPr>
          <w:sz w:val="24"/>
          <w:szCs w:val="24"/>
        </w:rPr>
        <w:t>2018–2020</w:t>
      </w:r>
      <w:r w:rsidR="00451CD5">
        <w:rPr>
          <w:sz w:val="24"/>
          <w:szCs w:val="24"/>
        </w:rPr>
        <w:br w:type="page"/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116"/>
        <w:gridCol w:w="3117"/>
        <w:gridCol w:w="3212"/>
      </w:tblGrid>
      <w:tr w:rsidR="00277587" w14:paraId="2F3F7E04" w14:textId="77777777" w:rsidTr="005718AE">
        <w:tc>
          <w:tcPr>
            <w:tcW w:w="3116" w:type="dxa"/>
          </w:tcPr>
          <w:p w14:paraId="146F5D90" w14:textId="77777777" w:rsidR="00277587" w:rsidRDefault="00277587" w:rsidP="00277587"/>
        </w:tc>
        <w:tc>
          <w:tcPr>
            <w:tcW w:w="3117" w:type="dxa"/>
            <w:vAlign w:val="center"/>
          </w:tcPr>
          <w:p w14:paraId="0F651E21" w14:textId="270E1002" w:rsidR="00277587" w:rsidRPr="00277587" w:rsidRDefault="00277587" w:rsidP="00277587">
            <w:r w:rsidRPr="00277587">
              <w:rPr>
                <w:b/>
                <w:bCs/>
                <w:sz w:val="24"/>
                <w:szCs w:val="24"/>
              </w:rPr>
              <w:t>HIV Diagnoses Among 13–24 Year-Olds (N)</w:t>
            </w:r>
          </w:p>
        </w:tc>
        <w:tc>
          <w:tcPr>
            <w:tcW w:w="3212" w:type="dxa"/>
            <w:vAlign w:val="center"/>
          </w:tcPr>
          <w:p w14:paraId="35419009" w14:textId="2477493B" w:rsidR="00277587" w:rsidRPr="00277587" w:rsidRDefault="00277587" w:rsidP="00277587">
            <w:r w:rsidRPr="00277587">
              <w:rPr>
                <w:b/>
                <w:bCs/>
                <w:sz w:val="24"/>
                <w:szCs w:val="24"/>
              </w:rPr>
              <w:t xml:space="preserve">HIV Diagnoses Among 13–24 Year-Olds as Percent of Total HIV Diagnoses </w:t>
            </w:r>
            <w:r w:rsidR="005718AE">
              <w:rPr>
                <w:b/>
                <w:bCs/>
                <w:sz w:val="24"/>
                <w:szCs w:val="24"/>
              </w:rPr>
              <w:t>in City/</w:t>
            </w:r>
            <w:proofErr w:type="gramStart"/>
            <w:r w:rsidR="005718AE">
              <w:rPr>
                <w:b/>
                <w:bCs/>
                <w:sz w:val="24"/>
                <w:szCs w:val="24"/>
              </w:rPr>
              <w:t>Town</w:t>
            </w:r>
            <w:r w:rsidRPr="00277587">
              <w:rPr>
                <w:b/>
                <w:bCs/>
                <w:sz w:val="24"/>
                <w:szCs w:val="24"/>
              </w:rPr>
              <w:t>(</w:t>
            </w:r>
            <w:proofErr w:type="gramEnd"/>
            <w:r w:rsidRPr="00277587">
              <w:rPr>
                <w:b/>
                <w:bCs/>
                <w:sz w:val="24"/>
                <w:szCs w:val="24"/>
              </w:rPr>
              <w:t>%)</w:t>
            </w:r>
          </w:p>
        </w:tc>
      </w:tr>
      <w:tr w:rsidR="007D63AE" w14:paraId="0FB56778" w14:textId="77777777" w:rsidTr="005718AE">
        <w:tc>
          <w:tcPr>
            <w:tcW w:w="3116" w:type="dxa"/>
            <w:vAlign w:val="bottom"/>
          </w:tcPr>
          <w:p w14:paraId="31D223A4" w14:textId="51A9D8D8" w:rsidR="007D63AE" w:rsidRDefault="007D63AE" w:rsidP="007D63AE">
            <w:r w:rsidRPr="00F71887">
              <w:rPr>
                <w:b/>
                <w:bCs/>
                <w:sz w:val="24"/>
                <w:szCs w:val="24"/>
              </w:rPr>
              <w:t>Massachusetts Total</w:t>
            </w:r>
          </w:p>
        </w:tc>
        <w:tc>
          <w:tcPr>
            <w:tcW w:w="3117" w:type="dxa"/>
          </w:tcPr>
          <w:p w14:paraId="65AE094B" w14:textId="47EC9D37" w:rsidR="007D63AE" w:rsidRDefault="00451CD5" w:rsidP="007D63AE">
            <w:r>
              <w:t>199</w:t>
            </w:r>
          </w:p>
        </w:tc>
        <w:tc>
          <w:tcPr>
            <w:tcW w:w="3212" w:type="dxa"/>
          </w:tcPr>
          <w:p w14:paraId="60A75D5B" w14:textId="6C197B1F" w:rsidR="007D63AE" w:rsidRDefault="007D63AE" w:rsidP="007D63AE">
            <w:r w:rsidRPr="00F71887">
              <w:rPr>
                <w:sz w:val="24"/>
                <w:szCs w:val="24"/>
              </w:rPr>
              <w:t>1</w:t>
            </w:r>
            <w:r w:rsidR="00451CD5">
              <w:rPr>
                <w:sz w:val="24"/>
                <w:szCs w:val="24"/>
              </w:rPr>
              <w:t>2</w:t>
            </w:r>
            <w:r w:rsidRPr="00F71887">
              <w:rPr>
                <w:sz w:val="24"/>
                <w:szCs w:val="24"/>
              </w:rPr>
              <w:t>%</w:t>
            </w:r>
          </w:p>
        </w:tc>
      </w:tr>
      <w:tr w:rsidR="00451CD5" w14:paraId="3BAACEC8" w14:textId="77777777" w:rsidTr="005718AE">
        <w:tc>
          <w:tcPr>
            <w:tcW w:w="3116" w:type="dxa"/>
          </w:tcPr>
          <w:p w14:paraId="3D4F204A" w14:textId="5BA689C3" w:rsidR="00451CD5" w:rsidRPr="00451CD5" w:rsidRDefault="00451CD5" w:rsidP="00451CD5">
            <w:pPr>
              <w:rPr>
                <w:rFonts w:cstheme="minorHAnsi"/>
                <w:sz w:val="24"/>
                <w:szCs w:val="24"/>
              </w:rPr>
            </w:pPr>
            <w:r w:rsidRPr="00451CD5">
              <w:rPr>
                <w:rFonts w:cstheme="minorHAnsi"/>
                <w:color w:val="000000"/>
                <w:kern w:val="24"/>
                <w:sz w:val="24"/>
                <w:szCs w:val="24"/>
              </w:rPr>
              <w:t>Waltham</w:t>
            </w:r>
          </w:p>
        </w:tc>
        <w:tc>
          <w:tcPr>
            <w:tcW w:w="3117" w:type="dxa"/>
            <w:vAlign w:val="bottom"/>
          </w:tcPr>
          <w:p w14:paraId="1F968B7B" w14:textId="5907941D" w:rsidR="00451CD5" w:rsidRPr="00451CD5" w:rsidRDefault="00451CD5" w:rsidP="00451CD5">
            <w:pPr>
              <w:rPr>
                <w:rFonts w:cstheme="minorHAnsi"/>
                <w:sz w:val="24"/>
                <w:szCs w:val="24"/>
              </w:rPr>
            </w:pPr>
            <w:r w:rsidRPr="00451CD5">
              <w:rPr>
                <w:rFonts w:cstheme="minorHAnsi"/>
                <w:color w:val="000000"/>
                <w:kern w:val="24"/>
                <w:sz w:val="24"/>
                <w:szCs w:val="24"/>
              </w:rPr>
              <w:t>6</w:t>
            </w:r>
          </w:p>
        </w:tc>
        <w:tc>
          <w:tcPr>
            <w:tcW w:w="3212" w:type="dxa"/>
            <w:vAlign w:val="bottom"/>
          </w:tcPr>
          <w:p w14:paraId="6D71A3EE" w14:textId="6A36E473" w:rsidR="00451CD5" w:rsidRPr="00451CD5" w:rsidRDefault="00451CD5" w:rsidP="00451CD5">
            <w:pPr>
              <w:rPr>
                <w:rFonts w:cstheme="minorHAnsi"/>
                <w:sz w:val="24"/>
                <w:szCs w:val="24"/>
              </w:rPr>
            </w:pPr>
            <w:r w:rsidRPr="00451CD5">
              <w:rPr>
                <w:rFonts w:cstheme="minorHAnsi"/>
                <w:color w:val="000000"/>
                <w:kern w:val="24"/>
                <w:sz w:val="24"/>
                <w:szCs w:val="24"/>
              </w:rPr>
              <w:t>26%</w:t>
            </w:r>
          </w:p>
        </w:tc>
      </w:tr>
      <w:tr w:rsidR="00451CD5" w14:paraId="0EDA3FC8" w14:textId="77777777" w:rsidTr="005718AE">
        <w:tc>
          <w:tcPr>
            <w:tcW w:w="3116" w:type="dxa"/>
          </w:tcPr>
          <w:p w14:paraId="22CBA919" w14:textId="75383193" w:rsidR="00451CD5" w:rsidRPr="00451CD5" w:rsidRDefault="00451CD5" w:rsidP="00451CD5">
            <w:pPr>
              <w:rPr>
                <w:rFonts w:cstheme="minorHAnsi"/>
                <w:sz w:val="24"/>
                <w:szCs w:val="24"/>
              </w:rPr>
            </w:pPr>
            <w:r w:rsidRPr="00451CD5">
              <w:rPr>
                <w:rFonts w:cstheme="minorHAnsi"/>
                <w:color w:val="000000"/>
                <w:kern w:val="24"/>
                <w:sz w:val="24"/>
                <w:szCs w:val="24"/>
              </w:rPr>
              <w:t>Framingham</w:t>
            </w:r>
          </w:p>
        </w:tc>
        <w:tc>
          <w:tcPr>
            <w:tcW w:w="3117" w:type="dxa"/>
            <w:vAlign w:val="bottom"/>
          </w:tcPr>
          <w:p w14:paraId="7A22E0C5" w14:textId="3C0E08AF" w:rsidR="00451CD5" w:rsidRPr="00451CD5" w:rsidRDefault="00451CD5" w:rsidP="00451CD5">
            <w:pPr>
              <w:rPr>
                <w:rFonts w:cstheme="minorHAnsi"/>
                <w:sz w:val="24"/>
                <w:szCs w:val="24"/>
              </w:rPr>
            </w:pPr>
            <w:r w:rsidRPr="00451CD5">
              <w:rPr>
                <w:rFonts w:cstheme="minorHAnsi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3212" w:type="dxa"/>
            <w:vAlign w:val="bottom"/>
          </w:tcPr>
          <w:p w14:paraId="2715EAB7" w14:textId="3D35A3E6" w:rsidR="00451CD5" w:rsidRPr="00451CD5" w:rsidRDefault="00451CD5" w:rsidP="00451CD5">
            <w:pPr>
              <w:rPr>
                <w:rFonts w:cstheme="minorHAnsi"/>
                <w:sz w:val="24"/>
                <w:szCs w:val="24"/>
              </w:rPr>
            </w:pPr>
            <w:r w:rsidRPr="00451CD5">
              <w:rPr>
                <w:rFonts w:cstheme="minorHAnsi"/>
                <w:color w:val="000000"/>
                <w:kern w:val="24"/>
                <w:sz w:val="24"/>
                <w:szCs w:val="24"/>
              </w:rPr>
              <w:t>22%</w:t>
            </w:r>
          </w:p>
        </w:tc>
      </w:tr>
      <w:tr w:rsidR="00451CD5" w14:paraId="03426F95" w14:textId="77777777" w:rsidTr="005718AE">
        <w:tc>
          <w:tcPr>
            <w:tcW w:w="3116" w:type="dxa"/>
          </w:tcPr>
          <w:p w14:paraId="65CD9234" w14:textId="47BABCD6" w:rsidR="00451CD5" w:rsidRPr="00451CD5" w:rsidRDefault="00451CD5" w:rsidP="00451CD5">
            <w:pPr>
              <w:rPr>
                <w:rFonts w:cstheme="minorHAnsi"/>
                <w:sz w:val="24"/>
                <w:szCs w:val="24"/>
              </w:rPr>
            </w:pPr>
            <w:r w:rsidRPr="00451CD5">
              <w:rPr>
                <w:rFonts w:cstheme="minorHAnsi"/>
                <w:color w:val="000000"/>
                <w:kern w:val="24"/>
                <w:sz w:val="24"/>
                <w:szCs w:val="24"/>
              </w:rPr>
              <w:t>Springfield</w:t>
            </w:r>
          </w:p>
        </w:tc>
        <w:tc>
          <w:tcPr>
            <w:tcW w:w="3117" w:type="dxa"/>
            <w:vAlign w:val="bottom"/>
          </w:tcPr>
          <w:p w14:paraId="1A6EB7B9" w14:textId="15BAB815" w:rsidR="00451CD5" w:rsidRPr="00451CD5" w:rsidRDefault="00451CD5" w:rsidP="00451CD5">
            <w:pPr>
              <w:rPr>
                <w:rFonts w:cstheme="minorHAnsi"/>
                <w:sz w:val="24"/>
                <w:szCs w:val="24"/>
              </w:rPr>
            </w:pPr>
            <w:r w:rsidRPr="00451CD5">
              <w:rPr>
                <w:rFonts w:cstheme="minorHAnsi"/>
                <w:color w:val="000000"/>
                <w:kern w:val="24"/>
                <w:sz w:val="24"/>
                <w:szCs w:val="24"/>
              </w:rPr>
              <w:t>15</w:t>
            </w:r>
          </w:p>
        </w:tc>
        <w:tc>
          <w:tcPr>
            <w:tcW w:w="3212" w:type="dxa"/>
            <w:vAlign w:val="bottom"/>
          </w:tcPr>
          <w:p w14:paraId="248AFE17" w14:textId="7D585502" w:rsidR="00451CD5" w:rsidRPr="00451CD5" w:rsidRDefault="00451CD5" w:rsidP="00451CD5">
            <w:pPr>
              <w:rPr>
                <w:rFonts w:cstheme="minorHAnsi"/>
                <w:sz w:val="24"/>
                <w:szCs w:val="24"/>
              </w:rPr>
            </w:pPr>
            <w:r w:rsidRPr="00451CD5">
              <w:rPr>
                <w:rFonts w:cstheme="minorHAnsi"/>
                <w:color w:val="000000"/>
                <w:kern w:val="24"/>
                <w:sz w:val="24"/>
                <w:szCs w:val="24"/>
              </w:rPr>
              <w:t>21%</w:t>
            </w:r>
          </w:p>
        </w:tc>
      </w:tr>
      <w:tr w:rsidR="00451CD5" w14:paraId="2EED9357" w14:textId="77777777" w:rsidTr="005718AE">
        <w:tc>
          <w:tcPr>
            <w:tcW w:w="3116" w:type="dxa"/>
          </w:tcPr>
          <w:p w14:paraId="26BF5596" w14:textId="754ECADC" w:rsidR="00451CD5" w:rsidRPr="00451CD5" w:rsidRDefault="00451CD5" w:rsidP="00451CD5">
            <w:pPr>
              <w:rPr>
                <w:rFonts w:cstheme="minorHAnsi"/>
                <w:sz w:val="24"/>
                <w:szCs w:val="24"/>
              </w:rPr>
            </w:pPr>
            <w:r w:rsidRPr="00451CD5">
              <w:rPr>
                <w:rFonts w:cstheme="minorHAnsi"/>
                <w:color w:val="000000"/>
                <w:kern w:val="24"/>
                <w:sz w:val="24"/>
                <w:szCs w:val="24"/>
              </w:rPr>
              <w:t>Lynn</w:t>
            </w:r>
          </w:p>
        </w:tc>
        <w:tc>
          <w:tcPr>
            <w:tcW w:w="3117" w:type="dxa"/>
            <w:vAlign w:val="bottom"/>
          </w:tcPr>
          <w:p w14:paraId="154326A7" w14:textId="47238B83" w:rsidR="00451CD5" w:rsidRPr="00451CD5" w:rsidRDefault="00451CD5" w:rsidP="00451CD5">
            <w:pPr>
              <w:rPr>
                <w:rFonts w:cstheme="minorHAnsi"/>
                <w:sz w:val="24"/>
                <w:szCs w:val="24"/>
              </w:rPr>
            </w:pPr>
            <w:r w:rsidRPr="00451CD5">
              <w:rPr>
                <w:rFonts w:cstheme="minorHAnsi"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3212" w:type="dxa"/>
            <w:vAlign w:val="bottom"/>
          </w:tcPr>
          <w:p w14:paraId="4C2E7FE7" w14:textId="13C4B5E1" w:rsidR="00451CD5" w:rsidRPr="00451CD5" w:rsidRDefault="00451CD5" w:rsidP="00451CD5">
            <w:pPr>
              <w:rPr>
                <w:rFonts w:cstheme="minorHAnsi"/>
                <w:sz w:val="24"/>
                <w:szCs w:val="24"/>
              </w:rPr>
            </w:pPr>
            <w:r w:rsidRPr="00451CD5">
              <w:rPr>
                <w:rFonts w:cstheme="minorHAnsi"/>
                <w:color w:val="000000"/>
                <w:kern w:val="24"/>
                <w:sz w:val="24"/>
                <w:szCs w:val="24"/>
              </w:rPr>
              <w:t>19%</w:t>
            </w:r>
          </w:p>
        </w:tc>
      </w:tr>
      <w:tr w:rsidR="00451CD5" w14:paraId="62A62B4A" w14:textId="77777777" w:rsidTr="005718AE">
        <w:tc>
          <w:tcPr>
            <w:tcW w:w="3116" w:type="dxa"/>
          </w:tcPr>
          <w:p w14:paraId="6B3A42F3" w14:textId="2B932CE0" w:rsidR="00451CD5" w:rsidRPr="00451CD5" w:rsidRDefault="00451CD5" w:rsidP="00451CD5">
            <w:pPr>
              <w:rPr>
                <w:rFonts w:cstheme="minorHAnsi"/>
                <w:sz w:val="24"/>
                <w:szCs w:val="24"/>
              </w:rPr>
            </w:pPr>
            <w:r w:rsidRPr="00451CD5">
              <w:rPr>
                <w:rFonts w:cstheme="minorHAnsi"/>
                <w:color w:val="000000"/>
                <w:kern w:val="24"/>
                <w:sz w:val="24"/>
                <w:szCs w:val="24"/>
              </w:rPr>
              <w:t>Worcester</w:t>
            </w:r>
          </w:p>
        </w:tc>
        <w:tc>
          <w:tcPr>
            <w:tcW w:w="3117" w:type="dxa"/>
            <w:vAlign w:val="bottom"/>
          </w:tcPr>
          <w:p w14:paraId="35275605" w14:textId="0D8AA0F0" w:rsidR="00451CD5" w:rsidRPr="00451CD5" w:rsidRDefault="00451CD5" w:rsidP="00451CD5">
            <w:pPr>
              <w:rPr>
                <w:rFonts w:cstheme="minorHAnsi"/>
                <w:sz w:val="24"/>
                <w:szCs w:val="24"/>
              </w:rPr>
            </w:pPr>
            <w:r w:rsidRPr="00451CD5">
              <w:rPr>
                <w:rFonts w:cstheme="minorHAnsi"/>
                <w:color w:val="000000"/>
                <w:kern w:val="24"/>
                <w:sz w:val="24"/>
                <w:szCs w:val="24"/>
              </w:rPr>
              <w:t>14</w:t>
            </w:r>
          </w:p>
        </w:tc>
        <w:tc>
          <w:tcPr>
            <w:tcW w:w="3212" w:type="dxa"/>
            <w:vAlign w:val="bottom"/>
          </w:tcPr>
          <w:p w14:paraId="411BCD77" w14:textId="0DCB7BA9" w:rsidR="00451CD5" w:rsidRPr="00451CD5" w:rsidRDefault="00451CD5" w:rsidP="00451CD5">
            <w:pPr>
              <w:rPr>
                <w:rFonts w:cstheme="minorHAnsi"/>
                <w:sz w:val="24"/>
                <w:szCs w:val="24"/>
              </w:rPr>
            </w:pPr>
            <w:r w:rsidRPr="00451CD5">
              <w:rPr>
                <w:rFonts w:cstheme="minorHAnsi"/>
                <w:color w:val="000000"/>
                <w:kern w:val="24"/>
                <w:sz w:val="24"/>
                <w:szCs w:val="24"/>
              </w:rPr>
              <w:t>15%</w:t>
            </w:r>
          </w:p>
        </w:tc>
      </w:tr>
      <w:tr w:rsidR="00451CD5" w14:paraId="5C5E7042" w14:textId="77777777" w:rsidTr="005718AE">
        <w:tc>
          <w:tcPr>
            <w:tcW w:w="3116" w:type="dxa"/>
          </w:tcPr>
          <w:p w14:paraId="1BD7A6A7" w14:textId="6F558A9D" w:rsidR="00451CD5" w:rsidRPr="00451CD5" w:rsidRDefault="00451CD5" w:rsidP="00451CD5">
            <w:pPr>
              <w:rPr>
                <w:rFonts w:cstheme="minorHAnsi"/>
                <w:sz w:val="24"/>
                <w:szCs w:val="24"/>
              </w:rPr>
            </w:pPr>
            <w:r w:rsidRPr="00451CD5">
              <w:rPr>
                <w:rFonts w:cstheme="minorHAnsi"/>
                <w:color w:val="000000"/>
                <w:kern w:val="24"/>
                <w:sz w:val="24"/>
                <w:szCs w:val="24"/>
              </w:rPr>
              <w:t>Everett</w:t>
            </w:r>
          </w:p>
        </w:tc>
        <w:tc>
          <w:tcPr>
            <w:tcW w:w="3117" w:type="dxa"/>
            <w:vAlign w:val="bottom"/>
          </w:tcPr>
          <w:p w14:paraId="3B21164E" w14:textId="68E3ACC0" w:rsidR="00451CD5" w:rsidRPr="00451CD5" w:rsidRDefault="00451CD5" w:rsidP="00451CD5">
            <w:pPr>
              <w:rPr>
                <w:rFonts w:cstheme="minorHAnsi"/>
                <w:sz w:val="24"/>
                <w:szCs w:val="24"/>
              </w:rPr>
            </w:pPr>
            <w:r w:rsidRPr="00451CD5">
              <w:rPr>
                <w:rFonts w:cstheme="minorHAnsi"/>
                <w:color w:val="000000"/>
                <w:kern w:val="24"/>
                <w:sz w:val="24"/>
                <w:szCs w:val="24"/>
              </w:rPr>
              <w:t>5</w:t>
            </w:r>
          </w:p>
        </w:tc>
        <w:tc>
          <w:tcPr>
            <w:tcW w:w="3212" w:type="dxa"/>
            <w:vAlign w:val="bottom"/>
          </w:tcPr>
          <w:p w14:paraId="7F618CAB" w14:textId="71515FB3" w:rsidR="00451CD5" w:rsidRPr="00451CD5" w:rsidRDefault="00451CD5" w:rsidP="00451CD5">
            <w:pPr>
              <w:rPr>
                <w:rFonts w:cstheme="minorHAnsi"/>
                <w:sz w:val="24"/>
                <w:szCs w:val="24"/>
              </w:rPr>
            </w:pPr>
            <w:r w:rsidRPr="00451CD5">
              <w:rPr>
                <w:rFonts w:cstheme="minorHAnsi"/>
                <w:color w:val="000000"/>
                <w:kern w:val="24"/>
                <w:sz w:val="24"/>
                <w:szCs w:val="24"/>
              </w:rPr>
              <w:t>15%</w:t>
            </w:r>
          </w:p>
        </w:tc>
      </w:tr>
      <w:tr w:rsidR="007D63AE" w14:paraId="31B10707" w14:textId="77777777" w:rsidTr="005718AE">
        <w:tc>
          <w:tcPr>
            <w:tcW w:w="3116" w:type="dxa"/>
            <w:vAlign w:val="bottom"/>
          </w:tcPr>
          <w:p w14:paraId="799EFA3E" w14:textId="14570ADC" w:rsidR="007D63AE" w:rsidRPr="00F71887" w:rsidRDefault="007D63AE" w:rsidP="007D63AE">
            <w:pPr>
              <w:rPr>
                <w:sz w:val="24"/>
                <w:szCs w:val="24"/>
              </w:rPr>
            </w:pPr>
            <w:r w:rsidRPr="00F71887">
              <w:rPr>
                <w:b/>
                <w:bCs/>
                <w:sz w:val="24"/>
                <w:szCs w:val="24"/>
              </w:rPr>
              <w:t>All Other Cities/Towns</w:t>
            </w:r>
            <w:r w:rsidRPr="00F71887">
              <w:rPr>
                <w:rStyle w:val="FootnoteReference"/>
                <w:b/>
                <w:bCs/>
                <w:sz w:val="24"/>
                <w:szCs w:val="24"/>
              </w:rPr>
              <w:footnoteReference w:id="8"/>
            </w:r>
          </w:p>
        </w:tc>
        <w:tc>
          <w:tcPr>
            <w:tcW w:w="3117" w:type="dxa"/>
          </w:tcPr>
          <w:p w14:paraId="62F30ABE" w14:textId="199DCB43" w:rsidR="007D63AE" w:rsidRPr="00F71887" w:rsidRDefault="007D63AE" w:rsidP="007D63AE">
            <w:pPr>
              <w:rPr>
                <w:sz w:val="24"/>
                <w:szCs w:val="24"/>
              </w:rPr>
            </w:pPr>
            <w:r w:rsidRPr="00F71887">
              <w:rPr>
                <w:sz w:val="24"/>
                <w:szCs w:val="24"/>
              </w:rPr>
              <w:t>1</w:t>
            </w:r>
            <w:r w:rsidR="00451CD5">
              <w:rPr>
                <w:sz w:val="24"/>
                <w:szCs w:val="24"/>
              </w:rPr>
              <w:t>46</w:t>
            </w:r>
          </w:p>
        </w:tc>
        <w:tc>
          <w:tcPr>
            <w:tcW w:w="3212" w:type="dxa"/>
            <w:vAlign w:val="center"/>
          </w:tcPr>
          <w:p w14:paraId="20EFFC5C" w14:textId="658D7515" w:rsidR="007D63AE" w:rsidRPr="00F71887" w:rsidRDefault="007D63AE" w:rsidP="007D63AE">
            <w:pPr>
              <w:rPr>
                <w:sz w:val="24"/>
                <w:szCs w:val="24"/>
              </w:rPr>
            </w:pPr>
            <w:r w:rsidRPr="00F71887">
              <w:rPr>
                <w:sz w:val="24"/>
                <w:szCs w:val="24"/>
              </w:rPr>
              <w:t>1</w:t>
            </w:r>
            <w:r w:rsidR="00451CD5">
              <w:rPr>
                <w:sz w:val="24"/>
                <w:szCs w:val="24"/>
              </w:rPr>
              <w:t>1</w:t>
            </w:r>
            <w:r w:rsidRPr="00F71887">
              <w:rPr>
                <w:sz w:val="24"/>
                <w:szCs w:val="24"/>
              </w:rPr>
              <w:t>%</w:t>
            </w:r>
          </w:p>
        </w:tc>
      </w:tr>
    </w:tbl>
    <w:p w14:paraId="10A07423" w14:textId="76942C97" w:rsidR="00665742" w:rsidRDefault="00665742" w:rsidP="00F41CFD">
      <w:pPr>
        <w:spacing w:line="240" w:lineRule="auto"/>
      </w:pPr>
    </w:p>
    <w:p w14:paraId="0C0F8326" w14:textId="4D773207" w:rsidR="00451CD5" w:rsidRPr="00451CD5" w:rsidRDefault="00451CD5" w:rsidP="00451CD5">
      <w:pPr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451CD5">
        <w:rPr>
          <w:sz w:val="24"/>
          <w:szCs w:val="24"/>
        </w:rPr>
        <w:t>Among cities and towns with at least 20 reported HIV diagnoses in 2018–2020</w:t>
      </w:r>
      <w:r w:rsidRPr="00451CD5">
        <w:rPr>
          <w:rStyle w:val="FootnoteReference"/>
          <w:sz w:val="24"/>
          <w:szCs w:val="24"/>
        </w:rPr>
        <w:footnoteReference w:id="9"/>
      </w:r>
      <w:r w:rsidRPr="00451CD5">
        <w:rPr>
          <w:sz w:val="24"/>
          <w:szCs w:val="24"/>
        </w:rPr>
        <w:t xml:space="preserve"> and at least 5 diagnoses among 13-24 year-olds, Waltham, Framingham, and Springfield had the largest proportions of HIV infections diagnosed among adolescents and young adults (aged 13–24 years old).  Each had at least 20% of new HIV infections diagnosed between the ages of 13 and 24 years.  </w:t>
      </w:r>
    </w:p>
    <w:p w14:paraId="3FCEBE4F" w14:textId="77777777" w:rsidR="005C4071" w:rsidRPr="00F71887" w:rsidRDefault="005C4071" w:rsidP="00F41CFD">
      <w:pPr>
        <w:spacing w:line="240" w:lineRule="auto"/>
        <w:rPr>
          <w:sz w:val="24"/>
          <w:szCs w:val="24"/>
        </w:rPr>
      </w:pPr>
      <w:r w:rsidRPr="00F71887">
        <w:rPr>
          <w:b/>
          <w:bCs/>
          <w:sz w:val="24"/>
          <w:szCs w:val="24"/>
        </w:rPr>
        <w:t>INFORMATION FROM ADDITIONAL DATA SOURCES</w:t>
      </w:r>
    </w:p>
    <w:p w14:paraId="5CFE727F" w14:textId="77777777" w:rsidR="005C4071" w:rsidRPr="00F71887" w:rsidRDefault="005C4071" w:rsidP="00F41CFD">
      <w:pPr>
        <w:spacing w:line="240" w:lineRule="auto"/>
        <w:rPr>
          <w:sz w:val="24"/>
          <w:szCs w:val="24"/>
        </w:rPr>
      </w:pPr>
      <w:r w:rsidRPr="00F71887">
        <w:rPr>
          <w:b/>
          <w:bCs/>
          <w:i/>
          <w:iCs/>
          <w:sz w:val="24"/>
          <w:szCs w:val="24"/>
        </w:rPr>
        <w:t xml:space="preserve">Massachusetts Youth Risk Behavior Survey (YRBS): </w:t>
      </w:r>
      <w:r w:rsidRPr="00F71887">
        <w:rPr>
          <w:i/>
          <w:iCs/>
          <w:sz w:val="24"/>
          <w:szCs w:val="24"/>
        </w:rPr>
        <w:t xml:space="preserve">An anonymous survey of public high school students conducted every odd year that collects data on health-related behaviors that may threaten the health and safety of young people. </w:t>
      </w:r>
    </w:p>
    <w:p w14:paraId="287B4DC7" w14:textId="77777777" w:rsidR="005C4071" w:rsidRPr="00F71887" w:rsidRDefault="005C4071" w:rsidP="00F41CFD">
      <w:pPr>
        <w:spacing w:line="240" w:lineRule="auto"/>
        <w:rPr>
          <w:sz w:val="24"/>
          <w:szCs w:val="24"/>
        </w:rPr>
      </w:pPr>
      <w:r w:rsidRPr="00F71887">
        <w:rPr>
          <w:i/>
          <w:iCs/>
          <w:sz w:val="24"/>
          <w:szCs w:val="24"/>
        </w:rPr>
        <w:t>Sexual behaviors</w:t>
      </w:r>
    </w:p>
    <w:p w14:paraId="1D638464" w14:textId="77777777" w:rsidR="005C4071" w:rsidRPr="00F71887" w:rsidRDefault="2FADE8A5" w:rsidP="003C54AF">
      <w:pPr>
        <w:spacing w:line="240" w:lineRule="auto"/>
        <w:rPr>
          <w:sz w:val="24"/>
          <w:szCs w:val="24"/>
        </w:rPr>
      </w:pPr>
      <w:r w:rsidRPr="052B8E56">
        <w:rPr>
          <w:sz w:val="24"/>
          <w:szCs w:val="24"/>
        </w:rPr>
        <w:t>Respondents to the 2019 Massachusetts YRBS reported the following rates of sexual behaviors:</w:t>
      </w:r>
    </w:p>
    <w:p w14:paraId="0DDAB38B" w14:textId="2CDBC3D3" w:rsidR="005C4071" w:rsidRPr="00F71887" w:rsidRDefault="2FADE8A5" w:rsidP="00F41CFD">
      <w:pPr>
        <w:numPr>
          <w:ilvl w:val="1"/>
          <w:numId w:val="8"/>
        </w:numPr>
        <w:spacing w:line="240" w:lineRule="auto"/>
        <w:rPr>
          <w:sz w:val="24"/>
          <w:szCs w:val="24"/>
        </w:rPr>
      </w:pPr>
      <w:r w:rsidRPr="750A2E2F">
        <w:rPr>
          <w:sz w:val="24"/>
          <w:szCs w:val="24"/>
        </w:rPr>
        <w:t xml:space="preserve">ever having sexual intercourse: 36.9% (95% Confidence Interval </w:t>
      </w:r>
      <w:r w:rsidR="2C7935C0" w:rsidRPr="750A2E2F">
        <w:rPr>
          <w:sz w:val="24"/>
          <w:szCs w:val="24"/>
        </w:rPr>
        <w:t>[</w:t>
      </w:r>
      <w:r w:rsidRPr="750A2E2F">
        <w:rPr>
          <w:sz w:val="24"/>
          <w:szCs w:val="24"/>
        </w:rPr>
        <w:t>CI</w:t>
      </w:r>
      <w:r w:rsidR="6727E7BE" w:rsidRPr="750A2E2F">
        <w:rPr>
          <w:sz w:val="24"/>
          <w:szCs w:val="24"/>
        </w:rPr>
        <w:t>]</w:t>
      </w:r>
      <w:r w:rsidRPr="750A2E2F">
        <w:rPr>
          <w:sz w:val="24"/>
          <w:szCs w:val="24"/>
        </w:rPr>
        <w:t>: 32.8%–41.3%, n=1,946</w:t>
      </w:r>
      <w:proofErr w:type="gramStart"/>
      <w:r w:rsidRPr="750A2E2F">
        <w:rPr>
          <w:sz w:val="24"/>
          <w:szCs w:val="24"/>
        </w:rPr>
        <w:t>);</w:t>
      </w:r>
      <w:proofErr w:type="gramEnd"/>
    </w:p>
    <w:p w14:paraId="1A268C5A" w14:textId="77777777" w:rsidR="005C4071" w:rsidRPr="00F71887" w:rsidRDefault="005C4071" w:rsidP="00F41CFD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F71887">
        <w:rPr>
          <w:sz w:val="24"/>
          <w:szCs w:val="24"/>
        </w:rPr>
        <w:t>sexual intercourse in the past three months: 26.9% (95% CI: 23.6%–30.4% n=1,943</w:t>
      </w:r>
      <w:proofErr w:type="gramStart"/>
      <w:r w:rsidRPr="00F71887">
        <w:rPr>
          <w:sz w:val="24"/>
          <w:szCs w:val="24"/>
        </w:rPr>
        <w:t>);</w:t>
      </w:r>
      <w:proofErr w:type="gramEnd"/>
      <w:r w:rsidRPr="00F71887">
        <w:rPr>
          <w:sz w:val="24"/>
          <w:szCs w:val="24"/>
        </w:rPr>
        <w:t xml:space="preserve"> </w:t>
      </w:r>
    </w:p>
    <w:p w14:paraId="53E31CA8" w14:textId="77777777" w:rsidR="005C4071" w:rsidRPr="00F71887" w:rsidRDefault="005C4071" w:rsidP="00F41CFD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F71887">
        <w:rPr>
          <w:sz w:val="24"/>
          <w:szCs w:val="24"/>
        </w:rPr>
        <w:t>condom use at last intercourse: 51.4% (95% CI: 45.3%–57.4%, n=427</w:t>
      </w:r>
      <w:proofErr w:type="gramStart"/>
      <w:r w:rsidRPr="00F71887">
        <w:rPr>
          <w:sz w:val="24"/>
          <w:szCs w:val="24"/>
        </w:rPr>
        <w:t>);</w:t>
      </w:r>
      <w:proofErr w:type="gramEnd"/>
    </w:p>
    <w:p w14:paraId="4ACF2934" w14:textId="77777777" w:rsidR="005C4071" w:rsidRPr="00F71887" w:rsidRDefault="005C4071" w:rsidP="00F41CFD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F71887">
        <w:rPr>
          <w:sz w:val="24"/>
          <w:szCs w:val="24"/>
        </w:rPr>
        <w:t>alcohol or drug use at last intercourse: 23.4% (95% CI: 19.5%–27.9%, n=434</w:t>
      </w:r>
      <w:proofErr w:type="gramStart"/>
      <w:r w:rsidRPr="00F71887">
        <w:rPr>
          <w:sz w:val="24"/>
          <w:szCs w:val="24"/>
        </w:rPr>
        <w:t>);</w:t>
      </w:r>
      <w:proofErr w:type="gramEnd"/>
      <w:r w:rsidRPr="00F71887">
        <w:rPr>
          <w:sz w:val="24"/>
          <w:szCs w:val="24"/>
        </w:rPr>
        <w:t xml:space="preserve"> </w:t>
      </w:r>
    </w:p>
    <w:p w14:paraId="086C975F" w14:textId="77777777" w:rsidR="005C4071" w:rsidRPr="00F71887" w:rsidRDefault="005C4071" w:rsidP="00F41CFD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F71887">
        <w:rPr>
          <w:sz w:val="24"/>
          <w:szCs w:val="24"/>
        </w:rPr>
        <w:t>having four or more lifetime sexual partners: 7.8% (95% CI: 6.3%–9.5%, n=1,938); and</w:t>
      </w:r>
    </w:p>
    <w:p w14:paraId="48F7C511" w14:textId="77777777" w:rsidR="005C4071" w:rsidRPr="00F71887" w:rsidRDefault="005C4071" w:rsidP="00F41CFD">
      <w:pPr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750A2E2F">
        <w:rPr>
          <w:sz w:val="24"/>
          <w:szCs w:val="24"/>
        </w:rPr>
        <w:t>sexual intercourse before age 13: 2.5% (95% CI: 1.7%–3.4%, n=1,951).</w:t>
      </w:r>
    </w:p>
    <w:p w14:paraId="645007CC" w14:textId="77777777" w:rsidR="005C4071" w:rsidRPr="00F71887" w:rsidRDefault="005C4071" w:rsidP="00F41CFD">
      <w:pPr>
        <w:spacing w:line="240" w:lineRule="auto"/>
        <w:rPr>
          <w:sz w:val="24"/>
          <w:szCs w:val="24"/>
        </w:rPr>
      </w:pPr>
      <w:r w:rsidRPr="00F71887">
        <w:rPr>
          <w:i/>
          <w:iCs/>
          <w:sz w:val="24"/>
          <w:szCs w:val="24"/>
        </w:rPr>
        <w:t>Drug use</w:t>
      </w:r>
    </w:p>
    <w:p w14:paraId="6D480927" w14:textId="77777777" w:rsidR="005C4071" w:rsidRPr="00F71887" w:rsidRDefault="005C4071" w:rsidP="00F41CFD">
      <w:pPr>
        <w:spacing w:line="240" w:lineRule="auto"/>
        <w:rPr>
          <w:sz w:val="24"/>
          <w:szCs w:val="24"/>
        </w:rPr>
      </w:pPr>
      <w:r w:rsidRPr="00F71887">
        <w:rPr>
          <w:i/>
          <w:iCs/>
          <w:sz w:val="24"/>
          <w:szCs w:val="24"/>
        </w:rPr>
        <w:t xml:space="preserve">Both injection and non-injection substance use have been documented to increase risk for HIV and hepatitis C virus infection. </w:t>
      </w:r>
    </w:p>
    <w:p w14:paraId="7F941A85" w14:textId="77777777" w:rsidR="005C4071" w:rsidRPr="00F71887" w:rsidRDefault="2FADE8A5" w:rsidP="003C54AF">
      <w:pPr>
        <w:spacing w:line="240" w:lineRule="auto"/>
        <w:rPr>
          <w:sz w:val="24"/>
          <w:szCs w:val="24"/>
        </w:rPr>
      </w:pPr>
      <w:r w:rsidRPr="052B8E56">
        <w:rPr>
          <w:sz w:val="24"/>
          <w:szCs w:val="24"/>
        </w:rPr>
        <w:lastRenderedPageBreak/>
        <w:t>Respondents to the 2019 Massachusetts YRBS reported the following rates of drug use:</w:t>
      </w:r>
    </w:p>
    <w:p w14:paraId="6FCA5C2C" w14:textId="77777777" w:rsidR="005C4071" w:rsidRPr="00F71887" w:rsidRDefault="005C4071" w:rsidP="00F41CFD">
      <w:pPr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F71887">
        <w:rPr>
          <w:sz w:val="24"/>
          <w:szCs w:val="24"/>
        </w:rPr>
        <w:t>ever using marijuana: 41.9% (95% CI: 37.5%–46.4%, n=1,917</w:t>
      </w:r>
      <w:proofErr w:type="gramStart"/>
      <w:r w:rsidRPr="00F71887">
        <w:rPr>
          <w:sz w:val="24"/>
          <w:szCs w:val="24"/>
        </w:rPr>
        <w:t>);</w:t>
      </w:r>
      <w:proofErr w:type="gramEnd"/>
    </w:p>
    <w:p w14:paraId="413EE790" w14:textId="77777777" w:rsidR="005C4071" w:rsidRPr="00F71887" w:rsidRDefault="005C4071" w:rsidP="00F41CFD">
      <w:pPr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F71887">
        <w:rPr>
          <w:sz w:val="24"/>
          <w:szCs w:val="24"/>
        </w:rPr>
        <w:t>ever using cocaine: 3.7% (95% CI: 2.8%–5.0%, n=1,937</w:t>
      </w:r>
      <w:proofErr w:type="gramStart"/>
      <w:r w:rsidRPr="00F71887">
        <w:rPr>
          <w:sz w:val="24"/>
          <w:szCs w:val="24"/>
        </w:rPr>
        <w:t>);</w:t>
      </w:r>
      <w:proofErr w:type="gramEnd"/>
      <w:r w:rsidRPr="00F71887">
        <w:rPr>
          <w:sz w:val="24"/>
          <w:szCs w:val="24"/>
        </w:rPr>
        <w:t xml:space="preserve"> </w:t>
      </w:r>
    </w:p>
    <w:p w14:paraId="25466897" w14:textId="77777777" w:rsidR="005C4071" w:rsidRPr="00F71887" w:rsidRDefault="005C4071" w:rsidP="00F41CFD">
      <w:pPr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F71887">
        <w:rPr>
          <w:sz w:val="24"/>
          <w:szCs w:val="24"/>
        </w:rPr>
        <w:t>ever using ecstasy 3.4% (95% CI: 2.4%–4.9%, n=1,933</w:t>
      </w:r>
      <w:proofErr w:type="gramStart"/>
      <w:r w:rsidRPr="00F71887">
        <w:rPr>
          <w:sz w:val="24"/>
          <w:szCs w:val="24"/>
        </w:rPr>
        <w:t>);</w:t>
      </w:r>
      <w:proofErr w:type="gramEnd"/>
      <w:r w:rsidRPr="00F71887">
        <w:rPr>
          <w:sz w:val="24"/>
          <w:szCs w:val="24"/>
        </w:rPr>
        <w:t xml:space="preserve"> </w:t>
      </w:r>
    </w:p>
    <w:p w14:paraId="19272434" w14:textId="77777777" w:rsidR="005C4071" w:rsidRPr="00F71887" w:rsidRDefault="005C4071" w:rsidP="00F41CFD">
      <w:pPr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F71887">
        <w:rPr>
          <w:sz w:val="24"/>
          <w:szCs w:val="24"/>
        </w:rPr>
        <w:t xml:space="preserve">ever using methamphetamines: 2.2% (95% CI: 1.4%–3.5%, n=2,162); and </w:t>
      </w:r>
    </w:p>
    <w:p w14:paraId="0DA48CFA" w14:textId="77777777" w:rsidR="005C4071" w:rsidRPr="00F71887" w:rsidRDefault="005C4071" w:rsidP="00F41CFD">
      <w:pPr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F71887">
        <w:rPr>
          <w:sz w:val="24"/>
          <w:szCs w:val="24"/>
        </w:rPr>
        <w:t>ever using heroin: 1.9% (95% CI: 1.2%–3.0%, n=2,152).</w:t>
      </w:r>
    </w:p>
    <w:p w14:paraId="7CC0FB21" w14:textId="77777777" w:rsidR="005C4071" w:rsidRPr="00AE4DA4" w:rsidRDefault="005C4071" w:rsidP="00F41CFD">
      <w:pPr>
        <w:spacing w:line="240" w:lineRule="auto"/>
        <w:rPr>
          <w:sz w:val="20"/>
          <w:szCs w:val="20"/>
        </w:rPr>
      </w:pPr>
      <w:r w:rsidRPr="00AE4DA4">
        <w:rPr>
          <w:sz w:val="20"/>
          <w:szCs w:val="20"/>
        </w:rPr>
        <w:t xml:space="preserve">Data Source for Youth Risk Behavior Survey Data: Centers for Disease Control and Prevention (CDC). 2019 High School Youth Risk Behavior Survey Data. Available at http://nccd.cdc.gov/youthonline/. Accessed on [9/2/2020] CDC, Accessed at Youth Online, </w:t>
      </w:r>
      <w:hyperlink r:id="rId19" w:history="1">
        <w:r w:rsidRPr="00AE4DA4">
          <w:rPr>
            <w:rStyle w:val="Hyperlink"/>
            <w:sz w:val="20"/>
            <w:szCs w:val="20"/>
          </w:rPr>
          <w:t>https://nccd.cdc.gov/Youthonline/App/Default.aspx</w:t>
        </w:r>
      </w:hyperlink>
      <w:r w:rsidRPr="00AE4DA4">
        <w:rPr>
          <w:sz w:val="20"/>
          <w:szCs w:val="20"/>
        </w:rPr>
        <w:t xml:space="preserve">.  </w:t>
      </w:r>
    </w:p>
    <w:p w14:paraId="5F91F913" w14:textId="2DAB8D61" w:rsidR="001664E0" w:rsidRPr="00AE4DA4" w:rsidRDefault="001664E0" w:rsidP="001664E0">
      <w:pPr>
        <w:rPr>
          <w:sz w:val="20"/>
          <w:szCs w:val="20"/>
        </w:rPr>
      </w:pPr>
      <w:r w:rsidRPr="00AE4DA4">
        <w:rPr>
          <w:sz w:val="20"/>
          <w:szCs w:val="20"/>
        </w:rPr>
        <w:t xml:space="preserve">HIV Surveillance Data Source: MDPH Bureau of Infectious Disease and Laboratory Sciences, data are current as of </w:t>
      </w:r>
      <w:r w:rsidR="00E211D3" w:rsidRPr="00AE4DA4">
        <w:rPr>
          <w:sz w:val="20"/>
          <w:szCs w:val="20"/>
        </w:rPr>
        <w:t>1/1/2022</w:t>
      </w:r>
      <w:r w:rsidRPr="00AE4DA4">
        <w:rPr>
          <w:sz w:val="20"/>
          <w:szCs w:val="20"/>
        </w:rPr>
        <w:t xml:space="preserve"> and may be subject to </w:t>
      </w:r>
      <w:proofErr w:type="gramStart"/>
      <w:r w:rsidRPr="00AE4DA4">
        <w:rPr>
          <w:sz w:val="20"/>
          <w:szCs w:val="20"/>
        </w:rPr>
        <w:t>change</w:t>
      </w:r>
      <w:proofErr w:type="gramEnd"/>
    </w:p>
    <w:p w14:paraId="0F7B2DC4" w14:textId="77777777" w:rsidR="003018C5" w:rsidRPr="00F71887" w:rsidRDefault="003018C5" w:rsidP="00F41CFD">
      <w:pPr>
        <w:spacing w:line="240" w:lineRule="auto"/>
        <w:rPr>
          <w:sz w:val="24"/>
          <w:szCs w:val="24"/>
        </w:rPr>
      </w:pPr>
    </w:p>
    <w:sectPr w:rsidR="003018C5" w:rsidRPr="00F71887" w:rsidSect="00176B1E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82217" w14:textId="77777777" w:rsidR="005669E0" w:rsidRDefault="005669E0" w:rsidP="0005675F">
      <w:pPr>
        <w:spacing w:after="0" w:line="240" w:lineRule="auto"/>
      </w:pPr>
      <w:r>
        <w:separator/>
      </w:r>
    </w:p>
  </w:endnote>
  <w:endnote w:type="continuationSeparator" w:id="0">
    <w:p w14:paraId="3938A1FA" w14:textId="77777777" w:rsidR="005669E0" w:rsidRDefault="005669E0" w:rsidP="00056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61388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1E72DF" w14:textId="01E8D30F" w:rsidR="00176B1E" w:rsidRDefault="00176B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FB54A3" w14:textId="77777777" w:rsidR="00176B1E" w:rsidRDefault="00176B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797E8" w14:textId="77777777" w:rsidR="005669E0" w:rsidRDefault="005669E0" w:rsidP="0005675F">
      <w:pPr>
        <w:spacing w:after="0" w:line="240" w:lineRule="auto"/>
      </w:pPr>
      <w:r>
        <w:separator/>
      </w:r>
    </w:p>
  </w:footnote>
  <w:footnote w:type="continuationSeparator" w:id="0">
    <w:p w14:paraId="102B32CF" w14:textId="77777777" w:rsidR="005669E0" w:rsidRDefault="005669E0" w:rsidP="0005675F">
      <w:pPr>
        <w:spacing w:after="0" w:line="240" w:lineRule="auto"/>
      </w:pPr>
      <w:r>
        <w:continuationSeparator/>
      </w:r>
    </w:p>
  </w:footnote>
  <w:footnote w:id="1">
    <w:p w14:paraId="05EB0CC3" w14:textId="77777777" w:rsidR="00E211D3" w:rsidRPr="00AB3EF8" w:rsidRDefault="00E211D3" w:rsidP="00E211D3">
      <w:pPr>
        <w:pStyle w:val="FootnoteText"/>
        <w:rPr>
          <w:sz w:val="18"/>
          <w:szCs w:val="18"/>
        </w:rPr>
      </w:pPr>
      <w:r w:rsidRPr="00AB3EF8">
        <w:rPr>
          <w:rStyle w:val="FootnoteReference"/>
          <w:sz w:val="18"/>
          <w:szCs w:val="18"/>
        </w:rPr>
        <w:footnoteRef/>
      </w:r>
      <w:r w:rsidRPr="00AB3EF8">
        <w:rPr>
          <w:sz w:val="18"/>
          <w:szCs w:val="18"/>
        </w:rPr>
        <w:t xml:space="preserve"> Providers may use this number to report individuals newly diagnosed with a notifiable sexually transmitted infection, including HIV, or request partner services. Partner services is a free and confidential service for individuals recently diagnosed with a priority infection. The client-centered program offers counseling, linkage to other health and social services, anonymous notification of partners who were exposed and assistance with getting testing and treatment. For more information, see: </w:t>
      </w:r>
      <w:hyperlink r:id="rId1" w:history="1">
        <w:r w:rsidRPr="00AB3EF8">
          <w:rPr>
            <w:rStyle w:val="Hyperlink"/>
            <w:i/>
            <w:iCs/>
            <w:sz w:val="18"/>
            <w:szCs w:val="18"/>
          </w:rPr>
          <w:t>https://www.mass.gov/service-details/partner-services-program-information-for-healthcare-providers</w:t>
        </w:r>
      </w:hyperlink>
      <w:r w:rsidRPr="00AB3EF8">
        <w:rPr>
          <w:sz w:val="18"/>
          <w:szCs w:val="18"/>
        </w:rPr>
        <w:t>) </w:t>
      </w:r>
    </w:p>
    <w:p w14:paraId="2555477F" w14:textId="77777777" w:rsidR="00E211D3" w:rsidRDefault="00E211D3" w:rsidP="00E211D3">
      <w:pPr>
        <w:pStyle w:val="FootnoteText"/>
      </w:pPr>
    </w:p>
  </w:footnote>
  <w:footnote w:id="2">
    <w:p w14:paraId="3D68709F" w14:textId="77777777" w:rsidR="00451CD5" w:rsidRDefault="00451CD5" w:rsidP="00451CD5">
      <w:pPr>
        <w:pStyle w:val="FootnoteText"/>
      </w:pPr>
      <w:r w:rsidRPr="00602514">
        <w:rPr>
          <w:rStyle w:val="FootnoteReference"/>
          <w:sz w:val="18"/>
          <w:szCs w:val="18"/>
        </w:rPr>
        <w:footnoteRef/>
      </w:r>
      <w:r w:rsidRPr="00602514">
        <w:rPr>
          <w:sz w:val="18"/>
          <w:szCs w:val="18"/>
        </w:rPr>
        <w:t xml:space="preserve"> Please consider the impact of the COVID-19 pandemic on infectious disease screening, treatment, and surveillance in the interpretation of 2020 data  </w:t>
      </w:r>
    </w:p>
  </w:footnote>
  <w:footnote w:id="3">
    <w:p w14:paraId="1ADA96CF" w14:textId="43D0C54C" w:rsidR="00451CD5" w:rsidRDefault="00451CD5">
      <w:pPr>
        <w:pStyle w:val="FootnoteText"/>
      </w:pPr>
      <w:r w:rsidRPr="00451CD5">
        <w:rPr>
          <w:rStyle w:val="FootnoteReference"/>
          <w:sz w:val="18"/>
          <w:szCs w:val="18"/>
        </w:rPr>
        <w:footnoteRef/>
      </w:r>
      <w:r w:rsidRPr="00451CD5">
        <w:rPr>
          <w:sz w:val="18"/>
          <w:szCs w:val="18"/>
        </w:rPr>
        <w:t xml:space="preserve"> Centers for Disease Control and Prevention. HIV Surveillance Report, 2020; vol. 33. </w:t>
      </w:r>
      <w:hyperlink r:id="rId2" w:history="1">
        <w:r w:rsidRPr="00451CD5">
          <w:rPr>
            <w:rStyle w:val="Hyperlink"/>
            <w:sz w:val="18"/>
            <w:szCs w:val="18"/>
          </w:rPr>
          <w:t>http://www.cdc.gov/hiv/library/reports/hiv-surveillance.html</w:t>
        </w:r>
      </w:hyperlink>
      <w:r w:rsidRPr="00451CD5">
        <w:rPr>
          <w:sz w:val="18"/>
          <w:szCs w:val="18"/>
        </w:rPr>
        <w:t xml:space="preserve"> Published May 2022. Accessed [12/18/22].</w:t>
      </w:r>
    </w:p>
  </w:footnote>
  <w:footnote w:id="4">
    <w:p w14:paraId="416CCF57" w14:textId="77777777" w:rsidR="00451CD5" w:rsidRDefault="00451CD5" w:rsidP="00451CD5">
      <w:pPr>
        <w:pStyle w:val="FootnoteText"/>
      </w:pPr>
      <w:r w:rsidRPr="00602514">
        <w:rPr>
          <w:rStyle w:val="FootnoteReference"/>
          <w:sz w:val="18"/>
          <w:szCs w:val="18"/>
        </w:rPr>
        <w:footnoteRef/>
      </w:r>
      <w:r w:rsidRPr="00602514">
        <w:rPr>
          <w:sz w:val="18"/>
          <w:szCs w:val="18"/>
        </w:rPr>
        <w:t xml:space="preserve"> Please consider the impact of the COVID-19 pandemic on infectious disease screening, treatment, and surveillance in the interpretation of 2020 data  </w:t>
      </w:r>
    </w:p>
  </w:footnote>
  <w:footnote w:id="5">
    <w:p w14:paraId="11ADEBC0" w14:textId="77777777" w:rsidR="00451CD5" w:rsidRDefault="00451CD5" w:rsidP="00451CD5">
      <w:pPr>
        <w:pStyle w:val="FootnoteText"/>
      </w:pPr>
      <w:r w:rsidRPr="00602514">
        <w:rPr>
          <w:rStyle w:val="FootnoteReference"/>
          <w:sz w:val="18"/>
          <w:szCs w:val="18"/>
        </w:rPr>
        <w:footnoteRef/>
      </w:r>
      <w:r w:rsidRPr="00602514">
        <w:rPr>
          <w:sz w:val="18"/>
          <w:szCs w:val="18"/>
        </w:rPr>
        <w:t xml:space="preserve"> Please consider the impact of the COVID-19 pandemic on infectious disease screening, treatment, and surveillance in the interpretation of 2020 data  </w:t>
      </w:r>
    </w:p>
  </w:footnote>
  <w:footnote w:id="6">
    <w:p w14:paraId="13C0B496" w14:textId="77777777" w:rsidR="00451CD5" w:rsidRDefault="00451CD5" w:rsidP="00451CD5">
      <w:pPr>
        <w:pStyle w:val="FootnoteText"/>
      </w:pPr>
      <w:r w:rsidRPr="00602514">
        <w:rPr>
          <w:rStyle w:val="FootnoteReference"/>
          <w:sz w:val="18"/>
          <w:szCs w:val="18"/>
        </w:rPr>
        <w:footnoteRef/>
      </w:r>
      <w:r w:rsidRPr="00602514">
        <w:rPr>
          <w:sz w:val="18"/>
          <w:szCs w:val="18"/>
        </w:rPr>
        <w:t xml:space="preserve"> Please consider the impact of the COVID-19 pandemic on infectious disease screening, treatment, and surveillance in the interpretation of 2020 data  </w:t>
      </w:r>
    </w:p>
  </w:footnote>
  <w:footnote w:id="7">
    <w:p w14:paraId="586B7969" w14:textId="05F45258" w:rsidR="008C7D79" w:rsidRPr="008C7D79" w:rsidRDefault="008C7D79">
      <w:pPr>
        <w:pStyle w:val="FootnoteText"/>
        <w:rPr>
          <w:sz w:val="18"/>
          <w:szCs w:val="18"/>
        </w:rPr>
      </w:pPr>
      <w:r w:rsidRPr="008C7D79">
        <w:rPr>
          <w:rStyle w:val="FootnoteReference"/>
          <w:sz w:val="18"/>
          <w:szCs w:val="18"/>
        </w:rPr>
        <w:footnoteRef/>
      </w:r>
      <w:r w:rsidR="052B8E56" w:rsidRPr="008C7D79">
        <w:rPr>
          <w:sz w:val="18"/>
          <w:szCs w:val="18"/>
        </w:rPr>
        <w:t xml:space="preserve"> City/town is based on residence at HIV infection </w:t>
      </w:r>
      <w:proofErr w:type="gramStart"/>
      <w:r w:rsidR="052B8E56" w:rsidRPr="008C7D79">
        <w:rPr>
          <w:sz w:val="18"/>
          <w:szCs w:val="18"/>
        </w:rPr>
        <w:t>diagnosis</w:t>
      </w:r>
      <w:proofErr w:type="gramEnd"/>
    </w:p>
  </w:footnote>
  <w:footnote w:id="8">
    <w:p w14:paraId="720D7C63" w14:textId="4D2837FC" w:rsidR="007D63AE" w:rsidRPr="00AE4DA4" w:rsidRDefault="007D63AE">
      <w:pPr>
        <w:pStyle w:val="FootnoteText"/>
        <w:rPr>
          <w:sz w:val="18"/>
          <w:szCs w:val="18"/>
        </w:rPr>
      </w:pPr>
      <w:r w:rsidRPr="008C7D79">
        <w:rPr>
          <w:rStyle w:val="FootnoteReference"/>
          <w:sz w:val="18"/>
          <w:szCs w:val="18"/>
        </w:rPr>
        <w:footnoteRef/>
      </w:r>
      <w:r w:rsidRPr="008C7D79">
        <w:rPr>
          <w:sz w:val="18"/>
          <w:szCs w:val="18"/>
        </w:rPr>
        <w:t xml:space="preserve"> All Other Cities/Towns includes individuals diagnosed in a correctional </w:t>
      </w:r>
      <w:proofErr w:type="gramStart"/>
      <w:r w:rsidRPr="008C7D79">
        <w:rPr>
          <w:sz w:val="18"/>
          <w:szCs w:val="18"/>
        </w:rPr>
        <w:t>facility</w:t>
      </w:r>
      <w:proofErr w:type="gramEnd"/>
    </w:p>
  </w:footnote>
  <w:footnote w:id="9">
    <w:p w14:paraId="70C70D28" w14:textId="77777777" w:rsidR="00451CD5" w:rsidRDefault="00451CD5" w:rsidP="00451CD5">
      <w:pPr>
        <w:pStyle w:val="FootnoteText"/>
      </w:pPr>
      <w:r w:rsidRPr="00602514">
        <w:rPr>
          <w:rStyle w:val="FootnoteReference"/>
          <w:sz w:val="18"/>
          <w:szCs w:val="18"/>
        </w:rPr>
        <w:footnoteRef/>
      </w:r>
      <w:r w:rsidRPr="00602514">
        <w:rPr>
          <w:sz w:val="18"/>
          <w:szCs w:val="18"/>
        </w:rPr>
        <w:t xml:space="preserve"> Please consider the impact of the COVID-19 pandemic on infectious disease screening, treatment, and surveillance in the interpretation of 2020 data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9A5D" w14:textId="77F6978A" w:rsidR="00176B1E" w:rsidRPr="0096568D" w:rsidRDefault="0096568D">
    <w:pPr>
      <w:pStyle w:val="Header"/>
      <w:rPr>
        <w:sz w:val="24"/>
        <w:szCs w:val="24"/>
      </w:rPr>
    </w:pPr>
    <w:r w:rsidRPr="0096568D">
      <w:rPr>
        <w:sz w:val="24"/>
        <w:szCs w:val="24"/>
      </w:rPr>
      <w:t>ADOLESCENTS AND YOUNG ADULTS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EFE"/>
    <w:multiLevelType w:val="hybridMultilevel"/>
    <w:tmpl w:val="89A4CF7C"/>
    <w:lvl w:ilvl="0" w:tplc="7D942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92B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3C2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C2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3A6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8B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22D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A42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DCEB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603DFC"/>
    <w:multiLevelType w:val="hybridMultilevel"/>
    <w:tmpl w:val="4418E3C6"/>
    <w:lvl w:ilvl="0" w:tplc="B66E1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DC05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12E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5EA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FC8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5C2E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101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16C0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CA0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6C62E7"/>
    <w:multiLevelType w:val="hybridMultilevel"/>
    <w:tmpl w:val="1122AB54"/>
    <w:lvl w:ilvl="0" w:tplc="4DBEE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C0E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326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EA5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38B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5CA9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C0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B84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3AD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7C6993"/>
    <w:multiLevelType w:val="hybridMultilevel"/>
    <w:tmpl w:val="E8E8D034"/>
    <w:lvl w:ilvl="0" w:tplc="F7204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AC34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E7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1AA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4A3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CF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743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2C0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2A2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ED52E7"/>
    <w:multiLevelType w:val="hybridMultilevel"/>
    <w:tmpl w:val="738655CA"/>
    <w:lvl w:ilvl="0" w:tplc="90021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18C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00F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16A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5A33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C24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84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123B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2AD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DE04CAB"/>
    <w:multiLevelType w:val="hybridMultilevel"/>
    <w:tmpl w:val="03DECC92"/>
    <w:lvl w:ilvl="0" w:tplc="8EBAF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04EB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E2F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32D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4AE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BC2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128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A6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472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ECF16EA"/>
    <w:multiLevelType w:val="hybridMultilevel"/>
    <w:tmpl w:val="9F40F152"/>
    <w:lvl w:ilvl="0" w:tplc="9A94A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3455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02C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68E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0E3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DE9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9A6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66D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8E67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20825E2"/>
    <w:multiLevelType w:val="hybridMultilevel"/>
    <w:tmpl w:val="23109AF6"/>
    <w:lvl w:ilvl="0" w:tplc="50E616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6A3A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106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C5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163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EB1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DC8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507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9AA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66B6C40"/>
    <w:multiLevelType w:val="hybridMultilevel"/>
    <w:tmpl w:val="599E91E4"/>
    <w:lvl w:ilvl="0" w:tplc="624EC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CC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8E3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EC22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F01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5AA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6CF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701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1237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C4E34C7"/>
    <w:multiLevelType w:val="hybridMultilevel"/>
    <w:tmpl w:val="065C6F42"/>
    <w:lvl w:ilvl="0" w:tplc="B10810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FE8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507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D6F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3C4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C62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0A0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CE5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C6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EB3CEA"/>
    <w:multiLevelType w:val="hybridMultilevel"/>
    <w:tmpl w:val="444ED16E"/>
    <w:lvl w:ilvl="0" w:tplc="15FCD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7ADC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40D6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94C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E85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8E2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CE7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A612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46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80C3A23"/>
    <w:multiLevelType w:val="hybridMultilevel"/>
    <w:tmpl w:val="04FC796E"/>
    <w:lvl w:ilvl="0" w:tplc="D78C96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6E5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64A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0D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F0A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49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24A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A61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1475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AE03B26"/>
    <w:multiLevelType w:val="hybridMultilevel"/>
    <w:tmpl w:val="A094EF1E"/>
    <w:lvl w:ilvl="0" w:tplc="E9528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4AE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1A2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40B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1E1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B8B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3C5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8CB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EC9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B333720"/>
    <w:multiLevelType w:val="hybridMultilevel"/>
    <w:tmpl w:val="096A8628"/>
    <w:lvl w:ilvl="0" w:tplc="10A4B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004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6E6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6CA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721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46F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8A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9A2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0A47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30B10BE"/>
    <w:multiLevelType w:val="hybridMultilevel"/>
    <w:tmpl w:val="D28AA7D0"/>
    <w:lvl w:ilvl="0" w:tplc="5D867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0CA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24E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680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003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225B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8AC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A60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7E9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5D924A5"/>
    <w:multiLevelType w:val="hybridMultilevel"/>
    <w:tmpl w:val="E98A0D3E"/>
    <w:lvl w:ilvl="0" w:tplc="87AC3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BC4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889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4A1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CE8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384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5C3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1C9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4EB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6CF05F3"/>
    <w:multiLevelType w:val="hybridMultilevel"/>
    <w:tmpl w:val="F1F4D170"/>
    <w:lvl w:ilvl="0" w:tplc="485EA3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484E6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08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E22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F47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501C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FEA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CA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6AD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B0D39F6"/>
    <w:multiLevelType w:val="hybridMultilevel"/>
    <w:tmpl w:val="C0425C0E"/>
    <w:lvl w:ilvl="0" w:tplc="DD268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27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2EC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847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85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0A0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2E1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CC5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9AE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0540596"/>
    <w:multiLevelType w:val="hybridMultilevel"/>
    <w:tmpl w:val="0AA827B2"/>
    <w:lvl w:ilvl="0" w:tplc="488C87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980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128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88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289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6294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06C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58E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9075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0CD41DB"/>
    <w:multiLevelType w:val="hybridMultilevel"/>
    <w:tmpl w:val="7AF0D192"/>
    <w:lvl w:ilvl="0" w:tplc="733AD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0C0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6A0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FEB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23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1EDC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E05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B0C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DAF1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27C48A7"/>
    <w:multiLevelType w:val="hybridMultilevel"/>
    <w:tmpl w:val="E3E2FF8A"/>
    <w:lvl w:ilvl="0" w:tplc="F4526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32A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A8E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FC4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B8A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6AC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EE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BA3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0D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C9A60CA"/>
    <w:multiLevelType w:val="hybridMultilevel"/>
    <w:tmpl w:val="F2E60E0C"/>
    <w:lvl w:ilvl="0" w:tplc="3128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D0E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07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DC9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E44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EB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C2C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CE5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BC7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E3510B3"/>
    <w:multiLevelType w:val="hybridMultilevel"/>
    <w:tmpl w:val="86CCE38A"/>
    <w:lvl w:ilvl="0" w:tplc="E8FC8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343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382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908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18B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CAF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4C57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5ED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06B7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39504137">
    <w:abstractNumId w:val="0"/>
  </w:num>
  <w:num w:numId="2" w16cid:durableId="1315376020">
    <w:abstractNumId w:val="7"/>
  </w:num>
  <w:num w:numId="3" w16cid:durableId="1152596735">
    <w:abstractNumId w:val="22"/>
  </w:num>
  <w:num w:numId="4" w16cid:durableId="1433403460">
    <w:abstractNumId w:val="21"/>
  </w:num>
  <w:num w:numId="5" w16cid:durableId="537162385">
    <w:abstractNumId w:val="14"/>
  </w:num>
  <w:num w:numId="6" w16cid:durableId="360935177">
    <w:abstractNumId w:val="12"/>
  </w:num>
  <w:num w:numId="7" w16cid:durableId="1761877686">
    <w:abstractNumId w:val="18"/>
  </w:num>
  <w:num w:numId="8" w16cid:durableId="1616643830">
    <w:abstractNumId w:val="16"/>
  </w:num>
  <w:num w:numId="9" w16cid:durableId="1744253932">
    <w:abstractNumId w:val="15"/>
  </w:num>
  <w:num w:numId="10" w16cid:durableId="1973318143">
    <w:abstractNumId w:val="8"/>
  </w:num>
  <w:num w:numId="11" w16cid:durableId="806551902">
    <w:abstractNumId w:val="11"/>
  </w:num>
  <w:num w:numId="12" w16cid:durableId="749161122">
    <w:abstractNumId w:val="6"/>
  </w:num>
  <w:num w:numId="13" w16cid:durableId="1801265769">
    <w:abstractNumId w:val="9"/>
  </w:num>
  <w:num w:numId="14" w16cid:durableId="1595748003">
    <w:abstractNumId w:val="5"/>
  </w:num>
  <w:num w:numId="15" w16cid:durableId="243489112">
    <w:abstractNumId w:val="13"/>
  </w:num>
  <w:num w:numId="16" w16cid:durableId="2043359021">
    <w:abstractNumId w:val="4"/>
  </w:num>
  <w:num w:numId="17" w16cid:durableId="331564633">
    <w:abstractNumId w:val="3"/>
  </w:num>
  <w:num w:numId="18" w16cid:durableId="1502962512">
    <w:abstractNumId w:val="20"/>
  </w:num>
  <w:num w:numId="19" w16cid:durableId="834301088">
    <w:abstractNumId w:val="2"/>
  </w:num>
  <w:num w:numId="20" w16cid:durableId="1821843392">
    <w:abstractNumId w:val="1"/>
  </w:num>
  <w:num w:numId="21" w16cid:durableId="1520507358">
    <w:abstractNumId w:val="19"/>
  </w:num>
  <w:num w:numId="22" w16cid:durableId="1464233951">
    <w:abstractNumId w:val="17"/>
  </w:num>
  <w:num w:numId="23" w16cid:durableId="11524028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26"/>
    <w:rsid w:val="0000014B"/>
    <w:rsid w:val="00022326"/>
    <w:rsid w:val="000270C2"/>
    <w:rsid w:val="0005675F"/>
    <w:rsid w:val="000C0D68"/>
    <w:rsid w:val="0014076F"/>
    <w:rsid w:val="001631D1"/>
    <w:rsid w:val="001664E0"/>
    <w:rsid w:val="00176B1E"/>
    <w:rsid w:val="00183A98"/>
    <w:rsid w:val="001D5BB6"/>
    <w:rsid w:val="001E5882"/>
    <w:rsid w:val="0023739C"/>
    <w:rsid w:val="00277587"/>
    <w:rsid w:val="002A56A3"/>
    <w:rsid w:val="002C3F12"/>
    <w:rsid w:val="002C44D9"/>
    <w:rsid w:val="003018C5"/>
    <w:rsid w:val="0038565F"/>
    <w:rsid w:val="003A0962"/>
    <w:rsid w:val="003C54AF"/>
    <w:rsid w:val="003D477A"/>
    <w:rsid w:val="003E4149"/>
    <w:rsid w:val="0041609D"/>
    <w:rsid w:val="00451CD5"/>
    <w:rsid w:val="004F295F"/>
    <w:rsid w:val="005123F4"/>
    <w:rsid w:val="00546B5A"/>
    <w:rsid w:val="005669E0"/>
    <w:rsid w:val="005718AE"/>
    <w:rsid w:val="005C4071"/>
    <w:rsid w:val="005E5DB8"/>
    <w:rsid w:val="00665742"/>
    <w:rsid w:val="0067549A"/>
    <w:rsid w:val="006808EC"/>
    <w:rsid w:val="00684509"/>
    <w:rsid w:val="006C40F5"/>
    <w:rsid w:val="0071677B"/>
    <w:rsid w:val="007206BE"/>
    <w:rsid w:val="00777008"/>
    <w:rsid w:val="007C394C"/>
    <w:rsid w:val="007D340D"/>
    <w:rsid w:val="007D63AE"/>
    <w:rsid w:val="007F3A93"/>
    <w:rsid w:val="00801279"/>
    <w:rsid w:val="00825322"/>
    <w:rsid w:val="008322E7"/>
    <w:rsid w:val="00837A73"/>
    <w:rsid w:val="008B030B"/>
    <w:rsid w:val="008B2312"/>
    <w:rsid w:val="008B4090"/>
    <w:rsid w:val="008C7D79"/>
    <w:rsid w:val="008D167A"/>
    <w:rsid w:val="008D79C8"/>
    <w:rsid w:val="008E5F52"/>
    <w:rsid w:val="0096568D"/>
    <w:rsid w:val="00984640"/>
    <w:rsid w:val="00992F58"/>
    <w:rsid w:val="0099554D"/>
    <w:rsid w:val="00995C34"/>
    <w:rsid w:val="00997E23"/>
    <w:rsid w:val="009A123A"/>
    <w:rsid w:val="009E70F6"/>
    <w:rsid w:val="009F5D5D"/>
    <w:rsid w:val="00A369CE"/>
    <w:rsid w:val="00A415D2"/>
    <w:rsid w:val="00A56DD3"/>
    <w:rsid w:val="00AB3EF8"/>
    <w:rsid w:val="00AB4864"/>
    <w:rsid w:val="00AE4DA4"/>
    <w:rsid w:val="00AE583C"/>
    <w:rsid w:val="00B551DE"/>
    <w:rsid w:val="00B87881"/>
    <w:rsid w:val="00B954CA"/>
    <w:rsid w:val="00BA75DF"/>
    <w:rsid w:val="00BB3048"/>
    <w:rsid w:val="00BB629A"/>
    <w:rsid w:val="00BE6699"/>
    <w:rsid w:val="00C43E16"/>
    <w:rsid w:val="00C537B4"/>
    <w:rsid w:val="00C7586D"/>
    <w:rsid w:val="00D03EDA"/>
    <w:rsid w:val="00D41D33"/>
    <w:rsid w:val="00D527AB"/>
    <w:rsid w:val="00D70126"/>
    <w:rsid w:val="00DA189C"/>
    <w:rsid w:val="00DC291C"/>
    <w:rsid w:val="00E211D3"/>
    <w:rsid w:val="00E95104"/>
    <w:rsid w:val="00F17928"/>
    <w:rsid w:val="00F41CFD"/>
    <w:rsid w:val="00F60691"/>
    <w:rsid w:val="00F71887"/>
    <w:rsid w:val="00F819C1"/>
    <w:rsid w:val="00FE2DB7"/>
    <w:rsid w:val="00FE3EEC"/>
    <w:rsid w:val="02F89F45"/>
    <w:rsid w:val="052B8E56"/>
    <w:rsid w:val="055B59F1"/>
    <w:rsid w:val="05A1B740"/>
    <w:rsid w:val="0609020B"/>
    <w:rsid w:val="07B472EE"/>
    <w:rsid w:val="0B7C9DA3"/>
    <w:rsid w:val="0B8CF99A"/>
    <w:rsid w:val="0BF63D61"/>
    <w:rsid w:val="0C10F8C4"/>
    <w:rsid w:val="0C6DBB3C"/>
    <w:rsid w:val="0D0F3A04"/>
    <w:rsid w:val="0F6C5FB3"/>
    <w:rsid w:val="128A5EF4"/>
    <w:rsid w:val="13B6288A"/>
    <w:rsid w:val="150D9CF4"/>
    <w:rsid w:val="17632CF8"/>
    <w:rsid w:val="19972EC1"/>
    <w:rsid w:val="1A4488C8"/>
    <w:rsid w:val="1EBB3014"/>
    <w:rsid w:val="1EC2BCC2"/>
    <w:rsid w:val="1F9299A8"/>
    <w:rsid w:val="2020F6AE"/>
    <w:rsid w:val="251E658F"/>
    <w:rsid w:val="25D410EC"/>
    <w:rsid w:val="27D34CBA"/>
    <w:rsid w:val="27EA692E"/>
    <w:rsid w:val="2891308B"/>
    <w:rsid w:val="291A069A"/>
    <w:rsid w:val="2C078669"/>
    <w:rsid w:val="2C7935C0"/>
    <w:rsid w:val="2C9FEB3C"/>
    <w:rsid w:val="2D791A9E"/>
    <w:rsid w:val="2F72D855"/>
    <w:rsid w:val="2FADE8A5"/>
    <w:rsid w:val="32996B97"/>
    <w:rsid w:val="34F6F600"/>
    <w:rsid w:val="353B32E2"/>
    <w:rsid w:val="375B55DC"/>
    <w:rsid w:val="37972722"/>
    <w:rsid w:val="382DE3D3"/>
    <w:rsid w:val="38CEECD0"/>
    <w:rsid w:val="3903AD0E"/>
    <w:rsid w:val="3E483D96"/>
    <w:rsid w:val="400213B1"/>
    <w:rsid w:val="40CC14BC"/>
    <w:rsid w:val="420E5D4F"/>
    <w:rsid w:val="435D7CA6"/>
    <w:rsid w:val="4367864D"/>
    <w:rsid w:val="44500AC9"/>
    <w:rsid w:val="44A8F608"/>
    <w:rsid w:val="44CE06FF"/>
    <w:rsid w:val="49F628FC"/>
    <w:rsid w:val="4B4DB862"/>
    <w:rsid w:val="4CDC8BEA"/>
    <w:rsid w:val="4D596396"/>
    <w:rsid w:val="4DABC46A"/>
    <w:rsid w:val="4DE10731"/>
    <w:rsid w:val="50D7C1AF"/>
    <w:rsid w:val="581D9494"/>
    <w:rsid w:val="58A329B3"/>
    <w:rsid w:val="592CBFF7"/>
    <w:rsid w:val="5B86E7A9"/>
    <w:rsid w:val="5CD334D3"/>
    <w:rsid w:val="5D94C0FA"/>
    <w:rsid w:val="5F3B7742"/>
    <w:rsid w:val="5FFF1AB4"/>
    <w:rsid w:val="622DB447"/>
    <w:rsid w:val="630B8036"/>
    <w:rsid w:val="63FF8A0A"/>
    <w:rsid w:val="657071E4"/>
    <w:rsid w:val="6727E7BE"/>
    <w:rsid w:val="6A22A716"/>
    <w:rsid w:val="6A99BFED"/>
    <w:rsid w:val="6B404DD6"/>
    <w:rsid w:val="6F8784BB"/>
    <w:rsid w:val="6FF4D4AB"/>
    <w:rsid w:val="712D481F"/>
    <w:rsid w:val="7179581D"/>
    <w:rsid w:val="72C79C23"/>
    <w:rsid w:val="73DDA322"/>
    <w:rsid w:val="74F4C0DE"/>
    <w:rsid w:val="750A2E2F"/>
    <w:rsid w:val="7623F4B1"/>
    <w:rsid w:val="764AEDD2"/>
    <w:rsid w:val="76EB4013"/>
    <w:rsid w:val="79748DC7"/>
    <w:rsid w:val="7A8D9A46"/>
    <w:rsid w:val="7CFBD11B"/>
    <w:rsid w:val="7D516BD6"/>
    <w:rsid w:val="7D95A935"/>
    <w:rsid w:val="7EBE66F7"/>
    <w:rsid w:val="7F491F75"/>
    <w:rsid w:val="7FA2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72B82"/>
  <w15:chartTrackingRefBased/>
  <w15:docId w15:val="{AF31C435-CFA8-4269-A6F8-A27038AF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5123F4"/>
    <w:pPr>
      <w:spacing w:after="0" w:line="240" w:lineRule="auto"/>
    </w:pPr>
    <w:tblPr>
      <w:tblBorders>
        <w:top w:val="single" w:sz="8" w:space="0" w:color="auto"/>
        <w:bottom w:val="single" w:sz="8" w:space="0" w:color="auto"/>
      </w:tblBorders>
    </w:tblPr>
    <w:tblStylePr w:type="firstRow">
      <w:tblPr/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  <w:shd w:val="clear" w:color="auto" w:fill="EDEDED" w:themeFill="accent3" w:themeFillTint="33"/>
      </w:tcPr>
    </w:tblStylePr>
  </w:style>
  <w:style w:type="table" w:customStyle="1" w:styleId="Reg-Title">
    <w:name w:val="Reg-Title"/>
    <w:basedOn w:val="TableGrid"/>
    <w:uiPriority w:val="99"/>
    <w:rsid w:val="005123F4"/>
    <w:rPr>
      <w:color w:val="FFFFFF" w:themeColor="background1"/>
      <w:sz w:val="24"/>
    </w:rPr>
    <w:tblPr/>
    <w:tcPr>
      <w:shd w:val="clear" w:color="auto" w:fill="525252" w:themeFill="accent3" w:themeFillShade="80"/>
    </w:tcPr>
  </w:style>
  <w:style w:type="table" w:styleId="TableGrid">
    <w:name w:val="Table Grid"/>
    <w:basedOn w:val="TableNormal"/>
    <w:uiPriority w:val="39"/>
    <w:rsid w:val="00512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43" w:type="dxa"/>
        <w:right w:w="43" w:type="dxa"/>
      </w:tblCellMar>
    </w:tblPr>
  </w:style>
  <w:style w:type="table" w:styleId="TableGridLight">
    <w:name w:val="Grid Table Light"/>
    <w:aliases w:val="statewide-title"/>
    <w:basedOn w:val="TableNormal"/>
    <w:uiPriority w:val="40"/>
    <w:rsid w:val="0014076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525252" w:themeFill="accent3" w:themeFillShade="80"/>
    </w:tcPr>
  </w:style>
  <w:style w:type="character" w:styleId="Hyperlink">
    <w:name w:val="Hyperlink"/>
    <w:basedOn w:val="DefaultParagraphFont"/>
    <w:uiPriority w:val="99"/>
    <w:unhideWhenUsed/>
    <w:rsid w:val="000567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75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56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75F"/>
  </w:style>
  <w:style w:type="paragraph" w:styleId="Footer">
    <w:name w:val="footer"/>
    <w:basedOn w:val="Normal"/>
    <w:link w:val="FooterChar"/>
    <w:uiPriority w:val="99"/>
    <w:unhideWhenUsed/>
    <w:rsid w:val="000567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75F"/>
  </w:style>
  <w:style w:type="paragraph" w:styleId="FootnoteText">
    <w:name w:val="footnote text"/>
    <w:basedOn w:val="Normal"/>
    <w:link w:val="FootnoteTextChar"/>
    <w:uiPriority w:val="99"/>
    <w:semiHidden/>
    <w:unhideWhenUsed/>
    <w:rsid w:val="00AE58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583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583C"/>
    <w:rPr>
      <w:vertAlign w:val="superscript"/>
    </w:rPr>
  </w:style>
  <w:style w:type="paragraph" w:styleId="ListParagraph">
    <w:name w:val="List Paragraph"/>
    <w:basedOn w:val="Normal"/>
    <w:uiPriority w:val="34"/>
    <w:qFormat/>
    <w:rsid w:val="000270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C7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6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6B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6B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B5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54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12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6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9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0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06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8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0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0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69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55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0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2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4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58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52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9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00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77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23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6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261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59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221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2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03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56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3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41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6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1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098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5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66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0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0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354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14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9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3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837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775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ss.gov/lists/hivaids-epidemiologic-profiles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www.mass.gov/lists/infectious-disease-data-reports-and-requests" TargetMode="External"/><Relationship Id="rId17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ass.gov/lists/hivaids-epidemiologic-profiles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nccd.cdc.gov/Youthonline/App/Default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c.gov/hiv/library/reports/hiv-surveillance.html" TargetMode="External"/><Relationship Id="rId1" Type="http://schemas.openxmlformats.org/officeDocument/2006/relationships/hyperlink" Target="https://www.mass.gov/service-details/partner-services-program-information-for-healthcare-provid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2D6AEBBE588B4F96BBE633A213897E" ma:contentTypeVersion="2" ma:contentTypeDescription="Create a new document." ma:contentTypeScope="" ma:versionID="fc9c32b4020aabb30b265de5affed2df">
  <xsd:schema xmlns:xsd="http://www.w3.org/2001/XMLSchema" xmlns:xs="http://www.w3.org/2001/XMLSchema" xmlns:p="http://schemas.microsoft.com/office/2006/metadata/properties" xmlns:ns2="ead5da63-f61f-4570-9ce5-a2087f67ed9b" targetNamespace="http://schemas.microsoft.com/office/2006/metadata/properties" ma:root="true" ma:fieldsID="d6280b62baad4cffead1c1b61e81fe84" ns2:_="">
    <xsd:import namespace="ead5da63-f61f-4570-9ce5-a2087f67e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5da63-f61f-4570-9ce5-a2087f67e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0AB2B7-2AD3-47B3-96EC-485F4578B2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27CF2A-02DF-4AB0-B6E5-2106B85942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DC43BD-9C60-4C53-814C-17B94D102F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9759A5-C1B3-4835-AD36-4AD4ED033A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5da63-f61f-4570-9ce5-a2087f67e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HIV Epidemiologic Profile: Data as of 1/1/2022, Population Report: Adolescents and Young Adults, Accessible Version</dc:title>
  <dc:subject/>
  <dc:creator>Bureau of Infectious Disease and Laboratory Sciences</dc:creator>
  <cp:keywords>HIV, youth, Massachusetts, adolescents, young adults, Epidemiologic Profile, population fact sheet</cp:keywords>
  <dc:description/>
  <cp:lastModifiedBy>Beatty, Maile (DPH)</cp:lastModifiedBy>
  <cp:revision>72</cp:revision>
  <dcterms:created xsi:type="dcterms:W3CDTF">2021-12-23T12:34:00Z</dcterms:created>
  <dcterms:modified xsi:type="dcterms:W3CDTF">2023-04-26T17:54:00Z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0x0101002A2D6AEBBE588B4F96BBE633A213897E</vt:lpwstr>
  </property>
</Properties>
</file>