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682575"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2E79C0D3" w:rsidR="00F664CC" w:rsidRPr="005B27F1" w:rsidRDefault="006A4D38" w:rsidP="005B27F1">
      <w:pPr>
        <w:pStyle w:val="Heading1"/>
      </w:pPr>
      <w:r>
        <w:t>Adult Day Health</w:t>
      </w:r>
      <w:r w:rsidR="00F664CC" w:rsidRPr="005B27F1">
        <w:t xml:space="preserve"> Bulletin </w:t>
      </w:r>
      <w:r w:rsidR="00F149CC">
        <w:t>29</w:t>
      </w:r>
    </w:p>
    <w:p w14:paraId="75D236DE" w14:textId="56D793FB" w:rsidR="00F664CC" w:rsidRPr="00150BCC" w:rsidRDefault="002E6675" w:rsidP="00150BCC">
      <w:pPr>
        <w:pStyle w:val="BullsHeading"/>
      </w:pPr>
      <w:r>
        <w:t>January 2022</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23BAD9C8" w:rsidR="00F664CC" w:rsidRPr="00F664CC" w:rsidRDefault="00F664CC" w:rsidP="00E27CD8">
      <w:r w:rsidRPr="00F664CC">
        <w:rPr>
          <w:b/>
        </w:rPr>
        <w:t>TO</w:t>
      </w:r>
      <w:r w:rsidRPr="00F664CC">
        <w:t>:</w:t>
      </w:r>
      <w:r>
        <w:tab/>
      </w:r>
      <w:r w:rsidR="006A4D38">
        <w:t xml:space="preserve">Adult </w:t>
      </w:r>
      <w:r w:rsidR="00F82EAC">
        <w:t xml:space="preserve">Day </w:t>
      </w:r>
      <w:r w:rsidR="006A4D38">
        <w:t>Health</w:t>
      </w:r>
      <w:r w:rsidR="002E6675">
        <w:t xml:space="preserve"> Providers</w:t>
      </w:r>
      <w:r w:rsidRPr="00F664CC">
        <w:t xml:space="preserve"> Participating in MassHealth</w:t>
      </w:r>
    </w:p>
    <w:p w14:paraId="51764379" w14:textId="77777777" w:rsidR="00101F4F" w:rsidRPr="00F664CC" w:rsidRDefault="00F664CC" w:rsidP="00101F4F">
      <w:pPr>
        <w:ind w:left="1440" w:hanging="1080"/>
      </w:pPr>
      <w:r w:rsidRPr="00F664CC">
        <w:rPr>
          <w:b/>
        </w:rPr>
        <w:t>FROM</w:t>
      </w:r>
      <w:r w:rsidRPr="00F664CC">
        <w:t>:</w:t>
      </w:r>
      <w:r>
        <w:tab/>
      </w:r>
      <w:r w:rsidR="00700F64">
        <w:t>Amanda Cassel Kraft</w:t>
      </w:r>
      <w:r w:rsidR="00AA6085">
        <w:t>, Assistant Secretary for MassHealth</w:t>
      </w:r>
      <w:r w:rsidR="00101F4F">
        <w:t xml:space="preserve"> </w:t>
      </w:r>
      <w:r w:rsidR="00101F4F">
        <w:t>[signature of Amanda Cassel Kraft]</w:t>
      </w:r>
    </w:p>
    <w:p w14:paraId="44E21639" w14:textId="1C7934C3" w:rsidR="00F664CC" w:rsidRPr="00F664CC" w:rsidRDefault="00F664CC" w:rsidP="002E6675">
      <w:pPr>
        <w:pStyle w:val="SubjectLine"/>
        <w:spacing w:after="100"/>
        <w:ind w:left="1440" w:hanging="1080"/>
      </w:pPr>
      <w:r w:rsidRPr="00F664CC">
        <w:t>RE:</w:t>
      </w:r>
      <w:r w:rsidR="00BD2DAF">
        <w:tab/>
      </w:r>
      <w:bookmarkStart w:id="0" w:name="_Hlk58222610"/>
      <w:r w:rsidR="00F82EAC" w:rsidRPr="00CD4123">
        <w:t xml:space="preserve">COVID-19 Guidance and Requirements for </w:t>
      </w:r>
      <w:r w:rsidR="006A4D38">
        <w:t>Adult Day Health</w:t>
      </w:r>
      <w:r w:rsidR="00F82EAC" w:rsidRPr="00CD4123">
        <w:t xml:space="preserve"> Programs</w:t>
      </w:r>
      <w:bookmarkEnd w:id="0"/>
      <w:r w:rsidR="00F82EAC" w:rsidRPr="00CD4123">
        <w:t xml:space="preserve"> </w:t>
      </w:r>
      <w:r w:rsidR="002E6675">
        <w:t>throughout the Remainder of the Federal Public Health Emergency</w:t>
      </w:r>
    </w:p>
    <w:p w14:paraId="307B7425" w14:textId="79A0A010" w:rsidR="00F664CC" w:rsidRPr="005B27F1" w:rsidRDefault="002E6675" w:rsidP="00E27CD8">
      <w:pPr>
        <w:pStyle w:val="Heading2"/>
      </w:pPr>
      <w:r>
        <w:t>Background</w:t>
      </w:r>
    </w:p>
    <w:p w14:paraId="1C9A5C79" w14:textId="67AECD6C" w:rsidR="006A4D38" w:rsidRPr="00F005E2" w:rsidRDefault="006A4D38" w:rsidP="006A4D38">
      <w:bookmarkStart w:id="1" w:name="_Hlk59206082"/>
      <w:r>
        <w:t xml:space="preserve">Due to the continued risks of COVID-19 for MassHealth members seeking or receiving Adult Day Health </w:t>
      </w:r>
      <w:r w:rsidR="001F1D10">
        <w:t xml:space="preserve">(ADH) </w:t>
      </w:r>
      <w:r>
        <w:t xml:space="preserve">services, MassHealth is extending existing COVID-19 guidance for ADH programs until the end of the federal COVID-19 public health emergency. </w:t>
      </w:r>
      <w:bookmarkEnd w:id="1"/>
      <w:r>
        <w:rPr>
          <w:rFonts w:cs="Arial"/>
        </w:rPr>
        <w:t xml:space="preserve">The guidance and requirements in this bulletin supersede guidance published in Adult Day Health Bulletin 27: </w:t>
      </w:r>
      <w:r w:rsidRPr="00721A54">
        <w:rPr>
          <w:i/>
          <w:iCs/>
        </w:rPr>
        <w:t>COVID-19 Guidance and Requirements for Adult Day Health Programs through the Remainder of the Federal Public Health Emergency</w:t>
      </w:r>
      <w:r w:rsidR="00721A54">
        <w:t>.</w:t>
      </w:r>
      <w:r>
        <w:rPr>
          <w:rFonts w:cs="Arial"/>
        </w:rPr>
        <w:t xml:space="preserve"> All ADH providers </w:t>
      </w:r>
      <w:r w:rsidRPr="00CC0864">
        <w:rPr>
          <w:rFonts w:cs="Arial"/>
          <w:b/>
          <w:bCs/>
        </w:rPr>
        <w:t>must continue</w:t>
      </w:r>
      <w:r>
        <w:rPr>
          <w:rFonts w:cs="Arial"/>
        </w:rPr>
        <w:t xml:space="preserve"> to adhere to the requirements set forth in the EOHHS guidance for community day programs:</w:t>
      </w:r>
      <w:r w:rsidR="00464622">
        <w:rPr>
          <w:rFonts w:cs="Arial"/>
        </w:rPr>
        <w:t xml:space="preserve"> </w:t>
      </w:r>
      <w:hyperlink r:id="rId11" w:history="1">
        <w:r w:rsidR="00464622" w:rsidRPr="00464622">
          <w:rPr>
            <w:rStyle w:val="Hyperlink"/>
            <w:rFonts w:cs="Arial"/>
          </w:rPr>
          <w:t>EOHHS COVID-19 Guidance for Day Programs, issued August 4, 2021</w:t>
        </w:r>
      </w:hyperlink>
      <w:r w:rsidR="00464622">
        <w:rPr>
          <w:rFonts w:cs="Arial"/>
        </w:rPr>
        <w:t>.</w:t>
      </w:r>
      <w:r>
        <w:rPr>
          <w:rFonts w:cs="Arial"/>
        </w:rPr>
        <w:t xml:space="preserve"> </w:t>
      </w:r>
    </w:p>
    <w:p w14:paraId="68DA3D29" w14:textId="77777777" w:rsidR="006A4D38" w:rsidRDefault="006A4D38" w:rsidP="006A4D38">
      <w:pPr>
        <w:rPr>
          <w:rFonts w:cs="Arial"/>
        </w:rPr>
      </w:pPr>
      <w:r w:rsidRPr="00477E2C">
        <w:rPr>
          <w:rFonts w:cstheme="minorHAnsi"/>
          <w:color w:val="000000" w:themeColor="text1"/>
        </w:rPr>
        <w:t>All regulatory program requirements</w:t>
      </w:r>
      <w:r>
        <w:rPr>
          <w:rFonts w:cstheme="minorHAnsi"/>
          <w:color w:val="000000" w:themeColor="text1"/>
        </w:rPr>
        <w:t xml:space="preserve"> not directly referenced in this bulletin </w:t>
      </w:r>
      <w:r w:rsidRPr="00477E2C">
        <w:rPr>
          <w:rFonts w:cstheme="minorHAnsi"/>
          <w:color w:val="000000" w:themeColor="text1"/>
        </w:rPr>
        <w:t>remain in effect</w:t>
      </w:r>
      <w:r>
        <w:rPr>
          <w:rFonts w:cstheme="minorHAnsi"/>
          <w:color w:val="000000" w:themeColor="text1"/>
        </w:rPr>
        <w:t>,</w:t>
      </w:r>
      <w:r w:rsidRPr="00477E2C">
        <w:rPr>
          <w:rFonts w:cstheme="minorHAnsi"/>
          <w:color w:val="000000" w:themeColor="text1"/>
        </w:rPr>
        <w:t xml:space="preserve"> whether the </w:t>
      </w:r>
      <w:r>
        <w:rPr>
          <w:rFonts w:cstheme="minorHAnsi"/>
          <w:color w:val="000000" w:themeColor="text1"/>
        </w:rPr>
        <w:t>member</w:t>
      </w:r>
      <w:r w:rsidRPr="00477E2C">
        <w:rPr>
          <w:rFonts w:cstheme="minorHAnsi"/>
          <w:color w:val="000000" w:themeColor="text1"/>
        </w:rPr>
        <w:t xml:space="preserve"> </w:t>
      </w:r>
      <w:r>
        <w:rPr>
          <w:rFonts w:cstheme="minorHAnsi"/>
          <w:color w:val="000000" w:themeColor="text1"/>
        </w:rPr>
        <w:t xml:space="preserve">is </w:t>
      </w:r>
      <w:r w:rsidRPr="00477E2C">
        <w:rPr>
          <w:rFonts w:cstheme="minorHAnsi"/>
          <w:color w:val="000000" w:themeColor="text1"/>
        </w:rPr>
        <w:t xml:space="preserve">receiving </w:t>
      </w:r>
      <w:r>
        <w:rPr>
          <w:rFonts w:cstheme="minorHAnsi"/>
          <w:color w:val="000000" w:themeColor="text1"/>
        </w:rPr>
        <w:t xml:space="preserve">ADH </w:t>
      </w:r>
      <w:r w:rsidRPr="00477E2C">
        <w:rPr>
          <w:rFonts w:cstheme="minorHAnsi"/>
          <w:color w:val="000000" w:themeColor="text1"/>
        </w:rPr>
        <w:t>services in the congregate setting or remotely</w:t>
      </w:r>
      <w:r>
        <w:rPr>
          <w:rFonts w:cstheme="minorHAnsi"/>
          <w:color w:val="000000" w:themeColor="text1"/>
        </w:rPr>
        <w:t>.</w:t>
      </w:r>
      <w:r w:rsidRPr="00287A92">
        <w:rPr>
          <w:rFonts w:cs="Arial"/>
        </w:rPr>
        <w:t xml:space="preserve"> </w:t>
      </w:r>
    </w:p>
    <w:p w14:paraId="1769385F" w14:textId="77777777" w:rsidR="006A4D38" w:rsidRDefault="006A4D38" w:rsidP="006A4D38">
      <w:pPr>
        <w:pStyle w:val="Heading2"/>
      </w:pPr>
      <w:r>
        <w:t>Additional Guidance and Requirements</w:t>
      </w:r>
    </w:p>
    <w:p w14:paraId="3AA44C42" w14:textId="05858E72" w:rsidR="006A4D38" w:rsidRDefault="006A4D38" w:rsidP="006A4D38">
      <w:pPr>
        <w:ind w:left="720" w:hanging="360"/>
        <w:rPr>
          <w:color w:val="000000"/>
        </w:rPr>
      </w:pPr>
      <w:r>
        <w:rPr>
          <w:rFonts w:cs="Arial"/>
        </w:rPr>
        <w:t>1.</w:t>
      </w:r>
      <w:r>
        <w:rPr>
          <w:rFonts w:cs="Arial"/>
        </w:rPr>
        <w:tab/>
        <w:t>Notwithstanding the requirements set forth in the MassHealth ADH provider regulations at 130 CMR 404.000, for the period of the federal public health emergency due to COVID-19, A</w:t>
      </w:r>
      <w:r>
        <w:rPr>
          <w:color w:val="000000"/>
        </w:rPr>
        <w:t>DH services do not have to be provided in a congregate setting. During this period, MassHealth ADH services may be provided in a residential setting and may be community-based rather than site-based.</w:t>
      </w:r>
    </w:p>
    <w:p w14:paraId="4C0E5F36" w14:textId="79FCADDD" w:rsidR="006A4D38" w:rsidRPr="005C2A2F" w:rsidRDefault="006A4D38" w:rsidP="006A4D38">
      <w:pPr>
        <w:shd w:val="clear" w:color="auto" w:fill="FFFFFF"/>
        <w:ind w:left="720"/>
        <w:rPr>
          <w:rFonts w:cs="Calibri"/>
          <w:color w:val="000000" w:themeColor="text1"/>
        </w:rPr>
      </w:pPr>
      <w:r w:rsidRPr="00245140">
        <w:rPr>
          <w:rFonts w:cs="Calibri"/>
          <w:color w:val="212121"/>
        </w:rPr>
        <w:t xml:space="preserve">If an </w:t>
      </w:r>
      <w:r>
        <w:rPr>
          <w:rFonts w:cs="Calibri"/>
          <w:color w:val="212121"/>
        </w:rPr>
        <w:t>ADH</w:t>
      </w:r>
      <w:r w:rsidRPr="00245140">
        <w:rPr>
          <w:rFonts w:cs="Calibri"/>
          <w:color w:val="212121"/>
        </w:rPr>
        <w:t xml:space="preserve"> pro</w:t>
      </w:r>
      <w:r>
        <w:rPr>
          <w:rFonts w:cs="Calibri"/>
          <w:color w:val="212121"/>
        </w:rPr>
        <w:t>vider</w:t>
      </w:r>
      <w:r w:rsidRPr="00245140">
        <w:rPr>
          <w:rFonts w:cs="Calibri"/>
          <w:color w:val="212121"/>
        </w:rPr>
        <w:t xml:space="preserve"> intends to provide in</w:t>
      </w:r>
      <w:r>
        <w:rPr>
          <w:rFonts w:cs="Calibri"/>
          <w:color w:val="212121"/>
        </w:rPr>
        <w:t>-</w:t>
      </w:r>
      <w:r w:rsidRPr="00245140">
        <w:rPr>
          <w:rFonts w:cs="Calibri"/>
          <w:color w:val="212121"/>
        </w:rPr>
        <w:t xml:space="preserve">home services, </w:t>
      </w:r>
      <w:r>
        <w:rPr>
          <w:rFonts w:cs="Calibri"/>
          <w:color w:val="212121"/>
        </w:rPr>
        <w:t xml:space="preserve">outside the parameters of traditional ADH services, </w:t>
      </w:r>
      <w:r w:rsidRPr="00245140">
        <w:rPr>
          <w:rFonts w:cs="Calibri"/>
          <w:color w:val="212121"/>
        </w:rPr>
        <w:t xml:space="preserve">the </w:t>
      </w:r>
      <w:r>
        <w:rPr>
          <w:rFonts w:cs="Calibri"/>
          <w:color w:val="212121"/>
        </w:rPr>
        <w:t>provider</w:t>
      </w:r>
      <w:r w:rsidRPr="00245140">
        <w:rPr>
          <w:rFonts w:cs="Calibri"/>
          <w:color w:val="212121"/>
        </w:rPr>
        <w:t xml:space="preserve"> </w:t>
      </w:r>
      <w:r>
        <w:rPr>
          <w:rFonts w:cs="Calibri"/>
          <w:color w:val="212121"/>
        </w:rPr>
        <w:t>must</w:t>
      </w:r>
      <w:r w:rsidRPr="00245140">
        <w:rPr>
          <w:rFonts w:cs="Calibri"/>
          <w:color w:val="212121"/>
        </w:rPr>
        <w:t xml:space="preserve"> submit a written request to the Department of Public Health </w:t>
      </w:r>
      <w:r>
        <w:rPr>
          <w:rFonts w:cs="Calibri"/>
          <w:color w:val="212121"/>
        </w:rPr>
        <w:t xml:space="preserve">(DPH) </w:t>
      </w:r>
      <w:r w:rsidRPr="00245140">
        <w:rPr>
          <w:rFonts w:cs="Calibri"/>
          <w:color w:val="212121"/>
        </w:rPr>
        <w:t>for a special project, as set forth in 105 CMR 158.029</w:t>
      </w:r>
      <w:r>
        <w:rPr>
          <w:rFonts w:cs="Calibri"/>
          <w:color w:val="212121"/>
        </w:rPr>
        <w:t xml:space="preserve">: </w:t>
      </w:r>
      <w:r>
        <w:rPr>
          <w:rFonts w:cs="Calibri"/>
          <w:i/>
          <w:iCs/>
          <w:color w:val="212121"/>
        </w:rPr>
        <w:t>Licensure of Adult Day Health Programs</w:t>
      </w:r>
      <w:r w:rsidRPr="00245140">
        <w:rPr>
          <w:rFonts w:cs="Calibri"/>
          <w:color w:val="212121"/>
        </w:rPr>
        <w:t xml:space="preserve">. </w:t>
      </w:r>
      <w:r w:rsidR="00B6315E">
        <w:rPr>
          <w:rFonts w:cs="Calibri"/>
          <w:color w:val="212121"/>
        </w:rPr>
        <w:t>Email q</w:t>
      </w:r>
      <w:r w:rsidRPr="00245140">
        <w:rPr>
          <w:rFonts w:cs="Calibri"/>
          <w:color w:val="212121"/>
        </w:rPr>
        <w:t>uestions</w:t>
      </w:r>
      <w:r>
        <w:rPr>
          <w:rFonts w:cs="Calibri"/>
          <w:color w:val="212121"/>
        </w:rPr>
        <w:t xml:space="preserve"> about ADH licensure requirements</w:t>
      </w:r>
      <w:r w:rsidRPr="00245140">
        <w:rPr>
          <w:rFonts w:cs="Calibri"/>
          <w:color w:val="212121"/>
        </w:rPr>
        <w:t xml:space="preserve"> to</w:t>
      </w:r>
      <w:r w:rsidR="004C4895">
        <w:rPr>
          <w:rFonts w:cs="Calibri"/>
          <w:color w:val="212121"/>
        </w:rPr>
        <w:t xml:space="preserve"> </w:t>
      </w:r>
      <w:hyperlink r:id="rId12" w:history="1">
        <w:r w:rsidR="004C4895" w:rsidRPr="00411B22">
          <w:rPr>
            <w:rStyle w:val="Hyperlink"/>
            <w:rFonts w:eastAsiaTheme="majorEastAsia" w:cs="Calibri"/>
          </w:rPr>
          <w:t>DPH.BHCSQ@MassMail.State.MA.US</w:t>
        </w:r>
      </w:hyperlink>
      <w:r>
        <w:rPr>
          <w:rStyle w:val="Hyperlink"/>
          <w:rFonts w:eastAsiaTheme="majorEastAsia" w:cs="Calibri"/>
          <w:color w:val="000000" w:themeColor="text1"/>
          <w:u w:val="none"/>
        </w:rPr>
        <w:t>.</w:t>
      </w:r>
    </w:p>
    <w:p w14:paraId="5E676F49" w14:textId="563B1D5B" w:rsidR="0050201B" w:rsidRDefault="006A4D38" w:rsidP="006A4D38">
      <w:pPr>
        <w:ind w:left="720" w:hanging="450"/>
      </w:pPr>
      <w:r>
        <w:rPr>
          <w:rFonts w:cs="Arial"/>
        </w:rPr>
        <w:t>2.</w:t>
      </w:r>
      <w:r>
        <w:rPr>
          <w:rFonts w:cs="Arial"/>
        </w:rPr>
        <w:tab/>
      </w:r>
      <w:r>
        <w:t>A</w:t>
      </w:r>
      <w:r w:rsidRPr="00477E2C">
        <w:t xml:space="preserve">DH providers may deploy a staff person to a </w:t>
      </w:r>
      <w:r>
        <w:t>member</w:t>
      </w:r>
      <w:r w:rsidRPr="00477E2C">
        <w:t xml:space="preserve">’s residence to </w:t>
      </w:r>
      <w:r>
        <w:t>provide</w:t>
      </w:r>
      <w:r w:rsidRPr="00477E2C">
        <w:t xml:space="preserve"> </w:t>
      </w:r>
      <w:r>
        <w:t>ADH services</w:t>
      </w:r>
      <w:r w:rsidRPr="00477E2C">
        <w:t xml:space="preserve"> </w:t>
      </w:r>
      <w:r>
        <w:t>aligned with</w:t>
      </w:r>
      <w:r w:rsidRPr="00477E2C">
        <w:t xml:space="preserve"> the </w:t>
      </w:r>
      <w:r>
        <w:t>member</w:t>
      </w:r>
      <w:r w:rsidRPr="00477E2C">
        <w:t xml:space="preserve">’s </w:t>
      </w:r>
      <w:r>
        <w:t>care plan</w:t>
      </w:r>
      <w:r w:rsidRPr="00477E2C">
        <w:t xml:space="preserve">. </w:t>
      </w:r>
      <w:r>
        <w:t>A</w:t>
      </w:r>
      <w:r w:rsidRPr="00477E2C">
        <w:t xml:space="preserve">DH services </w:t>
      </w:r>
      <w:r>
        <w:t xml:space="preserve">provided </w:t>
      </w:r>
      <w:r w:rsidRPr="00477E2C">
        <w:t xml:space="preserve">in the </w:t>
      </w:r>
      <w:r>
        <w:t>member</w:t>
      </w:r>
      <w:r w:rsidRPr="00477E2C">
        <w:t xml:space="preserve">’s home must not overlap or duplicate </w:t>
      </w:r>
      <w:r>
        <w:t xml:space="preserve">any </w:t>
      </w:r>
      <w:r w:rsidRPr="00477E2C">
        <w:t xml:space="preserve">other services the </w:t>
      </w:r>
      <w:r>
        <w:t xml:space="preserve">member </w:t>
      </w:r>
      <w:r w:rsidRPr="00477E2C">
        <w:t xml:space="preserve">is receiving that provide assistance with </w:t>
      </w:r>
      <w:r w:rsidR="00A658D7">
        <w:t>activities of daily living (</w:t>
      </w:r>
      <w:r w:rsidRPr="00477E2C">
        <w:t>ADLs</w:t>
      </w:r>
      <w:r w:rsidR="00A658D7">
        <w:t>)</w:t>
      </w:r>
      <w:r w:rsidRPr="00477E2C">
        <w:t xml:space="preserve"> or therapies (</w:t>
      </w:r>
      <w:r>
        <w:t>e</w:t>
      </w:r>
      <w:r w:rsidRPr="00477E2C">
        <w:t>.</w:t>
      </w:r>
      <w:r>
        <w:t>g</w:t>
      </w:r>
      <w:r w:rsidRPr="00477E2C">
        <w:t>.</w:t>
      </w:r>
      <w:r>
        <w:t>,</w:t>
      </w:r>
      <w:r w:rsidRPr="00477E2C">
        <w:t xml:space="preserve"> </w:t>
      </w:r>
      <w:r>
        <w:t>r</w:t>
      </w:r>
      <w:r w:rsidRPr="00477E2C">
        <w:t xml:space="preserve">esidential, </w:t>
      </w:r>
      <w:r>
        <w:t>personal care attendant,</w:t>
      </w:r>
      <w:r w:rsidRPr="00477E2C">
        <w:t xml:space="preserve"> or </w:t>
      </w:r>
      <w:r>
        <w:t>h</w:t>
      </w:r>
      <w:r w:rsidRPr="00477E2C">
        <w:t xml:space="preserve">ome </w:t>
      </w:r>
      <w:r>
        <w:t>h</w:t>
      </w:r>
      <w:r w:rsidRPr="00477E2C">
        <w:t>ealth services</w:t>
      </w:r>
      <w:r>
        <w:t>). Incidental ADL assistance is acceptable.</w:t>
      </w:r>
    </w:p>
    <w:p w14:paraId="34E215B5" w14:textId="77777777" w:rsidR="0050201B" w:rsidRDefault="0050201B">
      <w:pPr>
        <w:spacing w:before="0" w:after="200" w:afterAutospacing="0" w:line="276" w:lineRule="auto"/>
        <w:ind w:left="0"/>
      </w:pPr>
      <w:r>
        <w:br w:type="page"/>
      </w:r>
    </w:p>
    <w:p w14:paraId="41252719" w14:textId="77777777" w:rsidR="006A4D38" w:rsidRPr="00065590" w:rsidRDefault="006A4D38" w:rsidP="006A4D38">
      <w:pPr>
        <w:ind w:left="720" w:hanging="360"/>
        <w:rPr>
          <w:rFonts w:cs="Arial"/>
        </w:rPr>
      </w:pPr>
      <w:r>
        <w:rPr>
          <w:rFonts w:cs="Arial"/>
        </w:rPr>
        <w:lastRenderedPageBreak/>
        <w:t>3.</w:t>
      </w:r>
      <w:r>
        <w:rPr>
          <w:rFonts w:cs="Arial"/>
        </w:rPr>
        <w:tab/>
      </w:r>
      <w:r w:rsidRPr="00477E2C">
        <w:rPr>
          <w:rFonts w:cs="Arial"/>
        </w:rPr>
        <w:t xml:space="preserve">Amended </w:t>
      </w:r>
      <w:r>
        <w:rPr>
          <w:rFonts w:cs="Arial"/>
        </w:rPr>
        <w:t>c</w:t>
      </w:r>
      <w:r w:rsidRPr="00477E2C">
        <w:rPr>
          <w:rFonts w:cs="Arial"/>
        </w:rPr>
        <w:t xml:space="preserve">are </w:t>
      </w:r>
      <w:r>
        <w:rPr>
          <w:rFonts w:cs="Arial"/>
        </w:rPr>
        <w:t>p</w:t>
      </w:r>
      <w:r w:rsidRPr="00477E2C">
        <w:rPr>
          <w:rFonts w:cs="Arial"/>
        </w:rPr>
        <w:t xml:space="preserve">lans for remote ADH services may be continued until the </w:t>
      </w:r>
      <w:r>
        <w:rPr>
          <w:rFonts w:cs="Arial"/>
        </w:rPr>
        <w:t xml:space="preserve">member </w:t>
      </w:r>
      <w:r w:rsidRPr="00477E2C">
        <w:rPr>
          <w:rFonts w:cs="Arial"/>
        </w:rPr>
        <w:t xml:space="preserve">returns to receiving </w:t>
      </w:r>
      <w:r>
        <w:rPr>
          <w:rFonts w:cs="Arial"/>
        </w:rPr>
        <w:t>ADH services</w:t>
      </w:r>
      <w:r w:rsidRPr="00477E2C">
        <w:rPr>
          <w:rFonts w:cs="Arial"/>
        </w:rPr>
        <w:t xml:space="preserve"> in the ADH provider’s congregate site. Additionally, all </w:t>
      </w:r>
      <w:r>
        <w:rPr>
          <w:rFonts w:cs="Arial"/>
        </w:rPr>
        <w:t xml:space="preserve">ADH </w:t>
      </w:r>
      <w:r w:rsidRPr="00477E2C">
        <w:rPr>
          <w:rFonts w:cs="Arial"/>
        </w:rPr>
        <w:t xml:space="preserve">care plans must be amended to reflect the </w:t>
      </w:r>
      <w:r>
        <w:rPr>
          <w:rFonts w:cs="Arial"/>
        </w:rPr>
        <w:t>member</w:t>
      </w:r>
      <w:r w:rsidRPr="00477E2C">
        <w:rPr>
          <w:rFonts w:cs="Arial"/>
        </w:rPr>
        <w:t xml:space="preserve">’s needs and services provided when the </w:t>
      </w:r>
      <w:r>
        <w:rPr>
          <w:rFonts w:cs="Arial"/>
        </w:rPr>
        <w:t xml:space="preserve">member </w:t>
      </w:r>
      <w:r w:rsidRPr="00477E2C">
        <w:rPr>
          <w:rFonts w:cs="Arial"/>
        </w:rPr>
        <w:t xml:space="preserve">returns to receiving ADH services at the ADH provider’s congregate site. </w:t>
      </w:r>
    </w:p>
    <w:p w14:paraId="4959D348" w14:textId="60679EF0" w:rsidR="006A4D38" w:rsidRDefault="006A4D38" w:rsidP="006A4D38">
      <w:pPr>
        <w:spacing w:before="0" w:after="0" w:afterAutospacing="0"/>
        <w:ind w:left="720" w:hanging="360"/>
        <w:rPr>
          <w:rFonts w:cs="Calibri"/>
          <w:color w:val="000000" w:themeColor="text1"/>
        </w:rPr>
      </w:pPr>
      <w:r>
        <w:rPr>
          <w:rFonts w:cstheme="minorHAnsi"/>
          <w:color w:val="000000" w:themeColor="text1"/>
        </w:rPr>
        <w:t>4.</w:t>
      </w:r>
      <w:r>
        <w:rPr>
          <w:rFonts w:cstheme="minorHAnsi"/>
          <w:color w:val="000000" w:themeColor="text1"/>
        </w:rPr>
        <w:tab/>
        <w:t xml:space="preserve">Traditional ADH services are provided as site-based services in the program setting. </w:t>
      </w:r>
      <w:r>
        <w:rPr>
          <w:rFonts w:cs="Calibri"/>
          <w:color w:val="000000" w:themeColor="text1"/>
        </w:rPr>
        <w:t>ADH providers must engage in transitioning members to traditional ADH by the end of the federal public health emergency.</w:t>
      </w:r>
      <w:r w:rsidR="004C4895">
        <w:rPr>
          <w:rFonts w:cs="Calibri"/>
          <w:color w:val="000000" w:themeColor="text1"/>
        </w:rPr>
        <w:t xml:space="preserve"> </w:t>
      </w:r>
      <w:r>
        <w:rPr>
          <w:rFonts w:cs="Calibri"/>
          <w:color w:val="000000" w:themeColor="text1"/>
        </w:rPr>
        <w:t>Members</w:t>
      </w:r>
      <w:r w:rsidRPr="00477E2C">
        <w:rPr>
          <w:rFonts w:cs="Calibri"/>
          <w:color w:val="000000" w:themeColor="text1"/>
        </w:rPr>
        <w:t xml:space="preserve"> </w:t>
      </w:r>
      <w:r>
        <w:rPr>
          <w:rFonts w:cs="Calibri"/>
          <w:color w:val="000000" w:themeColor="text1"/>
        </w:rPr>
        <w:t xml:space="preserve">who remain reluctant to return or for whom the ADH provider is unable to accommodate the member with site-based services due to staffing shortages, transportation limitations, etc., </w:t>
      </w:r>
      <w:r w:rsidRPr="00477E2C">
        <w:rPr>
          <w:rFonts w:cs="Calibri"/>
          <w:color w:val="000000" w:themeColor="text1"/>
        </w:rPr>
        <w:t xml:space="preserve">may continue to receive remote </w:t>
      </w:r>
      <w:r>
        <w:rPr>
          <w:rFonts w:cs="Calibri"/>
          <w:color w:val="000000" w:themeColor="text1"/>
        </w:rPr>
        <w:t xml:space="preserve">ADH </w:t>
      </w:r>
      <w:r w:rsidRPr="00477E2C">
        <w:rPr>
          <w:rFonts w:cs="Calibri"/>
          <w:color w:val="000000" w:themeColor="text1"/>
        </w:rPr>
        <w:t xml:space="preserve">services </w:t>
      </w:r>
      <w:r>
        <w:rPr>
          <w:rFonts w:cs="Calibri"/>
          <w:color w:val="000000" w:themeColor="text1"/>
        </w:rPr>
        <w:t xml:space="preserve">through the end of the federal public health emergency only </w:t>
      </w:r>
      <w:r w:rsidRPr="00477E2C">
        <w:rPr>
          <w:rFonts w:cs="Calibri"/>
          <w:color w:val="000000" w:themeColor="text1"/>
        </w:rPr>
        <w:t>as follow</w:t>
      </w:r>
      <w:r>
        <w:rPr>
          <w:rFonts w:cs="Calibri"/>
          <w:color w:val="000000" w:themeColor="text1"/>
        </w:rPr>
        <w:t>s</w:t>
      </w:r>
      <w:r w:rsidRPr="00477E2C">
        <w:rPr>
          <w:rFonts w:cs="Calibri"/>
          <w:color w:val="000000" w:themeColor="text1"/>
        </w:rPr>
        <w:t>:</w:t>
      </w:r>
    </w:p>
    <w:p w14:paraId="02494365" w14:textId="77777777" w:rsidR="0050201B" w:rsidRPr="00065590" w:rsidRDefault="0050201B" w:rsidP="006A4D38">
      <w:pPr>
        <w:spacing w:before="0" w:after="0" w:afterAutospacing="0"/>
        <w:ind w:left="720" w:hanging="360"/>
        <w:rPr>
          <w:rFonts w:cs="Calibri"/>
          <w:color w:val="000000" w:themeColor="text1"/>
        </w:rPr>
      </w:pPr>
    </w:p>
    <w:p w14:paraId="160B4BE6" w14:textId="2FB47CE6" w:rsidR="006A4D38" w:rsidRDefault="006A4D38" w:rsidP="006A4D38">
      <w:pPr>
        <w:pStyle w:val="ListParagraph"/>
        <w:numPr>
          <w:ilvl w:val="0"/>
          <w:numId w:val="20"/>
        </w:numPr>
        <w:rPr>
          <w:rFonts w:ascii="Georgia" w:hAnsi="Georgia" w:cs="Calibri"/>
          <w:color w:val="000000" w:themeColor="text1"/>
          <w:sz w:val="22"/>
          <w:szCs w:val="22"/>
        </w:rPr>
      </w:pPr>
      <w:r>
        <w:rPr>
          <w:rFonts w:ascii="Georgia" w:hAnsi="Georgia" w:cs="Calibri"/>
          <w:color w:val="000000" w:themeColor="text1"/>
          <w:sz w:val="22"/>
          <w:szCs w:val="22"/>
        </w:rPr>
        <w:t>T</w:t>
      </w:r>
      <w:r w:rsidRPr="00540AD1">
        <w:rPr>
          <w:rFonts w:ascii="Georgia" w:hAnsi="Georgia" w:cs="Calibri"/>
          <w:color w:val="000000" w:themeColor="text1"/>
          <w:sz w:val="22"/>
          <w:szCs w:val="22"/>
        </w:rPr>
        <w:t>he ADH provider must</w:t>
      </w:r>
      <w:r>
        <w:rPr>
          <w:rFonts w:ascii="Georgia" w:hAnsi="Georgia" w:cs="Calibri"/>
          <w:color w:val="000000" w:themeColor="text1"/>
          <w:sz w:val="22"/>
          <w:szCs w:val="22"/>
        </w:rPr>
        <w:t xml:space="preserve"> develop a </w:t>
      </w:r>
      <w:r w:rsidRPr="00765917">
        <w:rPr>
          <w:rFonts w:ascii="Georgia" w:hAnsi="Georgia" w:cs="Calibri"/>
          <w:i/>
          <w:iCs/>
          <w:color w:val="000000" w:themeColor="text1"/>
          <w:sz w:val="22"/>
          <w:szCs w:val="22"/>
        </w:rPr>
        <w:t>return to program plan</w:t>
      </w:r>
      <w:r>
        <w:rPr>
          <w:rFonts w:ascii="Georgia" w:hAnsi="Georgia" w:cs="Calibri"/>
          <w:color w:val="000000" w:themeColor="text1"/>
          <w:sz w:val="22"/>
          <w:szCs w:val="22"/>
        </w:rPr>
        <w:t xml:space="preserve"> for members receiving only remote services. This plan must be reviewed with the member at a minimum of one time per month. The return to program plan may be incorporated into the member’s existing care plan or be a separate document. The return to program plan must be kept as part of the member’s permanent record and available to MassHealth upon request. This plan must set a return to program date and a plan to meet that date. </w:t>
      </w:r>
    </w:p>
    <w:p w14:paraId="4A6B68C2" w14:textId="3A2855D4" w:rsidR="006A4D38" w:rsidRDefault="006A4D38" w:rsidP="006A4D38">
      <w:pPr>
        <w:pStyle w:val="ListParagraph"/>
        <w:numPr>
          <w:ilvl w:val="0"/>
          <w:numId w:val="20"/>
        </w:numPr>
        <w:rPr>
          <w:rFonts w:ascii="Georgia" w:hAnsi="Georgia" w:cs="Calibri"/>
          <w:color w:val="000000" w:themeColor="text1"/>
          <w:sz w:val="22"/>
          <w:szCs w:val="22"/>
        </w:rPr>
      </w:pPr>
      <w:r>
        <w:rPr>
          <w:rFonts w:ascii="Georgia" w:hAnsi="Georgia" w:cs="Calibri"/>
          <w:color w:val="000000" w:themeColor="text1"/>
          <w:sz w:val="22"/>
          <w:szCs w:val="22"/>
        </w:rPr>
        <w:t>When providers are discussing the return to program plan with participants, risks and benefits of returning to site-based services must be incorporated into the conversations. The Risk/Benefit tool, however, is no longer required for members returning to the site-based services.</w:t>
      </w:r>
    </w:p>
    <w:p w14:paraId="159EA8C8" w14:textId="77777777" w:rsidR="006A4D38" w:rsidRPr="004C4895" w:rsidRDefault="006A4D38" w:rsidP="006A4D38">
      <w:pPr>
        <w:spacing w:before="0" w:after="0" w:afterAutospacing="0"/>
        <w:ind w:left="1080" w:hanging="360"/>
        <w:rPr>
          <w:rFonts w:cs="Calibri"/>
        </w:rPr>
      </w:pPr>
      <w:r>
        <w:rPr>
          <w:rFonts w:cs="Calibri"/>
          <w:color w:val="000000" w:themeColor="text1"/>
        </w:rPr>
        <w:t>c.</w:t>
      </w:r>
      <w:r>
        <w:rPr>
          <w:rFonts w:cs="Calibri"/>
          <w:color w:val="000000" w:themeColor="text1"/>
        </w:rPr>
        <w:tab/>
      </w:r>
      <w:r w:rsidRPr="00477E2C">
        <w:rPr>
          <w:rFonts w:cs="Calibri"/>
          <w:color w:val="000000" w:themeColor="text1"/>
        </w:rPr>
        <w:t xml:space="preserve">If the </w:t>
      </w:r>
      <w:r>
        <w:rPr>
          <w:rFonts w:cs="Calibri"/>
          <w:color w:val="000000" w:themeColor="text1"/>
        </w:rPr>
        <w:t>member</w:t>
      </w:r>
      <w:r w:rsidRPr="00477E2C">
        <w:rPr>
          <w:rFonts w:cs="Calibri"/>
          <w:color w:val="000000" w:themeColor="text1"/>
        </w:rPr>
        <w:t xml:space="preserve"> </w:t>
      </w:r>
      <w:r>
        <w:rPr>
          <w:rFonts w:cs="Calibri"/>
          <w:color w:val="000000" w:themeColor="text1"/>
        </w:rPr>
        <w:t xml:space="preserve">indicates that they do not </w:t>
      </w:r>
      <w:r w:rsidRPr="00477E2C">
        <w:rPr>
          <w:rFonts w:cs="Calibri"/>
          <w:color w:val="000000" w:themeColor="text1"/>
        </w:rPr>
        <w:t xml:space="preserve">want to return to the </w:t>
      </w:r>
      <w:r>
        <w:rPr>
          <w:rFonts w:cs="Calibri"/>
          <w:color w:val="000000" w:themeColor="text1"/>
        </w:rPr>
        <w:t xml:space="preserve">ADH provider’s </w:t>
      </w:r>
      <w:r w:rsidRPr="00477E2C">
        <w:rPr>
          <w:rFonts w:cs="Calibri"/>
          <w:color w:val="000000" w:themeColor="text1"/>
        </w:rPr>
        <w:t>day program</w:t>
      </w:r>
      <w:r>
        <w:rPr>
          <w:rFonts w:cs="Calibri"/>
          <w:color w:val="000000" w:themeColor="text1"/>
        </w:rPr>
        <w:t xml:space="preserve"> by the end of the federal public health emergency, the ADH provider must proceed with</w:t>
      </w:r>
      <w:r w:rsidRPr="00477E2C">
        <w:rPr>
          <w:rFonts w:cs="Calibri"/>
          <w:color w:val="000000" w:themeColor="text1"/>
        </w:rPr>
        <w:t xml:space="preserve"> safe discharge planning</w:t>
      </w:r>
      <w:r>
        <w:rPr>
          <w:rFonts w:cs="Calibri"/>
          <w:color w:val="000000" w:themeColor="text1"/>
        </w:rPr>
        <w:t xml:space="preserve">, ensuring that necessary services are aligned to meet the member’s needs. </w:t>
      </w:r>
    </w:p>
    <w:p w14:paraId="02BDAD05" w14:textId="0638B146" w:rsidR="006A4D38" w:rsidRDefault="006A4D38" w:rsidP="006A4D38">
      <w:pPr>
        <w:ind w:left="720" w:hanging="360"/>
        <w:rPr>
          <w:rFonts w:cstheme="minorHAnsi"/>
          <w:color w:val="000000" w:themeColor="text1"/>
        </w:rPr>
      </w:pPr>
      <w:r>
        <w:rPr>
          <w:rFonts w:cstheme="minorHAnsi"/>
          <w:color w:val="000000" w:themeColor="text1"/>
        </w:rPr>
        <w:t>5.</w:t>
      </w:r>
      <w:r>
        <w:rPr>
          <w:rFonts w:cstheme="minorHAnsi"/>
          <w:color w:val="000000" w:themeColor="text1"/>
        </w:rPr>
        <w:tab/>
        <w:t>T</w:t>
      </w:r>
      <w:r w:rsidRPr="00FF4640">
        <w:rPr>
          <w:rFonts w:cstheme="minorHAnsi"/>
          <w:color w:val="000000" w:themeColor="text1"/>
        </w:rPr>
        <w:t xml:space="preserve">hrough the end of the </w:t>
      </w:r>
      <w:r>
        <w:rPr>
          <w:rFonts w:cstheme="minorHAnsi"/>
          <w:color w:val="000000" w:themeColor="text1"/>
        </w:rPr>
        <w:t xml:space="preserve">federal public health emergency, PCP </w:t>
      </w:r>
      <w:r w:rsidRPr="00FF4640">
        <w:rPr>
          <w:rFonts w:cstheme="minorHAnsi"/>
          <w:color w:val="000000" w:themeColor="text1"/>
        </w:rPr>
        <w:t xml:space="preserve">signatures on PCP </w:t>
      </w:r>
      <w:r>
        <w:rPr>
          <w:rFonts w:cstheme="minorHAnsi"/>
          <w:color w:val="000000" w:themeColor="text1"/>
        </w:rPr>
        <w:t>o</w:t>
      </w:r>
      <w:r w:rsidRPr="00FF4640">
        <w:rPr>
          <w:rFonts w:cstheme="minorHAnsi"/>
          <w:color w:val="000000" w:themeColor="text1"/>
        </w:rPr>
        <w:t xml:space="preserve">rder </w:t>
      </w:r>
      <w:r>
        <w:rPr>
          <w:rFonts w:cstheme="minorHAnsi"/>
          <w:color w:val="000000" w:themeColor="text1"/>
        </w:rPr>
        <w:t>f</w:t>
      </w:r>
      <w:r w:rsidRPr="00FF4640">
        <w:rPr>
          <w:rFonts w:cstheme="minorHAnsi"/>
          <w:color w:val="000000" w:themeColor="text1"/>
        </w:rPr>
        <w:t>orms may be waived</w:t>
      </w:r>
      <w:r>
        <w:rPr>
          <w:rFonts w:cstheme="minorHAnsi"/>
          <w:color w:val="000000" w:themeColor="text1"/>
        </w:rPr>
        <w:t xml:space="preserve"> for reevaluating prior authorizations (PAs)</w:t>
      </w:r>
      <w:r w:rsidRPr="00FF4640">
        <w:rPr>
          <w:rFonts w:cstheme="minorHAnsi"/>
          <w:color w:val="000000" w:themeColor="text1"/>
        </w:rPr>
        <w:t xml:space="preserve"> if the </w:t>
      </w:r>
      <w:r>
        <w:rPr>
          <w:rFonts w:cstheme="minorHAnsi"/>
          <w:color w:val="000000" w:themeColor="text1"/>
        </w:rPr>
        <w:t xml:space="preserve">ADH </w:t>
      </w:r>
      <w:r w:rsidRPr="00FF4640">
        <w:rPr>
          <w:rFonts w:cstheme="minorHAnsi"/>
          <w:color w:val="000000" w:themeColor="text1"/>
        </w:rPr>
        <w:t>provider has been unsuccessful in obtaining them.</w:t>
      </w:r>
      <w:r>
        <w:rPr>
          <w:rFonts w:cstheme="minorHAnsi"/>
          <w:color w:val="000000" w:themeColor="text1"/>
        </w:rPr>
        <w:t xml:space="preserve"> Signed PCP order forms, however, are required for all initial and significant change PAs. </w:t>
      </w:r>
    </w:p>
    <w:p w14:paraId="41A33A4F" w14:textId="309E36F0" w:rsidR="006A4D38" w:rsidRDefault="006A4D38" w:rsidP="006A4D38">
      <w:pPr>
        <w:ind w:left="720" w:hanging="360"/>
        <w:rPr>
          <w:rFonts w:cstheme="minorHAnsi"/>
          <w:color w:val="000000" w:themeColor="text1"/>
        </w:rPr>
      </w:pPr>
      <w:r w:rsidRPr="00540AD1">
        <w:rPr>
          <w:rFonts w:cstheme="minorHAnsi"/>
          <w:color w:val="000000" w:themeColor="text1"/>
        </w:rPr>
        <w:t>6.</w:t>
      </w:r>
      <w:r w:rsidRPr="00540AD1">
        <w:rPr>
          <w:rFonts w:cstheme="minorHAnsi"/>
          <w:color w:val="000000" w:themeColor="text1"/>
        </w:rPr>
        <w:tab/>
        <w:t>Admissions to ADH can occur only if the ADH provider is able to conduct the required assessments for the member in</w:t>
      </w:r>
      <w:r w:rsidR="0022788E">
        <w:rPr>
          <w:rFonts w:cstheme="minorHAnsi"/>
          <w:color w:val="000000" w:themeColor="text1"/>
        </w:rPr>
        <w:t xml:space="preserve"> </w:t>
      </w:r>
      <w:r w:rsidRPr="00540AD1">
        <w:rPr>
          <w:rFonts w:cstheme="minorHAnsi"/>
          <w:color w:val="000000" w:themeColor="text1"/>
        </w:rPr>
        <w:t>person, either in the congregate setting</w:t>
      </w:r>
      <w:r>
        <w:rPr>
          <w:rFonts w:cstheme="minorHAnsi"/>
          <w:color w:val="000000" w:themeColor="text1"/>
        </w:rPr>
        <w:t>,</w:t>
      </w:r>
      <w:r w:rsidRPr="00540AD1">
        <w:rPr>
          <w:rFonts w:cstheme="minorHAnsi"/>
          <w:color w:val="000000" w:themeColor="text1"/>
        </w:rPr>
        <w:t xml:space="preserve"> the individual’s residence</w:t>
      </w:r>
      <w:r>
        <w:rPr>
          <w:rFonts w:cstheme="minorHAnsi"/>
          <w:color w:val="000000" w:themeColor="text1"/>
        </w:rPr>
        <w:t>,</w:t>
      </w:r>
      <w:r w:rsidRPr="00540AD1">
        <w:rPr>
          <w:rFonts w:cstheme="minorHAnsi"/>
          <w:color w:val="000000" w:themeColor="text1"/>
        </w:rPr>
        <w:t xml:space="preserve"> or other mutually agreed</w:t>
      </w:r>
      <w:r>
        <w:rPr>
          <w:rFonts w:cstheme="minorHAnsi"/>
          <w:color w:val="000000" w:themeColor="text1"/>
        </w:rPr>
        <w:t>-</w:t>
      </w:r>
      <w:r w:rsidRPr="00540AD1">
        <w:rPr>
          <w:rFonts w:cstheme="minorHAnsi"/>
          <w:color w:val="000000" w:themeColor="text1"/>
        </w:rPr>
        <w:t xml:space="preserve">upon location. </w:t>
      </w:r>
    </w:p>
    <w:p w14:paraId="2E00C9F6" w14:textId="267D98DF" w:rsidR="006A4D38" w:rsidRPr="00065590" w:rsidRDefault="006A4D38" w:rsidP="006A4D38">
      <w:pPr>
        <w:ind w:left="720" w:hanging="360"/>
        <w:rPr>
          <w:rFonts w:cstheme="minorHAnsi"/>
          <w:color w:val="000000" w:themeColor="text1"/>
        </w:rPr>
      </w:pPr>
      <w:r>
        <w:rPr>
          <w:rFonts w:cstheme="minorHAnsi"/>
          <w:color w:val="000000" w:themeColor="text1"/>
        </w:rPr>
        <w:t>7</w:t>
      </w:r>
      <w:r w:rsidRPr="00540AD1">
        <w:rPr>
          <w:rFonts w:cstheme="minorHAnsi"/>
          <w:color w:val="000000" w:themeColor="text1"/>
        </w:rPr>
        <w:t>.</w:t>
      </w:r>
      <w:r w:rsidRPr="00540AD1">
        <w:rPr>
          <w:rFonts w:cstheme="minorHAnsi"/>
          <w:color w:val="000000" w:themeColor="text1"/>
        </w:rPr>
        <w:tab/>
        <w:t xml:space="preserve">If a member </w:t>
      </w:r>
      <w:r w:rsidR="007F04CA">
        <w:rPr>
          <w:rFonts w:cstheme="minorHAnsi"/>
          <w:color w:val="000000" w:themeColor="text1"/>
        </w:rPr>
        <w:t>wants</w:t>
      </w:r>
      <w:r w:rsidRPr="00540AD1">
        <w:rPr>
          <w:rFonts w:cstheme="minorHAnsi"/>
          <w:color w:val="000000" w:themeColor="text1"/>
        </w:rPr>
        <w:t xml:space="preserve"> to attend an alternate ADH program for any reason, including due to a closure of their current ADH program, the ADH provider of the new ADH program </w:t>
      </w:r>
      <w:r>
        <w:rPr>
          <w:rFonts w:cstheme="minorHAnsi"/>
          <w:color w:val="000000" w:themeColor="text1"/>
        </w:rPr>
        <w:t>must try</w:t>
      </w:r>
      <w:r w:rsidRPr="00540AD1">
        <w:rPr>
          <w:rFonts w:cstheme="minorHAnsi"/>
          <w:color w:val="000000" w:themeColor="text1"/>
        </w:rPr>
        <w:t xml:space="preserve"> to obtain, if possible, the member’s </w:t>
      </w:r>
      <w:r>
        <w:rPr>
          <w:rFonts w:cstheme="minorHAnsi"/>
          <w:color w:val="000000" w:themeColor="text1"/>
        </w:rPr>
        <w:t>Aging Services Access Points (</w:t>
      </w:r>
      <w:r w:rsidRPr="00540AD1">
        <w:rPr>
          <w:rFonts w:cstheme="minorHAnsi"/>
          <w:color w:val="000000" w:themeColor="text1"/>
        </w:rPr>
        <w:t>ASAP</w:t>
      </w:r>
      <w:r>
        <w:rPr>
          <w:rFonts w:cstheme="minorHAnsi"/>
          <w:color w:val="000000" w:themeColor="text1"/>
        </w:rPr>
        <w:t>)</w:t>
      </w:r>
      <w:r w:rsidRPr="00540AD1">
        <w:rPr>
          <w:rFonts w:cstheme="minorHAnsi"/>
          <w:color w:val="000000" w:themeColor="text1"/>
        </w:rPr>
        <w:t xml:space="preserve"> eligibility letter and most current PCP order from the closing ADH provider to be used for </w:t>
      </w:r>
      <w:r>
        <w:rPr>
          <w:rFonts w:cstheme="minorHAnsi"/>
          <w:color w:val="000000" w:themeColor="text1"/>
        </w:rPr>
        <w:t>PA</w:t>
      </w:r>
      <w:r w:rsidRPr="00540AD1">
        <w:rPr>
          <w:rFonts w:cstheme="minorHAnsi"/>
          <w:color w:val="000000" w:themeColor="text1"/>
        </w:rPr>
        <w:t xml:space="preserve">. </w:t>
      </w:r>
      <w:r w:rsidRPr="005C2A2F">
        <w:rPr>
          <w:rFonts w:cstheme="minorHAnsi"/>
          <w:color w:val="000000" w:themeColor="text1"/>
        </w:rPr>
        <w:t>All required assessments and care plan documents must be completed by the new provider, in accordance with MassHealth and DPH regulations and guidance. Assessments must be completed in person, either in the congregate setting, the member’s residence, or at some other mutually agreed</w:t>
      </w:r>
      <w:r>
        <w:rPr>
          <w:rFonts w:cstheme="minorHAnsi"/>
          <w:color w:val="000000" w:themeColor="text1"/>
        </w:rPr>
        <w:t>-</w:t>
      </w:r>
      <w:r w:rsidRPr="005C2A2F">
        <w:rPr>
          <w:rFonts w:cstheme="minorHAnsi"/>
          <w:color w:val="000000" w:themeColor="text1"/>
        </w:rPr>
        <w:t>upon location.</w:t>
      </w:r>
    </w:p>
    <w:p w14:paraId="6F50A400" w14:textId="77777777" w:rsidR="006A4D38" w:rsidRDefault="006A4D38" w:rsidP="006A4D38">
      <w:pPr>
        <w:ind w:left="720" w:hanging="360"/>
        <w:rPr>
          <w:rFonts w:cs="Arial"/>
        </w:rPr>
      </w:pPr>
      <w:r>
        <w:rPr>
          <w:rFonts w:cs="Arial"/>
        </w:rPr>
        <w:t>8.</w:t>
      </w:r>
      <w:r>
        <w:rPr>
          <w:rFonts w:cs="Arial"/>
        </w:rPr>
        <w:tab/>
      </w:r>
      <w:r w:rsidRPr="00477E2C">
        <w:rPr>
          <w:rFonts w:cs="Arial"/>
        </w:rPr>
        <w:t xml:space="preserve">If a </w:t>
      </w:r>
      <w:r>
        <w:rPr>
          <w:rFonts w:cs="Arial"/>
        </w:rPr>
        <w:t>member</w:t>
      </w:r>
      <w:r w:rsidRPr="00477E2C">
        <w:rPr>
          <w:rFonts w:cs="Arial"/>
        </w:rPr>
        <w:t xml:space="preserve"> has been discharged during the </w:t>
      </w:r>
      <w:r>
        <w:rPr>
          <w:rFonts w:cs="Arial"/>
        </w:rPr>
        <w:t xml:space="preserve">federal COVID-19 </w:t>
      </w:r>
      <w:r w:rsidRPr="00477E2C">
        <w:rPr>
          <w:rFonts w:cs="Arial"/>
        </w:rPr>
        <w:t xml:space="preserve">public health emergency and later expresses interest in returning to the ADH provider’s congregate site, the ADH provider must complete the </w:t>
      </w:r>
      <w:r w:rsidRPr="003F0820">
        <w:rPr>
          <w:rFonts w:cs="Arial"/>
        </w:rPr>
        <w:t xml:space="preserve">admission and </w:t>
      </w:r>
      <w:r>
        <w:rPr>
          <w:rFonts w:cs="Arial"/>
        </w:rPr>
        <w:t>PA</w:t>
      </w:r>
      <w:r w:rsidRPr="003F0820">
        <w:rPr>
          <w:rFonts w:cs="Arial"/>
        </w:rPr>
        <w:t xml:space="preserve"> process. </w:t>
      </w:r>
      <w:r>
        <w:rPr>
          <w:rFonts w:cs="Arial"/>
        </w:rPr>
        <w:t>In this case,</w:t>
      </w:r>
      <w:r w:rsidRPr="003F0820">
        <w:rPr>
          <w:rFonts w:cs="Arial"/>
        </w:rPr>
        <w:t xml:space="preserve"> the </w:t>
      </w:r>
      <w:r>
        <w:rPr>
          <w:rFonts w:cs="Arial"/>
        </w:rPr>
        <w:t>member</w:t>
      </w:r>
      <w:r w:rsidRPr="003F0820">
        <w:rPr>
          <w:rFonts w:cs="Arial"/>
        </w:rPr>
        <w:t xml:space="preserve">’s original ASAP eligibility notice </w:t>
      </w:r>
      <w:r>
        <w:rPr>
          <w:rFonts w:cs="Arial"/>
        </w:rPr>
        <w:t>can be used for re</w:t>
      </w:r>
      <w:r w:rsidRPr="003F0820">
        <w:rPr>
          <w:rFonts w:cs="Arial"/>
        </w:rPr>
        <w:t xml:space="preserve">admission. </w:t>
      </w:r>
    </w:p>
    <w:p w14:paraId="03B098B4" w14:textId="1522140D" w:rsidR="006A4D38" w:rsidRPr="003B4152" w:rsidRDefault="006A4D38" w:rsidP="003B4152">
      <w:pPr>
        <w:ind w:left="720" w:hanging="360"/>
        <w:rPr>
          <w:rFonts w:cs="Arial"/>
        </w:rPr>
      </w:pPr>
      <w:r>
        <w:rPr>
          <w:rFonts w:cs="Arial"/>
        </w:rPr>
        <w:lastRenderedPageBreak/>
        <w:t>9.</w:t>
      </w:r>
      <w:r>
        <w:rPr>
          <w:rFonts w:cs="Arial"/>
        </w:rPr>
        <w:tab/>
        <w:t>R</w:t>
      </w:r>
      <w:r w:rsidRPr="00477E2C">
        <w:rPr>
          <w:rFonts w:cs="Arial"/>
        </w:rPr>
        <w:t xml:space="preserve">egardless of payer source, </w:t>
      </w:r>
      <w:r>
        <w:rPr>
          <w:rFonts w:cs="Arial"/>
        </w:rPr>
        <w:t>if</w:t>
      </w:r>
      <w:r w:rsidRPr="00477E2C">
        <w:rPr>
          <w:rFonts w:cs="Arial"/>
        </w:rPr>
        <w:t xml:space="preserve"> any </w:t>
      </w:r>
      <w:r>
        <w:rPr>
          <w:rFonts w:cs="Arial"/>
        </w:rPr>
        <w:t xml:space="preserve">ADH </w:t>
      </w:r>
      <w:r w:rsidRPr="00477E2C">
        <w:rPr>
          <w:rFonts w:cs="Arial"/>
        </w:rPr>
        <w:t>participant attending the ADH provider’s congregate</w:t>
      </w:r>
      <w:r>
        <w:rPr>
          <w:rFonts w:cs="Arial"/>
        </w:rPr>
        <w:t xml:space="preserve"> site tests positive for COVID-19,</w:t>
      </w:r>
      <w:r w:rsidRPr="00477E2C">
        <w:rPr>
          <w:rFonts w:cs="Arial"/>
        </w:rPr>
        <w:t xml:space="preserve"> the ADH provider must </w:t>
      </w:r>
      <w:r>
        <w:rPr>
          <w:rFonts w:cs="Arial"/>
        </w:rPr>
        <w:t>submit a report to MassHealth in the format requested by MassHealth.</w:t>
      </w:r>
      <w:r w:rsidRPr="00065590">
        <w:rPr>
          <w:rFonts w:cs="Arial"/>
        </w:rPr>
        <w:t xml:space="preserve"> </w:t>
      </w:r>
      <w:r>
        <w:rPr>
          <w:rFonts w:cs="Arial"/>
        </w:rPr>
        <w:t xml:space="preserve">If </w:t>
      </w:r>
      <w:r w:rsidRPr="00477E2C">
        <w:rPr>
          <w:rFonts w:cs="Arial"/>
        </w:rPr>
        <w:t xml:space="preserve">a staff </w:t>
      </w:r>
      <w:r>
        <w:rPr>
          <w:rFonts w:cs="Arial"/>
        </w:rPr>
        <w:t>member</w:t>
      </w:r>
      <w:r w:rsidRPr="00477E2C">
        <w:rPr>
          <w:rFonts w:cs="Arial"/>
        </w:rPr>
        <w:t xml:space="preserve"> working at the ADH provider’s congregate</w:t>
      </w:r>
      <w:r>
        <w:rPr>
          <w:rFonts w:cs="Arial"/>
        </w:rPr>
        <w:t xml:space="preserve"> site t</w:t>
      </w:r>
      <w:r w:rsidRPr="00477E2C">
        <w:rPr>
          <w:rFonts w:cs="Arial"/>
        </w:rPr>
        <w:t>ests positive for COVID-19</w:t>
      </w:r>
      <w:r>
        <w:rPr>
          <w:rFonts w:cs="Arial"/>
        </w:rPr>
        <w:t xml:space="preserve">, the ADH provider must also notify MassHealth in the format requested by MassHealth. </w:t>
      </w:r>
      <w:r>
        <w:rPr>
          <w:rFonts w:cs="Arial"/>
          <w:color w:val="000000" w:themeColor="text1"/>
        </w:rPr>
        <w:t>In either case</w:t>
      </w:r>
      <w:r w:rsidRPr="00065590">
        <w:rPr>
          <w:rFonts w:cs="Arial"/>
          <w:color w:val="000000" w:themeColor="text1"/>
        </w:rPr>
        <w:t xml:space="preserve">, MassHealth may </w:t>
      </w:r>
      <w:r w:rsidRPr="00280CE2">
        <w:rPr>
          <w:rFonts w:cs="Arial"/>
          <w:color w:val="000000" w:themeColor="text1"/>
        </w:rPr>
        <w:t xml:space="preserve">request the provider’s COVID-19 screening plan, isolation and discharge plan, and </w:t>
      </w:r>
      <w:r w:rsidRPr="005318F4">
        <w:rPr>
          <w:rFonts w:cs="Arial"/>
          <w:color w:val="000000" w:themeColor="text1"/>
        </w:rPr>
        <w:t>communication plan.</w:t>
      </w:r>
      <w:r w:rsidRPr="005318F4">
        <w:rPr>
          <w:rFonts w:cs="Arial"/>
        </w:rPr>
        <w:t xml:space="preserve"> </w:t>
      </w:r>
      <w:bookmarkStart w:id="2" w:name="_Hlk61249989"/>
    </w:p>
    <w:p w14:paraId="0832FF04" w14:textId="7EECB56A" w:rsidR="006A4D38" w:rsidRDefault="006548DD" w:rsidP="006A4D38">
      <w:pPr>
        <w:pStyle w:val="ListParagraph"/>
        <w:rPr>
          <w:rFonts w:ascii="Georgia" w:hAnsi="Georgia" w:cs="Arial"/>
          <w:color w:val="212121"/>
          <w:sz w:val="22"/>
          <w:szCs w:val="22"/>
        </w:rPr>
      </w:pPr>
      <w:r w:rsidRPr="006548DD">
        <w:rPr>
          <w:rFonts w:ascii="Georgia" w:hAnsi="Georgia" w:cs="Arial"/>
          <w:b/>
          <w:bCs/>
          <w:color w:val="212121"/>
          <w:sz w:val="22"/>
          <w:szCs w:val="22"/>
        </w:rPr>
        <w:t>Immediate Reporting Required</w:t>
      </w:r>
      <w:r>
        <w:rPr>
          <w:rFonts w:ascii="Georgia" w:hAnsi="Georgia" w:cs="Arial"/>
          <w:color w:val="212121"/>
          <w:sz w:val="22"/>
          <w:szCs w:val="22"/>
        </w:rPr>
        <w:t xml:space="preserve">: </w:t>
      </w:r>
      <w:r w:rsidR="006A4D38" w:rsidRPr="005318F4">
        <w:rPr>
          <w:rFonts w:ascii="Georgia" w:hAnsi="Georgia" w:cs="Arial"/>
          <w:color w:val="212121"/>
          <w:sz w:val="22"/>
          <w:szCs w:val="22"/>
        </w:rPr>
        <w:t>If an ADH provider is informed that a staff member, participant</w:t>
      </w:r>
      <w:r w:rsidR="006A4D38">
        <w:rPr>
          <w:rFonts w:ascii="Georgia" w:hAnsi="Georgia" w:cs="Arial"/>
          <w:color w:val="212121"/>
          <w:sz w:val="22"/>
          <w:szCs w:val="22"/>
        </w:rPr>
        <w:t>,</w:t>
      </w:r>
      <w:r w:rsidR="006A4D38" w:rsidRPr="005318F4">
        <w:rPr>
          <w:rFonts w:ascii="Georgia" w:hAnsi="Georgia" w:cs="Arial"/>
          <w:color w:val="212121"/>
          <w:sz w:val="22"/>
          <w:szCs w:val="22"/>
        </w:rPr>
        <w:t xml:space="preserve"> or vendor tests positive for COVID-19, the provider must immediately, within 24 hours, complete the following four steps</w:t>
      </w:r>
      <w:r w:rsidR="003133F5">
        <w:rPr>
          <w:rFonts w:ascii="Georgia" w:hAnsi="Georgia" w:cs="Arial"/>
          <w:color w:val="212121"/>
          <w:sz w:val="22"/>
          <w:szCs w:val="22"/>
        </w:rPr>
        <w:t>.</w:t>
      </w:r>
    </w:p>
    <w:p w14:paraId="276DF6AD" w14:textId="77777777" w:rsidR="006A4D38" w:rsidRPr="005318F4" w:rsidRDefault="006A4D38" w:rsidP="006A4D38">
      <w:pPr>
        <w:pStyle w:val="ListParagraph"/>
        <w:ind w:left="1440"/>
        <w:rPr>
          <w:rFonts w:ascii="Georgia" w:hAnsi="Georgia" w:cs="Arial"/>
          <w:color w:val="212121"/>
          <w:sz w:val="22"/>
          <w:szCs w:val="22"/>
        </w:rPr>
      </w:pPr>
    </w:p>
    <w:p w14:paraId="409D037E" w14:textId="77777777" w:rsidR="006A4D38" w:rsidRDefault="006A4D38" w:rsidP="004C4895">
      <w:pPr>
        <w:pStyle w:val="ListParagraph"/>
        <w:numPr>
          <w:ilvl w:val="0"/>
          <w:numId w:val="23"/>
        </w:numPr>
        <w:rPr>
          <w:rFonts w:ascii="Georgia" w:hAnsi="Georgia" w:cs="Arial"/>
          <w:color w:val="212121"/>
          <w:sz w:val="22"/>
          <w:szCs w:val="22"/>
        </w:rPr>
      </w:pPr>
      <w:r>
        <w:rPr>
          <w:rFonts w:ascii="Georgia" w:hAnsi="Georgia" w:cs="Arial"/>
          <w:color w:val="212121"/>
          <w:sz w:val="22"/>
          <w:szCs w:val="22"/>
        </w:rPr>
        <w:t>Inform the Local Board of Health (LBOH) and work with them to develop appropriate communication messages.</w:t>
      </w:r>
    </w:p>
    <w:p w14:paraId="629BDEE6" w14:textId="1EBCC5A7" w:rsidR="006A4D38" w:rsidRDefault="006A4D38" w:rsidP="004C4895">
      <w:pPr>
        <w:numPr>
          <w:ilvl w:val="0"/>
          <w:numId w:val="23"/>
        </w:numPr>
        <w:spacing w:before="0" w:after="0" w:afterAutospacing="0"/>
        <w:contextualSpacing/>
        <w:rPr>
          <w:rFonts w:cs="Arial"/>
          <w:color w:val="212121"/>
        </w:rPr>
      </w:pPr>
      <w:r>
        <w:rPr>
          <w:rFonts w:cs="Arial"/>
          <w:color w:val="212121"/>
        </w:rPr>
        <w:t>Inform employees</w:t>
      </w:r>
      <w:r w:rsidR="007F04CA">
        <w:rPr>
          <w:rFonts w:cs="Arial"/>
          <w:color w:val="212121"/>
        </w:rPr>
        <w:t xml:space="preserve"> and </w:t>
      </w:r>
      <w:r>
        <w:rPr>
          <w:rFonts w:cs="Arial"/>
          <w:color w:val="212121"/>
        </w:rPr>
        <w:t xml:space="preserve">participants </w:t>
      </w:r>
      <w:r w:rsidR="007F04CA">
        <w:rPr>
          <w:rFonts w:cs="Arial"/>
          <w:color w:val="212121"/>
        </w:rPr>
        <w:t>or</w:t>
      </w:r>
      <w:r>
        <w:rPr>
          <w:rFonts w:cs="Arial"/>
          <w:color w:val="212121"/>
        </w:rPr>
        <w:t xml:space="preserve"> caregiver/guardians of the confirmed case in a manner that protects the affected individual’s confidentiality. </w:t>
      </w:r>
    </w:p>
    <w:p w14:paraId="10C30D80" w14:textId="77777777" w:rsidR="006A4D38" w:rsidRDefault="006A4D38" w:rsidP="004C4895">
      <w:pPr>
        <w:numPr>
          <w:ilvl w:val="0"/>
          <w:numId w:val="23"/>
        </w:numPr>
        <w:spacing w:before="0" w:after="0" w:afterAutospacing="0"/>
        <w:contextualSpacing/>
        <w:rPr>
          <w:rFonts w:cs="Arial"/>
          <w:color w:val="212121"/>
        </w:rPr>
      </w:pPr>
      <w:r>
        <w:rPr>
          <w:rFonts w:cs="Arial"/>
          <w:color w:val="212121"/>
        </w:rPr>
        <w:t xml:space="preserve">Call the </w:t>
      </w:r>
      <w:hyperlink r:id="rId13" w:history="1">
        <w:r>
          <w:rPr>
            <w:rStyle w:val="Hyperlink"/>
            <w:rFonts w:cs="Arial"/>
          </w:rPr>
          <w:t>DPH Epidemiology Line</w:t>
        </w:r>
      </w:hyperlink>
      <w:r>
        <w:rPr>
          <w:rFonts w:cs="Arial"/>
          <w:color w:val="212121"/>
        </w:rPr>
        <w:t xml:space="preserve"> at (617) 983-6800 (this is a separate and distinct step from contacting the LBOH), which allows for providers to receive appropriate infection control advice.</w:t>
      </w:r>
    </w:p>
    <w:p w14:paraId="25E9A937" w14:textId="62D99C08" w:rsidR="006A4D38" w:rsidRDefault="006A4D38" w:rsidP="004C4895">
      <w:pPr>
        <w:numPr>
          <w:ilvl w:val="0"/>
          <w:numId w:val="23"/>
        </w:numPr>
        <w:spacing w:before="0" w:after="0" w:afterAutospacing="0"/>
        <w:contextualSpacing/>
        <w:rPr>
          <w:rFonts w:cs="Arial"/>
          <w:color w:val="212121"/>
        </w:rPr>
      </w:pPr>
      <w:r>
        <w:t xml:space="preserve">Inform </w:t>
      </w:r>
      <w:r w:rsidRPr="00FA2270">
        <w:t>MassHealth by submitting the online form</w:t>
      </w:r>
      <w:r w:rsidR="003133F5">
        <w:t xml:space="preserve">: </w:t>
      </w:r>
      <w:hyperlink r:id="rId14" w:history="1">
        <w:r w:rsidR="003133F5" w:rsidRPr="003133F5">
          <w:rPr>
            <w:rStyle w:val="Hyperlink"/>
          </w:rPr>
          <w:t>Adult Day Health Positive COVID-19 Reporting Form</w:t>
        </w:r>
      </w:hyperlink>
      <w:r w:rsidR="003133F5">
        <w:t>.</w:t>
      </w:r>
      <w:r w:rsidRPr="00FA2270">
        <w:t xml:space="preserve"> </w:t>
      </w:r>
    </w:p>
    <w:bookmarkEnd w:id="2"/>
    <w:p w14:paraId="100D61EC" w14:textId="0DD93FC3" w:rsidR="006A4D38" w:rsidRPr="00D76DAE" w:rsidRDefault="006A4D38" w:rsidP="006A4D38">
      <w:pPr>
        <w:ind w:left="720" w:hanging="360"/>
        <w:rPr>
          <w:b/>
          <w:bCs/>
          <w:color w:val="000000" w:themeColor="text1"/>
        </w:rPr>
      </w:pPr>
      <w:r>
        <w:rPr>
          <w:rFonts w:cs="Arial"/>
        </w:rPr>
        <w:t>10.</w:t>
      </w:r>
      <w:r>
        <w:rPr>
          <w:rFonts w:cs="Arial"/>
        </w:rPr>
        <w:tab/>
      </w:r>
      <w:r w:rsidRPr="00477E2C">
        <w:rPr>
          <w:rFonts w:cs="Arial"/>
        </w:rPr>
        <w:t xml:space="preserve">ADH </w:t>
      </w:r>
      <w:r>
        <w:rPr>
          <w:rFonts w:cs="Arial"/>
        </w:rPr>
        <w:t>p</w:t>
      </w:r>
      <w:r w:rsidRPr="00477E2C">
        <w:rPr>
          <w:rFonts w:cs="Arial"/>
        </w:rPr>
        <w:t xml:space="preserve">roviders </w:t>
      </w:r>
      <w:r>
        <w:rPr>
          <w:rFonts w:cs="Arial"/>
        </w:rPr>
        <w:t>must</w:t>
      </w:r>
      <w:r w:rsidRPr="00477E2C">
        <w:rPr>
          <w:rFonts w:cs="Arial"/>
        </w:rPr>
        <w:t xml:space="preserve"> frequently check the</w:t>
      </w:r>
      <w:r>
        <w:rPr>
          <w:rFonts w:cs="Arial"/>
        </w:rPr>
        <w:t xml:space="preserve"> Centers for Disease Control and Prevention</w:t>
      </w:r>
      <w:r w:rsidRPr="00477E2C">
        <w:rPr>
          <w:rFonts w:cs="Arial"/>
        </w:rPr>
        <w:t xml:space="preserve"> </w:t>
      </w:r>
      <w:r>
        <w:rPr>
          <w:rFonts w:cs="Arial"/>
        </w:rPr>
        <w:t>(</w:t>
      </w:r>
      <w:r w:rsidRPr="00477E2C">
        <w:rPr>
          <w:rFonts w:cs="Arial"/>
        </w:rPr>
        <w:t>CDC</w:t>
      </w:r>
      <w:r>
        <w:rPr>
          <w:rFonts w:cs="Arial"/>
        </w:rPr>
        <w:t>)</w:t>
      </w:r>
      <w:r w:rsidRPr="00477E2C">
        <w:rPr>
          <w:rFonts w:cs="Arial"/>
        </w:rPr>
        <w:t xml:space="preserve"> website</w:t>
      </w:r>
      <w:r>
        <w:rPr>
          <w:rFonts w:cs="Arial"/>
        </w:rPr>
        <w:t xml:space="preserve">, the </w:t>
      </w:r>
      <w:r w:rsidRPr="00413CB6">
        <w:rPr>
          <w:rFonts w:cs="Arial"/>
        </w:rPr>
        <w:t xml:space="preserve">Massachusetts </w:t>
      </w:r>
      <w:r>
        <w:rPr>
          <w:rFonts w:cs="Arial"/>
        </w:rPr>
        <w:t xml:space="preserve">DPH </w:t>
      </w:r>
      <w:r w:rsidRPr="00413CB6">
        <w:rPr>
          <w:rFonts w:cs="Arial"/>
        </w:rPr>
        <w:t>website</w:t>
      </w:r>
      <w:r>
        <w:rPr>
          <w:rFonts w:cs="Arial"/>
        </w:rPr>
        <w:t>, and the MassHealth website</w:t>
      </w:r>
      <w:r w:rsidRPr="00413CB6">
        <w:rPr>
          <w:rFonts w:cs="Arial"/>
        </w:rPr>
        <w:t xml:space="preserve"> and guidance</w:t>
      </w:r>
      <w:r w:rsidRPr="00E87536">
        <w:rPr>
          <w:rFonts w:cs="Arial"/>
        </w:rPr>
        <w:t xml:space="preserve"> </w:t>
      </w:r>
      <w:r w:rsidRPr="00477E2C">
        <w:rPr>
          <w:rFonts w:cs="Arial"/>
        </w:rPr>
        <w:t xml:space="preserve">to ensure </w:t>
      </w:r>
      <w:r>
        <w:rPr>
          <w:rFonts w:cs="Arial"/>
        </w:rPr>
        <w:t xml:space="preserve">that </w:t>
      </w:r>
      <w:r w:rsidRPr="00477E2C">
        <w:rPr>
          <w:rFonts w:cs="Arial"/>
        </w:rPr>
        <w:t xml:space="preserve">they are informed of, and implementing, the most current </w:t>
      </w:r>
      <w:r w:rsidRPr="00E87536">
        <w:rPr>
          <w:rFonts w:cs="Arial"/>
        </w:rPr>
        <w:t>guidance</w:t>
      </w:r>
      <w:r>
        <w:rPr>
          <w:rFonts w:cs="Arial"/>
        </w:rPr>
        <w:t>.</w:t>
      </w:r>
    </w:p>
    <w:p w14:paraId="40F4D486" w14:textId="4DBE7E79"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682575" w:rsidP="00E27CD8">
      <w:hyperlink r:id="rId16"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2D4DC1AA" w14:textId="77777777" w:rsidR="002613F9" w:rsidRPr="008C439D" w:rsidRDefault="002613F9" w:rsidP="003249D2">
      <w:pPr>
        <w:pStyle w:val="Heading2"/>
        <w:spacing w:after="100"/>
      </w:pPr>
      <w:r w:rsidRPr="009901A7">
        <w:t>Questions</w:t>
      </w:r>
    </w:p>
    <w:p w14:paraId="1B0B6F1A" w14:textId="2A581768" w:rsidR="002613F9" w:rsidRDefault="002613F9" w:rsidP="002613F9">
      <w:pPr>
        <w:pStyle w:val="BodyTextIndent"/>
      </w:pPr>
      <w:r w:rsidRPr="009901A7">
        <w:t xml:space="preserve">If you have questions about the information in this bulletin, please contact the </w:t>
      </w:r>
      <w:r>
        <w:t>Long Term Services and Supports (LTSS) Provider Service Center</w:t>
      </w:r>
      <w:r w:rsidRPr="009901A7">
        <w:t>.</w:t>
      </w:r>
    </w:p>
    <w:p w14:paraId="6597A430" w14:textId="77777777" w:rsidR="002613F9" w:rsidRDefault="002613F9" w:rsidP="002613F9">
      <w:pPr>
        <w:ind w:left="540" w:right="576"/>
        <w:rPr>
          <w:rFonts w:cs="Arial"/>
        </w:rPr>
      </w:pPr>
      <w:r>
        <w:rPr>
          <w:rFonts w:cs="Arial"/>
          <w:b/>
        </w:rPr>
        <w:t>Phone:</w:t>
      </w:r>
      <w:r>
        <w:rPr>
          <w:rFonts w:cs="Arial"/>
        </w:rPr>
        <w:t xml:space="preserve"> </w:t>
      </w:r>
      <w:r>
        <w:rPr>
          <w:rFonts w:cs="Arial"/>
        </w:rPr>
        <w:tab/>
        <w:t>Toll free (844) 368-5184</w:t>
      </w:r>
    </w:p>
    <w:p w14:paraId="0582B289" w14:textId="0192F55D" w:rsidR="00137544" w:rsidRDefault="002613F9" w:rsidP="002613F9">
      <w:pPr>
        <w:ind w:left="540" w:right="576"/>
        <w:rPr>
          <w:rFonts w:cs="Arial"/>
        </w:rPr>
      </w:pPr>
      <w:r>
        <w:rPr>
          <w:rFonts w:cs="Arial"/>
          <w:b/>
        </w:rPr>
        <w:t>Email:</w:t>
      </w:r>
      <w:r>
        <w:rPr>
          <w:rFonts w:cs="Arial"/>
        </w:rPr>
        <w:tab/>
      </w:r>
      <w:hyperlink r:id="rId17" w:history="1">
        <w:r w:rsidRPr="00EC49FB">
          <w:rPr>
            <w:rStyle w:val="Hyperlink"/>
            <w:rFonts w:cs="Arial"/>
          </w:rPr>
          <w:t>support@masshealthltss.com</w:t>
        </w:r>
      </w:hyperlink>
      <w:r>
        <w:rPr>
          <w:rFonts w:cs="Arial"/>
        </w:rPr>
        <w:t xml:space="preserve"> </w:t>
      </w:r>
    </w:p>
    <w:p w14:paraId="0207F73B" w14:textId="77777777" w:rsidR="002613F9" w:rsidRDefault="002613F9" w:rsidP="002613F9">
      <w:pPr>
        <w:ind w:left="540" w:right="576"/>
        <w:rPr>
          <w:rFonts w:cs="Arial"/>
        </w:rPr>
      </w:pPr>
      <w:r>
        <w:rPr>
          <w:rFonts w:cs="Arial"/>
          <w:b/>
        </w:rPr>
        <w:t>Portal:</w:t>
      </w:r>
      <w:r>
        <w:rPr>
          <w:rFonts w:cs="Arial"/>
        </w:rPr>
        <w:tab/>
      </w:r>
      <w:hyperlink r:id="rId18" w:history="1">
        <w:r w:rsidRPr="00EC49FB">
          <w:rPr>
            <w:rStyle w:val="Hyperlink"/>
            <w:rFonts w:cs="Arial"/>
          </w:rPr>
          <w:t>www.MassHealthLTSS.com</w:t>
        </w:r>
      </w:hyperlink>
      <w:r>
        <w:rPr>
          <w:rFonts w:cs="Arial"/>
        </w:rPr>
        <w:t xml:space="preserve"> </w:t>
      </w:r>
    </w:p>
    <w:p w14:paraId="06A45486" w14:textId="77777777" w:rsidR="002613F9" w:rsidRDefault="002613F9" w:rsidP="002613F9">
      <w:pPr>
        <w:spacing w:before="0" w:after="0" w:afterAutospacing="0"/>
        <w:ind w:left="547" w:right="576"/>
        <w:rPr>
          <w:rFonts w:cs="Arial"/>
        </w:rPr>
      </w:pPr>
      <w:r>
        <w:rPr>
          <w:rFonts w:cs="Arial"/>
          <w:b/>
        </w:rPr>
        <w:t>Mail:</w:t>
      </w:r>
      <w:r>
        <w:rPr>
          <w:rFonts w:cs="Arial"/>
        </w:rPr>
        <w:tab/>
        <w:t>MassHealth LTSS</w:t>
      </w:r>
    </w:p>
    <w:p w14:paraId="694B5419" w14:textId="77777777" w:rsidR="002613F9" w:rsidRPr="00392CE7" w:rsidRDefault="002613F9" w:rsidP="002613F9">
      <w:pPr>
        <w:spacing w:before="0" w:after="0" w:afterAutospacing="0"/>
        <w:ind w:left="547" w:right="576"/>
        <w:rPr>
          <w:rFonts w:cs="Arial"/>
        </w:rPr>
      </w:pPr>
      <w:r>
        <w:rPr>
          <w:rFonts w:cs="Arial"/>
        </w:rPr>
        <w:tab/>
      </w:r>
      <w:r>
        <w:rPr>
          <w:rFonts w:cs="Arial"/>
        </w:rPr>
        <w:tab/>
      </w:r>
      <w:r w:rsidRPr="00392CE7">
        <w:rPr>
          <w:rFonts w:cs="Arial"/>
        </w:rPr>
        <w:t xml:space="preserve">PO Box 159108 </w:t>
      </w:r>
    </w:p>
    <w:p w14:paraId="09E6357E" w14:textId="77777777" w:rsidR="002613F9" w:rsidRPr="00392CE7" w:rsidRDefault="002613F9" w:rsidP="002613F9">
      <w:pPr>
        <w:spacing w:before="0" w:after="0" w:afterAutospacing="0"/>
        <w:ind w:left="547" w:right="576"/>
        <w:rPr>
          <w:rFonts w:cs="Arial"/>
        </w:rPr>
      </w:pPr>
      <w:r w:rsidRPr="00392CE7">
        <w:rPr>
          <w:rFonts w:cs="Arial"/>
        </w:rPr>
        <w:tab/>
      </w:r>
      <w:r w:rsidRPr="00392CE7">
        <w:rPr>
          <w:rFonts w:cs="Arial"/>
        </w:rPr>
        <w:tab/>
        <w:t xml:space="preserve">Boston, MA </w:t>
      </w:r>
      <w:r>
        <w:rPr>
          <w:rFonts w:cs="Arial"/>
        </w:rPr>
        <w:t xml:space="preserve"> </w:t>
      </w:r>
      <w:r w:rsidRPr="00392CE7">
        <w:rPr>
          <w:rFonts w:cs="Arial"/>
        </w:rPr>
        <w:t>02215</w:t>
      </w:r>
    </w:p>
    <w:p w14:paraId="5F9ED4F9" w14:textId="77777777" w:rsidR="002613F9" w:rsidRDefault="002613F9" w:rsidP="002613F9">
      <w:pPr>
        <w:ind w:left="540"/>
        <w:rPr>
          <w:rFonts w:cs="Arial"/>
        </w:rPr>
      </w:pPr>
      <w:r w:rsidRPr="00392CE7">
        <w:rPr>
          <w:rFonts w:cs="Arial"/>
          <w:b/>
        </w:rPr>
        <w:t>Fax:</w:t>
      </w:r>
      <w:r w:rsidRPr="00392CE7">
        <w:rPr>
          <w:rFonts w:cs="Arial"/>
        </w:rPr>
        <w:tab/>
        <w:t>(888) 832-3006</w:t>
      </w:r>
    </w:p>
    <w:p w14:paraId="6346C704" w14:textId="77777777" w:rsidR="002613F9" w:rsidRPr="00F664CC" w:rsidRDefault="002613F9" w:rsidP="00E27CD8"/>
    <w:sectPr w:rsidR="002613F9"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11EF" w14:textId="77777777" w:rsidR="00682575" w:rsidRDefault="00682575" w:rsidP="00E27CD8">
      <w:r>
        <w:separator/>
      </w:r>
    </w:p>
  </w:endnote>
  <w:endnote w:type="continuationSeparator" w:id="0">
    <w:p w14:paraId="6086DC8B" w14:textId="77777777" w:rsidR="00682575" w:rsidRDefault="00682575"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71B4" w14:textId="77777777" w:rsidR="00682575" w:rsidRDefault="00682575" w:rsidP="00E27CD8">
      <w:r>
        <w:separator/>
      </w:r>
    </w:p>
  </w:footnote>
  <w:footnote w:type="continuationSeparator" w:id="0">
    <w:p w14:paraId="42D0E0B3" w14:textId="77777777" w:rsidR="00682575" w:rsidRDefault="00682575"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47BDE44A" w:rsidR="00AD204A" w:rsidRPr="00F664CC" w:rsidRDefault="00B53819" w:rsidP="00AD204A">
    <w:pPr>
      <w:pStyle w:val="BullsHeading"/>
    </w:pPr>
    <w:r>
      <w:t>Adult Day Health</w:t>
    </w:r>
    <w:r w:rsidR="00AD204A" w:rsidRPr="00F664CC">
      <w:t xml:space="preserve"> Bulletin </w:t>
    </w:r>
    <w:r w:rsidR="00F149CC">
      <w:t>29</w:t>
    </w:r>
  </w:p>
  <w:p w14:paraId="2FBB1D84" w14:textId="70859CEF" w:rsidR="00AD204A" w:rsidRDefault="00B53819" w:rsidP="00AD204A">
    <w:pPr>
      <w:pStyle w:val="BullsHeading"/>
    </w:pPr>
    <w:r>
      <w:t>January 2022</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r w:rsidR="00682575">
      <w:fldChar w:fldCharType="begin"/>
    </w:r>
    <w:r w:rsidR="00682575">
      <w:instrText xml:space="preserve"> NUMPAGES  \* Arabic  \* MERGEFORMAT </w:instrText>
    </w:r>
    <w:r w:rsidR="00682575">
      <w:fldChar w:fldCharType="separate"/>
    </w:r>
    <w:r w:rsidR="00715A8E">
      <w:rPr>
        <w:noProof/>
      </w:rPr>
      <w:t>2</w:t>
    </w:r>
    <w:r w:rsidR="0068257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E0EE8"/>
    <w:multiLevelType w:val="hybridMultilevel"/>
    <w:tmpl w:val="2C342608"/>
    <w:lvl w:ilvl="0" w:tplc="EADE0272">
      <w:start w:val="1"/>
      <w:numFmt w:val="lowerLetter"/>
      <w:suff w:val="space"/>
      <w:lvlText w:val="%1."/>
      <w:lvlJc w:val="left"/>
      <w:pPr>
        <w:ind w:left="108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2AF5054"/>
    <w:multiLevelType w:val="hybridMultilevel"/>
    <w:tmpl w:val="32DEE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302C10"/>
    <w:multiLevelType w:val="hybridMultilevel"/>
    <w:tmpl w:val="A0A8FE7A"/>
    <w:lvl w:ilvl="0" w:tplc="0409000F">
      <w:start w:val="1"/>
      <w:numFmt w:val="decimal"/>
      <w:lvlText w:val="%1."/>
      <w:lvlJc w:val="left"/>
      <w:pPr>
        <w:ind w:left="720" w:hanging="360"/>
      </w:pPr>
    </w:lvl>
    <w:lvl w:ilvl="1" w:tplc="04090011">
      <w:start w:val="1"/>
      <w:numFmt w:val="decimal"/>
      <w:lvlText w:val="%2)"/>
      <w:lvlJc w:val="left"/>
      <w:pPr>
        <w:ind w:left="25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639A3"/>
    <w:multiLevelType w:val="hybridMultilevel"/>
    <w:tmpl w:val="F28A41C2"/>
    <w:lvl w:ilvl="0" w:tplc="1274307A">
      <w:start w:val="1"/>
      <w:numFmt w:val="upperLetter"/>
      <w:lvlText w:val="(%1)"/>
      <w:lvlJc w:val="left"/>
      <w:pPr>
        <w:ind w:left="1095" w:hanging="375"/>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FB2740"/>
    <w:multiLevelType w:val="hybridMultilevel"/>
    <w:tmpl w:val="042C6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5E3D57"/>
    <w:multiLevelType w:val="hybridMultilevel"/>
    <w:tmpl w:val="C36A34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310838A8"/>
    <w:multiLevelType w:val="hybridMultilevel"/>
    <w:tmpl w:val="5FB88C3C"/>
    <w:lvl w:ilvl="0" w:tplc="04090011">
      <w:start w:val="1"/>
      <w:numFmt w:val="decimal"/>
      <w:lvlText w:val="%1)"/>
      <w:lvlJc w:val="left"/>
      <w:pPr>
        <w:ind w:left="1440" w:hanging="360"/>
      </w:pPr>
      <w:rPr>
        <w:rFonts w:hint="default"/>
      </w:rPr>
    </w:lvl>
    <w:lvl w:ilvl="1" w:tplc="04090011">
      <w:start w:val="1"/>
      <w:numFmt w:val="decimal"/>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315715F5"/>
    <w:multiLevelType w:val="hybridMultilevel"/>
    <w:tmpl w:val="5B96F11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61238D"/>
    <w:multiLevelType w:val="hybridMultilevel"/>
    <w:tmpl w:val="878C8F46"/>
    <w:lvl w:ilvl="0" w:tplc="B9543D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101167"/>
    <w:multiLevelType w:val="hybridMultilevel"/>
    <w:tmpl w:val="C3844000"/>
    <w:lvl w:ilvl="0" w:tplc="E74E5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C45E2D"/>
    <w:multiLevelType w:val="hybridMultilevel"/>
    <w:tmpl w:val="A622E170"/>
    <w:lvl w:ilvl="0" w:tplc="01BCC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E453D1"/>
    <w:multiLevelType w:val="hybridMultilevel"/>
    <w:tmpl w:val="97763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8"/>
  </w:num>
  <w:num w:numId="14">
    <w:abstractNumId w:val="17"/>
  </w:num>
  <w:num w:numId="15">
    <w:abstractNumId w:val="19"/>
  </w:num>
  <w:num w:numId="16">
    <w:abstractNumId w:val="22"/>
  </w:num>
  <w:num w:numId="17">
    <w:abstractNumId w:val="14"/>
  </w:num>
  <w:num w:numId="18">
    <w:abstractNumId w:val="12"/>
  </w:num>
  <w:num w:numId="19">
    <w:abstractNumId w:val="21"/>
  </w:num>
  <w:num w:numId="20">
    <w:abstractNumId w:val="20"/>
  </w:num>
  <w:num w:numId="21">
    <w:abstractNumId w:val="13"/>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C4566"/>
    <w:rsid w:val="000D3DB5"/>
    <w:rsid w:val="00101F4F"/>
    <w:rsid w:val="00137544"/>
    <w:rsid w:val="00150BCC"/>
    <w:rsid w:val="001554E7"/>
    <w:rsid w:val="001634DD"/>
    <w:rsid w:val="001F1D10"/>
    <w:rsid w:val="00221556"/>
    <w:rsid w:val="0022788E"/>
    <w:rsid w:val="002565AE"/>
    <w:rsid w:val="002613F9"/>
    <w:rsid w:val="00274DD8"/>
    <w:rsid w:val="0028720F"/>
    <w:rsid w:val="002E6675"/>
    <w:rsid w:val="002F2993"/>
    <w:rsid w:val="002F713E"/>
    <w:rsid w:val="003133F5"/>
    <w:rsid w:val="003249D2"/>
    <w:rsid w:val="003A1D18"/>
    <w:rsid w:val="003A7588"/>
    <w:rsid w:val="003B4152"/>
    <w:rsid w:val="003E2878"/>
    <w:rsid w:val="003E2BD6"/>
    <w:rsid w:val="00464622"/>
    <w:rsid w:val="004962AF"/>
    <w:rsid w:val="004972ED"/>
    <w:rsid w:val="004A7718"/>
    <w:rsid w:val="004C4895"/>
    <w:rsid w:val="004F4B9A"/>
    <w:rsid w:val="0050201B"/>
    <w:rsid w:val="005068BD"/>
    <w:rsid w:val="00507CFF"/>
    <w:rsid w:val="0058634E"/>
    <w:rsid w:val="0059142C"/>
    <w:rsid w:val="005B27F1"/>
    <w:rsid w:val="005E4B62"/>
    <w:rsid w:val="005F2B69"/>
    <w:rsid w:val="006157DA"/>
    <w:rsid w:val="006548DD"/>
    <w:rsid w:val="00682575"/>
    <w:rsid w:val="006859B0"/>
    <w:rsid w:val="006941BF"/>
    <w:rsid w:val="006A4D38"/>
    <w:rsid w:val="006C20A7"/>
    <w:rsid w:val="006C70F9"/>
    <w:rsid w:val="006D3F15"/>
    <w:rsid w:val="006D5178"/>
    <w:rsid w:val="00700F64"/>
    <w:rsid w:val="00706438"/>
    <w:rsid w:val="00714FE5"/>
    <w:rsid w:val="00715A8E"/>
    <w:rsid w:val="00721A54"/>
    <w:rsid w:val="007244AC"/>
    <w:rsid w:val="00777A22"/>
    <w:rsid w:val="00795E06"/>
    <w:rsid w:val="007C2FD3"/>
    <w:rsid w:val="007D0671"/>
    <w:rsid w:val="007E4980"/>
    <w:rsid w:val="007F04CA"/>
    <w:rsid w:val="007F1048"/>
    <w:rsid w:val="007F7DBF"/>
    <w:rsid w:val="008201CC"/>
    <w:rsid w:val="0083173E"/>
    <w:rsid w:val="00836D85"/>
    <w:rsid w:val="00863041"/>
    <w:rsid w:val="008B6E51"/>
    <w:rsid w:val="00914588"/>
    <w:rsid w:val="00922F04"/>
    <w:rsid w:val="00930EA8"/>
    <w:rsid w:val="00971240"/>
    <w:rsid w:val="00982839"/>
    <w:rsid w:val="00993217"/>
    <w:rsid w:val="009D008E"/>
    <w:rsid w:val="00A16884"/>
    <w:rsid w:val="00A658D7"/>
    <w:rsid w:val="00A772C1"/>
    <w:rsid w:val="00A81A76"/>
    <w:rsid w:val="00A95FC1"/>
    <w:rsid w:val="00AA6085"/>
    <w:rsid w:val="00AD204A"/>
    <w:rsid w:val="00AD6899"/>
    <w:rsid w:val="00B11562"/>
    <w:rsid w:val="00B24156"/>
    <w:rsid w:val="00B53819"/>
    <w:rsid w:val="00B6315E"/>
    <w:rsid w:val="00B73653"/>
    <w:rsid w:val="00B86319"/>
    <w:rsid w:val="00BC3755"/>
    <w:rsid w:val="00BD2DAF"/>
    <w:rsid w:val="00C024A2"/>
    <w:rsid w:val="00C358D3"/>
    <w:rsid w:val="00C65000"/>
    <w:rsid w:val="00C70084"/>
    <w:rsid w:val="00CA3ACD"/>
    <w:rsid w:val="00CC1E11"/>
    <w:rsid w:val="00CD456D"/>
    <w:rsid w:val="00D10D8E"/>
    <w:rsid w:val="00DA7C64"/>
    <w:rsid w:val="00DF7122"/>
    <w:rsid w:val="00E01D80"/>
    <w:rsid w:val="00E20419"/>
    <w:rsid w:val="00E23F3A"/>
    <w:rsid w:val="00E27CD8"/>
    <w:rsid w:val="00E33508"/>
    <w:rsid w:val="00ED497C"/>
    <w:rsid w:val="00EF5E59"/>
    <w:rsid w:val="00F149CC"/>
    <w:rsid w:val="00F60574"/>
    <w:rsid w:val="00F664CC"/>
    <w:rsid w:val="00F73D6F"/>
    <w:rsid w:val="00F74F30"/>
    <w:rsid w:val="00F82EAC"/>
    <w:rsid w:val="00F94569"/>
    <w:rsid w:val="00FC6CDF"/>
    <w:rsid w:val="00FD4C0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E6675"/>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2E6675"/>
    <w:rPr>
      <w:sz w:val="16"/>
      <w:szCs w:val="16"/>
    </w:rPr>
  </w:style>
  <w:style w:type="paragraph" w:styleId="CommentText">
    <w:name w:val="annotation text"/>
    <w:basedOn w:val="Normal"/>
    <w:link w:val="CommentTextChar"/>
    <w:uiPriority w:val="99"/>
    <w:semiHidden/>
    <w:unhideWhenUsed/>
    <w:rsid w:val="002E6675"/>
    <w:rPr>
      <w:sz w:val="20"/>
      <w:szCs w:val="20"/>
    </w:rPr>
  </w:style>
  <w:style w:type="character" w:customStyle="1" w:styleId="CommentTextChar">
    <w:name w:val="Comment Text Char"/>
    <w:basedOn w:val="DefaultParagraphFont"/>
    <w:link w:val="CommentText"/>
    <w:uiPriority w:val="99"/>
    <w:semiHidden/>
    <w:rsid w:val="002E667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3A1D18"/>
    <w:rPr>
      <w:b/>
      <w:bCs/>
    </w:rPr>
  </w:style>
  <w:style w:type="character" w:customStyle="1" w:styleId="CommentSubjectChar">
    <w:name w:val="Comment Subject Char"/>
    <w:basedOn w:val="CommentTextChar"/>
    <w:link w:val="CommentSubject"/>
    <w:uiPriority w:val="99"/>
    <w:semiHidden/>
    <w:rsid w:val="003A1D18"/>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4C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service-details/contact-information-for-surveillance-reporting-and-control" TargetMode="External"/><Relationship Id="rId18" Type="http://schemas.openxmlformats.org/officeDocument/2006/relationships/hyperlink" Target="http://www.MassHealthLT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H.BHCSQ@MassMail.State.MA.US" TargetMode="External"/><Relationship Id="rId17" Type="http://schemas.openxmlformats.org/officeDocument/2006/relationships/hyperlink" Target="mailto:support@masshealthltss.com" TargetMode="External"/><Relationship Id="rId2" Type="http://schemas.openxmlformats.org/officeDocument/2006/relationships/numbering" Target="numbering.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ovid-19-public-health-guidance-and-directives"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app.keysurvey.com/f/41540929/1e0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9383C-DE10-4557-A819-74D87BAA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24</TotalTime>
  <Pages>3</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Bernadette Bentley</cp:lastModifiedBy>
  <cp:revision>12</cp:revision>
  <cp:lastPrinted>2021-12-30T16:20:00Z</cp:lastPrinted>
  <dcterms:created xsi:type="dcterms:W3CDTF">2021-12-29T15:44:00Z</dcterms:created>
  <dcterms:modified xsi:type="dcterms:W3CDTF">2021-12-30T16:21:00Z</dcterms:modified>
</cp:coreProperties>
</file>