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7B083E03"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063FF1CE">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000000"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1A51DA4E" w:rsidR="00F664CC" w:rsidRPr="005B27F1" w:rsidRDefault="00F45335" w:rsidP="005B27F1">
      <w:pPr>
        <w:pStyle w:val="Heading1"/>
      </w:pPr>
      <w:r>
        <w:t>Adult Day Health</w:t>
      </w:r>
      <w:r w:rsidR="00F664CC" w:rsidRPr="005B27F1">
        <w:t xml:space="preserve"> Bulletin </w:t>
      </w:r>
      <w:r w:rsidR="00F20C74">
        <w:t>36</w:t>
      </w:r>
    </w:p>
    <w:p w14:paraId="21E58117" w14:textId="649B9498" w:rsidR="00F664CC" w:rsidRPr="00150BCC" w:rsidRDefault="00F20C74" w:rsidP="00150BCC">
      <w:pPr>
        <w:pStyle w:val="BullsHeading"/>
      </w:pPr>
      <w:r>
        <w:t>April</w:t>
      </w:r>
      <w:r w:rsidR="00F664CC" w:rsidRPr="00150BCC">
        <w:t xml:space="preserve"> </w:t>
      </w:r>
      <w:r w:rsidR="00F45335">
        <w:t>2023</w:t>
      </w:r>
    </w:p>
    <w:p w14:paraId="7C961569" w14:textId="77777777"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32CB34DB" w:rsidR="00F664CC" w:rsidRPr="00F664CC" w:rsidRDefault="00D24A5C" w:rsidP="00E27CD8">
      <w:r>
        <w:rPr>
          <w:noProof/>
        </w:rPr>
        <w:t>[</w:t>
      </w:r>
      <w:r w:rsidR="00F664CC" w:rsidRPr="00F664CC">
        <w:rPr>
          <w:b/>
        </w:rPr>
        <w:t>TO</w:t>
      </w:r>
      <w:r w:rsidR="00F664CC" w:rsidRPr="00F664CC">
        <w:t>:</w:t>
      </w:r>
      <w:r w:rsidR="00F664CC">
        <w:tab/>
      </w:r>
      <w:r w:rsidR="00F45335">
        <w:t xml:space="preserve">Adult Day Health Providers </w:t>
      </w:r>
      <w:r w:rsidR="00F664CC" w:rsidRPr="00F664CC">
        <w:t>Participating in MassHealth</w:t>
      </w:r>
    </w:p>
    <w:p w14:paraId="7AD423C9" w14:textId="4C36872E" w:rsidR="00F664CC" w:rsidRPr="00F664CC" w:rsidRDefault="00F664CC" w:rsidP="00E27CD8">
      <w:r w:rsidRPr="00F664CC">
        <w:rPr>
          <w:b/>
        </w:rPr>
        <w:t>FROM</w:t>
      </w:r>
      <w:r w:rsidRPr="00F664CC">
        <w:t>:</w:t>
      </w:r>
      <w:r>
        <w:tab/>
      </w:r>
      <w:r w:rsidR="003A60A8">
        <w:t>Mike Levine</w:t>
      </w:r>
      <w:r w:rsidR="00AA6085">
        <w:t>, Assistant Secretary for MassHealth</w:t>
      </w:r>
      <w:r w:rsidR="00C60FEA">
        <w:t xml:space="preserve"> </w:t>
      </w:r>
      <w:r w:rsidR="00355A35">
        <w:t>[signature of Mike Levine]</w:t>
      </w:r>
    </w:p>
    <w:p w14:paraId="74DC95F5" w14:textId="2081032B" w:rsidR="007D4639" w:rsidRPr="00F664CC" w:rsidRDefault="00F664CC" w:rsidP="007D4639">
      <w:pPr>
        <w:pStyle w:val="SubjectLine"/>
        <w:spacing w:after="100"/>
        <w:ind w:left="1440" w:hanging="1080"/>
      </w:pPr>
      <w:r w:rsidRPr="00F664CC">
        <w:t>RE:</w:t>
      </w:r>
      <w:r w:rsidR="00BD2DAF">
        <w:tab/>
      </w:r>
      <w:bookmarkStart w:id="0" w:name="_Hlk58222610"/>
      <w:r w:rsidR="007D4639" w:rsidRPr="00CD4123">
        <w:t xml:space="preserve">COVID-19 </w:t>
      </w:r>
      <w:bookmarkEnd w:id="0"/>
      <w:r w:rsidR="007D4639">
        <w:t xml:space="preserve">Flexibilities Expiring </w:t>
      </w:r>
      <w:r w:rsidR="00296041">
        <w:t xml:space="preserve">after the End of </w:t>
      </w:r>
      <w:r w:rsidR="007D4639">
        <w:t>the Federal Public Health Emergency</w:t>
      </w:r>
    </w:p>
    <w:p w14:paraId="2DA57361" w14:textId="77777777" w:rsidR="00184C35" w:rsidRPr="001A3ADD" w:rsidRDefault="00184C35" w:rsidP="001A3ADD">
      <w:pPr>
        <w:pStyle w:val="Heading2"/>
      </w:pPr>
      <w:r w:rsidRPr="001A3ADD">
        <w:t>Background</w:t>
      </w:r>
    </w:p>
    <w:p w14:paraId="3F480EBB" w14:textId="26E3A02B" w:rsidR="00184C35" w:rsidRDefault="00184C35" w:rsidP="000808C9">
      <w:pPr>
        <w:pStyle w:val="BodyTextIndent"/>
        <w:spacing w:after="120" w:afterAutospacing="0"/>
      </w:pPr>
      <w:r>
        <w:t xml:space="preserve">On January 31, 2020, </w:t>
      </w:r>
      <w:r w:rsidR="004C7302">
        <w:t>t</w:t>
      </w:r>
      <w:r>
        <w:t>he United States Secretary of Health and Human Services determin</w:t>
      </w:r>
      <w:r w:rsidR="004C7302">
        <w:t>ed</w:t>
      </w:r>
      <w:r>
        <w:t xml:space="preserve"> that a nationwide public health emergency had existed since January 27, 2020. The Secretary </w:t>
      </w:r>
      <w:r w:rsidR="004C7302">
        <w:t>renewed</w:t>
      </w:r>
      <w:r>
        <w:t xml:space="preserve"> the FPHE on April 21, 2020</w:t>
      </w:r>
      <w:r w:rsidR="00C66ABE">
        <w:t>,</w:t>
      </w:r>
      <w:r>
        <w:t xml:space="preserve"> July 23, 2020</w:t>
      </w:r>
      <w:r w:rsidR="00C66ABE">
        <w:t>,</w:t>
      </w:r>
      <w:r>
        <w:t xml:space="preserve"> October 2, 2020</w:t>
      </w:r>
      <w:r w:rsidR="00C66ABE">
        <w:t>,</w:t>
      </w:r>
      <w:r>
        <w:t xml:space="preserve"> January 7, 2021</w:t>
      </w:r>
      <w:r w:rsidR="00C66ABE">
        <w:t>,</w:t>
      </w:r>
      <w:r>
        <w:t xml:space="preserve"> April 15, 2021</w:t>
      </w:r>
      <w:r w:rsidR="00C66ABE">
        <w:t>,</w:t>
      </w:r>
      <w:r>
        <w:t xml:space="preserve"> July 19, 2021</w:t>
      </w:r>
      <w:r w:rsidR="00C66ABE">
        <w:t>,</w:t>
      </w:r>
      <w:r w:rsidR="00C00E18">
        <w:t xml:space="preserve"> and October 13, 2022</w:t>
      </w:r>
      <w:r>
        <w:t xml:space="preserve">. On January 30, 2023, the Secretary announced that the FPHE will end on May 11, 2023. </w:t>
      </w:r>
    </w:p>
    <w:p w14:paraId="4A69E224" w14:textId="5551C2D1" w:rsidR="00184C35" w:rsidRDefault="00184C35" w:rsidP="000808C9">
      <w:pPr>
        <w:pStyle w:val="BodyTextIndent"/>
        <w:spacing w:after="120" w:afterAutospacing="0"/>
        <w:rPr>
          <w:b/>
        </w:rPr>
      </w:pPr>
      <w:r>
        <w:t>Due to the decision by the Secretary to end the FPHE, MassHealth is issuing this bulletin, effective May 12, 2023</w:t>
      </w:r>
      <w:r w:rsidR="004C7302">
        <w:t>.</w:t>
      </w:r>
      <w:r>
        <w:t xml:space="preserve"> </w:t>
      </w:r>
      <w:r w:rsidR="004C7302">
        <w:t>It replaces</w:t>
      </w:r>
      <w:r>
        <w:t xml:space="preserve"> all prior FPHE</w:t>
      </w:r>
      <w:r w:rsidR="007D4639">
        <w:t>-</w:t>
      </w:r>
      <w:r>
        <w:t xml:space="preserve">related bulletins, specifically </w:t>
      </w:r>
      <w:r w:rsidR="007D4639">
        <w:t>Adult Day Health (</w:t>
      </w:r>
      <w:r>
        <w:t>ADH</w:t>
      </w:r>
      <w:r w:rsidR="007D4639">
        <w:t>)</w:t>
      </w:r>
      <w:r>
        <w:rPr>
          <w:bCs/>
        </w:rPr>
        <w:t xml:space="preserve"> Bulletins 28 and 29.</w:t>
      </w:r>
    </w:p>
    <w:p w14:paraId="23B6442C" w14:textId="2FE86AC1" w:rsidR="0064641A" w:rsidRPr="005B27F1" w:rsidRDefault="0064641A" w:rsidP="001A3ADD">
      <w:pPr>
        <w:pStyle w:val="Heading2"/>
      </w:pPr>
      <w:bookmarkStart w:id="1" w:name="_Hlk56080293"/>
      <w:r>
        <w:t>Introduction</w:t>
      </w:r>
    </w:p>
    <w:p w14:paraId="5E2353FB" w14:textId="28157F2A" w:rsidR="00184C35" w:rsidRDefault="00184C35" w:rsidP="00184C35">
      <w:pPr>
        <w:pStyle w:val="BodyTextIndent"/>
      </w:pPr>
      <w:r w:rsidRPr="00FB54B4">
        <w:t>This bulletin communicate</w:t>
      </w:r>
      <w:r w:rsidR="004C7302">
        <w:t>s</w:t>
      </w:r>
      <w:r w:rsidRPr="00FB54B4">
        <w:t xml:space="preserve"> ADH provider requirements </w:t>
      </w:r>
      <w:r w:rsidR="00C858D2">
        <w:t xml:space="preserve">that were </w:t>
      </w:r>
      <w:r w:rsidRPr="00FB54B4">
        <w:t xml:space="preserve">suspended during the FPHE </w:t>
      </w:r>
      <w:r w:rsidR="008F39FF">
        <w:t xml:space="preserve">and </w:t>
      </w:r>
      <w:r w:rsidRPr="00FB54B4">
        <w:t>that will be enforced after the FPHE ends</w:t>
      </w:r>
      <w:r w:rsidR="004C7302">
        <w:t>.</w:t>
      </w:r>
      <w:r w:rsidRPr="00FB54B4">
        <w:t xml:space="preserve"> </w:t>
      </w:r>
      <w:bookmarkEnd w:id="1"/>
      <w:r w:rsidR="008910FB">
        <w:t xml:space="preserve">It </w:t>
      </w:r>
      <w:r>
        <w:t xml:space="preserve">applies to members </w:t>
      </w:r>
      <w:bookmarkStart w:id="2" w:name="_Hlk53489261"/>
      <w:r>
        <w:t>receiving ADH services on a fee-for-service basis, including</w:t>
      </w:r>
      <w:bookmarkEnd w:id="2"/>
      <w:r>
        <w:t xml:space="preserve"> members enrolled in the Primary Care Clinician (PCC) </w:t>
      </w:r>
      <w:r w:rsidR="00B54AE9">
        <w:t>P</w:t>
      </w:r>
      <w:r>
        <w:t>lan who are receiving MassHealth</w:t>
      </w:r>
      <w:r w:rsidR="00F45335">
        <w:t>-</w:t>
      </w:r>
      <w:r>
        <w:t>covered ADH services.</w:t>
      </w:r>
    </w:p>
    <w:p w14:paraId="0C59A359" w14:textId="4C4B9EF8" w:rsidR="00184C35" w:rsidRDefault="00184C35" w:rsidP="001A3ADD">
      <w:pPr>
        <w:pStyle w:val="Heading2"/>
      </w:pPr>
      <w:r>
        <w:t>Flexibilities Ending May 1</w:t>
      </w:r>
      <w:r w:rsidR="004746C2">
        <w:t>1</w:t>
      </w:r>
      <w:r>
        <w:t>, 2023</w:t>
      </w:r>
    </w:p>
    <w:p w14:paraId="65DC34AB" w14:textId="0C1E7327" w:rsidR="00184C35" w:rsidRPr="001A3ADD" w:rsidRDefault="00184C35" w:rsidP="000746C7">
      <w:pPr>
        <w:pStyle w:val="Heading3"/>
      </w:pPr>
      <w:r w:rsidRPr="001A3ADD">
        <w:t>Service Provision Outside the Congregate Setting</w:t>
      </w:r>
    </w:p>
    <w:p w14:paraId="087E401E" w14:textId="2D2E9B86" w:rsidR="00184C35" w:rsidRDefault="00184C35" w:rsidP="000808C9">
      <w:pPr>
        <w:spacing w:after="120" w:afterAutospacing="0"/>
      </w:pPr>
      <w:r w:rsidRPr="003F594B">
        <w:t xml:space="preserve">Effective May 12, 2023, ADH services must be provided in the congregate setting, as follows: </w:t>
      </w:r>
    </w:p>
    <w:p w14:paraId="6E6E76CB" w14:textId="77777777" w:rsidR="00184C35" w:rsidRPr="003F594B" w:rsidRDefault="00184C35" w:rsidP="000808C9">
      <w:pPr>
        <w:pStyle w:val="ListParagraph"/>
        <w:numPr>
          <w:ilvl w:val="0"/>
          <w:numId w:val="13"/>
        </w:numPr>
        <w:spacing w:after="120"/>
        <w:rPr>
          <w:rFonts w:ascii="Georgia" w:hAnsi="Georgia" w:cs="Arial"/>
          <w:sz w:val="22"/>
          <w:szCs w:val="22"/>
        </w:rPr>
      </w:pPr>
      <w:r w:rsidRPr="003F594B">
        <w:rPr>
          <w:rFonts w:ascii="Georgia" w:hAnsi="Georgia" w:cs="Arial"/>
          <w:sz w:val="22"/>
          <w:szCs w:val="22"/>
        </w:rPr>
        <w:t xml:space="preserve">All ADH care plans must be amended to reflect the member’s needs and services at the ADH provider’s congregate site. </w:t>
      </w:r>
    </w:p>
    <w:p w14:paraId="1ED036EB" w14:textId="77777777" w:rsidR="00184C35" w:rsidRPr="003F594B" w:rsidRDefault="00184C35" w:rsidP="004746C2">
      <w:pPr>
        <w:pStyle w:val="ListParagraph"/>
        <w:numPr>
          <w:ilvl w:val="0"/>
          <w:numId w:val="13"/>
        </w:numPr>
        <w:spacing w:before="120" w:after="120"/>
        <w:rPr>
          <w:rFonts w:ascii="Georgia" w:hAnsi="Georgia"/>
          <w:color w:val="000000"/>
          <w:sz w:val="22"/>
          <w:szCs w:val="22"/>
        </w:rPr>
      </w:pPr>
      <w:r w:rsidRPr="003F594B">
        <w:rPr>
          <w:rFonts w:ascii="Georgia" w:hAnsi="Georgia" w:cstheme="minorHAnsi"/>
          <w:color w:val="000000" w:themeColor="text1"/>
          <w:sz w:val="22"/>
          <w:szCs w:val="22"/>
        </w:rPr>
        <w:t xml:space="preserve">All required assessments must be completed in the ADH provider’s congregate setting. </w:t>
      </w:r>
    </w:p>
    <w:p w14:paraId="34D7A1E0" w14:textId="6C75DF47" w:rsidR="00184C35" w:rsidRPr="003F594B" w:rsidRDefault="00184C35" w:rsidP="004746C2">
      <w:pPr>
        <w:pStyle w:val="ListParagraph"/>
        <w:numPr>
          <w:ilvl w:val="0"/>
          <w:numId w:val="13"/>
        </w:numPr>
        <w:spacing w:before="120" w:after="120"/>
        <w:rPr>
          <w:rFonts w:ascii="Georgia" w:hAnsi="Georgia"/>
          <w:color w:val="000000"/>
          <w:sz w:val="22"/>
          <w:szCs w:val="22"/>
        </w:rPr>
      </w:pPr>
      <w:r w:rsidRPr="003F594B">
        <w:rPr>
          <w:rFonts w:ascii="Georgia" w:hAnsi="Georgia" w:cstheme="minorHAnsi"/>
          <w:color w:val="000000" w:themeColor="text1"/>
          <w:sz w:val="22"/>
          <w:szCs w:val="22"/>
        </w:rPr>
        <w:t>The following flexibilities end</w:t>
      </w:r>
      <w:r w:rsidR="00F45335" w:rsidRPr="003F594B">
        <w:rPr>
          <w:rFonts w:ascii="Georgia" w:hAnsi="Georgia" w:cstheme="minorHAnsi"/>
          <w:color w:val="000000" w:themeColor="text1"/>
          <w:sz w:val="22"/>
          <w:szCs w:val="22"/>
        </w:rPr>
        <w:t>:</w:t>
      </w:r>
    </w:p>
    <w:p w14:paraId="4F69D34F" w14:textId="59676559" w:rsidR="00184C35" w:rsidRPr="003F594B" w:rsidRDefault="00F45335" w:rsidP="00752693">
      <w:pPr>
        <w:pStyle w:val="ListParagraph"/>
        <w:numPr>
          <w:ilvl w:val="1"/>
          <w:numId w:val="11"/>
        </w:numPr>
        <w:spacing w:before="120" w:after="120"/>
        <w:ind w:left="1710"/>
        <w:rPr>
          <w:rFonts w:ascii="Georgia" w:hAnsi="Georgia"/>
          <w:color w:val="000000"/>
          <w:sz w:val="22"/>
          <w:szCs w:val="22"/>
        </w:rPr>
      </w:pPr>
      <w:r w:rsidRPr="003F594B">
        <w:rPr>
          <w:rFonts w:ascii="Georgia" w:hAnsi="Georgia"/>
          <w:color w:val="000000"/>
          <w:sz w:val="22"/>
          <w:szCs w:val="22"/>
        </w:rPr>
        <w:t>s</w:t>
      </w:r>
      <w:r w:rsidR="00184C35" w:rsidRPr="003F594B">
        <w:rPr>
          <w:rFonts w:ascii="Georgia" w:hAnsi="Georgia"/>
          <w:color w:val="000000"/>
          <w:sz w:val="22"/>
          <w:szCs w:val="22"/>
        </w:rPr>
        <w:t>ervices provided remotely, either outside or inside the member’s home</w:t>
      </w:r>
    </w:p>
    <w:p w14:paraId="29DC5BBC" w14:textId="3B1CB3A5" w:rsidR="00184C35" w:rsidRPr="003F594B" w:rsidRDefault="00F45335" w:rsidP="00A44BAD">
      <w:pPr>
        <w:pStyle w:val="ListParagraph"/>
        <w:numPr>
          <w:ilvl w:val="1"/>
          <w:numId w:val="11"/>
        </w:numPr>
        <w:spacing w:before="120" w:after="120"/>
        <w:ind w:left="1710"/>
        <w:rPr>
          <w:rFonts w:ascii="Georgia" w:hAnsi="Georgia"/>
          <w:sz w:val="22"/>
          <w:szCs w:val="22"/>
        </w:rPr>
      </w:pPr>
      <w:r w:rsidRPr="003F594B">
        <w:rPr>
          <w:rFonts w:ascii="Georgia" w:hAnsi="Georgia"/>
          <w:color w:val="000000"/>
          <w:sz w:val="22"/>
          <w:szCs w:val="22"/>
        </w:rPr>
        <w:t>the provision of ADH services in</w:t>
      </w:r>
      <w:r w:rsidR="00184C35" w:rsidRPr="003F594B">
        <w:rPr>
          <w:rFonts w:ascii="Georgia" w:hAnsi="Georgia"/>
          <w:color w:val="000000"/>
          <w:sz w:val="22"/>
          <w:szCs w:val="22"/>
        </w:rPr>
        <w:t xml:space="preserve"> a member’s residence</w:t>
      </w:r>
      <w:r w:rsidR="001A3ADD">
        <w:rPr>
          <w:rFonts w:ascii="Georgia" w:hAnsi="Georgia"/>
          <w:color w:val="000000"/>
          <w:sz w:val="22"/>
          <w:szCs w:val="22"/>
        </w:rPr>
        <w:t>,</w:t>
      </w:r>
      <w:r w:rsidRPr="003F594B">
        <w:rPr>
          <w:rFonts w:ascii="Georgia" w:hAnsi="Georgia"/>
          <w:color w:val="000000"/>
          <w:sz w:val="22"/>
          <w:szCs w:val="22"/>
        </w:rPr>
        <w:t xml:space="preserve"> and</w:t>
      </w:r>
      <w:r w:rsidR="00184C35" w:rsidRPr="003F594B">
        <w:rPr>
          <w:rFonts w:ascii="Georgia" w:hAnsi="Georgia"/>
          <w:color w:val="000000"/>
          <w:sz w:val="22"/>
          <w:szCs w:val="22"/>
        </w:rPr>
        <w:t xml:space="preserve">  </w:t>
      </w:r>
    </w:p>
    <w:p w14:paraId="05B81391" w14:textId="7BBA6EA5" w:rsidR="00F45335" w:rsidRPr="003F594B" w:rsidRDefault="00184C35" w:rsidP="00A44BAD">
      <w:pPr>
        <w:pStyle w:val="ListParagraph"/>
        <w:numPr>
          <w:ilvl w:val="1"/>
          <w:numId w:val="11"/>
        </w:numPr>
        <w:spacing w:before="120" w:after="120"/>
        <w:ind w:left="1710"/>
        <w:rPr>
          <w:rFonts w:ascii="Georgia" w:hAnsi="Georgia"/>
          <w:color w:val="000000"/>
          <w:sz w:val="22"/>
          <w:szCs w:val="22"/>
        </w:rPr>
      </w:pPr>
      <w:r w:rsidRPr="003F594B">
        <w:rPr>
          <w:rFonts w:ascii="Georgia" w:hAnsi="Georgia"/>
          <w:color w:val="000000"/>
          <w:sz w:val="22"/>
          <w:szCs w:val="22"/>
        </w:rPr>
        <w:t xml:space="preserve">assessments </w:t>
      </w:r>
      <w:r w:rsidR="00F45335" w:rsidRPr="003F594B">
        <w:rPr>
          <w:rFonts w:ascii="Georgia" w:hAnsi="Georgia"/>
          <w:color w:val="000000"/>
          <w:sz w:val="22"/>
          <w:szCs w:val="22"/>
        </w:rPr>
        <w:t xml:space="preserve">conducted </w:t>
      </w:r>
      <w:r w:rsidRPr="003F594B">
        <w:rPr>
          <w:rFonts w:ascii="Georgia" w:hAnsi="Georgia"/>
          <w:color w:val="000000"/>
          <w:sz w:val="22"/>
          <w:szCs w:val="22"/>
        </w:rPr>
        <w:t xml:space="preserve">at locations outside the ADH program site. </w:t>
      </w:r>
    </w:p>
    <w:p w14:paraId="6180EFBB" w14:textId="77777777" w:rsidR="00B40496" w:rsidRDefault="00B40496" w:rsidP="004746C2">
      <w:pPr>
        <w:pStyle w:val="ListParagraph"/>
        <w:rPr>
          <w:rFonts w:ascii="Georgia" w:hAnsi="Georgia" w:cstheme="minorHAnsi"/>
          <w:color w:val="000000" w:themeColor="text1"/>
          <w:sz w:val="22"/>
          <w:szCs w:val="22"/>
        </w:rPr>
      </w:pPr>
    </w:p>
    <w:p w14:paraId="497F3E5A" w14:textId="5724A26C" w:rsidR="000968C4" w:rsidRPr="003F594B" w:rsidRDefault="00184C35" w:rsidP="000808C9">
      <w:pPr>
        <w:pStyle w:val="ListParagraph"/>
        <w:spacing w:after="120"/>
        <w:ind w:left="360"/>
        <w:contextualSpacing w:val="0"/>
        <w:rPr>
          <w:rFonts w:ascii="Georgia" w:hAnsi="Georgia" w:cstheme="minorHAnsi"/>
          <w:color w:val="000000" w:themeColor="text1"/>
          <w:sz w:val="22"/>
          <w:szCs w:val="22"/>
        </w:rPr>
      </w:pPr>
      <w:r w:rsidRPr="003F594B">
        <w:rPr>
          <w:rFonts w:ascii="Georgia" w:hAnsi="Georgia" w:cstheme="minorHAnsi"/>
          <w:color w:val="000000" w:themeColor="text1"/>
          <w:sz w:val="22"/>
          <w:szCs w:val="22"/>
        </w:rPr>
        <w:t xml:space="preserve">Members receiving services under a flexibility may choose </w:t>
      </w:r>
      <w:r w:rsidR="00F45335" w:rsidRPr="003F594B">
        <w:rPr>
          <w:rFonts w:ascii="Georgia" w:hAnsi="Georgia" w:cstheme="minorHAnsi"/>
          <w:color w:val="000000" w:themeColor="text1"/>
          <w:sz w:val="22"/>
          <w:szCs w:val="22"/>
        </w:rPr>
        <w:t xml:space="preserve">whether </w:t>
      </w:r>
      <w:r w:rsidRPr="003F594B">
        <w:rPr>
          <w:rFonts w:ascii="Georgia" w:hAnsi="Georgia" w:cstheme="minorHAnsi"/>
          <w:color w:val="000000" w:themeColor="text1"/>
          <w:sz w:val="22"/>
          <w:szCs w:val="22"/>
        </w:rPr>
        <w:t xml:space="preserve">to return to the congregate setting. </w:t>
      </w:r>
    </w:p>
    <w:p w14:paraId="234E4CA7" w14:textId="0BB961AF" w:rsidR="00184C35" w:rsidRPr="000808C9" w:rsidRDefault="00184C35" w:rsidP="000808C9">
      <w:pPr>
        <w:pStyle w:val="ListParagraph"/>
        <w:numPr>
          <w:ilvl w:val="0"/>
          <w:numId w:val="13"/>
        </w:numPr>
        <w:spacing w:before="120" w:after="120"/>
        <w:rPr>
          <w:rFonts w:ascii="Georgia" w:hAnsi="Georgia" w:cs="Arial"/>
          <w:sz w:val="22"/>
          <w:szCs w:val="22"/>
        </w:rPr>
      </w:pPr>
      <w:r w:rsidRPr="000808C9">
        <w:rPr>
          <w:rFonts w:ascii="Georgia" w:hAnsi="Georgia" w:cs="Arial"/>
          <w:sz w:val="22"/>
          <w:szCs w:val="22"/>
        </w:rPr>
        <w:t xml:space="preserve">For members </w:t>
      </w:r>
      <w:r w:rsidR="00F45335" w:rsidRPr="000808C9">
        <w:rPr>
          <w:rFonts w:ascii="Georgia" w:hAnsi="Georgia" w:cs="Arial"/>
          <w:sz w:val="22"/>
          <w:szCs w:val="22"/>
        </w:rPr>
        <w:t>who want to</w:t>
      </w:r>
      <w:r w:rsidRPr="000808C9">
        <w:rPr>
          <w:rFonts w:ascii="Georgia" w:hAnsi="Georgia" w:cs="Arial"/>
          <w:sz w:val="22"/>
          <w:szCs w:val="22"/>
        </w:rPr>
        <w:t xml:space="preserve"> return to ADH in the congregate setting but who are not returning immediately, the provider must continue to maintain the member on the daily attendance roster and continue to complete all necessary documentation, including noting </w:t>
      </w:r>
      <w:r w:rsidRPr="000808C9">
        <w:rPr>
          <w:rFonts w:ascii="Georgia" w:hAnsi="Georgia" w:cs="Arial"/>
          <w:sz w:val="22"/>
          <w:szCs w:val="22"/>
        </w:rPr>
        <w:lastRenderedPageBreak/>
        <w:t xml:space="preserve">that the member remains on a leave of absence, whether personal or medical. See 105 CMR 158.040. </w:t>
      </w:r>
    </w:p>
    <w:p w14:paraId="0DDF6908" w14:textId="3377EF23" w:rsidR="00184C35" w:rsidRPr="003F594B" w:rsidRDefault="00184C35" w:rsidP="000808C9">
      <w:pPr>
        <w:pStyle w:val="ListParagraph"/>
        <w:numPr>
          <w:ilvl w:val="0"/>
          <w:numId w:val="13"/>
        </w:numPr>
        <w:spacing w:before="120" w:after="120"/>
        <w:rPr>
          <w:rFonts w:ascii="Georgia" w:hAnsi="Georgia" w:cstheme="minorHAnsi"/>
          <w:color w:val="000000" w:themeColor="text1"/>
          <w:sz w:val="22"/>
          <w:szCs w:val="22"/>
        </w:rPr>
      </w:pPr>
      <w:r w:rsidRPr="000808C9">
        <w:rPr>
          <w:rFonts w:ascii="Georgia" w:hAnsi="Georgia" w:cs="Arial"/>
          <w:sz w:val="22"/>
          <w:szCs w:val="22"/>
        </w:rPr>
        <w:t xml:space="preserve">Members </w:t>
      </w:r>
      <w:r w:rsidR="00F45335" w:rsidRPr="000808C9">
        <w:rPr>
          <w:rFonts w:ascii="Georgia" w:hAnsi="Georgia" w:cs="Arial"/>
          <w:sz w:val="22"/>
          <w:szCs w:val="22"/>
        </w:rPr>
        <w:t>who do not want</w:t>
      </w:r>
      <w:r w:rsidRPr="000808C9">
        <w:rPr>
          <w:rFonts w:ascii="Georgia" w:hAnsi="Georgia" w:cs="Arial"/>
          <w:sz w:val="22"/>
          <w:szCs w:val="22"/>
        </w:rPr>
        <w:t xml:space="preserve"> to return to ADH in the congregate setting must be surveyed</w:t>
      </w:r>
      <w:r w:rsidRPr="003F594B">
        <w:rPr>
          <w:rFonts w:ascii="Georgia" w:hAnsi="Georgia" w:cstheme="minorHAnsi"/>
          <w:color w:val="000000" w:themeColor="text1"/>
          <w:sz w:val="22"/>
          <w:szCs w:val="22"/>
        </w:rPr>
        <w:t xml:space="preserve"> by the provider. If discharge planning is indicated, it must be </w:t>
      </w:r>
      <w:r w:rsidR="004C7302">
        <w:rPr>
          <w:rFonts w:ascii="Georgia" w:hAnsi="Georgia" w:cstheme="minorHAnsi"/>
          <w:color w:val="000000" w:themeColor="text1"/>
          <w:sz w:val="22"/>
          <w:szCs w:val="22"/>
        </w:rPr>
        <w:t>done</w:t>
      </w:r>
      <w:r w:rsidR="004C7302" w:rsidRPr="003F594B">
        <w:rPr>
          <w:rFonts w:ascii="Georgia" w:hAnsi="Georgia" w:cstheme="minorHAnsi"/>
          <w:color w:val="000000" w:themeColor="text1"/>
          <w:sz w:val="22"/>
          <w:szCs w:val="22"/>
        </w:rPr>
        <w:t xml:space="preserve"> </w:t>
      </w:r>
      <w:r w:rsidRPr="003F594B">
        <w:rPr>
          <w:rFonts w:ascii="Georgia" w:hAnsi="Georgia" w:cstheme="minorHAnsi"/>
          <w:color w:val="000000" w:themeColor="text1"/>
          <w:sz w:val="22"/>
          <w:szCs w:val="22"/>
        </w:rPr>
        <w:t>in accordance with 105 CMR 158.034(F)</w:t>
      </w:r>
      <w:r w:rsidR="001A3ADD">
        <w:rPr>
          <w:rFonts w:ascii="Georgia" w:hAnsi="Georgia" w:cstheme="minorHAnsi"/>
          <w:color w:val="000000" w:themeColor="text1"/>
          <w:sz w:val="22"/>
          <w:szCs w:val="22"/>
        </w:rPr>
        <w:t>:</w:t>
      </w:r>
      <w:r w:rsidRPr="003F594B">
        <w:rPr>
          <w:rFonts w:ascii="Georgia" w:hAnsi="Georgia" w:cstheme="minorHAnsi"/>
          <w:color w:val="000000" w:themeColor="text1"/>
          <w:sz w:val="22"/>
          <w:szCs w:val="22"/>
        </w:rPr>
        <w:t xml:space="preserve"> </w:t>
      </w:r>
      <w:r w:rsidRPr="003F594B">
        <w:rPr>
          <w:rFonts w:ascii="Georgia" w:hAnsi="Georgia" w:cstheme="minorHAnsi"/>
          <w:i/>
          <w:iCs/>
          <w:color w:val="000000" w:themeColor="text1"/>
          <w:sz w:val="22"/>
          <w:szCs w:val="22"/>
        </w:rPr>
        <w:t>Discharges</w:t>
      </w:r>
      <w:r w:rsidRPr="003F594B">
        <w:rPr>
          <w:rFonts w:ascii="Georgia" w:hAnsi="Georgia" w:cstheme="minorHAnsi"/>
          <w:color w:val="000000" w:themeColor="text1"/>
          <w:sz w:val="22"/>
          <w:szCs w:val="22"/>
        </w:rPr>
        <w:t xml:space="preserve">, and the provider must proceed with discharge planning, ensuring that necessary services are aligned to meet the member’s needs. </w:t>
      </w:r>
    </w:p>
    <w:p w14:paraId="34E8E50F" w14:textId="77777777" w:rsidR="00184C35" w:rsidRPr="008C32C2" w:rsidRDefault="00184C35" w:rsidP="000746C7">
      <w:pPr>
        <w:pStyle w:val="Heading3"/>
        <w:rPr>
          <w:rFonts w:cstheme="minorHAnsi"/>
          <w:color w:val="000000" w:themeColor="text1"/>
        </w:rPr>
      </w:pPr>
      <w:r>
        <w:t xml:space="preserve">Prior Authorization </w:t>
      </w:r>
    </w:p>
    <w:p w14:paraId="65A8517B" w14:textId="75EE64D0" w:rsidR="00184C35" w:rsidRDefault="00184C35" w:rsidP="000808C9">
      <w:pPr>
        <w:spacing w:after="120" w:afterAutospacing="0"/>
        <w:rPr>
          <w:rFonts w:cstheme="minorHAnsi"/>
          <w:color w:val="000000" w:themeColor="text1"/>
        </w:rPr>
      </w:pPr>
      <w:r>
        <w:rPr>
          <w:rFonts w:cstheme="minorHAnsi"/>
          <w:color w:val="000000" w:themeColor="text1"/>
        </w:rPr>
        <w:t xml:space="preserve">Effective May 12, 2023, all Primary Care Provider (PCP) Order Forms must be signed by the member’s </w:t>
      </w:r>
      <w:r w:rsidR="007F0253">
        <w:rPr>
          <w:rFonts w:cstheme="minorHAnsi"/>
          <w:color w:val="000000" w:themeColor="text1"/>
        </w:rPr>
        <w:t>PCP</w:t>
      </w:r>
      <w:r>
        <w:rPr>
          <w:rFonts w:cstheme="minorHAnsi"/>
          <w:color w:val="000000" w:themeColor="text1"/>
        </w:rPr>
        <w:t xml:space="preserve"> for all prior authorization </w:t>
      </w:r>
      <w:r w:rsidR="007F0253">
        <w:rPr>
          <w:rFonts w:cstheme="minorHAnsi"/>
          <w:color w:val="000000" w:themeColor="text1"/>
        </w:rPr>
        <w:t xml:space="preserve">(PA) </w:t>
      </w:r>
      <w:r>
        <w:rPr>
          <w:rFonts w:cstheme="minorHAnsi"/>
          <w:color w:val="000000" w:themeColor="text1"/>
        </w:rPr>
        <w:t xml:space="preserve">types. Any </w:t>
      </w:r>
      <w:r w:rsidR="007F0253">
        <w:rPr>
          <w:rFonts w:cstheme="minorHAnsi"/>
          <w:color w:val="000000" w:themeColor="text1"/>
        </w:rPr>
        <w:t>PA</w:t>
      </w:r>
      <w:r w:rsidR="000968C4">
        <w:rPr>
          <w:rFonts w:cstheme="minorHAnsi"/>
          <w:color w:val="000000" w:themeColor="text1"/>
        </w:rPr>
        <w:t>s</w:t>
      </w:r>
      <w:r>
        <w:rPr>
          <w:rFonts w:cstheme="minorHAnsi"/>
          <w:color w:val="000000" w:themeColor="text1"/>
        </w:rPr>
        <w:t xml:space="preserve"> submitted with an unsigned PCP Order Form will be deferred.</w:t>
      </w:r>
    </w:p>
    <w:p w14:paraId="054ABE25" w14:textId="582D64D4" w:rsidR="00184C35" w:rsidRDefault="00184C35" w:rsidP="000808C9">
      <w:pPr>
        <w:spacing w:after="120" w:afterAutospacing="0"/>
        <w:rPr>
          <w:rFonts w:cstheme="minorHAnsi"/>
          <w:color w:val="000000" w:themeColor="text1"/>
        </w:rPr>
      </w:pPr>
      <w:r>
        <w:rPr>
          <w:rFonts w:cstheme="minorHAnsi"/>
          <w:color w:val="000000" w:themeColor="text1"/>
        </w:rPr>
        <w:t xml:space="preserve">If a provider is unable to </w:t>
      </w:r>
      <w:r w:rsidR="005D1A5E">
        <w:rPr>
          <w:rFonts w:cstheme="minorHAnsi"/>
          <w:color w:val="000000" w:themeColor="text1"/>
        </w:rPr>
        <w:t xml:space="preserve">get </w:t>
      </w:r>
      <w:r>
        <w:rPr>
          <w:rFonts w:cstheme="minorHAnsi"/>
          <w:color w:val="000000" w:themeColor="text1"/>
        </w:rPr>
        <w:t xml:space="preserve">the signed PCP </w:t>
      </w:r>
      <w:r w:rsidR="008910FB">
        <w:rPr>
          <w:rFonts w:cstheme="minorHAnsi"/>
          <w:color w:val="000000" w:themeColor="text1"/>
        </w:rPr>
        <w:t>O</w:t>
      </w:r>
      <w:r>
        <w:rPr>
          <w:rFonts w:cstheme="minorHAnsi"/>
          <w:color w:val="000000" w:themeColor="text1"/>
        </w:rPr>
        <w:t xml:space="preserve">rder </w:t>
      </w:r>
      <w:r w:rsidR="008910FB">
        <w:rPr>
          <w:rFonts w:cstheme="minorHAnsi"/>
          <w:color w:val="000000" w:themeColor="text1"/>
        </w:rPr>
        <w:t>F</w:t>
      </w:r>
      <w:r>
        <w:rPr>
          <w:rFonts w:cstheme="minorHAnsi"/>
          <w:color w:val="000000" w:themeColor="text1"/>
        </w:rPr>
        <w:t xml:space="preserve">orm </w:t>
      </w:r>
      <w:r w:rsidR="007F0253">
        <w:rPr>
          <w:rFonts w:cstheme="minorHAnsi"/>
          <w:color w:val="000000" w:themeColor="text1"/>
        </w:rPr>
        <w:t>before</w:t>
      </w:r>
      <w:r>
        <w:rPr>
          <w:rFonts w:cstheme="minorHAnsi"/>
          <w:color w:val="000000" w:themeColor="text1"/>
        </w:rPr>
        <w:t xml:space="preserve"> the end of the current PA, the provider must submit an extension </w:t>
      </w:r>
      <w:r w:rsidR="007F0253">
        <w:rPr>
          <w:rFonts w:cstheme="minorHAnsi"/>
          <w:color w:val="000000" w:themeColor="text1"/>
        </w:rPr>
        <w:t>PA</w:t>
      </w:r>
      <w:r>
        <w:rPr>
          <w:rFonts w:cstheme="minorHAnsi"/>
          <w:color w:val="000000" w:themeColor="text1"/>
        </w:rPr>
        <w:t>. This extension is valid for up to 90 days and cannot be renewed or extended.</w:t>
      </w:r>
      <w:r w:rsidR="00800D1B">
        <w:rPr>
          <w:rFonts w:cstheme="minorHAnsi"/>
          <w:color w:val="000000" w:themeColor="text1"/>
        </w:rPr>
        <w:t xml:space="preserve"> Please note: Extension PAs are in place for extenuating circumstances and cannot be used exclusively to avoid PCP signature requirements.</w:t>
      </w:r>
    </w:p>
    <w:p w14:paraId="1F6D387B" w14:textId="6081F58D" w:rsidR="00184C35" w:rsidRDefault="00184C35" w:rsidP="000808C9">
      <w:pPr>
        <w:spacing w:before="0" w:after="120" w:afterAutospacing="0"/>
        <w:rPr>
          <w:rFonts w:cstheme="minorHAnsi"/>
          <w:color w:val="000000" w:themeColor="text1"/>
        </w:rPr>
      </w:pPr>
      <w:r>
        <w:rPr>
          <w:rFonts w:cstheme="minorHAnsi"/>
          <w:color w:val="000000" w:themeColor="text1"/>
        </w:rPr>
        <w:t xml:space="preserve">All PCP Order Forms must be dated within 90 days of submission of </w:t>
      </w:r>
      <w:r w:rsidR="007F0253">
        <w:rPr>
          <w:rFonts w:cstheme="minorHAnsi"/>
          <w:color w:val="000000" w:themeColor="text1"/>
        </w:rPr>
        <w:t>PA</w:t>
      </w:r>
      <w:r>
        <w:rPr>
          <w:rFonts w:cstheme="minorHAnsi"/>
          <w:color w:val="000000" w:themeColor="text1"/>
        </w:rPr>
        <w:t>.</w:t>
      </w:r>
    </w:p>
    <w:p w14:paraId="2F2D7E89" w14:textId="77777777" w:rsidR="00184C35" w:rsidRPr="000808C9" w:rsidRDefault="00184C35" w:rsidP="000746C7">
      <w:pPr>
        <w:pStyle w:val="Heading3"/>
      </w:pPr>
      <w:r w:rsidRPr="000746C7">
        <w:t>Admissions to Adult Day Health</w:t>
      </w:r>
    </w:p>
    <w:p w14:paraId="0DD8784E" w14:textId="74B60892" w:rsidR="00184C35" w:rsidRDefault="00184C35" w:rsidP="000808C9">
      <w:pPr>
        <w:spacing w:before="0" w:after="120" w:afterAutospacing="0"/>
        <w:rPr>
          <w:rFonts w:cstheme="minorHAnsi"/>
          <w:color w:val="000000" w:themeColor="text1"/>
        </w:rPr>
      </w:pPr>
      <w:r>
        <w:rPr>
          <w:rFonts w:cstheme="minorHAnsi"/>
          <w:color w:val="000000" w:themeColor="text1"/>
        </w:rPr>
        <w:t xml:space="preserve">Effective May 12, 2023, ADH providers must adhere to the ADH program regulations and </w:t>
      </w:r>
      <w:r w:rsidR="007F0253">
        <w:rPr>
          <w:rFonts w:cstheme="minorHAnsi"/>
          <w:color w:val="000000" w:themeColor="text1"/>
        </w:rPr>
        <w:t xml:space="preserve">PA </w:t>
      </w:r>
      <w:r>
        <w:rPr>
          <w:rFonts w:cstheme="minorHAnsi"/>
          <w:color w:val="000000" w:themeColor="text1"/>
        </w:rPr>
        <w:t xml:space="preserve">requirements of MassHealth for all new admissions to the program. </w:t>
      </w:r>
      <w:r w:rsidRPr="005C2A2F">
        <w:rPr>
          <w:rFonts w:cstheme="minorHAnsi"/>
          <w:color w:val="000000" w:themeColor="text1"/>
        </w:rPr>
        <w:t>All required assessments and care plan documents must be completed in accordance with MassHealth and DPH regulations and guidance.</w:t>
      </w:r>
    </w:p>
    <w:p w14:paraId="448BF42B" w14:textId="72A2D9A4" w:rsidR="00184C35" w:rsidRDefault="00184C35" w:rsidP="000808C9">
      <w:pPr>
        <w:spacing w:before="0" w:after="120" w:afterAutospacing="0"/>
        <w:rPr>
          <w:rFonts w:cstheme="minorHAnsi"/>
          <w:color w:val="000000" w:themeColor="text1"/>
        </w:rPr>
      </w:pPr>
      <w:r>
        <w:rPr>
          <w:rFonts w:cstheme="minorHAnsi"/>
          <w:color w:val="000000" w:themeColor="text1"/>
        </w:rPr>
        <w:t xml:space="preserve">All initial </w:t>
      </w:r>
      <w:r w:rsidR="000E7578">
        <w:rPr>
          <w:rFonts w:cstheme="minorHAnsi"/>
          <w:color w:val="000000" w:themeColor="text1"/>
        </w:rPr>
        <w:t>PAs</w:t>
      </w:r>
      <w:r>
        <w:rPr>
          <w:rFonts w:cstheme="minorHAnsi"/>
          <w:color w:val="000000" w:themeColor="text1"/>
        </w:rPr>
        <w:t xml:space="preserve"> must include the required</w:t>
      </w:r>
      <w:r w:rsidR="00800D1B">
        <w:rPr>
          <w:rFonts w:cstheme="minorHAnsi"/>
          <w:color w:val="000000" w:themeColor="text1"/>
        </w:rPr>
        <w:t xml:space="preserve"> Aging Service Access Point</w:t>
      </w:r>
      <w:r>
        <w:rPr>
          <w:rFonts w:cstheme="minorHAnsi"/>
          <w:color w:val="000000" w:themeColor="text1"/>
        </w:rPr>
        <w:t xml:space="preserve"> </w:t>
      </w:r>
      <w:r w:rsidR="00800D1B">
        <w:rPr>
          <w:rFonts w:cstheme="minorHAnsi"/>
          <w:color w:val="000000" w:themeColor="text1"/>
        </w:rPr>
        <w:t>(</w:t>
      </w:r>
      <w:r>
        <w:rPr>
          <w:rFonts w:cstheme="minorHAnsi"/>
          <w:color w:val="000000" w:themeColor="text1"/>
        </w:rPr>
        <w:t>ASAP</w:t>
      </w:r>
      <w:r w:rsidR="00800D1B">
        <w:rPr>
          <w:rFonts w:cstheme="minorHAnsi"/>
          <w:color w:val="000000" w:themeColor="text1"/>
        </w:rPr>
        <w:t>)</w:t>
      </w:r>
      <w:r>
        <w:rPr>
          <w:rFonts w:cstheme="minorHAnsi"/>
          <w:color w:val="000000" w:themeColor="text1"/>
        </w:rPr>
        <w:t xml:space="preserve"> ADH </w:t>
      </w:r>
      <w:r w:rsidR="00C00E18">
        <w:rPr>
          <w:rFonts w:cstheme="minorHAnsi"/>
          <w:color w:val="000000" w:themeColor="text1"/>
        </w:rPr>
        <w:t>eligibility notice</w:t>
      </w:r>
      <w:r>
        <w:rPr>
          <w:rFonts w:cstheme="minorHAnsi"/>
          <w:color w:val="000000" w:themeColor="text1"/>
        </w:rPr>
        <w:t>. There is no requirement on the date of the notice.</w:t>
      </w:r>
    </w:p>
    <w:p w14:paraId="05ABB1FC" w14:textId="6C847045" w:rsidR="00184C35" w:rsidRPr="008C32C2" w:rsidRDefault="00184C35" w:rsidP="000746C7">
      <w:pPr>
        <w:pStyle w:val="Heading3"/>
        <w:rPr>
          <w:rFonts w:cstheme="minorHAnsi"/>
          <w:color w:val="000000" w:themeColor="text1"/>
        </w:rPr>
      </w:pPr>
      <w:r>
        <w:t>C</w:t>
      </w:r>
      <w:r w:rsidR="007F0253">
        <w:t>OVID</w:t>
      </w:r>
      <w:r>
        <w:t>-19 MassHealth Reporting</w:t>
      </w:r>
    </w:p>
    <w:p w14:paraId="3E82379B" w14:textId="77777777" w:rsidR="00184C35" w:rsidRDefault="00184C35" w:rsidP="000808C9">
      <w:pPr>
        <w:spacing w:before="0" w:after="120" w:afterAutospacing="0"/>
        <w:rPr>
          <w:rFonts w:cstheme="minorHAnsi"/>
          <w:color w:val="000000" w:themeColor="text1"/>
        </w:rPr>
      </w:pPr>
      <w:r>
        <w:rPr>
          <w:rFonts w:cstheme="minorHAnsi"/>
          <w:color w:val="000000" w:themeColor="text1"/>
        </w:rPr>
        <w:t>Effective May 12, 2023, providers are no longer required to submit positive COVID-19 reports to MassHealth.</w:t>
      </w:r>
      <w:bookmarkStart w:id="3" w:name="_Hlk61249989"/>
    </w:p>
    <w:bookmarkEnd w:id="3"/>
    <w:p w14:paraId="369F7566" w14:textId="77777777" w:rsidR="00F664CC" w:rsidRPr="009901A7" w:rsidRDefault="00F664CC" w:rsidP="001A3ADD">
      <w:pPr>
        <w:pStyle w:val="Heading2"/>
      </w:pPr>
      <w:r w:rsidRPr="009901A7">
        <w:t>MassHealth Website</w:t>
      </w:r>
      <w:r w:rsidR="001554E7">
        <w:t xml:space="preserve"> </w:t>
      </w:r>
    </w:p>
    <w:p w14:paraId="1E67A279" w14:textId="230C1977" w:rsidR="00F664CC" w:rsidRPr="009901A7" w:rsidRDefault="00F664CC" w:rsidP="000808C9">
      <w:pPr>
        <w:spacing w:after="120" w:afterAutospacing="0"/>
      </w:pPr>
      <w:r w:rsidRPr="009901A7">
        <w:t xml:space="preserve">This bulletin is </w:t>
      </w:r>
      <w:r w:rsidR="008B6E51">
        <w:t>o</w:t>
      </w:r>
      <w:r w:rsidRPr="009901A7">
        <w:t xml:space="preserve">n the </w:t>
      </w:r>
      <w:hyperlink r:id="rId10"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000000" w:rsidP="000808C9">
      <w:pPr>
        <w:spacing w:after="120" w:afterAutospacing="0"/>
      </w:pPr>
      <w:hyperlink r:id="rId11"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1A3ADD">
      <w:pPr>
        <w:pStyle w:val="Heading2"/>
      </w:pPr>
      <w:r w:rsidRPr="009901A7">
        <w:t>Questions</w:t>
      </w:r>
      <w:r w:rsidR="001554E7">
        <w:t xml:space="preserve"> </w:t>
      </w:r>
    </w:p>
    <w:p w14:paraId="79536338" w14:textId="3BDC8181" w:rsidR="0039104C" w:rsidRDefault="0039104C" w:rsidP="000808C9">
      <w:pPr>
        <w:pStyle w:val="BodyTextIndent"/>
        <w:spacing w:before="0" w:after="0" w:afterAutospacing="0"/>
      </w:pPr>
      <w:r>
        <w:t xml:space="preserve">If you have questions about the information in this bulletin, please contact the </w:t>
      </w:r>
      <w:proofErr w:type="gramStart"/>
      <w:r>
        <w:t>Long Term</w:t>
      </w:r>
      <w:proofErr w:type="gramEnd"/>
      <w:r>
        <w:t xml:space="preserve">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39104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000000" w:rsidP="0039104C">
            <w:pPr>
              <w:tabs>
                <w:tab w:val="left" w:pos="0"/>
              </w:tabs>
              <w:spacing w:after="0" w:afterAutospacing="0"/>
              <w:ind w:left="0"/>
              <w:rPr>
                <w:rFonts w:cs="Arial"/>
              </w:rPr>
            </w:pPr>
            <w:hyperlink r:id="rId12"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000000" w:rsidP="0039104C">
            <w:pPr>
              <w:tabs>
                <w:tab w:val="left" w:pos="0"/>
              </w:tabs>
              <w:spacing w:after="0" w:afterAutospacing="0"/>
              <w:ind w:left="0"/>
              <w:rPr>
                <w:rFonts w:cs="Arial"/>
              </w:rPr>
            </w:pPr>
            <w:hyperlink r:id="rId13"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25DC35DF" w:rsidR="0039104C" w:rsidRPr="0039104C" w:rsidRDefault="0039104C" w:rsidP="0039104C">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3AAA39B1" w14:textId="2F74154A" w:rsidR="005C77D1" w:rsidRPr="005C77D1" w:rsidRDefault="005C77D1" w:rsidP="000808C9"/>
    <w:sectPr w:rsidR="005C77D1" w:rsidRPr="005C77D1"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284BB" w14:textId="77777777" w:rsidR="00F911AA" w:rsidRDefault="00F911AA" w:rsidP="00E27CD8">
      <w:r>
        <w:separator/>
      </w:r>
    </w:p>
  </w:endnote>
  <w:endnote w:type="continuationSeparator" w:id="0">
    <w:p w14:paraId="0AF808BF" w14:textId="77777777" w:rsidR="00F911AA" w:rsidRDefault="00F911AA"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8606" w14:textId="77777777" w:rsidR="00F911AA" w:rsidRDefault="00F911AA" w:rsidP="00E27CD8">
      <w:r>
        <w:separator/>
      </w:r>
    </w:p>
  </w:footnote>
  <w:footnote w:type="continuationSeparator" w:id="0">
    <w:p w14:paraId="0E587F67" w14:textId="77777777" w:rsidR="00F911AA" w:rsidRDefault="00F911AA"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7DD73EFE" w14:textId="32523DD4" w:rsidR="00AD204A" w:rsidRPr="00F664CC" w:rsidRDefault="00E41BD7" w:rsidP="00AD204A">
    <w:pPr>
      <w:pStyle w:val="BullsHeading"/>
    </w:pPr>
    <w:r>
      <w:t xml:space="preserve">Adult Day Health </w:t>
    </w:r>
    <w:r w:rsidR="00AD204A" w:rsidRPr="00F664CC">
      <w:t xml:space="preserve">Bulletin </w:t>
    </w:r>
    <w:r w:rsidR="00C77FCC">
      <w:t>3</w:t>
    </w:r>
    <w:r w:rsidR="00F20C74">
      <w:t>6</w:t>
    </w:r>
  </w:p>
  <w:p w14:paraId="4598925B" w14:textId="098BF51A" w:rsidR="00AD204A" w:rsidRDefault="00F20C74" w:rsidP="00AD204A">
    <w:pPr>
      <w:pStyle w:val="BullsHeading"/>
    </w:pPr>
    <w:r>
      <w:t>April</w:t>
    </w:r>
    <w:r w:rsidR="00AD204A" w:rsidRPr="00F664CC">
      <w:t xml:space="preserve"> </w:t>
    </w:r>
    <w:r w:rsidR="00E41BD7">
      <w:t>2023</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E659F"/>
    <w:multiLevelType w:val="hybridMultilevel"/>
    <w:tmpl w:val="3DE83F3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5B6C3C"/>
    <w:multiLevelType w:val="hybridMultilevel"/>
    <w:tmpl w:val="8BC69CA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9930A65"/>
    <w:multiLevelType w:val="hybridMultilevel"/>
    <w:tmpl w:val="37369A0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446743"/>
    <w:multiLevelType w:val="hybridMultilevel"/>
    <w:tmpl w:val="A64E69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341552">
    <w:abstractNumId w:val="9"/>
  </w:num>
  <w:num w:numId="2" w16cid:durableId="840006514">
    <w:abstractNumId w:val="7"/>
  </w:num>
  <w:num w:numId="3" w16cid:durableId="1385835560">
    <w:abstractNumId w:val="6"/>
  </w:num>
  <w:num w:numId="4" w16cid:durableId="239600353">
    <w:abstractNumId w:val="5"/>
  </w:num>
  <w:num w:numId="5" w16cid:durableId="1001079525">
    <w:abstractNumId w:val="4"/>
  </w:num>
  <w:num w:numId="6" w16cid:durableId="304701807">
    <w:abstractNumId w:val="8"/>
  </w:num>
  <w:num w:numId="7" w16cid:durableId="2065255014">
    <w:abstractNumId w:val="3"/>
  </w:num>
  <w:num w:numId="8" w16cid:durableId="1150098102">
    <w:abstractNumId w:val="2"/>
  </w:num>
  <w:num w:numId="9" w16cid:durableId="117840816">
    <w:abstractNumId w:val="1"/>
  </w:num>
  <w:num w:numId="10" w16cid:durableId="2145657299">
    <w:abstractNumId w:val="0"/>
  </w:num>
  <w:num w:numId="11" w16cid:durableId="2100055015">
    <w:abstractNumId w:val="10"/>
  </w:num>
  <w:num w:numId="12" w16cid:durableId="532771923">
    <w:abstractNumId w:val="13"/>
  </w:num>
  <w:num w:numId="13" w16cid:durableId="801077477">
    <w:abstractNumId w:val="11"/>
  </w:num>
  <w:num w:numId="14" w16cid:durableId="979042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05986"/>
    <w:rsid w:val="000746AC"/>
    <w:rsid w:val="000746C7"/>
    <w:rsid w:val="000808C9"/>
    <w:rsid w:val="000968C4"/>
    <w:rsid w:val="000A2433"/>
    <w:rsid w:val="000D3DB5"/>
    <w:rsid w:val="000E7578"/>
    <w:rsid w:val="00150BCC"/>
    <w:rsid w:val="001554E7"/>
    <w:rsid w:val="001634DD"/>
    <w:rsid w:val="00166F4F"/>
    <w:rsid w:val="00184C35"/>
    <w:rsid w:val="001A3ADD"/>
    <w:rsid w:val="00221556"/>
    <w:rsid w:val="002335C9"/>
    <w:rsid w:val="0028720F"/>
    <w:rsid w:val="00296041"/>
    <w:rsid w:val="002F2993"/>
    <w:rsid w:val="00355A35"/>
    <w:rsid w:val="0039104C"/>
    <w:rsid w:val="003A1030"/>
    <w:rsid w:val="003A60A8"/>
    <w:rsid w:val="003A7588"/>
    <w:rsid w:val="003B6114"/>
    <w:rsid w:val="003E2878"/>
    <w:rsid w:val="003F594B"/>
    <w:rsid w:val="0041629D"/>
    <w:rsid w:val="004717CF"/>
    <w:rsid w:val="004746C2"/>
    <w:rsid w:val="004A7718"/>
    <w:rsid w:val="004C4E84"/>
    <w:rsid w:val="004C7302"/>
    <w:rsid w:val="004F4B9A"/>
    <w:rsid w:val="005068BD"/>
    <w:rsid w:val="00507CFF"/>
    <w:rsid w:val="00514D62"/>
    <w:rsid w:val="00546DFE"/>
    <w:rsid w:val="005574D1"/>
    <w:rsid w:val="0058634E"/>
    <w:rsid w:val="0059142C"/>
    <w:rsid w:val="005B27F1"/>
    <w:rsid w:val="005B45BA"/>
    <w:rsid w:val="005C77D1"/>
    <w:rsid w:val="005D1A5E"/>
    <w:rsid w:val="005E4B62"/>
    <w:rsid w:val="005F2B69"/>
    <w:rsid w:val="00625C1F"/>
    <w:rsid w:val="00625CFC"/>
    <w:rsid w:val="0064641A"/>
    <w:rsid w:val="006941BF"/>
    <w:rsid w:val="006C70F9"/>
    <w:rsid w:val="006D3F15"/>
    <w:rsid w:val="006D5DE2"/>
    <w:rsid w:val="006E5750"/>
    <w:rsid w:val="00706438"/>
    <w:rsid w:val="00752693"/>
    <w:rsid w:val="00777A22"/>
    <w:rsid w:val="00795E06"/>
    <w:rsid w:val="007D4639"/>
    <w:rsid w:val="007F0253"/>
    <w:rsid w:val="007F7DBF"/>
    <w:rsid w:val="00800D1B"/>
    <w:rsid w:val="00863041"/>
    <w:rsid w:val="00887ED3"/>
    <w:rsid w:val="008910FB"/>
    <w:rsid w:val="008A71B7"/>
    <w:rsid w:val="008B6E51"/>
    <w:rsid w:val="008F39FF"/>
    <w:rsid w:val="00914588"/>
    <w:rsid w:val="00922F04"/>
    <w:rsid w:val="009427F9"/>
    <w:rsid w:val="00982839"/>
    <w:rsid w:val="009C2F9D"/>
    <w:rsid w:val="009C568F"/>
    <w:rsid w:val="009E435F"/>
    <w:rsid w:val="009E4F82"/>
    <w:rsid w:val="00A44BAD"/>
    <w:rsid w:val="00A50BAA"/>
    <w:rsid w:val="00A772C1"/>
    <w:rsid w:val="00A90E4D"/>
    <w:rsid w:val="00A95FC1"/>
    <w:rsid w:val="00AA6085"/>
    <w:rsid w:val="00AD204A"/>
    <w:rsid w:val="00AD2B63"/>
    <w:rsid w:val="00AD6899"/>
    <w:rsid w:val="00B24056"/>
    <w:rsid w:val="00B40496"/>
    <w:rsid w:val="00B54AE9"/>
    <w:rsid w:val="00B73653"/>
    <w:rsid w:val="00BC3755"/>
    <w:rsid w:val="00BD2DAF"/>
    <w:rsid w:val="00BF1202"/>
    <w:rsid w:val="00BF37B8"/>
    <w:rsid w:val="00C00E18"/>
    <w:rsid w:val="00C024A2"/>
    <w:rsid w:val="00C077C4"/>
    <w:rsid w:val="00C60FEA"/>
    <w:rsid w:val="00C66ABE"/>
    <w:rsid w:val="00C77FCC"/>
    <w:rsid w:val="00C858D2"/>
    <w:rsid w:val="00CA7A5B"/>
    <w:rsid w:val="00CC1E11"/>
    <w:rsid w:val="00CC3CA4"/>
    <w:rsid w:val="00CD456D"/>
    <w:rsid w:val="00D24A5C"/>
    <w:rsid w:val="00DB40BB"/>
    <w:rsid w:val="00E01D80"/>
    <w:rsid w:val="00E27CD8"/>
    <w:rsid w:val="00E41BD7"/>
    <w:rsid w:val="00E56066"/>
    <w:rsid w:val="00E63395"/>
    <w:rsid w:val="00EC2FA6"/>
    <w:rsid w:val="00ED497C"/>
    <w:rsid w:val="00F20C74"/>
    <w:rsid w:val="00F45335"/>
    <w:rsid w:val="00F56CD7"/>
    <w:rsid w:val="00F60574"/>
    <w:rsid w:val="00F664CC"/>
    <w:rsid w:val="00F71BC1"/>
    <w:rsid w:val="00F73D6F"/>
    <w:rsid w:val="00F74F30"/>
    <w:rsid w:val="00F839A2"/>
    <w:rsid w:val="00F911AA"/>
    <w:rsid w:val="00FD521E"/>
    <w:rsid w:val="00FD5E79"/>
    <w:rsid w:val="00FD79E2"/>
    <w:rsid w:val="00FF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1A3ADD"/>
    <w:pPr>
      <w:spacing w:before="36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0746C7"/>
    <w:pPr>
      <w:spacing w:before="160" w:after="120" w:afterAutospacing="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1A3ADD"/>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0746C7"/>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60A8"/>
    <w:pPr>
      <w:spacing w:after="0" w:line="240" w:lineRule="auto"/>
    </w:pPr>
    <w:rPr>
      <w:rFonts w:ascii="Georgia" w:eastAsia="Times New Roman" w:hAnsi="Georgia" w:cs="Times New Roman"/>
    </w:rPr>
  </w:style>
  <w:style w:type="paragraph" w:styleId="ListParagraph">
    <w:name w:val="List Paragraph"/>
    <w:basedOn w:val="Normal"/>
    <w:uiPriority w:val="34"/>
    <w:qFormat/>
    <w:rsid w:val="00184C35"/>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4C7302"/>
    <w:rPr>
      <w:sz w:val="16"/>
      <w:szCs w:val="16"/>
    </w:rPr>
  </w:style>
  <w:style w:type="paragraph" w:styleId="CommentText">
    <w:name w:val="annotation text"/>
    <w:basedOn w:val="Normal"/>
    <w:link w:val="CommentTextChar"/>
    <w:uiPriority w:val="99"/>
    <w:semiHidden/>
    <w:unhideWhenUsed/>
    <w:rsid w:val="004C7302"/>
    <w:rPr>
      <w:sz w:val="20"/>
      <w:szCs w:val="20"/>
    </w:rPr>
  </w:style>
  <w:style w:type="character" w:customStyle="1" w:styleId="CommentTextChar">
    <w:name w:val="Comment Text Char"/>
    <w:basedOn w:val="DefaultParagraphFont"/>
    <w:link w:val="CommentText"/>
    <w:uiPriority w:val="99"/>
    <w:semiHidden/>
    <w:rsid w:val="004C7302"/>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4C7302"/>
    <w:rPr>
      <w:b/>
      <w:bCs/>
    </w:rPr>
  </w:style>
  <w:style w:type="character" w:customStyle="1" w:styleId="CommentSubjectChar">
    <w:name w:val="Comment Subject Char"/>
    <w:basedOn w:val="CommentTextChar"/>
    <w:link w:val="CommentSubject"/>
    <w:uiPriority w:val="99"/>
    <w:semiHidden/>
    <w:rsid w:val="004C7302"/>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HealthLT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upport@masshealthlt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forms/email-notifications-for-masshealth-provider-bulletins-and-transmittal-lett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ss.gov/masshealth-provider-bulletin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Bentley, Bernadette M. (EHS)</cp:lastModifiedBy>
  <cp:revision>2</cp:revision>
  <cp:lastPrinted>2023-04-20T15:04:00Z</cp:lastPrinted>
  <dcterms:created xsi:type="dcterms:W3CDTF">2023-04-21T15:05:00Z</dcterms:created>
  <dcterms:modified xsi:type="dcterms:W3CDTF">2023-04-21T15:05:00Z</dcterms:modified>
</cp:coreProperties>
</file>