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693EB" w14:textId="77777777" w:rsidR="00DB0E98" w:rsidRDefault="005745CC">
      <w:pPr>
        <w:spacing w:before="148" w:line="414" w:lineRule="exact"/>
        <w:ind w:left="1625" w:right="1538"/>
        <w:jc w:val="center"/>
        <w:rPr>
          <w:rFonts w:ascii="Arial"/>
          <w:sz w:val="36"/>
        </w:rPr>
      </w:pPr>
      <w:r>
        <w:rPr>
          <w:rFonts w:ascii="Arial"/>
          <w:noProof/>
          <w:sz w:val="36"/>
        </w:rPr>
        <w:drawing>
          <wp:anchor distT="0" distB="0" distL="0" distR="0" simplePos="0" relativeHeight="15729152" behindDoc="0" locked="0" layoutInCell="1" allowOverlap="1" wp14:anchorId="4AB6E875" wp14:editId="6600A4CC">
            <wp:simplePos x="0" y="0"/>
            <wp:positionH relativeFrom="page">
              <wp:posOffset>1012849</wp:posOffset>
            </wp:positionH>
            <wp:positionV relativeFrom="paragraph">
              <wp:posOffset>-3146</wp:posOffset>
            </wp:positionV>
            <wp:extent cx="897377" cy="1067593"/>
            <wp:effectExtent l="0" t="0" r="0" b="0"/>
            <wp:wrapNone/>
            <wp:docPr id="1" name="Image 1" descr="Massachusetts state seal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Massachusetts state seal "/>
                    <pic:cNvPicPr/>
                  </pic:nvPicPr>
                  <pic:blipFill>
                    <a:blip r:embed="rId4" cstate="print"/>
                    <a:stretch>
                      <a:fillRect/>
                    </a:stretch>
                  </pic:blipFill>
                  <pic:spPr>
                    <a:xfrm>
                      <a:off x="0" y="0"/>
                      <a:ext cx="897377" cy="1067593"/>
                    </a:xfrm>
                    <a:prstGeom prst="rect">
                      <a:avLst/>
                    </a:prstGeom>
                  </pic:spPr>
                </pic:pic>
              </a:graphicData>
            </a:graphic>
          </wp:anchor>
        </w:drawing>
      </w:r>
      <w:r>
        <w:rPr>
          <w:rFonts w:ascii="Arial"/>
          <w:sz w:val="36"/>
        </w:rPr>
        <w:t>The</w:t>
      </w:r>
      <w:r>
        <w:rPr>
          <w:rFonts w:ascii="Arial"/>
          <w:spacing w:val="-7"/>
          <w:sz w:val="36"/>
        </w:rPr>
        <w:t xml:space="preserve"> </w:t>
      </w:r>
      <w:r>
        <w:rPr>
          <w:rFonts w:ascii="Arial"/>
          <w:sz w:val="36"/>
        </w:rPr>
        <w:t>Commonwealth</w:t>
      </w:r>
      <w:r>
        <w:rPr>
          <w:rFonts w:ascii="Arial"/>
          <w:spacing w:val="-5"/>
          <w:sz w:val="36"/>
        </w:rPr>
        <w:t xml:space="preserve"> </w:t>
      </w:r>
      <w:r>
        <w:rPr>
          <w:rFonts w:ascii="Arial"/>
          <w:sz w:val="36"/>
        </w:rPr>
        <w:t>of</w:t>
      </w:r>
      <w:r>
        <w:rPr>
          <w:rFonts w:ascii="Arial"/>
          <w:spacing w:val="-3"/>
          <w:sz w:val="36"/>
        </w:rPr>
        <w:t xml:space="preserve"> </w:t>
      </w:r>
      <w:r>
        <w:rPr>
          <w:rFonts w:ascii="Arial"/>
          <w:spacing w:val="-2"/>
          <w:sz w:val="36"/>
        </w:rPr>
        <w:t>Massachusetts</w:t>
      </w:r>
    </w:p>
    <w:p w14:paraId="3EF57849" w14:textId="77777777" w:rsidR="00DB0E98" w:rsidRDefault="005745CC">
      <w:pPr>
        <w:ind w:left="1625" w:right="1535"/>
        <w:jc w:val="center"/>
        <w:rPr>
          <w:rFonts w:ascii="Arial"/>
          <w:sz w:val="28"/>
        </w:rPr>
      </w:pPr>
      <w:r>
        <w:rPr>
          <w:rFonts w:ascii="Arial"/>
          <w:sz w:val="28"/>
        </w:rPr>
        <w:t>Executive</w:t>
      </w:r>
      <w:r>
        <w:rPr>
          <w:rFonts w:ascii="Arial"/>
          <w:spacing w:val="-7"/>
          <w:sz w:val="28"/>
        </w:rPr>
        <w:t xml:space="preserve"> </w:t>
      </w:r>
      <w:r>
        <w:rPr>
          <w:rFonts w:ascii="Arial"/>
          <w:sz w:val="28"/>
        </w:rPr>
        <w:t>Office</w:t>
      </w:r>
      <w:r>
        <w:rPr>
          <w:rFonts w:ascii="Arial"/>
          <w:spacing w:val="-7"/>
          <w:sz w:val="28"/>
        </w:rPr>
        <w:t xml:space="preserve"> </w:t>
      </w:r>
      <w:r>
        <w:rPr>
          <w:rFonts w:ascii="Arial"/>
          <w:sz w:val="28"/>
        </w:rPr>
        <w:t>of</w:t>
      </w:r>
      <w:r>
        <w:rPr>
          <w:rFonts w:ascii="Arial"/>
          <w:spacing w:val="-8"/>
          <w:sz w:val="28"/>
        </w:rPr>
        <w:t xml:space="preserve"> </w:t>
      </w:r>
      <w:r>
        <w:rPr>
          <w:rFonts w:ascii="Arial"/>
          <w:sz w:val="28"/>
        </w:rPr>
        <w:t>Health</w:t>
      </w:r>
      <w:r>
        <w:rPr>
          <w:rFonts w:ascii="Arial"/>
          <w:spacing w:val="-4"/>
          <w:sz w:val="28"/>
        </w:rPr>
        <w:t xml:space="preserve"> </w:t>
      </w:r>
      <w:r>
        <w:rPr>
          <w:rFonts w:ascii="Arial"/>
          <w:sz w:val="28"/>
        </w:rPr>
        <w:t>and</w:t>
      </w:r>
      <w:r>
        <w:rPr>
          <w:rFonts w:ascii="Arial"/>
          <w:spacing w:val="-7"/>
          <w:sz w:val="28"/>
        </w:rPr>
        <w:t xml:space="preserve"> </w:t>
      </w:r>
      <w:r>
        <w:rPr>
          <w:rFonts w:ascii="Arial"/>
          <w:sz w:val="28"/>
        </w:rPr>
        <w:t>Human</w:t>
      </w:r>
      <w:r>
        <w:rPr>
          <w:rFonts w:ascii="Arial"/>
          <w:spacing w:val="-9"/>
          <w:sz w:val="28"/>
        </w:rPr>
        <w:t xml:space="preserve"> </w:t>
      </w:r>
      <w:r>
        <w:rPr>
          <w:rFonts w:ascii="Arial"/>
          <w:sz w:val="28"/>
        </w:rPr>
        <w:t>Services Department of Public Health</w:t>
      </w:r>
    </w:p>
    <w:p w14:paraId="6A146128" w14:textId="77777777" w:rsidR="00DB0E98" w:rsidRDefault="005745CC">
      <w:pPr>
        <w:spacing w:before="2"/>
        <w:ind w:left="1627" w:right="1535"/>
        <w:jc w:val="center"/>
        <w:rPr>
          <w:rFonts w:ascii="Arial"/>
          <w:sz w:val="28"/>
        </w:rPr>
      </w:pPr>
      <w:r>
        <w:rPr>
          <w:rFonts w:ascii="Arial"/>
          <w:sz w:val="28"/>
        </w:rPr>
        <w:t>Office</w:t>
      </w:r>
      <w:r>
        <w:rPr>
          <w:rFonts w:ascii="Arial"/>
          <w:spacing w:val="-7"/>
          <w:sz w:val="28"/>
        </w:rPr>
        <w:t xml:space="preserve"> </w:t>
      </w:r>
      <w:r>
        <w:rPr>
          <w:rFonts w:ascii="Arial"/>
          <w:sz w:val="28"/>
        </w:rPr>
        <w:t>of</w:t>
      </w:r>
      <w:r>
        <w:rPr>
          <w:rFonts w:ascii="Arial"/>
          <w:spacing w:val="-2"/>
          <w:sz w:val="28"/>
        </w:rPr>
        <w:t xml:space="preserve"> </w:t>
      </w:r>
      <w:r>
        <w:rPr>
          <w:rFonts w:ascii="Arial"/>
          <w:sz w:val="28"/>
        </w:rPr>
        <w:t>Emergency</w:t>
      </w:r>
      <w:r>
        <w:rPr>
          <w:rFonts w:ascii="Arial"/>
          <w:spacing w:val="-4"/>
          <w:sz w:val="28"/>
        </w:rPr>
        <w:t xml:space="preserve"> </w:t>
      </w:r>
      <w:r>
        <w:rPr>
          <w:rFonts w:ascii="Arial"/>
          <w:sz w:val="28"/>
        </w:rPr>
        <w:t>Medical</w:t>
      </w:r>
      <w:r>
        <w:rPr>
          <w:rFonts w:ascii="Arial"/>
          <w:spacing w:val="-5"/>
          <w:sz w:val="28"/>
        </w:rPr>
        <w:t xml:space="preserve"> </w:t>
      </w:r>
      <w:r>
        <w:rPr>
          <w:rFonts w:ascii="Arial"/>
          <w:spacing w:val="-2"/>
          <w:sz w:val="28"/>
        </w:rPr>
        <w:t>Services</w:t>
      </w:r>
    </w:p>
    <w:p w14:paraId="2AE0372A" w14:textId="77777777" w:rsidR="00DB0E98" w:rsidRDefault="005745CC">
      <w:pPr>
        <w:spacing w:before="1"/>
        <w:ind w:left="1628" w:right="1535"/>
        <w:jc w:val="center"/>
        <w:rPr>
          <w:rFonts w:ascii="Arial"/>
          <w:sz w:val="24"/>
        </w:rPr>
      </w:pPr>
      <w:r>
        <w:rPr>
          <w:rFonts w:ascii="Arial"/>
          <w:sz w:val="24"/>
        </w:rPr>
        <w:t>67</w:t>
      </w:r>
      <w:r>
        <w:rPr>
          <w:rFonts w:ascii="Arial"/>
          <w:spacing w:val="-3"/>
          <w:sz w:val="24"/>
        </w:rPr>
        <w:t xml:space="preserve"> </w:t>
      </w:r>
      <w:r>
        <w:rPr>
          <w:rFonts w:ascii="Arial"/>
          <w:sz w:val="24"/>
        </w:rPr>
        <w:t>Forest</w:t>
      </w:r>
      <w:r>
        <w:rPr>
          <w:rFonts w:ascii="Arial"/>
          <w:spacing w:val="-2"/>
          <w:sz w:val="24"/>
        </w:rPr>
        <w:t xml:space="preserve"> </w:t>
      </w:r>
      <w:r>
        <w:rPr>
          <w:rFonts w:ascii="Arial"/>
          <w:sz w:val="24"/>
        </w:rPr>
        <w:t>Street,</w:t>
      </w:r>
      <w:r>
        <w:rPr>
          <w:rFonts w:ascii="Arial"/>
          <w:spacing w:val="-2"/>
          <w:sz w:val="24"/>
        </w:rPr>
        <w:t xml:space="preserve"> </w:t>
      </w:r>
      <w:r>
        <w:rPr>
          <w:rFonts w:ascii="Arial"/>
          <w:sz w:val="24"/>
        </w:rPr>
        <w:t>Marlborough,</w:t>
      </w:r>
      <w:r>
        <w:rPr>
          <w:rFonts w:ascii="Arial"/>
          <w:spacing w:val="-2"/>
          <w:sz w:val="24"/>
        </w:rPr>
        <w:t xml:space="preserve"> </w:t>
      </w:r>
      <w:r>
        <w:rPr>
          <w:rFonts w:ascii="Arial"/>
          <w:sz w:val="24"/>
        </w:rPr>
        <w:t>MA</w:t>
      </w:r>
      <w:r>
        <w:rPr>
          <w:rFonts w:ascii="Arial"/>
          <w:spacing w:val="-5"/>
          <w:sz w:val="24"/>
        </w:rPr>
        <w:t xml:space="preserve"> </w:t>
      </w:r>
      <w:r>
        <w:rPr>
          <w:rFonts w:ascii="Arial"/>
          <w:spacing w:val="-4"/>
          <w:sz w:val="24"/>
        </w:rPr>
        <w:t>01752</w:t>
      </w:r>
    </w:p>
    <w:p w14:paraId="76B114DB" w14:textId="77777777" w:rsidR="00DB0E98" w:rsidRDefault="005745CC">
      <w:pPr>
        <w:ind w:left="1626" w:right="1535"/>
        <w:jc w:val="center"/>
        <w:rPr>
          <w:rFonts w:ascii="Arial"/>
          <w:sz w:val="24"/>
        </w:rPr>
      </w:pPr>
      <w:r>
        <w:rPr>
          <w:rFonts w:ascii="Arial"/>
          <w:sz w:val="24"/>
        </w:rPr>
        <w:t>617-753-7300</w:t>
      </w:r>
      <w:r>
        <w:rPr>
          <w:rFonts w:ascii="Arial"/>
          <w:spacing w:val="-3"/>
          <w:sz w:val="24"/>
        </w:rPr>
        <w:t xml:space="preserve"> </w:t>
      </w:r>
      <w:r>
        <w:rPr>
          <w:rFonts w:ascii="Arial"/>
          <w:sz w:val="24"/>
        </w:rPr>
        <w:t>|</w:t>
      </w:r>
      <w:r>
        <w:rPr>
          <w:rFonts w:ascii="Arial"/>
          <w:spacing w:val="-4"/>
          <w:sz w:val="24"/>
        </w:rPr>
        <w:t xml:space="preserve"> </w:t>
      </w:r>
      <w:r>
        <w:rPr>
          <w:rFonts w:ascii="Arial"/>
          <w:spacing w:val="-2"/>
          <w:sz w:val="24"/>
        </w:rPr>
        <w:t>mass.gov/dph/oems</w:t>
      </w:r>
    </w:p>
    <w:p w14:paraId="027A0428" w14:textId="77777777" w:rsidR="00DB0E98" w:rsidRDefault="00DB0E98">
      <w:pPr>
        <w:pStyle w:val="BodyText"/>
        <w:rPr>
          <w:rFonts w:ascii="Arial"/>
          <w:sz w:val="16"/>
        </w:rPr>
      </w:pPr>
    </w:p>
    <w:p w14:paraId="1DFE29E8" w14:textId="77777777" w:rsidR="00DB0E98" w:rsidRDefault="00DB0E98">
      <w:pPr>
        <w:pStyle w:val="BodyText"/>
        <w:rPr>
          <w:rFonts w:ascii="Arial"/>
          <w:sz w:val="16"/>
        </w:rPr>
        <w:sectPr w:rsidR="00DB0E98">
          <w:type w:val="continuous"/>
          <w:pgSz w:w="12240" w:h="15840"/>
          <w:pgMar w:top="560" w:right="720" w:bottom="280" w:left="1080" w:header="720" w:footer="720" w:gutter="0"/>
          <w:cols w:space="720"/>
        </w:sectPr>
      </w:pPr>
    </w:p>
    <w:p w14:paraId="3A9A65AD" w14:textId="77777777" w:rsidR="00DB0E98" w:rsidRDefault="005745CC">
      <w:pPr>
        <w:pStyle w:val="Heading1"/>
      </w:pPr>
      <w:r>
        <w:t>Maura</w:t>
      </w:r>
      <w:r>
        <w:rPr>
          <w:spacing w:val="-1"/>
        </w:rPr>
        <w:t xml:space="preserve"> </w:t>
      </w:r>
      <w:r>
        <w:t>T.</w:t>
      </w:r>
      <w:r>
        <w:rPr>
          <w:spacing w:val="2"/>
        </w:rPr>
        <w:t xml:space="preserve"> </w:t>
      </w:r>
      <w:r>
        <w:rPr>
          <w:spacing w:val="-2"/>
        </w:rPr>
        <w:t>Healey</w:t>
      </w:r>
    </w:p>
    <w:p w14:paraId="503B77C3" w14:textId="77777777" w:rsidR="00DB0E98" w:rsidRDefault="005745CC">
      <w:pPr>
        <w:ind w:left="359"/>
        <w:rPr>
          <w:rFonts w:ascii="Arial"/>
          <w:sz w:val="24"/>
        </w:rPr>
      </w:pPr>
      <w:r>
        <w:rPr>
          <w:rFonts w:ascii="Arial"/>
          <w:spacing w:val="-2"/>
          <w:sz w:val="24"/>
        </w:rPr>
        <w:t>Governor</w:t>
      </w:r>
    </w:p>
    <w:p w14:paraId="146E4C7C" w14:textId="77777777" w:rsidR="00DB0E98" w:rsidRDefault="005745CC">
      <w:pPr>
        <w:pStyle w:val="Heading1"/>
        <w:spacing w:before="137"/>
      </w:pPr>
      <w:r>
        <w:t>Kimberley</w:t>
      </w:r>
      <w:r>
        <w:rPr>
          <w:spacing w:val="-3"/>
        </w:rPr>
        <w:t xml:space="preserve"> </w:t>
      </w:r>
      <w:r>
        <w:rPr>
          <w:spacing w:val="-2"/>
        </w:rPr>
        <w:t>Driscoll</w:t>
      </w:r>
    </w:p>
    <w:p w14:paraId="6678DFF3" w14:textId="77777777" w:rsidR="00DB0E98" w:rsidRDefault="005745CC">
      <w:pPr>
        <w:ind w:left="360"/>
        <w:rPr>
          <w:rFonts w:ascii="Arial"/>
          <w:sz w:val="24"/>
        </w:rPr>
      </w:pPr>
      <w:r>
        <w:rPr>
          <w:rFonts w:ascii="Arial"/>
          <w:sz w:val="24"/>
        </w:rPr>
        <w:t>Lieutenant</w:t>
      </w:r>
      <w:r>
        <w:rPr>
          <w:rFonts w:ascii="Arial"/>
          <w:spacing w:val="-1"/>
          <w:sz w:val="24"/>
        </w:rPr>
        <w:t xml:space="preserve"> </w:t>
      </w:r>
      <w:r>
        <w:rPr>
          <w:rFonts w:ascii="Arial"/>
          <w:spacing w:val="-2"/>
          <w:sz w:val="24"/>
        </w:rPr>
        <w:t>Governor</w:t>
      </w:r>
    </w:p>
    <w:p w14:paraId="4634623E" w14:textId="77777777" w:rsidR="00DB0E98" w:rsidRDefault="005745CC">
      <w:pPr>
        <w:pStyle w:val="Heading1"/>
      </w:pPr>
      <w:r>
        <w:rPr>
          <w:b w:val="0"/>
        </w:rPr>
        <w:br w:type="column"/>
      </w:r>
      <w:r>
        <w:t>Kiame</w:t>
      </w:r>
      <w:r>
        <w:rPr>
          <w:spacing w:val="-4"/>
        </w:rPr>
        <w:t xml:space="preserve"> </w:t>
      </w:r>
      <w:r>
        <w:t>Mahaniah,</w:t>
      </w:r>
      <w:r>
        <w:rPr>
          <w:spacing w:val="-2"/>
        </w:rPr>
        <w:t xml:space="preserve"> </w:t>
      </w:r>
      <w:r>
        <w:t>MD,</w:t>
      </w:r>
      <w:r>
        <w:rPr>
          <w:spacing w:val="-2"/>
        </w:rPr>
        <w:t xml:space="preserve"> </w:t>
      </w:r>
      <w:r>
        <w:rPr>
          <w:spacing w:val="-5"/>
        </w:rPr>
        <w:t>MBA</w:t>
      </w:r>
    </w:p>
    <w:p w14:paraId="62A9ACC1" w14:textId="77777777" w:rsidR="00DB0E98" w:rsidRDefault="005745CC">
      <w:pPr>
        <w:ind w:right="715"/>
        <w:jc w:val="right"/>
        <w:rPr>
          <w:rFonts w:ascii="Arial"/>
          <w:sz w:val="24"/>
        </w:rPr>
      </w:pPr>
      <w:r>
        <w:rPr>
          <w:rFonts w:ascii="Arial"/>
          <w:spacing w:val="-2"/>
          <w:sz w:val="24"/>
        </w:rPr>
        <w:t>Secretary</w:t>
      </w:r>
    </w:p>
    <w:p w14:paraId="225545DA" w14:textId="77777777" w:rsidR="00DB0E98" w:rsidRDefault="005745CC">
      <w:pPr>
        <w:pStyle w:val="Heading1"/>
        <w:spacing w:before="137"/>
        <w:ind w:left="0" w:right="718"/>
        <w:jc w:val="right"/>
      </w:pPr>
      <w:r>
        <w:t>Robert</w:t>
      </w:r>
      <w:r>
        <w:rPr>
          <w:spacing w:val="-5"/>
        </w:rPr>
        <w:t xml:space="preserve"> </w:t>
      </w:r>
      <w:r>
        <w:t>Goldstein,</w:t>
      </w:r>
      <w:r>
        <w:rPr>
          <w:spacing w:val="-3"/>
        </w:rPr>
        <w:t xml:space="preserve"> </w:t>
      </w:r>
      <w:r>
        <w:t>MD,</w:t>
      </w:r>
      <w:r>
        <w:rPr>
          <w:spacing w:val="-2"/>
        </w:rPr>
        <w:t xml:space="preserve"> </w:t>
      </w:r>
      <w:r>
        <w:rPr>
          <w:spacing w:val="-5"/>
        </w:rPr>
        <w:t>PhD</w:t>
      </w:r>
    </w:p>
    <w:p w14:paraId="3C657897" w14:textId="77777777" w:rsidR="00DB0E98" w:rsidRDefault="005745CC">
      <w:pPr>
        <w:ind w:right="714"/>
        <w:jc w:val="right"/>
        <w:rPr>
          <w:rFonts w:ascii="Arial"/>
          <w:sz w:val="24"/>
        </w:rPr>
      </w:pPr>
      <w:r>
        <w:rPr>
          <w:rFonts w:ascii="Arial"/>
          <w:spacing w:val="-2"/>
          <w:sz w:val="24"/>
        </w:rPr>
        <w:t>Commissioner</w:t>
      </w:r>
    </w:p>
    <w:p w14:paraId="1BCFFBC5" w14:textId="77777777" w:rsidR="00DB0E98" w:rsidRDefault="00DB0E98">
      <w:pPr>
        <w:jc w:val="right"/>
        <w:rPr>
          <w:rFonts w:ascii="Arial"/>
          <w:sz w:val="24"/>
        </w:rPr>
        <w:sectPr w:rsidR="00DB0E98">
          <w:type w:val="continuous"/>
          <w:pgSz w:w="12240" w:h="15840"/>
          <w:pgMar w:top="560" w:right="720" w:bottom="280" w:left="1080" w:header="720" w:footer="720" w:gutter="0"/>
          <w:cols w:num="2" w:space="720" w:equalWidth="0">
            <w:col w:w="2591" w:space="3689"/>
            <w:col w:w="4160"/>
          </w:cols>
        </w:sectPr>
      </w:pPr>
    </w:p>
    <w:p w14:paraId="14FA6FEA" w14:textId="77777777" w:rsidR="00DB0E98" w:rsidRDefault="005745CC">
      <w:pPr>
        <w:pStyle w:val="Heading1"/>
        <w:spacing w:before="258"/>
        <w:ind w:left="1625" w:right="1829"/>
        <w:jc w:val="center"/>
        <w:rPr>
          <w:rFonts w:ascii="Times New Roman"/>
        </w:rPr>
      </w:pPr>
      <w:r>
        <w:rPr>
          <w:rFonts w:ascii="Times New Roman"/>
          <w:color w:val="111111"/>
          <w:u w:val="single" w:color="111111"/>
        </w:rPr>
        <w:t>ADVISORY</w:t>
      </w:r>
      <w:r>
        <w:rPr>
          <w:rFonts w:ascii="Times New Roman"/>
          <w:color w:val="111111"/>
          <w:spacing w:val="77"/>
          <w:u w:val="single" w:color="111111"/>
        </w:rPr>
        <w:t xml:space="preserve"> </w:t>
      </w:r>
      <w:r>
        <w:rPr>
          <w:rFonts w:ascii="Times New Roman"/>
          <w:color w:val="111111"/>
          <w:u w:val="single" w:color="111111"/>
        </w:rPr>
        <w:t>26-07-</w:t>
      </w:r>
      <w:r>
        <w:rPr>
          <w:rFonts w:ascii="Times New Roman"/>
          <w:color w:val="111111"/>
          <w:spacing w:val="-5"/>
          <w:u w:val="single" w:color="111111"/>
        </w:rPr>
        <w:t>01</w:t>
      </w:r>
    </w:p>
    <w:p w14:paraId="66A41216" w14:textId="77777777" w:rsidR="00DB0E98" w:rsidRDefault="005745CC">
      <w:pPr>
        <w:pStyle w:val="BodyText"/>
        <w:tabs>
          <w:tab w:val="left" w:pos="1799"/>
        </w:tabs>
        <w:spacing w:before="249"/>
        <w:ind w:left="259"/>
      </w:pPr>
      <w:r>
        <w:rPr>
          <w:color w:val="111111"/>
          <w:spacing w:val="-5"/>
        </w:rPr>
        <w:t>TO:</w:t>
      </w:r>
      <w:r>
        <w:rPr>
          <w:color w:val="111111"/>
        </w:rPr>
        <w:tab/>
        <w:t>Massachusetts</w:t>
      </w:r>
      <w:r>
        <w:rPr>
          <w:color w:val="111111"/>
          <w:spacing w:val="48"/>
        </w:rPr>
        <w:t xml:space="preserve"> </w:t>
      </w:r>
      <w:r>
        <w:rPr>
          <w:color w:val="111111"/>
        </w:rPr>
        <w:t>Licensed</w:t>
      </w:r>
      <w:r>
        <w:rPr>
          <w:color w:val="111111"/>
          <w:spacing w:val="46"/>
        </w:rPr>
        <w:t xml:space="preserve"> </w:t>
      </w:r>
      <w:r>
        <w:rPr>
          <w:color w:val="111111"/>
        </w:rPr>
        <w:t>Ambulance</w:t>
      </w:r>
      <w:r>
        <w:rPr>
          <w:color w:val="111111"/>
          <w:spacing w:val="48"/>
        </w:rPr>
        <w:t xml:space="preserve"> </w:t>
      </w:r>
      <w:r>
        <w:rPr>
          <w:color w:val="111111"/>
          <w:spacing w:val="-2"/>
        </w:rPr>
        <w:t>Services</w:t>
      </w:r>
    </w:p>
    <w:p w14:paraId="3F56CB08" w14:textId="77777777" w:rsidR="00DB0E98" w:rsidRDefault="005745CC">
      <w:pPr>
        <w:pStyle w:val="BodyText"/>
        <w:tabs>
          <w:tab w:val="left" w:pos="1799"/>
        </w:tabs>
        <w:spacing w:before="1"/>
        <w:ind w:left="259" w:right="1815" w:hanging="1"/>
      </w:pPr>
      <w:r>
        <w:rPr>
          <w:color w:val="111111"/>
          <w:spacing w:val="-2"/>
          <w:w w:val="105"/>
        </w:rPr>
        <w:t>FROM:</w:t>
      </w:r>
      <w:r>
        <w:rPr>
          <w:color w:val="111111"/>
        </w:rPr>
        <w:tab/>
      </w:r>
      <w:r>
        <w:rPr>
          <w:color w:val="111111"/>
          <w:w w:val="105"/>
        </w:rPr>
        <w:t>Susan</w:t>
      </w:r>
      <w:r>
        <w:rPr>
          <w:color w:val="111111"/>
          <w:spacing w:val="-6"/>
          <w:w w:val="105"/>
        </w:rPr>
        <w:t xml:space="preserve"> </w:t>
      </w:r>
      <w:r>
        <w:rPr>
          <w:color w:val="111111"/>
          <w:w w:val="105"/>
        </w:rPr>
        <w:t>Lewis,</w:t>
      </w:r>
      <w:r>
        <w:rPr>
          <w:color w:val="111111"/>
          <w:spacing w:val="-4"/>
          <w:w w:val="105"/>
        </w:rPr>
        <w:t xml:space="preserve"> </w:t>
      </w:r>
      <w:r>
        <w:rPr>
          <w:color w:val="111111"/>
          <w:w w:val="105"/>
        </w:rPr>
        <w:t>NRP,</w:t>
      </w:r>
      <w:r>
        <w:rPr>
          <w:color w:val="111111"/>
          <w:spacing w:val="-5"/>
          <w:w w:val="105"/>
        </w:rPr>
        <w:t xml:space="preserve"> </w:t>
      </w:r>
      <w:r>
        <w:rPr>
          <w:color w:val="111111"/>
          <w:w w:val="105"/>
        </w:rPr>
        <w:t>Director</w:t>
      </w:r>
      <w:r>
        <w:rPr>
          <w:color w:val="111111"/>
          <w:spacing w:val="-4"/>
          <w:w w:val="105"/>
        </w:rPr>
        <w:t xml:space="preserve"> </w:t>
      </w:r>
      <w:r>
        <w:rPr>
          <w:color w:val="111111"/>
          <w:w w:val="105"/>
        </w:rPr>
        <w:t>and</w:t>
      </w:r>
      <w:r>
        <w:rPr>
          <w:color w:val="111111"/>
          <w:spacing w:val="-6"/>
          <w:w w:val="105"/>
        </w:rPr>
        <w:t xml:space="preserve"> </w:t>
      </w:r>
      <w:r>
        <w:rPr>
          <w:color w:val="111111"/>
          <w:w w:val="105"/>
        </w:rPr>
        <w:t>Dr.</w:t>
      </w:r>
      <w:r>
        <w:rPr>
          <w:color w:val="111111"/>
          <w:spacing w:val="-6"/>
          <w:w w:val="105"/>
        </w:rPr>
        <w:t xml:space="preserve"> </w:t>
      </w:r>
      <w:r>
        <w:rPr>
          <w:color w:val="111111"/>
          <w:w w:val="105"/>
        </w:rPr>
        <w:t>Jon</w:t>
      </w:r>
      <w:r>
        <w:rPr>
          <w:color w:val="111111"/>
          <w:spacing w:val="-4"/>
          <w:w w:val="105"/>
        </w:rPr>
        <w:t xml:space="preserve"> </w:t>
      </w:r>
      <w:r>
        <w:rPr>
          <w:color w:val="111111"/>
          <w:w w:val="105"/>
        </w:rPr>
        <w:t>Burstein,</w:t>
      </w:r>
      <w:r>
        <w:rPr>
          <w:color w:val="111111"/>
          <w:spacing w:val="-4"/>
          <w:w w:val="105"/>
        </w:rPr>
        <w:t xml:space="preserve"> </w:t>
      </w:r>
      <w:r>
        <w:rPr>
          <w:color w:val="111111"/>
          <w:w w:val="105"/>
        </w:rPr>
        <w:t>EMS</w:t>
      </w:r>
      <w:r>
        <w:rPr>
          <w:color w:val="111111"/>
          <w:spacing w:val="-4"/>
          <w:w w:val="105"/>
        </w:rPr>
        <w:t xml:space="preserve"> </w:t>
      </w:r>
      <w:r>
        <w:rPr>
          <w:color w:val="111111"/>
          <w:w w:val="105"/>
        </w:rPr>
        <w:t>Medical</w:t>
      </w:r>
      <w:r>
        <w:rPr>
          <w:color w:val="111111"/>
          <w:spacing w:val="-4"/>
          <w:w w:val="105"/>
        </w:rPr>
        <w:t xml:space="preserve"> </w:t>
      </w:r>
      <w:r>
        <w:rPr>
          <w:color w:val="111111"/>
          <w:w w:val="105"/>
        </w:rPr>
        <w:t xml:space="preserve">Director </w:t>
      </w:r>
      <w:r>
        <w:rPr>
          <w:color w:val="111111"/>
          <w:spacing w:val="-2"/>
          <w:w w:val="105"/>
        </w:rPr>
        <w:t>DATE:</w:t>
      </w:r>
      <w:r>
        <w:rPr>
          <w:color w:val="111111"/>
        </w:rPr>
        <w:tab/>
      </w:r>
      <w:r>
        <w:rPr>
          <w:color w:val="111111"/>
          <w:spacing w:val="-55"/>
        </w:rPr>
        <w:t xml:space="preserve"> </w:t>
      </w:r>
      <w:r>
        <w:rPr>
          <w:color w:val="111111"/>
          <w:w w:val="105"/>
        </w:rPr>
        <w:t>July 2, 2026</w:t>
      </w:r>
    </w:p>
    <w:p w14:paraId="7FB7C11A" w14:textId="77777777" w:rsidR="00DB0E98" w:rsidRDefault="005745CC">
      <w:pPr>
        <w:pStyle w:val="BodyText"/>
        <w:tabs>
          <w:tab w:val="left" w:pos="1800"/>
        </w:tabs>
        <w:spacing w:line="242" w:lineRule="auto"/>
        <w:ind w:left="1800" w:right="539" w:hanging="1541"/>
      </w:pPr>
      <w:r>
        <w:rPr>
          <w:color w:val="111111"/>
          <w:spacing w:val="-4"/>
          <w:w w:val="105"/>
        </w:rPr>
        <w:t>RE:</w:t>
      </w:r>
      <w:r>
        <w:rPr>
          <w:color w:val="111111"/>
        </w:rPr>
        <w:tab/>
      </w:r>
      <w:r>
        <w:rPr>
          <w:color w:val="111111"/>
          <w:w w:val="105"/>
        </w:rPr>
        <w:t>Clarification</w:t>
      </w:r>
      <w:r>
        <w:rPr>
          <w:color w:val="111111"/>
          <w:spacing w:val="-4"/>
          <w:w w:val="105"/>
        </w:rPr>
        <w:t xml:space="preserve"> </w:t>
      </w:r>
      <w:r>
        <w:rPr>
          <w:color w:val="111111"/>
          <w:w w:val="105"/>
        </w:rPr>
        <w:t>of</w:t>
      </w:r>
      <w:r>
        <w:rPr>
          <w:color w:val="111111"/>
          <w:spacing w:val="-2"/>
          <w:w w:val="105"/>
        </w:rPr>
        <w:t xml:space="preserve"> </w:t>
      </w:r>
      <w:r>
        <w:rPr>
          <w:color w:val="111111"/>
          <w:w w:val="105"/>
        </w:rPr>
        <w:t>Statewide</w:t>
      </w:r>
      <w:r>
        <w:rPr>
          <w:color w:val="111111"/>
          <w:spacing w:val="-3"/>
          <w:w w:val="105"/>
        </w:rPr>
        <w:t xml:space="preserve"> </w:t>
      </w:r>
      <w:r>
        <w:rPr>
          <w:color w:val="111111"/>
          <w:w w:val="105"/>
        </w:rPr>
        <w:t>Trauma</w:t>
      </w:r>
      <w:r>
        <w:rPr>
          <w:color w:val="111111"/>
          <w:spacing w:val="-3"/>
          <w:w w:val="105"/>
        </w:rPr>
        <w:t xml:space="preserve"> </w:t>
      </w:r>
      <w:r>
        <w:rPr>
          <w:color w:val="111111"/>
          <w:w w:val="105"/>
        </w:rPr>
        <w:t>Field</w:t>
      </w:r>
      <w:r>
        <w:rPr>
          <w:color w:val="111111"/>
          <w:spacing w:val="-4"/>
          <w:w w:val="105"/>
        </w:rPr>
        <w:t xml:space="preserve"> </w:t>
      </w:r>
      <w:r>
        <w:rPr>
          <w:color w:val="111111"/>
          <w:w w:val="105"/>
        </w:rPr>
        <w:t>Triage</w:t>
      </w:r>
      <w:r>
        <w:rPr>
          <w:color w:val="111111"/>
          <w:spacing w:val="-3"/>
          <w:w w:val="105"/>
        </w:rPr>
        <w:t xml:space="preserve"> </w:t>
      </w:r>
      <w:r>
        <w:rPr>
          <w:color w:val="111111"/>
          <w:w w:val="105"/>
        </w:rPr>
        <w:t>Criteria</w:t>
      </w:r>
      <w:r>
        <w:rPr>
          <w:color w:val="111111"/>
          <w:spacing w:val="-6"/>
          <w:w w:val="105"/>
        </w:rPr>
        <w:t xml:space="preserve"> </w:t>
      </w:r>
      <w:r>
        <w:rPr>
          <w:color w:val="111111"/>
          <w:w w:val="105"/>
        </w:rPr>
        <w:t>and</w:t>
      </w:r>
      <w:r>
        <w:rPr>
          <w:color w:val="111111"/>
          <w:spacing w:val="-2"/>
          <w:w w:val="105"/>
        </w:rPr>
        <w:t xml:space="preserve"> </w:t>
      </w:r>
      <w:r>
        <w:rPr>
          <w:color w:val="111111"/>
          <w:w w:val="105"/>
        </w:rPr>
        <w:t>Point</w:t>
      </w:r>
      <w:r>
        <w:rPr>
          <w:color w:val="111111"/>
          <w:spacing w:val="-2"/>
          <w:w w:val="105"/>
        </w:rPr>
        <w:t xml:space="preserve"> </w:t>
      </w:r>
      <w:r>
        <w:rPr>
          <w:color w:val="111111"/>
          <w:w w:val="105"/>
        </w:rPr>
        <w:t>of</w:t>
      </w:r>
      <w:r>
        <w:rPr>
          <w:color w:val="111111"/>
          <w:spacing w:val="-2"/>
          <w:w w:val="105"/>
        </w:rPr>
        <w:t xml:space="preserve"> </w:t>
      </w:r>
      <w:r>
        <w:rPr>
          <w:color w:val="111111"/>
          <w:w w:val="105"/>
        </w:rPr>
        <w:t>Entry</w:t>
      </w:r>
      <w:r>
        <w:rPr>
          <w:color w:val="111111"/>
          <w:spacing w:val="-4"/>
          <w:w w:val="105"/>
        </w:rPr>
        <w:t xml:space="preserve"> </w:t>
      </w:r>
      <w:r>
        <w:rPr>
          <w:color w:val="111111"/>
          <w:w w:val="105"/>
        </w:rPr>
        <w:t>Plan</w:t>
      </w:r>
      <w:r>
        <w:rPr>
          <w:color w:val="111111"/>
          <w:spacing w:val="-8"/>
          <w:w w:val="105"/>
        </w:rPr>
        <w:t xml:space="preserve"> </w:t>
      </w:r>
      <w:r>
        <w:rPr>
          <w:color w:val="111111"/>
          <w:w w:val="105"/>
        </w:rPr>
        <w:t>for</w:t>
      </w:r>
      <w:r>
        <w:rPr>
          <w:color w:val="111111"/>
          <w:spacing w:val="-1"/>
          <w:w w:val="105"/>
        </w:rPr>
        <w:t xml:space="preserve"> </w:t>
      </w:r>
      <w:r>
        <w:rPr>
          <w:color w:val="111111"/>
          <w:w w:val="105"/>
        </w:rPr>
        <w:t>Red Criteria Patient Transport Destination</w:t>
      </w:r>
    </w:p>
    <w:p w14:paraId="4778026C" w14:textId="77777777" w:rsidR="00DB0E98" w:rsidRDefault="005745CC">
      <w:pPr>
        <w:pStyle w:val="BodyText"/>
        <w:spacing w:before="1"/>
        <w:rPr>
          <w:sz w:val="19"/>
        </w:rPr>
      </w:pPr>
      <w:r>
        <w:rPr>
          <w:noProof/>
          <w:sz w:val="19"/>
        </w:rPr>
        <mc:AlternateContent>
          <mc:Choice Requires="wps">
            <w:drawing>
              <wp:anchor distT="0" distB="0" distL="0" distR="0" simplePos="0" relativeHeight="487587840" behindDoc="1" locked="0" layoutInCell="1" allowOverlap="1" wp14:anchorId="41BF0D36" wp14:editId="596AA80F">
                <wp:simplePos x="0" y="0"/>
                <wp:positionH relativeFrom="page">
                  <wp:posOffset>850679</wp:posOffset>
                </wp:positionH>
                <wp:positionV relativeFrom="paragraph">
                  <wp:posOffset>154670</wp:posOffset>
                </wp:positionV>
                <wp:extent cx="630936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1270"/>
                        </a:xfrm>
                        <a:custGeom>
                          <a:avLst/>
                          <a:gdLst/>
                          <a:ahLst/>
                          <a:cxnLst/>
                          <a:rect l="l" t="t" r="r" b="b"/>
                          <a:pathLst>
                            <a:path w="6309360">
                              <a:moveTo>
                                <a:pt x="0" y="0"/>
                              </a:moveTo>
                              <a:lnTo>
                                <a:pt x="6309258" y="0"/>
                              </a:lnTo>
                            </a:path>
                          </a:pathLst>
                        </a:custGeom>
                        <a:ln w="5759">
                          <a:solidFill>
                            <a:srgbClr val="101010"/>
                          </a:solidFill>
                          <a:prstDash val="solid"/>
                        </a:ln>
                      </wps:spPr>
                      <wps:bodyPr wrap="square" lIns="0" tIns="0" rIns="0" bIns="0" rtlCol="0">
                        <a:prstTxWarp prst="textNoShape">
                          <a:avLst/>
                        </a:prstTxWarp>
                        <a:noAutofit/>
                      </wps:bodyPr>
                    </wps:wsp>
                  </a:graphicData>
                </a:graphic>
              </wp:anchor>
            </w:drawing>
          </mc:Choice>
          <mc:Fallback>
            <w:pict>
              <v:shape w14:anchorId="6E226956" id="Graphic 2" o:spid="_x0000_s1026" style="position:absolute;margin-left:67pt;margin-top:12.2pt;width:496.8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309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" path="m,l6309258,e" filled="f" strokecolor="#101010" strokeweight=".15997mm">
                <v:path arrowok="t"/>
                <w10:wrap type="topAndBottom" anchorx="page"/>
              </v:shape>
            </w:pict>
          </mc:Fallback>
        </mc:AlternateContent>
      </w:r>
    </w:p>
    <w:p w14:paraId="6201CC5D" w14:textId="77777777" w:rsidR="00DB0E98" w:rsidRDefault="005745CC">
      <w:pPr>
        <w:pStyle w:val="BodyText"/>
        <w:ind w:left="259" w:right="68"/>
      </w:pPr>
      <w:r>
        <w:rPr>
          <w:color w:val="111111"/>
          <w:w w:val="105"/>
        </w:rPr>
        <w:t>The Massachusetts Department of Public Health (Department) is issuing this Advisory to clarify the Statewide</w:t>
      </w:r>
      <w:r>
        <w:rPr>
          <w:color w:val="111111"/>
          <w:spacing w:val="-2"/>
          <w:w w:val="105"/>
        </w:rPr>
        <w:t xml:space="preserve"> </w:t>
      </w:r>
      <w:r>
        <w:rPr>
          <w:color w:val="111111"/>
          <w:w w:val="105"/>
        </w:rPr>
        <w:t>Trauma</w:t>
      </w:r>
      <w:r>
        <w:rPr>
          <w:color w:val="111111"/>
          <w:spacing w:val="-2"/>
          <w:w w:val="105"/>
        </w:rPr>
        <w:t xml:space="preserve"> </w:t>
      </w:r>
      <w:r>
        <w:rPr>
          <w:color w:val="111111"/>
          <w:w w:val="105"/>
        </w:rPr>
        <w:t>Field</w:t>
      </w:r>
      <w:r>
        <w:rPr>
          <w:color w:val="111111"/>
          <w:spacing w:val="-3"/>
          <w:w w:val="105"/>
        </w:rPr>
        <w:t xml:space="preserve"> </w:t>
      </w:r>
      <w:r>
        <w:rPr>
          <w:color w:val="111111"/>
          <w:w w:val="105"/>
        </w:rPr>
        <w:t>Triage</w:t>
      </w:r>
      <w:r>
        <w:rPr>
          <w:color w:val="111111"/>
          <w:spacing w:val="-2"/>
          <w:w w:val="105"/>
        </w:rPr>
        <w:t xml:space="preserve"> </w:t>
      </w:r>
      <w:r>
        <w:rPr>
          <w:color w:val="111111"/>
          <w:w w:val="105"/>
        </w:rPr>
        <w:t>Criteria</w:t>
      </w:r>
      <w:r>
        <w:rPr>
          <w:color w:val="111111"/>
          <w:spacing w:val="-2"/>
          <w:w w:val="105"/>
        </w:rPr>
        <w:t xml:space="preserve"> </w:t>
      </w:r>
      <w:r>
        <w:rPr>
          <w:color w:val="111111"/>
          <w:w w:val="105"/>
        </w:rPr>
        <w:t>and</w:t>
      </w:r>
      <w:r>
        <w:rPr>
          <w:color w:val="111111"/>
          <w:spacing w:val="-3"/>
          <w:w w:val="105"/>
        </w:rPr>
        <w:t xml:space="preserve"> </w:t>
      </w:r>
      <w:r>
        <w:rPr>
          <w:color w:val="111111"/>
          <w:w w:val="105"/>
        </w:rPr>
        <w:t>Point</w:t>
      </w:r>
      <w:r>
        <w:rPr>
          <w:color w:val="111111"/>
          <w:spacing w:val="-2"/>
          <w:w w:val="105"/>
        </w:rPr>
        <w:t xml:space="preserve"> </w:t>
      </w:r>
      <w:r>
        <w:rPr>
          <w:color w:val="111111"/>
          <w:w w:val="105"/>
        </w:rPr>
        <w:t>of</w:t>
      </w:r>
      <w:r>
        <w:rPr>
          <w:color w:val="111111"/>
          <w:spacing w:val="-2"/>
          <w:w w:val="105"/>
        </w:rPr>
        <w:t xml:space="preserve"> </w:t>
      </w:r>
      <w:r>
        <w:rPr>
          <w:color w:val="111111"/>
          <w:w w:val="105"/>
        </w:rPr>
        <w:t>Entry</w:t>
      </w:r>
      <w:r>
        <w:rPr>
          <w:color w:val="111111"/>
          <w:spacing w:val="-3"/>
          <w:w w:val="105"/>
        </w:rPr>
        <w:t xml:space="preserve"> </w:t>
      </w:r>
      <w:r>
        <w:rPr>
          <w:color w:val="111111"/>
          <w:w w:val="105"/>
        </w:rPr>
        <w:t>Plan</w:t>
      </w:r>
      <w:r>
        <w:rPr>
          <w:color w:val="111111"/>
          <w:spacing w:val="-6"/>
          <w:w w:val="105"/>
        </w:rPr>
        <w:t xml:space="preserve"> </w:t>
      </w:r>
      <w:r>
        <w:rPr>
          <w:color w:val="111111"/>
          <w:w w:val="105"/>
        </w:rPr>
        <w:t>(“trauma</w:t>
      </w:r>
      <w:r>
        <w:rPr>
          <w:color w:val="111111"/>
          <w:spacing w:val="-2"/>
          <w:w w:val="105"/>
        </w:rPr>
        <w:t xml:space="preserve"> </w:t>
      </w:r>
      <w:r>
        <w:rPr>
          <w:color w:val="111111"/>
          <w:w w:val="105"/>
        </w:rPr>
        <w:t>POE”)</w:t>
      </w:r>
      <w:r>
        <w:rPr>
          <w:color w:val="111111"/>
          <w:spacing w:val="-2"/>
          <w:w w:val="105"/>
        </w:rPr>
        <w:t xml:space="preserve"> </w:t>
      </w:r>
      <w:r>
        <w:rPr>
          <w:color w:val="111111"/>
          <w:w w:val="105"/>
        </w:rPr>
        <w:t>direction</w:t>
      </w:r>
      <w:r>
        <w:rPr>
          <w:color w:val="111111"/>
          <w:spacing w:val="-3"/>
          <w:w w:val="105"/>
        </w:rPr>
        <w:t xml:space="preserve"> </w:t>
      </w:r>
      <w:r>
        <w:rPr>
          <w:color w:val="111111"/>
          <w:w w:val="105"/>
        </w:rPr>
        <w:t>with</w:t>
      </w:r>
      <w:r>
        <w:rPr>
          <w:color w:val="111111"/>
          <w:spacing w:val="-5"/>
          <w:w w:val="105"/>
        </w:rPr>
        <w:t xml:space="preserve"> </w:t>
      </w:r>
      <w:r>
        <w:rPr>
          <w:color w:val="111111"/>
          <w:w w:val="105"/>
        </w:rPr>
        <w:t>respect</w:t>
      </w:r>
      <w:r>
        <w:rPr>
          <w:color w:val="111111"/>
          <w:spacing w:val="-3"/>
          <w:w w:val="105"/>
        </w:rPr>
        <w:t xml:space="preserve"> </w:t>
      </w:r>
      <w:r>
        <w:rPr>
          <w:color w:val="111111"/>
          <w:w w:val="105"/>
        </w:rPr>
        <w:t>to transport destination of patients assessed to fit the “red criteria.”</w:t>
      </w:r>
    </w:p>
    <w:p w14:paraId="7A09F189" w14:textId="77777777" w:rsidR="00DB0E98" w:rsidRDefault="005745CC">
      <w:pPr>
        <w:spacing w:before="251"/>
        <w:ind w:left="259" w:right="68"/>
      </w:pPr>
      <w:r>
        <w:rPr>
          <w:color w:val="111111"/>
          <w:w w:val="105"/>
        </w:rPr>
        <w:t>Under the trauma POE, “</w:t>
      </w:r>
      <w:r>
        <w:rPr>
          <w:i/>
          <w:color w:val="111111"/>
          <w:w w:val="105"/>
        </w:rPr>
        <w:t xml:space="preserve">Patients meeting any one of the </w:t>
      </w:r>
      <w:r>
        <w:rPr>
          <w:color w:val="111111"/>
          <w:w w:val="105"/>
        </w:rPr>
        <w:t xml:space="preserve">above </w:t>
      </w:r>
      <w:r>
        <w:rPr>
          <w:i/>
          <w:color w:val="111111"/>
          <w:w w:val="105"/>
        </w:rPr>
        <w:t>RED criteria should be transported to the highest-level trauma center available within</w:t>
      </w:r>
      <w:r>
        <w:rPr>
          <w:i/>
          <w:color w:val="111111"/>
          <w:spacing w:val="-1"/>
          <w:w w:val="105"/>
        </w:rPr>
        <w:t xml:space="preserve"> </w:t>
      </w:r>
      <w:r>
        <w:rPr>
          <w:i/>
          <w:color w:val="111111"/>
          <w:w w:val="105"/>
        </w:rPr>
        <w:t xml:space="preserve">the geographic constraints of the regional trauma system.” </w:t>
      </w:r>
      <w:r>
        <w:rPr>
          <w:color w:val="111111"/>
          <w:w w:val="105"/>
        </w:rPr>
        <w:t>The reference to "geographical constraints" in this context is to recognize that Department-designated (or American College of Surgeons [ACS] verified, if out of state) Level 2 trauma centers and Level 1 trauma centers are both able to provide the same stabilizing care, including blood transfusion and operative intervention</w:t>
      </w:r>
      <w:r>
        <w:rPr>
          <w:color w:val="111111"/>
          <w:spacing w:val="-5"/>
          <w:w w:val="105"/>
        </w:rPr>
        <w:t xml:space="preserve"> </w:t>
      </w:r>
      <w:r>
        <w:rPr>
          <w:color w:val="111111"/>
          <w:w w:val="105"/>
        </w:rPr>
        <w:t>for</w:t>
      </w:r>
      <w:r>
        <w:rPr>
          <w:color w:val="111111"/>
          <w:spacing w:val="-2"/>
          <w:w w:val="105"/>
        </w:rPr>
        <w:t xml:space="preserve"> </w:t>
      </w:r>
      <w:r>
        <w:rPr>
          <w:color w:val="111111"/>
          <w:w w:val="105"/>
        </w:rPr>
        <w:t>hemorrhage.</w:t>
      </w:r>
      <w:r>
        <w:rPr>
          <w:color w:val="111111"/>
          <w:spacing w:val="40"/>
          <w:w w:val="105"/>
        </w:rPr>
        <w:t xml:space="preserve"> </w:t>
      </w:r>
      <w:r>
        <w:rPr>
          <w:color w:val="111111"/>
          <w:w w:val="105"/>
        </w:rPr>
        <w:t>A</w:t>
      </w:r>
      <w:r>
        <w:rPr>
          <w:color w:val="111111"/>
          <w:spacing w:val="-4"/>
          <w:w w:val="105"/>
        </w:rPr>
        <w:t xml:space="preserve"> </w:t>
      </w:r>
      <w:r>
        <w:rPr>
          <w:color w:val="111111"/>
          <w:w w:val="105"/>
        </w:rPr>
        <w:t>trauma</w:t>
      </w:r>
      <w:r>
        <w:rPr>
          <w:color w:val="111111"/>
          <w:spacing w:val="-3"/>
          <w:w w:val="105"/>
        </w:rPr>
        <w:t xml:space="preserve"> </w:t>
      </w:r>
      <w:r>
        <w:rPr>
          <w:color w:val="111111"/>
          <w:w w:val="105"/>
        </w:rPr>
        <w:t>patient</w:t>
      </w:r>
      <w:r>
        <w:rPr>
          <w:color w:val="111111"/>
          <w:spacing w:val="-2"/>
          <w:w w:val="105"/>
        </w:rPr>
        <w:t xml:space="preserve"> </w:t>
      </w:r>
      <w:r>
        <w:rPr>
          <w:color w:val="111111"/>
          <w:w w:val="105"/>
        </w:rPr>
        <w:t>who</w:t>
      </w:r>
      <w:r>
        <w:rPr>
          <w:color w:val="111111"/>
          <w:spacing w:val="-2"/>
          <w:w w:val="105"/>
        </w:rPr>
        <w:t xml:space="preserve"> </w:t>
      </w:r>
      <w:r>
        <w:rPr>
          <w:color w:val="111111"/>
          <w:w w:val="105"/>
        </w:rPr>
        <w:t>has</w:t>
      </w:r>
      <w:r>
        <w:rPr>
          <w:color w:val="111111"/>
          <w:spacing w:val="-4"/>
          <w:w w:val="105"/>
        </w:rPr>
        <w:t xml:space="preserve"> </w:t>
      </w:r>
      <w:r>
        <w:rPr>
          <w:color w:val="111111"/>
          <w:w w:val="105"/>
        </w:rPr>
        <w:t>indications</w:t>
      </w:r>
      <w:r>
        <w:rPr>
          <w:color w:val="111111"/>
          <w:spacing w:val="-4"/>
          <w:w w:val="105"/>
        </w:rPr>
        <w:t xml:space="preserve"> </w:t>
      </w:r>
      <w:r>
        <w:rPr>
          <w:color w:val="111111"/>
          <w:w w:val="105"/>
        </w:rPr>
        <w:t>for</w:t>
      </w:r>
      <w:r>
        <w:rPr>
          <w:color w:val="111111"/>
          <w:spacing w:val="-2"/>
          <w:w w:val="105"/>
        </w:rPr>
        <w:t xml:space="preserve"> </w:t>
      </w:r>
      <w:r>
        <w:rPr>
          <w:color w:val="111111"/>
          <w:w w:val="105"/>
        </w:rPr>
        <w:t>potential</w:t>
      </w:r>
      <w:r>
        <w:rPr>
          <w:color w:val="111111"/>
          <w:spacing w:val="-4"/>
          <w:w w:val="105"/>
        </w:rPr>
        <w:t xml:space="preserve"> </w:t>
      </w:r>
      <w:r>
        <w:rPr>
          <w:color w:val="111111"/>
          <w:w w:val="105"/>
        </w:rPr>
        <w:t>transfusion</w:t>
      </w:r>
      <w:r>
        <w:rPr>
          <w:color w:val="111111"/>
          <w:spacing w:val="-4"/>
          <w:w w:val="105"/>
        </w:rPr>
        <w:t xml:space="preserve"> </w:t>
      </w:r>
      <w:r>
        <w:rPr>
          <w:color w:val="111111"/>
          <w:w w:val="105"/>
        </w:rPr>
        <w:t>or</w:t>
      </w:r>
      <w:r>
        <w:rPr>
          <w:color w:val="111111"/>
          <w:spacing w:val="-2"/>
          <w:w w:val="105"/>
        </w:rPr>
        <w:t xml:space="preserve"> </w:t>
      </w:r>
      <w:r>
        <w:rPr>
          <w:color w:val="111111"/>
          <w:w w:val="105"/>
        </w:rPr>
        <w:t>potential</w:t>
      </w:r>
      <w:r>
        <w:rPr>
          <w:color w:val="111111"/>
          <w:spacing w:val="-2"/>
          <w:w w:val="105"/>
        </w:rPr>
        <w:t xml:space="preserve"> </w:t>
      </w:r>
      <w:r>
        <w:rPr>
          <w:color w:val="111111"/>
          <w:w w:val="105"/>
        </w:rPr>
        <w:t>need for stabilizing surgery should be transported by EMS to the closest capable facility, which may be either a Level 1 or Level 2 trauma center.</w:t>
      </w:r>
    </w:p>
    <w:p w14:paraId="6A84083B" w14:textId="77777777" w:rsidR="00DB0E98" w:rsidRDefault="00DB0E98">
      <w:pPr>
        <w:pStyle w:val="BodyText"/>
      </w:pPr>
    </w:p>
    <w:p w14:paraId="663CBC30" w14:textId="77777777" w:rsidR="00DB0E98" w:rsidRDefault="005745CC">
      <w:pPr>
        <w:pStyle w:val="BodyText"/>
        <w:ind w:left="260" w:right="68"/>
      </w:pPr>
      <w:r>
        <w:rPr>
          <w:color w:val="111111"/>
          <w:w w:val="105"/>
        </w:rPr>
        <w:t>The</w:t>
      </w:r>
      <w:r>
        <w:rPr>
          <w:color w:val="111111"/>
          <w:spacing w:val="-3"/>
          <w:w w:val="105"/>
        </w:rPr>
        <w:t xml:space="preserve"> </w:t>
      </w:r>
      <w:r>
        <w:rPr>
          <w:color w:val="111111"/>
          <w:w w:val="105"/>
        </w:rPr>
        <w:t>Department</w:t>
      </w:r>
      <w:r>
        <w:rPr>
          <w:color w:val="111111"/>
          <w:spacing w:val="-2"/>
          <w:w w:val="105"/>
        </w:rPr>
        <w:t xml:space="preserve"> </w:t>
      </w:r>
      <w:r>
        <w:rPr>
          <w:color w:val="111111"/>
          <w:w w:val="105"/>
        </w:rPr>
        <w:t>and</w:t>
      </w:r>
      <w:r>
        <w:rPr>
          <w:color w:val="111111"/>
          <w:spacing w:val="-6"/>
          <w:w w:val="105"/>
        </w:rPr>
        <w:t xml:space="preserve"> </w:t>
      </w:r>
      <w:r>
        <w:rPr>
          <w:color w:val="111111"/>
          <w:w w:val="105"/>
        </w:rPr>
        <w:t>the</w:t>
      </w:r>
      <w:r>
        <w:rPr>
          <w:color w:val="111111"/>
          <w:spacing w:val="-3"/>
          <w:w w:val="105"/>
        </w:rPr>
        <w:t xml:space="preserve"> </w:t>
      </w:r>
      <w:r>
        <w:rPr>
          <w:color w:val="111111"/>
          <w:w w:val="105"/>
        </w:rPr>
        <w:t>Medical</w:t>
      </w:r>
      <w:r>
        <w:rPr>
          <w:color w:val="111111"/>
          <w:spacing w:val="-2"/>
          <w:w w:val="105"/>
        </w:rPr>
        <w:t xml:space="preserve"> </w:t>
      </w:r>
      <w:r>
        <w:rPr>
          <w:color w:val="111111"/>
          <w:w w:val="105"/>
        </w:rPr>
        <w:t>Services</w:t>
      </w:r>
      <w:r>
        <w:rPr>
          <w:color w:val="111111"/>
          <w:spacing w:val="-3"/>
          <w:w w:val="105"/>
        </w:rPr>
        <w:t xml:space="preserve"> </w:t>
      </w:r>
      <w:r>
        <w:rPr>
          <w:color w:val="111111"/>
          <w:w w:val="105"/>
        </w:rPr>
        <w:t>Committee</w:t>
      </w:r>
      <w:r>
        <w:rPr>
          <w:color w:val="111111"/>
          <w:spacing w:val="-3"/>
          <w:w w:val="105"/>
        </w:rPr>
        <w:t xml:space="preserve"> </w:t>
      </w:r>
      <w:r>
        <w:rPr>
          <w:color w:val="111111"/>
          <w:w w:val="105"/>
        </w:rPr>
        <w:t>will</w:t>
      </w:r>
      <w:r>
        <w:rPr>
          <w:color w:val="111111"/>
          <w:spacing w:val="-4"/>
          <w:w w:val="105"/>
        </w:rPr>
        <w:t xml:space="preserve"> </w:t>
      </w:r>
      <w:r>
        <w:rPr>
          <w:color w:val="111111"/>
          <w:w w:val="105"/>
        </w:rPr>
        <w:t>review</w:t>
      </w:r>
      <w:r>
        <w:rPr>
          <w:color w:val="111111"/>
          <w:spacing w:val="-4"/>
          <w:w w:val="105"/>
        </w:rPr>
        <w:t xml:space="preserve"> </w:t>
      </w:r>
      <w:r>
        <w:rPr>
          <w:color w:val="111111"/>
          <w:w w:val="105"/>
        </w:rPr>
        <w:t>the</w:t>
      </w:r>
      <w:r>
        <w:rPr>
          <w:color w:val="111111"/>
          <w:spacing w:val="-3"/>
          <w:w w:val="105"/>
        </w:rPr>
        <w:t xml:space="preserve"> </w:t>
      </w:r>
      <w:r>
        <w:rPr>
          <w:color w:val="111111"/>
          <w:w w:val="105"/>
        </w:rPr>
        <w:t>current</w:t>
      </w:r>
      <w:r>
        <w:rPr>
          <w:color w:val="111111"/>
          <w:spacing w:val="-2"/>
          <w:w w:val="105"/>
        </w:rPr>
        <w:t xml:space="preserve"> </w:t>
      </w:r>
      <w:r>
        <w:rPr>
          <w:color w:val="111111"/>
          <w:w w:val="105"/>
        </w:rPr>
        <w:t>trauma</w:t>
      </w:r>
      <w:r>
        <w:rPr>
          <w:color w:val="111111"/>
          <w:spacing w:val="-3"/>
          <w:w w:val="105"/>
        </w:rPr>
        <w:t xml:space="preserve"> </w:t>
      </w:r>
      <w:r>
        <w:rPr>
          <w:color w:val="111111"/>
          <w:w w:val="105"/>
        </w:rPr>
        <w:t>POE</w:t>
      </w:r>
      <w:r>
        <w:rPr>
          <w:color w:val="111111"/>
          <w:spacing w:val="-3"/>
          <w:w w:val="105"/>
        </w:rPr>
        <w:t xml:space="preserve"> </w:t>
      </w:r>
      <w:r>
        <w:rPr>
          <w:color w:val="111111"/>
          <w:w w:val="105"/>
        </w:rPr>
        <w:t>for other</w:t>
      </w:r>
      <w:r>
        <w:rPr>
          <w:color w:val="111111"/>
          <w:spacing w:val="-2"/>
          <w:w w:val="105"/>
        </w:rPr>
        <w:t xml:space="preserve"> </w:t>
      </w:r>
      <w:r>
        <w:rPr>
          <w:color w:val="111111"/>
          <w:w w:val="105"/>
        </w:rPr>
        <w:t>updates and to make any clarifications necessary. In the meantime, this Advisory serves to ensure there is no confusion about transport destination of trauma patients who fit the red criteria of the trauma POE.</w:t>
      </w:r>
    </w:p>
    <w:p w14:paraId="430C67D6" w14:textId="77777777" w:rsidR="00DB0E98" w:rsidRDefault="00DB0E98">
      <w:pPr>
        <w:pStyle w:val="BodyText"/>
        <w:spacing w:before="1"/>
      </w:pPr>
    </w:p>
    <w:p w14:paraId="4DF853E2" w14:textId="77777777" w:rsidR="00DB0E98" w:rsidRDefault="005745CC">
      <w:pPr>
        <w:pStyle w:val="BodyText"/>
        <w:ind w:left="260" w:hanging="1"/>
        <w:rPr>
          <w:sz w:val="24"/>
        </w:rPr>
      </w:pPr>
      <w:r>
        <w:rPr>
          <w:color w:val="111111"/>
          <w:w w:val="105"/>
        </w:rPr>
        <w:t>EMS</w:t>
      </w:r>
      <w:r>
        <w:rPr>
          <w:color w:val="111111"/>
          <w:spacing w:val="-2"/>
          <w:w w:val="105"/>
        </w:rPr>
        <w:t xml:space="preserve"> </w:t>
      </w:r>
      <w:r>
        <w:rPr>
          <w:color w:val="111111"/>
          <w:w w:val="105"/>
        </w:rPr>
        <w:t>personnel</w:t>
      </w:r>
      <w:r>
        <w:rPr>
          <w:color w:val="111111"/>
          <w:spacing w:val="-2"/>
          <w:w w:val="105"/>
        </w:rPr>
        <w:t xml:space="preserve"> </w:t>
      </w:r>
      <w:r>
        <w:rPr>
          <w:color w:val="111111"/>
          <w:w w:val="105"/>
        </w:rPr>
        <w:t>or</w:t>
      </w:r>
      <w:r>
        <w:rPr>
          <w:color w:val="111111"/>
          <w:spacing w:val="-2"/>
          <w:w w:val="105"/>
        </w:rPr>
        <w:t xml:space="preserve"> </w:t>
      </w:r>
      <w:r>
        <w:rPr>
          <w:color w:val="111111"/>
          <w:w w:val="105"/>
        </w:rPr>
        <w:t>ambulance</w:t>
      </w:r>
      <w:r>
        <w:rPr>
          <w:color w:val="111111"/>
          <w:spacing w:val="-5"/>
          <w:w w:val="105"/>
        </w:rPr>
        <w:t xml:space="preserve"> </w:t>
      </w:r>
      <w:r>
        <w:rPr>
          <w:color w:val="111111"/>
          <w:w w:val="105"/>
        </w:rPr>
        <w:t>services</w:t>
      </w:r>
      <w:r>
        <w:rPr>
          <w:color w:val="111111"/>
          <w:spacing w:val="-3"/>
          <w:w w:val="105"/>
        </w:rPr>
        <w:t xml:space="preserve"> </w:t>
      </w:r>
      <w:r>
        <w:rPr>
          <w:color w:val="111111"/>
          <w:w w:val="105"/>
        </w:rPr>
        <w:t>with</w:t>
      </w:r>
      <w:r>
        <w:rPr>
          <w:color w:val="111111"/>
          <w:spacing w:val="-5"/>
          <w:w w:val="105"/>
        </w:rPr>
        <w:t xml:space="preserve"> </w:t>
      </w:r>
      <w:r>
        <w:rPr>
          <w:color w:val="111111"/>
          <w:w w:val="105"/>
        </w:rPr>
        <w:t>any</w:t>
      </w:r>
      <w:r>
        <w:rPr>
          <w:color w:val="111111"/>
          <w:spacing w:val="-2"/>
          <w:w w:val="105"/>
        </w:rPr>
        <w:t xml:space="preserve"> </w:t>
      </w:r>
      <w:r>
        <w:rPr>
          <w:color w:val="111111"/>
          <w:w w:val="105"/>
        </w:rPr>
        <w:t>questions</w:t>
      </w:r>
      <w:r>
        <w:rPr>
          <w:color w:val="111111"/>
          <w:spacing w:val="-4"/>
          <w:w w:val="105"/>
        </w:rPr>
        <w:t xml:space="preserve"> </w:t>
      </w:r>
      <w:r>
        <w:rPr>
          <w:color w:val="111111"/>
          <w:w w:val="105"/>
        </w:rPr>
        <w:t>in</w:t>
      </w:r>
      <w:r>
        <w:rPr>
          <w:color w:val="111111"/>
          <w:spacing w:val="-5"/>
          <w:w w:val="105"/>
        </w:rPr>
        <w:t xml:space="preserve"> </w:t>
      </w:r>
      <w:r>
        <w:rPr>
          <w:color w:val="111111"/>
          <w:w w:val="105"/>
        </w:rPr>
        <w:t>this</w:t>
      </w:r>
      <w:r>
        <w:rPr>
          <w:color w:val="111111"/>
          <w:spacing w:val="-4"/>
          <w:w w:val="105"/>
        </w:rPr>
        <w:t xml:space="preserve"> </w:t>
      </w:r>
      <w:r>
        <w:rPr>
          <w:color w:val="111111"/>
          <w:w w:val="105"/>
        </w:rPr>
        <w:t>regard</w:t>
      </w:r>
      <w:r>
        <w:rPr>
          <w:color w:val="111111"/>
          <w:spacing w:val="-3"/>
          <w:w w:val="105"/>
        </w:rPr>
        <w:t xml:space="preserve"> </w:t>
      </w:r>
      <w:r>
        <w:rPr>
          <w:color w:val="111111"/>
          <w:w w:val="105"/>
        </w:rPr>
        <w:t>may</w:t>
      </w:r>
      <w:r>
        <w:rPr>
          <w:color w:val="111111"/>
          <w:spacing w:val="-3"/>
          <w:w w:val="105"/>
        </w:rPr>
        <w:t xml:space="preserve"> </w:t>
      </w:r>
      <w:r>
        <w:rPr>
          <w:color w:val="111111"/>
          <w:w w:val="105"/>
        </w:rPr>
        <w:t>contact</w:t>
      </w:r>
      <w:r>
        <w:rPr>
          <w:color w:val="111111"/>
          <w:spacing w:val="-2"/>
          <w:w w:val="105"/>
        </w:rPr>
        <w:t xml:space="preserve"> </w:t>
      </w:r>
      <w:r>
        <w:rPr>
          <w:color w:val="111111"/>
          <w:w w:val="105"/>
        </w:rPr>
        <w:t>Renée</w:t>
      </w:r>
      <w:r>
        <w:rPr>
          <w:color w:val="111111"/>
          <w:spacing w:val="-3"/>
          <w:w w:val="105"/>
        </w:rPr>
        <w:t xml:space="preserve"> </w:t>
      </w:r>
      <w:r>
        <w:rPr>
          <w:color w:val="111111"/>
          <w:w w:val="105"/>
        </w:rPr>
        <w:t>Atherton,</w:t>
      </w:r>
      <w:r>
        <w:rPr>
          <w:color w:val="111111"/>
          <w:spacing w:val="-2"/>
          <w:w w:val="105"/>
        </w:rPr>
        <w:t xml:space="preserve"> </w:t>
      </w:r>
      <w:r>
        <w:rPr>
          <w:color w:val="111111"/>
          <w:w w:val="105"/>
        </w:rPr>
        <w:t xml:space="preserve">NRP, Clinical Coordinator, at </w:t>
      </w:r>
      <w:hyperlink r:id="rId5">
        <w:r>
          <w:rPr>
            <w:color w:val="0000FF"/>
            <w:w w:val="105"/>
            <w:sz w:val="24"/>
            <w:u w:val="single" w:color="0000FF"/>
          </w:rPr>
          <w:t>renee.atherton@mass.gov</w:t>
        </w:r>
        <w:r>
          <w:rPr>
            <w:w w:val="105"/>
            <w:sz w:val="24"/>
          </w:rPr>
          <w:t>.</w:t>
        </w:r>
      </w:hyperlink>
    </w:p>
    <w:sectPr w:rsidR="00DB0E98">
      <w:type w:val="continuous"/>
      <w:pgSz w:w="12240" w:h="15840"/>
      <w:pgMar w:top="560" w:right="72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E98"/>
    <w:rsid w:val="003B4F4B"/>
    <w:rsid w:val="005745CC"/>
    <w:rsid w:val="009F2A56"/>
    <w:rsid w:val="00DB0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67F5B"/>
  <w15:docId w15:val="{BB4CA76F-39C7-49CC-AB9F-EB876FABD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2"/>
      <w:ind w:left="360"/>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renee.atherton@mass.gov"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329</Words>
  <Characters>1879</Characters>
  <Application>Microsoft Office Word</Application>
  <DocSecurity>0</DocSecurity>
  <Lines>15</Lines>
  <Paragraphs>4</Paragraphs>
  <ScaleCrop>false</ScaleCrop>
  <Company>Commonwealth of Massachusetts</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Marshall</dc:creator>
  <cp:lastModifiedBy>Harrison, Deborah (EHS)</cp:lastModifiedBy>
  <cp:revision>2</cp:revision>
  <dcterms:created xsi:type="dcterms:W3CDTF">2026-07-02T16:47:00Z</dcterms:created>
  <dcterms:modified xsi:type="dcterms:W3CDTF">2026-07-02T16:47:00Z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0x0101009601A6858227C846BEFA69E4B03380E3</vt:lpwstr>
  </property>
  <property fmtid="{D5CDD505-2E9C-101B-9397-08002B2CF9AE}" pid="3" name="Created">
    <vt:filetime>2026-07-02T00:00:00Z</vt:filetime>
  </property>
  <property fmtid="{D5CDD505-2E9C-101B-9397-08002B2CF9AE}" pid="4" name="Creator">
    <vt:lpwstr>Acrobat PDFMaker 26 for Word</vt:lpwstr>
  </property>
  <property fmtid="{D5CDD505-2E9C-101B-9397-08002B2CF9AE}" pid="5" name="LastSaved">
    <vt:filetime>2026-07-02T00:00:00Z</vt:filetime>
  </property>
  <property fmtid="{D5CDD505-2E9C-101B-9397-08002B2CF9AE}" pid="6" name="MediaServiceImageTags">
    <vt:lpwstr/>
  </property>
  <property fmtid="{D5CDD505-2E9C-101B-9397-08002B2CF9AE}" pid="7" name="Producer">
    <vt:lpwstr>Adobe PDF Library 26.1.119</vt:lpwstr>
  </property>
  <property fmtid="{D5CDD505-2E9C-101B-9397-08002B2CF9AE}" pid="8" name="SourceModified">
    <vt:lpwstr>D:20260702130024</vt:lpwstr>
  </property>
</Properties>
</file>