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5288E0BB" w14:textId="77777777" w:rsidR="00E82C87" w:rsidRPr="00E82C87" w:rsidRDefault="00E82C87" w:rsidP="00E82C87">
      <w:pPr>
        <w:spacing w:after="160" w:line="278" w:lineRule="auto"/>
        <w:jc w:val="center"/>
        <w:rPr>
          <w:rFonts w:ascii="Aptos" w:eastAsia="Aptos" w:hAnsi="Aptos" w:cs="Arial"/>
          <w:b/>
          <w:bCs/>
          <w:smallCaps/>
          <w:kern w:val="2"/>
          <w:szCs w:val="24"/>
          <w14:ligatures w14:val="standardContextual"/>
        </w:rPr>
      </w:pPr>
      <w:r w:rsidRPr="00E82C87">
        <w:rPr>
          <w:rFonts w:ascii="Aptos" w:eastAsia="Aptos" w:hAnsi="Aptos" w:cs="Arial"/>
          <w:b/>
          <w:bCs/>
          <w:smallCaps/>
          <w:kern w:val="2"/>
          <w:szCs w:val="24"/>
          <w14:ligatures w14:val="standardContextual"/>
        </w:rPr>
        <w:t>Advisory</w:t>
      </w:r>
    </w:p>
    <w:p w14:paraId="68225413" w14:textId="77777777" w:rsidR="00E82C87" w:rsidRPr="00E82C87" w:rsidRDefault="00E82C87" w:rsidP="00E82C87">
      <w:pPr>
        <w:spacing w:after="160" w:line="278" w:lineRule="auto"/>
        <w:jc w:val="center"/>
        <w:rPr>
          <w:rFonts w:ascii="Aptos" w:eastAsia="Aptos" w:hAnsi="Aptos" w:cs="Arial"/>
          <w:kern w:val="2"/>
          <w:szCs w:val="24"/>
          <w14:ligatures w14:val="standardContextual"/>
        </w:rPr>
      </w:pPr>
    </w:p>
    <w:p w14:paraId="08005D8F" w14:textId="77777777" w:rsidR="00E82C87" w:rsidRPr="00E82C87" w:rsidRDefault="00E82C87" w:rsidP="00E82C87">
      <w:pPr>
        <w:spacing w:after="160" w:line="278" w:lineRule="auto"/>
        <w:rPr>
          <w:rFonts w:ascii="Aptos" w:eastAsia="Aptos" w:hAnsi="Aptos" w:cs="Arial"/>
          <w:kern w:val="2"/>
          <w:szCs w:val="24"/>
          <w14:ligatures w14:val="standardContextual"/>
        </w:rPr>
      </w:pPr>
      <w:r w:rsidRPr="00E82C87">
        <w:rPr>
          <w:rFonts w:ascii="Aptos" w:eastAsia="Aptos" w:hAnsi="Aptos" w:cs="Arial"/>
          <w:smallCaps/>
          <w:kern w:val="2"/>
          <w:szCs w:val="24"/>
          <w14:ligatures w14:val="standardContextual"/>
        </w:rPr>
        <w:t>To</w:t>
      </w:r>
      <w:r w:rsidRPr="00E82C87">
        <w:rPr>
          <w:rFonts w:ascii="Aptos" w:eastAsia="Aptos" w:hAnsi="Aptos" w:cs="Arial"/>
          <w:kern w:val="2"/>
          <w:szCs w:val="24"/>
          <w14:ligatures w14:val="standardContextual"/>
        </w:rPr>
        <w:t xml:space="preserve">: </w:t>
      </w:r>
      <w:r w:rsidRPr="00E82C87">
        <w:rPr>
          <w:rFonts w:ascii="Aptos" w:eastAsia="Aptos" w:hAnsi="Aptos" w:cs="Arial"/>
          <w:kern w:val="2"/>
          <w:szCs w:val="24"/>
          <w14:ligatures w14:val="standardContextual"/>
        </w:rPr>
        <w:tab/>
        <w:t xml:space="preserve">Massachusetts Controlled Substance Registrants </w:t>
      </w:r>
    </w:p>
    <w:p w14:paraId="1111E5B5" w14:textId="77777777" w:rsidR="00E82C87" w:rsidRPr="00E82C87" w:rsidRDefault="00E82C87" w:rsidP="00E82C87">
      <w:pPr>
        <w:spacing w:after="160" w:line="278" w:lineRule="auto"/>
        <w:rPr>
          <w:rFonts w:ascii="Aptos" w:eastAsia="Aptos" w:hAnsi="Aptos" w:cs="Arial"/>
          <w:kern w:val="2"/>
          <w:szCs w:val="24"/>
          <w14:ligatures w14:val="standardContextual"/>
        </w:rPr>
      </w:pPr>
      <w:r w:rsidRPr="00E82C87">
        <w:rPr>
          <w:rFonts w:ascii="Aptos" w:eastAsia="Aptos" w:hAnsi="Aptos" w:cs="Arial"/>
          <w:smallCaps/>
          <w:kern w:val="2"/>
          <w:szCs w:val="24"/>
          <w14:ligatures w14:val="standardContextual"/>
        </w:rPr>
        <w:t>From</w:t>
      </w:r>
      <w:r w:rsidRPr="00E82C87">
        <w:rPr>
          <w:rFonts w:ascii="Aptos" w:eastAsia="Aptos" w:hAnsi="Aptos" w:cs="Arial"/>
          <w:kern w:val="2"/>
          <w:szCs w:val="24"/>
          <w14:ligatures w14:val="standardContextual"/>
        </w:rPr>
        <w:t xml:space="preserve">:  David Johnson, Director, Drug Control Program </w:t>
      </w:r>
    </w:p>
    <w:p w14:paraId="76A6116A" w14:textId="77777777" w:rsidR="00E82C87" w:rsidRPr="00E82C87" w:rsidRDefault="00E82C87" w:rsidP="00E82C87">
      <w:pPr>
        <w:spacing w:after="160" w:line="278" w:lineRule="auto"/>
        <w:rPr>
          <w:rFonts w:ascii="Aptos" w:eastAsia="Aptos" w:hAnsi="Aptos" w:cs="Arial"/>
          <w:kern w:val="2"/>
          <w:szCs w:val="24"/>
          <w14:ligatures w14:val="standardContextual"/>
        </w:rPr>
      </w:pPr>
      <w:r w:rsidRPr="00E82C87">
        <w:rPr>
          <w:rFonts w:ascii="Aptos" w:eastAsia="Aptos" w:hAnsi="Aptos" w:cs="Arial"/>
          <w:smallCaps/>
          <w:kern w:val="2"/>
          <w:szCs w:val="24"/>
          <w14:ligatures w14:val="standardContextual"/>
        </w:rPr>
        <w:t>Date</w:t>
      </w:r>
      <w:r w:rsidRPr="00E82C87">
        <w:rPr>
          <w:rFonts w:ascii="Aptos" w:eastAsia="Aptos" w:hAnsi="Aptos" w:cs="Arial"/>
          <w:kern w:val="2"/>
          <w:szCs w:val="24"/>
          <w14:ligatures w14:val="standardContextual"/>
        </w:rPr>
        <w:t xml:space="preserve">: </w:t>
      </w:r>
      <w:r w:rsidRPr="00E82C87">
        <w:rPr>
          <w:rFonts w:ascii="Aptos" w:eastAsia="Aptos" w:hAnsi="Aptos" w:cs="Arial"/>
          <w:kern w:val="2"/>
          <w:szCs w:val="24"/>
          <w14:ligatures w14:val="standardContextual"/>
        </w:rPr>
        <w:tab/>
        <w:t xml:space="preserve">November 6, 2024 </w:t>
      </w:r>
    </w:p>
    <w:p w14:paraId="5BF70658" w14:textId="77777777" w:rsidR="00E82C87" w:rsidRPr="00E82C87" w:rsidRDefault="00E82C87" w:rsidP="00E82C87">
      <w:pPr>
        <w:spacing w:after="160" w:line="278" w:lineRule="auto"/>
        <w:rPr>
          <w:rFonts w:ascii="Aptos" w:eastAsia="Aptos" w:hAnsi="Aptos" w:cs="Arial"/>
          <w:kern w:val="2"/>
          <w:szCs w:val="24"/>
          <w14:ligatures w14:val="standardContextual"/>
        </w:rPr>
      </w:pPr>
      <w:r w:rsidRPr="00E82C87">
        <w:rPr>
          <w:rFonts w:ascii="Aptos" w:eastAsia="Aptos" w:hAnsi="Aptos" w:cs="Arial"/>
          <w:smallCaps/>
          <w:kern w:val="2"/>
          <w:szCs w:val="24"/>
          <w14:ligatures w14:val="standardContextual"/>
        </w:rPr>
        <w:t>Re</w:t>
      </w:r>
      <w:r w:rsidRPr="00E82C87">
        <w:rPr>
          <w:rFonts w:ascii="Aptos" w:eastAsia="Aptos" w:hAnsi="Aptos" w:cs="Arial"/>
          <w:kern w:val="2"/>
          <w:szCs w:val="24"/>
          <w14:ligatures w14:val="standardContextual"/>
        </w:rPr>
        <w:t xml:space="preserve">: </w:t>
      </w:r>
      <w:r w:rsidRPr="00E82C87">
        <w:rPr>
          <w:rFonts w:ascii="Aptos" w:eastAsia="Aptos" w:hAnsi="Aptos" w:cs="Arial"/>
          <w:kern w:val="2"/>
          <w:szCs w:val="24"/>
          <w14:ligatures w14:val="standardContextual"/>
        </w:rPr>
        <w:tab/>
        <w:t>Sale, Transfer or Trade of Prescription Grade Intravenous (IV)IV Fluids During FDA Declared Shortage</w:t>
      </w:r>
    </w:p>
    <w:p w14:paraId="2EBB3B1B" w14:textId="77777777" w:rsidR="00E82C87" w:rsidRPr="00E82C87" w:rsidRDefault="00E82C87" w:rsidP="00E82C87">
      <w:pPr>
        <w:spacing w:after="160" w:line="278" w:lineRule="auto"/>
        <w:rPr>
          <w:rFonts w:ascii="Aptos" w:eastAsia="Aptos" w:hAnsi="Aptos" w:cs="Arial"/>
          <w:kern w:val="2"/>
          <w:szCs w:val="24"/>
          <w14:ligatures w14:val="standardContextual"/>
        </w:rPr>
      </w:pPr>
      <w:r w:rsidRPr="00E82C87">
        <w:rPr>
          <w:rFonts w:ascii="Aptos" w:eastAsia="Aptos" w:hAnsi="Aptos" w:cs="Arial"/>
          <w:kern w:val="2"/>
          <w:szCs w:val="24"/>
          <w14:ligatures w14:val="standardContextual"/>
        </w:rPr>
        <w:t>The recent hurricanes affecting the southeastern United States have disrupted the usual modes of manufacture and distribution of several kinds of medical grade IV fluids.  As a result, the FDA added certain IV fluids to its drug shortage list.  That list currently includes multiple kinds of IV fluids, and the FDA acknowledges that additional IV fluids may need to be added to this list as additional information regarding storm damage becomes available</w:t>
      </w:r>
      <w:r w:rsidRPr="00E82C87" w:rsidDel="00863210">
        <w:rPr>
          <w:rFonts w:ascii="Aptos" w:eastAsia="Aptos" w:hAnsi="Aptos" w:cs="Arial"/>
          <w:kern w:val="2"/>
          <w:szCs w:val="24"/>
          <w14:ligatures w14:val="standardContextual"/>
        </w:rPr>
        <w:t>.</w:t>
      </w:r>
      <w:r w:rsidRPr="00E82C87">
        <w:rPr>
          <w:rFonts w:ascii="Aptos" w:eastAsia="Aptos" w:hAnsi="Aptos" w:cs="Arial"/>
          <w:kern w:val="2"/>
          <w:szCs w:val="24"/>
          <w:vertAlign w:val="superscript"/>
          <w14:ligatures w14:val="standardContextual"/>
        </w:rPr>
        <w:footnoteReference w:id="1"/>
      </w:r>
      <w:r w:rsidRPr="00E82C87" w:rsidDel="00863210">
        <w:rPr>
          <w:rFonts w:ascii="Aptos" w:eastAsia="Aptos" w:hAnsi="Aptos" w:cs="Arial"/>
          <w:kern w:val="2"/>
          <w:szCs w:val="24"/>
          <w14:ligatures w14:val="standardContextual"/>
        </w:rPr>
        <w:t xml:space="preserve"> </w:t>
      </w:r>
      <w:r w:rsidRPr="00E82C87">
        <w:rPr>
          <w:rFonts w:ascii="Aptos" w:eastAsia="Aptos" w:hAnsi="Aptos" w:cs="Arial"/>
          <w:kern w:val="2"/>
          <w:szCs w:val="24"/>
          <w14:ligatures w14:val="standardContextual"/>
        </w:rPr>
        <w:t xml:space="preserve"> The FDA further acknowledges that it may need to take additional action to alleviate these shortages.</w:t>
      </w:r>
    </w:p>
    <w:p w14:paraId="5FD74C2E" w14:textId="77777777" w:rsidR="00E82C87" w:rsidRPr="00E82C87" w:rsidRDefault="00E82C87" w:rsidP="00E82C87">
      <w:pPr>
        <w:spacing w:after="160" w:line="278" w:lineRule="auto"/>
        <w:rPr>
          <w:rFonts w:ascii="Aptos" w:eastAsia="Aptos" w:hAnsi="Aptos" w:cs="Arial"/>
          <w:kern w:val="2"/>
          <w:szCs w:val="24"/>
          <w14:ligatures w14:val="standardContextual"/>
        </w:rPr>
      </w:pPr>
      <w:r w:rsidRPr="00E82C87">
        <w:rPr>
          <w:rFonts w:ascii="Aptos" w:eastAsia="Aptos" w:hAnsi="Aptos" w:cs="Arial"/>
          <w:kern w:val="2"/>
          <w:szCs w:val="24"/>
          <w14:ligatures w14:val="standardContextual"/>
        </w:rPr>
        <w:t xml:space="preserve">For the duration of the FDA’s acknowledgement of IV fluid scarcity due to hurricane related supply chain disruptions, the Drug Control Program will consider that any sale, transfer or trade of commercially available preparations of the IV fluids included on the FDA’s shortage list, made by one Registrant to another Registrant, is being made for emergency medical reasons as that term is used in FDA regulation 21 CFR 203.3(m) and 203.3(cc)(5).  The Drug Control Program will consider that all such sales, transfers or trades are not distribution and therefore do not require a Distributor MCSR.   The Drug Control Program will rescind this Advisory when the hurricane related supply chain disruptions are sufficiently resolved.  </w:t>
      </w:r>
    </w:p>
    <w:p w14:paraId="61926497" w14:textId="77777777" w:rsidR="00E82C87" w:rsidRPr="00E82C87" w:rsidRDefault="00E82C87" w:rsidP="00E82C87">
      <w:pPr>
        <w:spacing w:after="160" w:line="278" w:lineRule="auto"/>
        <w:rPr>
          <w:rFonts w:ascii="Aptos" w:eastAsia="Aptos" w:hAnsi="Aptos" w:cs="Arial"/>
          <w:kern w:val="2"/>
          <w:szCs w:val="24"/>
          <w14:ligatures w14:val="standardContextual"/>
        </w:rPr>
      </w:pPr>
      <w:r w:rsidRPr="00E82C87">
        <w:rPr>
          <w:rFonts w:ascii="Aptos" w:eastAsia="Aptos" w:hAnsi="Aptos" w:cs="Arial"/>
          <w:kern w:val="2"/>
          <w:szCs w:val="24"/>
          <w14:ligatures w14:val="standardContextual"/>
        </w:rPr>
        <w:t xml:space="preserve">Questions should be addressed to the Drug Control Program at: dcp.dph@mass.gov </w:t>
      </w:r>
    </w:p>
    <w:p w14:paraId="3DA64BB5"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6D0B1" w14:textId="77777777" w:rsidR="00E82C87" w:rsidRDefault="00E82C87" w:rsidP="00E82C87">
      <w:r>
        <w:separator/>
      </w:r>
    </w:p>
  </w:endnote>
  <w:endnote w:type="continuationSeparator" w:id="0">
    <w:p w14:paraId="584B0EF0" w14:textId="77777777" w:rsidR="00E82C87" w:rsidRDefault="00E82C87" w:rsidP="00E8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FAD24" w14:textId="77777777" w:rsidR="00E82C87" w:rsidRDefault="00E82C87" w:rsidP="00E82C87">
      <w:r>
        <w:separator/>
      </w:r>
    </w:p>
  </w:footnote>
  <w:footnote w:type="continuationSeparator" w:id="0">
    <w:p w14:paraId="07893D76" w14:textId="77777777" w:rsidR="00E82C87" w:rsidRDefault="00E82C87" w:rsidP="00E82C87">
      <w:r>
        <w:continuationSeparator/>
      </w:r>
    </w:p>
  </w:footnote>
  <w:footnote w:id="1">
    <w:p w14:paraId="4829D391" w14:textId="77777777" w:rsidR="00E82C87" w:rsidRDefault="00E82C87" w:rsidP="00E82C87">
      <w:pPr>
        <w:pStyle w:val="FootnoteText1"/>
      </w:pPr>
      <w:r w:rsidRPr="00505FF0">
        <w:rPr>
          <w:rStyle w:val="FootnoteReference"/>
        </w:rPr>
        <w:footnoteRef/>
      </w:r>
      <w:r w:rsidRPr="00505FF0">
        <w:t xml:space="preserve"> </w:t>
      </w:r>
      <w:hyperlink r:id="rId1" w:history="1">
        <w:r w:rsidRPr="00505FF0">
          <w:rPr>
            <w:rStyle w:val="Hyperlink"/>
          </w:rPr>
          <w:t>Hurricane Helene: Baxter's manufacturing recovery in North Carolina | FDA</w:t>
        </w:r>
      </w:hyperlink>
      <w:r>
        <w:t xml:space="preserve">; </w:t>
      </w:r>
      <w:hyperlink r:id="rId2" w:anchor="tab1" w:history="1">
        <w:r w:rsidRPr="0023773B">
          <w:rPr>
            <w:rStyle w:val="Hyperlink"/>
          </w:rPr>
          <w:t>Drug Shortages | FDA</w:t>
        </w:r>
      </w:hyperlink>
      <w:r>
        <w:t xml:space="preserve">; and </w:t>
      </w:r>
    </w:p>
    <w:p w14:paraId="07A62BEF" w14:textId="77777777" w:rsidR="00E82C87" w:rsidRDefault="00E82C87" w:rsidP="00E82C87">
      <w:pPr>
        <w:pStyle w:val="FootnoteText1"/>
      </w:pPr>
      <w:r>
        <w:t xml:space="preserve">  </w:t>
      </w:r>
      <w:hyperlink r:id="rId3" w:history="1">
        <w:r w:rsidRPr="00505FF0">
          <w:rPr>
            <w:rStyle w:val="Hyperlink"/>
          </w:rPr>
          <w:t>Temporary Policies for Compounding Certain Parenteral Drug Products | FDA</w:t>
        </w:r>
      </w:hyperlink>
    </w:p>
    <w:p w14:paraId="0CF02387" w14:textId="77777777" w:rsidR="00E82C87" w:rsidRDefault="00E82C87" w:rsidP="00E82C87">
      <w:pPr>
        <w:pStyle w:val="FootnoteText1"/>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C71"/>
    <w:rsid w:val="00033154"/>
    <w:rsid w:val="00042048"/>
    <w:rsid w:val="000537DA"/>
    <w:rsid w:val="000A1DE1"/>
    <w:rsid w:val="000B7D96"/>
    <w:rsid w:val="000F315B"/>
    <w:rsid w:val="001125C0"/>
    <w:rsid w:val="0015268B"/>
    <w:rsid w:val="00177C77"/>
    <w:rsid w:val="001B6693"/>
    <w:rsid w:val="0021698C"/>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12956"/>
    <w:rsid w:val="00530145"/>
    <w:rsid w:val="005448AA"/>
    <w:rsid w:val="006D06D9"/>
    <w:rsid w:val="006D77A6"/>
    <w:rsid w:val="00702109"/>
    <w:rsid w:val="0072610D"/>
    <w:rsid w:val="00757006"/>
    <w:rsid w:val="007B3F4B"/>
    <w:rsid w:val="007B7347"/>
    <w:rsid w:val="007D10F3"/>
    <w:rsid w:val="007F3CDB"/>
    <w:rsid w:val="009730E5"/>
    <w:rsid w:val="009908FF"/>
    <w:rsid w:val="00995505"/>
    <w:rsid w:val="009C4428"/>
    <w:rsid w:val="009D48CD"/>
    <w:rsid w:val="00A65101"/>
    <w:rsid w:val="00B403BF"/>
    <w:rsid w:val="00B608D9"/>
    <w:rsid w:val="00BA4055"/>
    <w:rsid w:val="00BA7FB6"/>
    <w:rsid w:val="00BD78F4"/>
    <w:rsid w:val="00C20BFE"/>
    <w:rsid w:val="00C46D29"/>
    <w:rsid w:val="00CC1778"/>
    <w:rsid w:val="00CE575B"/>
    <w:rsid w:val="00CF3DE8"/>
    <w:rsid w:val="00D0493F"/>
    <w:rsid w:val="00D56F91"/>
    <w:rsid w:val="00D8671C"/>
    <w:rsid w:val="00D91390"/>
    <w:rsid w:val="00DA57C3"/>
    <w:rsid w:val="00DC3855"/>
    <w:rsid w:val="00E242A8"/>
    <w:rsid w:val="00E274B8"/>
    <w:rsid w:val="00E72707"/>
    <w:rsid w:val="00E82C87"/>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FootnoteText1">
    <w:name w:val="Footnote Text1"/>
    <w:basedOn w:val="Normal"/>
    <w:next w:val="FootnoteText"/>
    <w:link w:val="FootnoteTextChar"/>
    <w:uiPriority w:val="99"/>
    <w:unhideWhenUsed/>
    <w:rsid w:val="00E82C87"/>
    <w:rPr>
      <w:sz w:val="20"/>
    </w:rPr>
  </w:style>
  <w:style w:type="character" w:customStyle="1" w:styleId="FootnoteTextChar">
    <w:name w:val="Footnote Text Char"/>
    <w:basedOn w:val="DefaultParagraphFont"/>
    <w:link w:val="FootnoteText1"/>
    <w:uiPriority w:val="99"/>
    <w:rsid w:val="00E82C87"/>
    <w:rPr>
      <w:sz w:val="20"/>
      <w:szCs w:val="20"/>
    </w:rPr>
  </w:style>
  <w:style w:type="character" w:styleId="FootnoteReference">
    <w:name w:val="footnote reference"/>
    <w:basedOn w:val="DefaultParagraphFont"/>
    <w:uiPriority w:val="99"/>
    <w:unhideWhenUsed/>
    <w:rsid w:val="00E82C87"/>
    <w:rPr>
      <w:vertAlign w:val="superscript"/>
    </w:rPr>
  </w:style>
  <w:style w:type="paragraph" w:styleId="FootnoteText">
    <w:name w:val="footnote text"/>
    <w:basedOn w:val="Normal"/>
    <w:link w:val="FootnoteTextChar1"/>
    <w:rsid w:val="00E82C87"/>
    <w:rPr>
      <w:sz w:val="20"/>
    </w:rPr>
  </w:style>
  <w:style w:type="character" w:customStyle="1" w:styleId="FootnoteTextChar1">
    <w:name w:val="Footnote Text Char1"/>
    <w:basedOn w:val="DefaultParagraphFont"/>
    <w:link w:val="FootnoteText"/>
    <w:rsid w:val="00E82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da.gov/regulatory-information/search-fda-guidance-documents/temporary-policies-compounding-certain-parenteral-drug-products" TargetMode="External"/><Relationship Id="rId2" Type="http://schemas.openxmlformats.org/officeDocument/2006/relationships/hyperlink" Target="https://dps.fda.gov/drugshortages" TargetMode="External"/><Relationship Id="rId1" Type="http://schemas.openxmlformats.org/officeDocument/2006/relationships/hyperlink" Target="https://www.fda.gov/drugs/updates-2024-hurricane-season/hurricane-helene-baxters-manufacturing-recovery-north-carol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1</Pages>
  <Words>265</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Johnson, David E (DPH)</cp:lastModifiedBy>
  <cp:revision>3</cp:revision>
  <cp:lastPrinted>2015-01-29T14:50:00Z</cp:lastPrinted>
  <dcterms:created xsi:type="dcterms:W3CDTF">2024-11-06T16:27:00Z</dcterms:created>
  <dcterms:modified xsi:type="dcterms:W3CDTF">2024-11-06T16:27:00Z</dcterms:modified>
</cp:coreProperties>
</file>