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11528" w14:textId="596D9985" w:rsidR="000E0588" w:rsidRPr="000E0588" w:rsidRDefault="000E0588" w:rsidP="000E0588">
      <w:pPr>
        <w:pStyle w:val="Heading2"/>
        <w:rPr>
          <w:color w:val="auto"/>
        </w:rPr>
      </w:pPr>
      <w:bookmarkStart w:id="0" w:name="_GoBack"/>
      <w:bookmarkEnd w:id="0"/>
      <w:r w:rsidRPr="000E0588">
        <w:rPr>
          <w:color w:val="auto"/>
        </w:rPr>
        <w:t>DoN Project-19120215-CL</w:t>
      </w:r>
    </w:p>
    <w:p w14:paraId="5CA75630" w14:textId="5F88EC21" w:rsidR="000E0588" w:rsidRPr="000E0588" w:rsidRDefault="000E0588" w:rsidP="000E0588">
      <w:pPr>
        <w:pStyle w:val="Heading2"/>
        <w:rPr>
          <w:color w:val="auto"/>
        </w:rPr>
      </w:pPr>
      <w:r w:rsidRPr="000E0588">
        <w:rPr>
          <w:color w:val="auto"/>
        </w:rPr>
        <w:t>Advocate Healthcare of East Boston</w:t>
      </w:r>
    </w:p>
    <w:p w14:paraId="22D7AA5F" w14:textId="1F424627" w:rsidR="000E0588" w:rsidRPr="000E0588" w:rsidRDefault="000E0588" w:rsidP="000E0588">
      <w:pPr>
        <w:pStyle w:val="Heading2"/>
        <w:rPr>
          <w:color w:val="auto"/>
        </w:rPr>
      </w:pPr>
      <w:r w:rsidRPr="000E0588">
        <w:rPr>
          <w:color w:val="auto"/>
        </w:rPr>
        <w:t>Significant Amendment</w:t>
      </w:r>
    </w:p>
    <w:p w14:paraId="4C8A155E" w14:textId="77777777" w:rsidR="000E0588" w:rsidRDefault="000E0588" w:rsidP="004C5F7A">
      <w:pPr>
        <w:autoSpaceDE w:val="0"/>
        <w:autoSpaceDN w:val="0"/>
        <w:adjustRightInd w:val="0"/>
        <w:spacing w:after="0" w:line="240" w:lineRule="auto"/>
        <w:rPr>
          <w:rFonts w:ascii="MyriadPro-Regular" w:hAnsi="MyriadPro-Regular" w:cs="MyriadPro-Regular"/>
          <w:sz w:val="24"/>
          <w:szCs w:val="24"/>
        </w:rPr>
      </w:pPr>
    </w:p>
    <w:p w14:paraId="3BD0D6CB" w14:textId="1193D9A4" w:rsidR="0047071D" w:rsidRDefault="004C5F7A" w:rsidP="004C5F7A">
      <w:pPr>
        <w:autoSpaceDE w:val="0"/>
        <w:autoSpaceDN w:val="0"/>
        <w:adjustRightInd w:val="0"/>
        <w:spacing w:after="0" w:line="240" w:lineRule="auto"/>
        <w:rPr>
          <w:rFonts w:ascii="MyriadPro-Regular" w:hAnsi="MyriadPro-Regular" w:cs="MyriadPro-Regular"/>
          <w:sz w:val="24"/>
          <w:szCs w:val="24"/>
          <w:u w:val="single"/>
        </w:rPr>
      </w:pPr>
      <w:r>
        <w:rPr>
          <w:rFonts w:ascii="MyriadPro-Regular" w:hAnsi="MyriadPro-Regular" w:cs="MyriadPro-Regular"/>
          <w:sz w:val="24"/>
          <w:szCs w:val="24"/>
        </w:rPr>
        <w:t xml:space="preserve">10.5.d </w:t>
      </w:r>
      <w:r w:rsidRPr="004C5F7A">
        <w:rPr>
          <w:rFonts w:ascii="MyriadPro-Regular" w:hAnsi="MyriadPro-Regular" w:cs="MyriadPro-Regular"/>
          <w:sz w:val="24"/>
          <w:szCs w:val="24"/>
          <w:u w:val="single"/>
        </w:rPr>
        <w:t>Provide a detailed narrative, comparing the approved project to the proposed Significant Change, and the rationale for such change</w:t>
      </w:r>
      <w:r>
        <w:rPr>
          <w:rFonts w:ascii="MyriadPro-Regular" w:hAnsi="MyriadPro-Regular" w:cs="MyriadPro-Regular"/>
          <w:sz w:val="24"/>
          <w:szCs w:val="24"/>
          <w:u w:val="single"/>
        </w:rPr>
        <w:t>.</w:t>
      </w:r>
    </w:p>
    <w:p w14:paraId="37C9D1A8" w14:textId="77777777" w:rsidR="004C5F7A" w:rsidRPr="004C5F7A" w:rsidRDefault="004C5F7A" w:rsidP="004C5F7A">
      <w:pPr>
        <w:autoSpaceDE w:val="0"/>
        <w:autoSpaceDN w:val="0"/>
        <w:adjustRightInd w:val="0"/>
        <w:spacing w:after="0" w:line="240" w:lineRule="auto"/>
        <w:rPr>
          <w:rFonts w:ascii="MyriadPro-Regular" w:hAnsi="MyriadPro-Regular" w:cs="MyriadPro-Regular"/>
          <w:sz w:val="24"/>
          <w:szCs w:val="24"/>
        </w:rPr>
      </w:pPr>
    </w:p>
    <w:p w14:paraId="6780DC68" w14:textId="5856CFAD" w:rsidR="00FE1A5F" w:rsidRPr="00F75F82" w:rsidRDefault="00FE1A5F">
      <w:pPr>
        <w:rPr>
          <w:sz w:val="24"/>
          <w:szCs w:val="24"/>
        </w:rPr>
      </w:pPr>
      <w:r w:rsidRPr="00F75F82">
        <w:rPr>
          <w:sz w:val="24"/>
          <w:szCs w:val="24"/>
        </w:rPr>
        <w:t xml:space="preserve">The Applicant diligently pursued the implementation of its DoN approval.  It received </w:t>
      </w:r>
      <w:r w:rsidR="009F1C6C">
        <w:rPr>
          <w:sz w:val="24"/>
          <w:szCs w:val="24"/>
        </w:rPr>
        <w:t>P</w:t>
      </w:r>
      <w:r w:rsidRPr="00F75F82">
        <w:rPr>
          <w:sz w:val="24"/>
          <w:szCs w:val="24"/>
        </w:rPr>
        <w:t>art I DPH Plan approval on</w:t>
      </w:r>
      <w:r w:rsidR="009F1C6C">
        <w:rPr>
          <w:sz w:val="24"/>
          <w:szCs w:val="24"/>
        </w:rPr>
        <w:t xml:space="preserve"> June 3,</w:t>
      </w:r>
      <w:r w:rsidR="00D71EB3" w:rsidRPr="009F1C6C">
        <w:rPr>
          <w:sz w:val="24"/>
          <w:szCs w:val="24"/>
        </w:rPr>
        <w:t xml:space="preserve"> 2020</w:t>
      </w:r>
      <w:r w:rsidRPr="009F1C6C">
        <w:rPr>
          <w:sz w:val="24"/>
          <w:szCs w:val="24"/>
        </w:rPr>
        <w:t xml:space="preserve">.  </w:t>
      </w:r>
      <w:r w:rsidR="009F1C6C">
        <w:rPr>
          <w:sz w:val="24"/>
          <w:szCs w:val="24"/>
        </w:rPr>
        <w:t xml:space="preserve">It submitted it </w:t>
      </w:r>
      <w:r w:rsidR="00D71EB3" w:rsidRPr="009F1C6C">
        <w:rPr>
          <w:sz w:val="24"/>
          <w:szCs w:val="24"/>
        </w:rPr>
        <w:t>submitted</w:t>
      </w:r>
      <w:r w:rsidR="009F1C6C">
        <w:rPr>
          <w:sz w:val="24"/>
          <w:szCs w:val="24"/>
        </w:rPr>
        <w:t xml:space="preserve"> its Part II plan review filing on</w:t>
      </w:r>
      <w:r w:rsidR="00D71EB3" w:rsidRPr="009F1C6C">
        <w:rPr>
          <w:sz w:val="24"/>
          <w:szCs w:val="24"/>
        </w:rPr>
        <w:t xml:space="preserve"> Oct. 23, 2020</w:t>
      </w:r>
      <w:r w:rsidR="009F1C6C">
        <w:rPr>
          <w:sz w:val="24"/>
          <w:szCs w:val="24"/>
        </w:rPr>
        <w:t xml:space="preserve"> and received a</w:t>
      </w:r>
      <w:r w:rsidR="00D71EB3" w:rsidRPr="009F1C6C">
        <w:rPr>
          <w:sz w:val="24"/>
          <w:szCs w:val="24"/>
        </w:rPr>
        <w:t xml:space="preserve"> respon</w:t>
      </w:r>
      <w:r w:rsidR="009F1C6C">
        <w:rPr>
          <w:sz w:val="24"/>
          <w:szCs w:val="24"/>
        </w:rPr>
        <w:t>se to that filing on</w:t>
      </w:r>
      <w:r w:rsidR="00D71EB3" w:rsidRPr="009F1C6C">
        <w:rPr>
          <w:sz w:val="24"/>
          <w:szCs w:val="24"/>
        </w:rPr>
        <w:t xml:space="preserve"> Dec. 31, 2020</w:t>
      </w:r>
      <w:r w:rsidR="009F1C6C">
        <w:rPr>
          <w:sz w:val="24"/>
          <w:szCs w:val="24"/>
        </w:rPr>
        <w:t xml:space="preserve">.  It then revised its plans to address concerns raised in the DPH Plan Review Part II response and submitted them on </w:t>
      </w:r>
      <w:r w:rsidR="00D71EB3" w:rsidRPr="009F1C6C">
        <w:rPr>
          <w:sz w:val="24"/>
          <w:szCs w:val="24"/>
        </w:rPr>
        <w:t>March 8, 2021</w:t>
      </w:r>
      <w:r w:rsidRPr="009F1C6C">
        <w:rPr>
          <w:sz w:val="24"/>
          <w:szCs w:val="24"/>
        </w:rPr>
        <w:t>.</w:t>
      </w:r>
      <w:r w:rsidRPr="00F75F82">
        <w:rPr>
          <w:sz w:val="24"/>
          <w:szCs w:val="24"/>
        </w:rPr>
        <w:t xml:space="preserve">  The Applicant does not propose any changes to </w:t>
      </w:r>
      <w:r w:rsidR="00E27CB5" w:rsidRPr="00F75F82">
        <w:rPr>
          <w:sz w:val="24"/>
          <w:szCs w:val="24"/>
        </w:rPr>
        <w:t xml:space="preserve">the </w:t>
      </w:r>
      <w:r w:rsidR="000959C9">
        <w:rPr>
          <w:sz w:val="24"/>
          <w:szCs w:val="24"/>
        </w:rPr>
        <w:t xml:space="preserve">basic plans for the Project or the </w:t>
      </w:r>
      <w:r w:rsidR="00E27CB5" w:rsidRPr="00F75F82">
        <w:rPr>
          <w:sz w:val="24"/>
          <w:szCs w:val="24"/>
        </w:rPr>
        <w:t>GSF of renovation requested; however</w:t>
      </w:r>
      <w:r w:rsidR="004C5F7A">
        <w:rPr>
          <w:sz w:val="24"/>
          <w:szCs w:val="24"/>
        </w:rPr>
        <w:t>,</w:t>
      </w:r>
      <w:r w:rsidR="00E27CB5" w:rsidRPr="00F75F82">
        <w:rPr>
          <w:sz w:val="24"/>
          <w:szCs w:val="24"/>
        </w:rPr>
        <w:t xml:space="preserve"> there are a few additional repairs that are required that were not included in the approved renovations</w:t>
      </w:r>
      <w:r w:rsidRPr="00F75F82">
        <w:rPr>
          <w:sz w:val="24"/>
          <w:szCs w:val="24"/>
        </w:rPr>
        <w:t>.</w:t>
      </w:r>
      <w:r w:rsidR="000959C9">
        <w:rPr>
          <w:sz w:val="24"/>
          <w:szCs w:val="24"/>
        </w:rPr>
        <w:t xml:space="preserve">  The primary </w:t>
      </w:r>
      <w:r w:rsidR="00E64C97">
        <w:rPr>
          <w:sz w:val="24"/>
          <w:szCs w:val="24"/>
        </w:rPr>
        <w:t>basis for this Significant Amendment is the material increase in the cost of the Project.</w:t>
      </w:r>
    </w:p>
    <w:p w14:paraId="37276865" w14:textId="131ECAB6" w:rsidR="0047071D" w:rsidRPr="00F75F82" w:rsidRDefault="00FE1A5F">
      <w:pPr>
        <w:rPr>
          <w:sz w:val="24"/>
          <w:szCs w:val="24"/>
        </w:rPr>
      </w:pPr>
      <w:r w:rsidRPr="00F75F82">
        <w:rPr>
          <w:sz w:val="24"/>
          <w:szCs w:val="24"/>
        </w:rPr>
        <w:t xml:space="preserve">The Applicant requests this Significant Amendment based on the substantially higher construction and related costs for the Project.  The Project approved $10,087,722.00 (April 2020 Dollars) to restore the Applicant’s long term care facility at 111 Orient Avenue, East Boston, MA  02128.  Through this Amendment, the Applicant seeks approval for an increase in the approved capital expenditure for the Project to $17,496,500.00 (May 2021 Dollars). </w:t>
      </w:r>
      <w:r w:rsidR="0047071D" w:rsidRPr="00F75F82">
        <w:rPr>
          <w:sz w:val="24"/>
          <w:szCs w:val="24"/>
        </w:rPr>
        <w:t xml:space="preserve"> This is an incre</w:t>
      </w:r>
      <w:r w:rsidR="00D37669">
        <w:rPr>
          <w:sz w:val="24"/>
          <w:szCs w:val="24"/>
        </w:rPr>
        <w:t xml:space="preserve">ase of $7,408,778.00 or 73.4%. </w:t>
      </w:r>
    </w:p>
    <w:p w14:paraId="4FD2E79B" w14:textId="23A511CC" w:rsidR="00E226A8" w:rsidRPr="00E226A8" w:rsidRDefault="005E45F7">
      <w:pPr>
        <w:rPr>
          <w:sz w:val="24"/>
          <w:szCs w:val="24"/>
          <w:u w:val="single"/>
        </w:rPr>
      </w:pPr>
      <w:r>
        <w:rPr>
          <w:sz w:val="24"/>
          <w:szCs w:val="24"/>
          <w:u w:val="single"/>
        </w:rPr>
        <w:t xml:space="preserve">Explanation </w:t>
      </w:r>
      <w:r w:rsidR="00E226A8" w:rsidRPr="00E226A8">
        <w:rPr>
          <w:sz w:val="24"/>
          <w:szCs w:val="24"/>
          <w:u w:val="single"/>
        </w:rPr>
        <w:t>for Capital Cost Increases</w:t>
      </w:r>
    </w:p>
    <w:p w14:paraId="3009822D" w14:textId="3F9A904F" w:rsidR="00543077" w:rsidRDefault="00FE1A5F">
      <w:pPr>
        <w:rPr>
          <w:sz w:val="24"/>
          <w:szCs w:val="24"/>
        </w:rPr>
      </w:pPr>
      <w:r w:rsidRPr="00F75F82">
        <w:rPr>
          <w:sz w:val="24"/>
          <w:szCs w:val="24"/>
        </w:rPr>
        <w:t xml:space="preserve">This increase in costs </w:t>
      </w:r>
      <w:r w:rsidR="004C5F7A">
        <w:rPr>
          <w:sz w:val="24"/>
          <w:szCs w:val="24"/>
        </w:rPr>
        <w:t>can be organized into a variety of general</w:t>
      </w:r>
      <w:r w:rsidR="0047071D" w:rsidRPr="00F75F82">
        <w:rPr>
          <w:sz w:val="24"/>
          <w:szCs w:val="24"/>
        </w:rPr>
        <w:t xml:space="preserve"> factors. First the Applicant obtained more accurate estimates of cost </w:t>
      </w:r>
      <w:r w:rsidRPr="00F75F82">
        <w:rPr>
          <w:sz w:val="24"/>
          <w:szCs w:val="24"/>
        </w:rPr>
        <w:t xml:space="preserve">as a result of the </w:t>
      </w:r>
      <w:r w:rsidR="0047071D" w:rsidRPr="00F75F82">
        <w:rPr>
          <w:sz w:val="24"/>
          <w:szCs w:val="24"/>
        </w:rPr>
        <w:t xml:space="preserve">greater investigation required for the </w:t>
      </w:r>
      <w:r w:rsidRPr="00F75F82">
        <w:rPr>
          <w:sz w:val="24"/>
          <w:szCs w:val="24"/>
        </w:rPr>
        <w:t>architect’s and engineers</w:t>
      </w:r>
      <w:r w:rsidR="0047071D" w:rsidRPr="00F75F82">
        <w:rPr>
          <w:sz w:val="24"/>
          <w:szCs w:val="24"/>
        </w:rPr>
        <w:t>’</w:t>
      </w:r>
      <w:r w:rsidRPr="00F75F82">
        <w:rPr>
          <w:sz w:val="24"/>
          <w:szCs w:val="24"/>
        </w:rPr>
        <w:t xml:space="preserve"> development of the more detailed architectural, engineering and other plans for its Part II Plan review filings.  </w:t>
      </w:r>
      <w:r w:rsidR="00543077">
        <w:rPr>
          <w:sz w:val="24"/>
          <w:szCs w:val="24"/>
        </w:rPr>
        <w:t xml:space="preserve">This more in-depth review resulted in the need for additional phases of construction and also identified additional work that could not be foreseen without the investigations done for the development of construction plans.  </w:t>
      </w:r>
    </w:p>
    <w:p w14:paraId="4EE8C2D0" w14:textId="77777777" w:rsidR="000E0588" w:rsidRDefault="0047071D">
      <w:pPr>
        <w:rPr>
          <w:sz w:val="24"/>
          <w:szCs w:val="24"/>
        </w:rPr>
      </w:pPr>
      <w:r w:rsidRPr="00F75F82">
        <w:rPr>
          <w:sz w:val="24"/>
          <w:szCs w:val="24"/>
        </w:rPr>
        <w:t>The increase in costs also w</w:t>
      </w:r>
      <w:r w:rsidR="00FE06D2">
        <w:rPr>
          <w:sz w:val="24"/>
          <w:szCs w:val="24"/>
        </w:rPr>
        <w:t>ere</w:t>
      </w:r>
      <w:r w:rsidRPr="00F75F82">
        <w:rPr>
          <w:sz w:val="24"/>
          <w:szCs w:val="24"/>
        </w:rPr>
        <w:t xml:space="preserve"> impacted by the significant increase in construction related</w:t>
      </w:r>
      <w:r w:rsidR="004C5F7A">
        <w:rPr>
          <w:sz w:val="24"/>
          <w:szCs w:val="24"/>
        </w:rPr>
        <w:t xml:space="preserve"> labor and material</w:t>
      </w:r>
      <w:r w:rsidRPr="00F75F82">
        <w:rPr>
          <w:sz w:val="24"/>
          <w:szCs w:val="24"/>
        </w:rPr>
        <w:t xml:space="preserve"> costs</w:t>
      </w:r>
      <w:r w:rsidR="00543077">
        <w:rPr>
          <w:sz w:val="24"/>
          <w:szCs w:val="24"/>
        </w:rPr>
        <w:t>.  In many areas there are significant differences f</w:t>
      </w:r>
      <w:r w:rsidRPr="00F75F82">
        <w:rPr>
          <w:sz w:val="24"/>
          <w:szCs w:val="24"/>
        </w:rPr>
        <w:t xml:space="preserve">rom when the estimates were done in 2019 to the costs today that are the basis of the bids being received by the Applicant. </w:t>
      </w:r>
      <w:r w:rsidR="00FE06D2">
        <w:rPr>
          <w:sz w:val="24"/>
          <w:szCs w:val="24"/>
        </w:rPr>
        <w:t xml:space="preserve"> There are many factors affecting construction costs.</w:t>
      </w:r>
      <w:r w:rsidR="00FE06D2" w:rsidRPr="00FE06D2">
        <w:rPr>
          <w:rStyle w:val="FootnoteReference"/>
          <w:sz w:val="24"/>
          <w:szCs w:val="24"/>
        </w:rPr>
        <w:footnoteReference w:id="1"/>
      </w:r>
      <w:r w:rsidR="00FE06D2" w:rsidRPr="00FE06D2">
        <w:rPr>
          <w:rStyle w:val="FootnoteReference"/>
        </w:rPr>
        <w:t xml:space="preserve">  </w:t>
      </w:r>
      <w:r w:rsidR="00FE06D2">
        <w:rPr>
          <w:sz w:val="24"/>
          <w:szCs w:val="24"/>
        </w:rPr>
        <w:t>For example, “</w:t>
      </w:r>
      <w:r w:rsidR="00FE06D2" w:rsidRPr="00FE06D2">
        <w:rPr>
          <w:sz w:val="24"/>
          <w:szCs w:val="24"/>
        </w:rPr>
        <w:t xml:space="preserve">Steel prices jumped significantly towards the end of 2020 and the beginning of 2021, in some cases as much </w:t>
      </w:r>
    </w:p>
    <w:p w14:paraId="63C45857" w14:textId="77777777" w:rsidR="000E0588" w:rsidRPr="000E0588" w:rsidRDefault="000E0588" w:rsidP="000E0588">
      <w:pPr>
        <w:pStyle w:val="Heading2"/>
        <w:rPr>
          <w:color w:val="auto"/>
        </w:rPr>
      </w:pPr>
      <w:r w:rsidRPr="000E0588">
        <w:rPr>
          <w:color w:val="auto"/>
        </w:rPr>
        <w:lastRenderedPageBreak/>
        <w:t>DoN Project-19120215-CL</w:t>
      </w:r>
    </w:p>
    <w:p w14:paraId="7E7DE6AE" w14:textId="77777777" w:rsidR="000E0588" w:rsidRPr="000E0588" w:rsidRDefault="000E0588" w:rsidP="000E0588">
      <w:pPr>
        <w:pStyle w:val="Heading2"/>
        <w:rPr>
          <w:color w:val="auto"/>
        </w:rPr>
      </w:pPr>
      <w:r w:rsidRPr="000E0588">
        <w:rPr>
          <w:color w:val="auto"/>
        </w:rPr>
        <w:t>Advocate Healthcare of East Boston</w:t>
      </w:r>
    </w:p>
    <w:p w14:paraId="3F07A2B0" w14:textId="77777777" w:rsidR="000E0588" w:rsidRPr="000E0588" w:rsidRDefault="000E0588" w:rsidP="000E0588">
      <w:pPr>
        <w:pStyle w:val="Heading2"/>
        <w:rPr>
          <w:color w:val="auto"/>
        </w:rPr>
      </w:pPr>
      <w:r w:rsidRPr="000E0588">
        <w:rPr>
          <w:color w:val="auto"/>
        </w:rPr>
        <w:t>Significant Amendment</w:t>
      </w:r>
    </w:p>
    <w:p w14:paraId="390A47FD" w14:textId="77777777" w:rsidR="000E0588" w:rsidRDefault="000E0588">
      <w:pPr>
        <w:rPr>
          <w:sz w:val="24"/>
          <w:szCs w:val="24"/>
        </w:rPr>
      </w:pPr>
    </w:p>
    <w:p w14:paraId="54C82558" w14:textId="649EBECA" w:rsidR="004C5F7A" w:rsidRDefault="00FE06D2">
      <w:pPr>
        <w:rPr>
          <w:sz w:val="24"/>
          <w:szCs w:val="24"/>
        </w:rPr>
      </w:pPr>
      <w:r w:rsidRPr="00FE06D2">
        <w:rPr>
          <w:sz w:val="24"/>
          <w:szCs w:val="24"/>
        </w:rPr>
        <w:t>as 25% to 50% in raw material value.</w:t>
      </w:r>
      <w:r>
        <w:rPr>
          <w:sz w:val="24"/>
          <w:szCs w:val="24"/>
        </w:rPr>
        <w:t>”</w:t>
      </w:r>
      <w:r>
        <w:rPr>
          <w:rStyle w:val="FootnoteReference"/>
          <w:sz w:val="24"/>
          <w:szCs w:val="24"/>
        </w:rPr>
        <w:footnoteReference w:id="2"/>
      </w:r>
      <w:r w:rsidRPr="00FE06D2">
        <w:rPr>
          <w:sz w:val="24"/>
          <w:szCs w:val="24"/>
        </w:rPr>
        <w:t> </w:t>
      </w:r>
      <w:r>
        <w:rPr>
          <w:sz w:val="24"/>
          <w:szCs w:val="24"/>
        </w:rPr>
        <w:t xml:space="preserve"> </w:t>
      </w:r>
      <w:r w:rsidR="00FF31EA">
        <w:rPr>
          <w:sz w:val="24"/>
          <w:szCs w:val="24"/>
        </w:rPr>
        <w:t>Lumber has increased 112%.</w:t>
      </w:r>
      <w:r w:rsidR="00FF31EA">
        <w:rPr>
          <w:rStyle w:val="FootnoteReference"/>
          <w:sz w:val="24"/>
          <w:szCs w:val="24"/>
        </w:rPr>
        <w:footnoteReference w:id="3"/>
      </w:r>
      <w:r w:rsidR="00FF31EA">
        <w:rPr>
          <w:sz w:val="24"/>
          <w:szCs w:val="24"/>
        </w:rPr>
        <w:t xml:space="preserve"> </w:t>
      </w:r>
      <w:r>
        <w:rPr>
          <w:sz w:val="24"/>
          <w:szCs w:val="24"/>
        </w:rPr>
        <w:t>Other</w:t>
      </w:r>
      <w:r w:rsidR="00EC15FF">
        <w:rPr>
          <w:sz w:val="24"/>
          <w:szCs w:val="24"/>
        </w:rPr>
        <w:t xml:space="preserve"> factors include suppliers incorrect estimate that demand would decline with Covid-19 limiting production</w:t>
      </w:r>
      <w:r w:rsidR="005A3577">
        <w:rPr>
          <w:sz w:val="24"/>
          <w:szCs w:val="24"/>
        </w:rPr>
        <w:t>;</w:t>
      </w:r>
      <w:r w:rsidR="00EC15FF">
        <w:rPr>
          <w:sz w:val="24"/>
          <w:szCs w:val="24"/>
        </w:rPr>
        <w:t xml:space="preserve"> material </w:t>
      </w:r>
      <w:r w:rsidR="005A3577">
        <w:rPr>
          <w:sz w:val="24"/>
          <w:szCs w:val="24"/>
        </w:rPr>
        <w:t xml:space="preserve">increase </w:t>
      </w:r>
      <w:r w:rsidR="00EC15FF">
        <w:rPr>
          <w:sz w:val="24"/>
          <w:szCs w:val="24"/>
        </w:rPr>
        <w:t>demand for home improvement, renovations and construction due to more time spent at home increasing the demand</w:t>
      </w:r>
      <w:r w:rsidR="005A3577">
        <w:rPr>
          <w:sz w:val="24"/>
          <w:szCs w:val="24"/>
        </w:rPr>
        <w:t>;</w:t>
      </w:r>
      <w:r w:rsidR="00EC15FF">
        <w:rPr>
          <w:sz w:val="24"/>
          <w:szCs w:val="24"/>
        </w:rPr>
        <w:t xml:space="preserve"> import tariffs and government policies</w:t>
      </w:r>
      <w:r w:rsidR="005A3577">
        <w:rPr>
          <w:sz w:val="24"/>
          <w:szCs w:val="24"/>
        </w:rPr>
        <w:t>;</w:t>
      </w:r>
      <w:r w:rsidR="00EC15FF">
        <w:rPr>
          <w:sz w:val="24"/>
          <w:szCs w:val="24"/>
        </w:rPr>
        <w:t xml:space="preserve"> </w:t>
      </w:r>
      <w:r w:rsidR="005A3577">
        <w:rPr>
          <w:sz w:val="24"/>
          <w:szCs w:val="24"/>
        </w:rPr>
        <w:t xml:space="preserve">supply and </w:t>
      </w:r>
      <w:r w:rsidR="00EC15FF">
        <w:rPr>
          <w:sz w:val="24"/>
          <w:szCs w:val="24"/>
        </w:rPr>
        <w:t>manufacturing material shortages such as copper and crude oil</w:t>
      </w:r>
      <w:r>
        <w:rPr>
          <w:rStyle w:val="FootnoteReference"/>
          <w:sz w:val="24"/>
          <w:szCs w:val="24"/>
        </w:rPr>
        <w:footnoteReference w:id="4"/>
      </w:r>
      <w:r w:rsidR="005A3577">
        <w:rPr>
          <w:sz w:val="24"/>
          <w:szCs w:val="24"/>
        </w:rPr>
        <w:t>;</w:t>
      </w:r>
      <w:r w:rsidR="00EC15FF">
        <w:rPr>
          <w:sz w:val="24"/>
          <w:szCs w:val="24"/>
        </w:rPr>
        <w:t xml:space="preserve"> and significant increases in labor costs</w:t>
      </w:r>
      <w:bookmarkStart w:id="1" w:name="_Hlk71544385"/>
      <w:r w:rsidR="00EC15FF">
        <w:rPr>
          <w:sz w:val="24"/>
          <w:szCs w:val="24"/>
        </w:rPr>
        <w:t>.</w:t>
      </w:r>
    </w:p>
    <w:p w14:paraId="0C58D77D" w14:textId="5802F0BE" w:rsidR="004C5F7A" w:rsidRDefault="004C5F7A">
      <w:pPr>
        <w:rPr>
          <w:sz w:val="24"/>
          <w:szCs w:val="24"/>
        </w:rPr>
      </w:pPr>
      <w:bookmarkStart w:id="2" w:name="_Hlk71792495"/>
      <w:bookmarkEnd w:id="1"/>
      <w:r>
        <w:rPr>
          <w:sz w:val="24"/>
          <w:szCs w:val="24"/>
        </w:rPr>
        <w:t>T</w:t>
      </w:r>
      <w:r w:rsidR="0047071D" w:rsidRPr="00F75F82">
        <w:rPr>
          <w:sz w:val="24"/>
          <w:szCs w:val="24"/>
        </w:rPr>
        <w:t>he Applicant’s change in the method of financing</w:t>
      </w:r>
      <w:r>
        <w:rPr>
          <w:sz w:val="24"/>
          <w:szCs w:val="24"/>
        </w:rPr>
        <w:t xml:space="preserve"> </w:t>
      </w:r>
      <w:r w:rsidR="00543077">
        <w:rPr>
          <w:sz w:val="24"/>
          <w:szCs w:val="24"/>
        </w:rPr>
        <w:t>was another factor that had a material impact on</w:t>
      </w:r>
      <w:r>
        <w:rPr>
          <w:sz w:val="24"/>
          <w:szCs w:val="24"/>
        </w:rPr>
        <w:t xml:space="preserve"> the cost of the Project</w:t>
      </w:r>
      <w:r w:rsidR="0047071D" w:rsidRPr="00F75F82">
        <w:rPr>
          <w:sz w:val="24"/>
          <w:szCs w:val="24"/>
        </w:rPr>
        <w:t>.</w:t>
      </w:r>
      <w:r>
        <w:rPr>
          <w:sz w:val="24"/>
          <w:szCs w:val="24"/>
        </w:rPr>
        <w:t xml:space="preserve">  </w:t>
      </w:r>
      <w:r w:rsidR="00620645" w:rsidRPr="00F75F82">
        <w:rPr>
          <w:sz w:val="24"/>
          <w:szCs w:val="24"/>
        </w:rPr>
        <w:t>At the time of the filing of the DoN</w:t>
      </w:r>
      <w:r w:rsidR="00D96C08">
        <w:rPr>
          <w:sz w:val="24"/>
          <w:szCs w:val="24"/>
        </w:rPr>
        <w:t xml:space="preserve"> and the development of the Project projections</w:t>
      </w:r>
      <w:r w:rsidR="00620645" w:rsidRPr="00F75F82">
        <w:rPr>
          <w:sz w:val="24"/>
          <w:szCs w:val="24"/>
        </w:rPr>
        <w:t xml:space="preserve">, the Applicant </w:t>
      </w:r>
      <w:r w:rsidR="00D96C08">
        <w:rPr>
          <w:sz w:val="24"/>
          <w:szCs w:val="24"/>
        </w:rPr>
        <w:t xml:space="preserve">was </w:t>
      </w:r>
      <w:r w:rsidR="00620645" w:rsidRPr="00F75F82">
        <w:rPr>
          <w:sz w:val="24"/>
          <w:szCs w:val="24"/>
        </w:rPr>
        <w:t>contemplat</w:t>
      </w:r>
      <w:r w:rsidR="00D96C08">
        <w:rPr>
          <w:sz w:val="24"/>
          <w:szCs w:val="24"/>
        </w:rPr>
        <w:t>ing using</w:t>
      </w:r>
      <w:r w:rsidR="00620645" w:rsidRPr="00F75F82">
        <w:rPr>
          <w:sz w:val="24"/>
          <w:szCs w:val="24"/>
        </w:rPr>
        <w:t xml:space="preserve"> traditional bank financing.</w:t>
      </w:r>
      <w:r w:rsidR="00D96C08">
        <w:rPr>
          <w:sz w:val="24"/>
          <w:szCs w:val="24"/>
        </w:rPr>
        <w:t xml:space="preserve">  After receipt of the DoN, it explored the option of HUD</w:t>
      </w:r>
      <w:r w:rsidR="00AF235A">
        <w:rPr>
          <w:sz w:val="24"/>
          <w:szCs w:val="24"/>
        </w:rPr>
        <w:t xml:space="preserve"> insured</w:t>
      </w:r>
      <w:r w:rsidR="00D96C08">
        <w:rPr>
          <w:sz w:val="24"/>
          <w:szCs w:val="24"/>
        </w:rPr>
        <w:t xml:space="preserve"> financing</w:t>
      </w:r>
      <w:r w:rsidR="00AF235A">
        <w:rPr>
          <w:sz w:val="24"/>
          <w:szCs w:val="24"/>
        </w:rPr>
        <w:t xml:space="preserve"> and it was well underway with the HUD application process, having completed many third-party reviews and reports, when it became apparent that the HUD prevailing wage requirement would have a significant impact on contractor bids.  </w:t>
      </w:r>
      <w:r w:rsidR="00D96C08">
        <w:rPr>
          <w:sz w:val="24"/>
          <w:szCs w:val="24"/>
        </w:rPr>
        <w:t>The</w:t>
      </w:r>
      <w:r w:rsidR="00543077">
        <w:rPr>
          <w:sz w:val="24"/>
          <w:szCs w:val="24"/>
        </w:rPr>
        <w:t xml:space="preserve"> Applicant </w:t>
      </w:r>
      <w:r w:rsidR="00D96C08">
        <w:rPr>
          <w:sz w:val="24"/>
          <w:szCs w:val="24"/>
        </w:rPr>
        <w:t xml:space="preserve">then </w:t>
      </w:r>
      <w:r w:rsidR="00543077">
        <w:rPr>
          <w:sz w:val="24"/>
          <w:szCs w:val="24"/>
        </w:rPr>
        <w:t>sought financing from local</w:t>
      </w:r>
      <w:r w:rsidR="00FF64CA">
        <w:rPr>
          <w:sz w:val="24"/>
          <w:szCs w:val="24"/>
        </w:rPr>
        <w:t xml:space="preserve"> banks and one national bank where it learned</w:t>
      </w:r>
      <w:r w:rsidR="00D96C08">
        <w:rPr>
          <w:sz w:val="24"/>
          <w:szCs w:val="24"/>
        </w:rPr>
        <w:t xml:space="preserve"> </w:t>
      </w:r>
      <w:r w:rsidR="00FF64CA">
        <w:rPr>
          <w:sz w:val="24"/>
          <w:szCs w:val="24"/>
        </w:rPr>
        <w:t>that most</w:t>
      </w:r>
      <w:r w:rsidR="00543077">
        <w:rPr>
          <w:sz w:val="24"/>
          <w:szCs w:val="24"/>
        </w:rPr>
        <w:t xml:space="preserve"> were just not interested in being involved in lending projects in the long</w:t>
      </w:r>
      <w:r w:rsidR="00B610D9">
        <w:rPr>
          <w:sz w:val="24"/>
          <w:szCs w:val="24"/>
        </w:rPr>
        <w:t>-</w:t>
      </w:r>
      <w:r w:rsidR="00543077">
        <w:rPr>
          <w:sz w:val="24"/>
          <w:szCs w:val="24"/>
        </w:rPr>
        <w:t xml:space="preserve">term care industry at this time and the few that would provide financing, would only do so with significant terms the Applicant found unacceptable.  </w:t>
      </w:r>
      <w:r w:rsidR="00E35D80">
        <w:rPr>
          <w:sz w:val="24"/>
          <w:szCs w:val="24"/>
        </w:rPr>
        <w:t xml:space="preserve">With the lack of other acceptable options, the Applicant continued with the HUD process.  </w:t>
      </w:r>
      <w:r w:rsidR="00B610D9">
        <w:rPr>
          <w:sz w:val="24"/>
          <w:szCs w:val="24"/>
        </w:rPr>
        <w:t>Based on th</w:t>
      </w:r>
      <w:r w:rsidR="00AF235A">
        <w:rPr>
          <w:sz w:val="24"/>
          <w:szCs w:val="24"/>
        </w:rPr>
        <w:t>e</w:t>
      </w:r>
      <w:r w:rsidR="00B610D9">
        <w:rPr>
          <w:sz w:val="24"/>
          <w:szCs w:val="24"/>
        </w:rPr>
        <w:t xml:space="preserve"> progress to date, it expects to close the financing in five to seven months and be able to commence construction in February</w:t>
      </w:r>
      <w:r w:rsidR="00264F54">
        <w:rPr>
          <w:sz w:val="24"/>
          <w:szCs w:val="24"/>
        </w:rPr>
        <w:t xml:space="preserve"> 2022.</w:t>
      </w:r>
      <w:r w:rsidR="001B77BC">
        <w:rPr>
          <w:sz w:val="24"/>
          <w:szCs w:val="24"/>
        </w:rPr>
        <w:t xml:space="preserve"> </w:t>
      </w:r>
    </w:p>
    <w:bookmarkEnd w:id="2"/>
    <w:p w14:paraId="51107F25" w14:textId="34025CB7" w:rsidR="004C5F7A" w:rsidRDefault="00620645" w:rsidP="00933E3F">
      <w:pPr>
        <w:spacing w:after="0" w:line="240" w:lineRule="auto"/>
        <w:rPr>
          <w:sz w:val="24"/>
          <w:szCs w:val="24"/>
        </w:rPr>
      </w:pPr>
      <w:r w:rsidRPr="00F75F82">
        <w:rPr>
          <w:sz w:val="24"/>
          <w:szCs w:val="24"/>
        </w:rPr>
        <w:t xml:space="preserve">As part of the HUD application process, the Applicant had to secure bids from contractors </w:t>
      </w:r>
      <w:r w:rsidR="00264F54">
        <w:rPr>
          <w:sz w:val="24"/>
          <w:szCs w:val="24"/>
        </w:rPr>
        <w:t>who</w:t>
      </w:r>
      <w:r w:rsidRPr="00F75F82">
        <w:rPr>
          <w:sz w:val="24"/>
          <w:szCs w:val="24"/>
        </w:rPr>
        <w:t xml:space="preserve"> would </w:t>
      </w:r>
      <w:r w:rsidR="00FE1A5F" w:rsidRPr="00F75F82">
        <w:rPr>
          <w:sz w:val="24"/>
          <w:szCs w:val="24"/>
        </w:rPr>
        <w:t xml:space="preserve">agree to </w:t>
      </w:r>
      <w:r w:rsidRPr="00F75F82">
        <w:rPr>
          <w:sz w:val="24"/>
          <w:szCs w:val="24"/>
        </w:rPr>
        <w:t>pay prevailing wages</w:t>
      </w:r>
      <w:r w:rsidR="0047071D" w:rsidRPr="00F75F82">
        <w:rPr>
          <w:sz w:val="24"/>
          <w:szCs w:val="24"/>
        </w:rPr>
        <w:t xml:space="preserve">.  The impact of this requirement on </w:t>
      </w:r>
      <w:r w:rsidR="00264F54">
        <w:rPr>
          <w:sz w:val="24"/>
          <w:szCs w:val="24"/>
        </w:rPr>
        <w:t>the c</w:t>
      </w:r>
      <w:r w:rsidR="0047071D" w:rsidRPr="00F75F82">
        <w:rPr>
          <w:sz w:val="24"/>
          <w:szCs w:val="24"/>
        </w:rPr>
        <w:t>ontractor bids is approximately $1.3M</w:t>
      </w:r>
      <w:r w:rsidR="00264F54">
        <w:rPr>
          <w:sz w:val="24"/>
          <w:szCs w:val="24"/>
        </w:rPr>
        <w:t xml:space="preserve"> increase in the cost of labor</w:t>
      </w:r>
      <w:r w:rsidR="0047071D" w:rsidRPr="00F75F82">
        <w:rPr>
          <w:sz w:val="24"/>
          <w:szCs w:val="24"/>
        </w:rPr>
        <w:t>.</w:t>
      </w:r>
      <w:r w:rsidR="004C5F7A">
        <w:rPr>
          <w:sz w:val="24"/>
          <w:szCs w:val="24"/>
        </w:rPr>
        <w:t xml:space="preserve">  This requirement affects </w:t>
      </w:r>
      <w:r w:rsidR="000959C9">
        <w:rPr>
          <w:sz w:val="24"/>
          <w:szCs w:val="24"/>
        </w:rPr>
        <w:t>not only the contractor, but all the</w:t>
      </w:r>
      <w:r w:rsidR="004C5F7A">
        <w:rPr>
          <w:sz w:val="24"/>
          <w:szCs w:val="24"/>
        </w:rPr>
        <w:t xml:space="preserve"> subcontractors</w:t>
      </w:r>
      <w:r w:rsidR="000959C9">
        <w:rPr>
          <w:sz w:val="24"/>
          <w:szCs w:val="24"/>
        </w:rPr>
        <w:t>.  As labor is a large component of cost, small increases in each subcontractor quickly add</w:t>
      </w:r>
      <w:r w:rsidR="00264F54">
        <w:rPr>
          <w:sz w:val="24"/>
          <w:szCs w:val="24"/>
        </w:rPr>
        <w:t>ed</w:t>
      </w:r>
      <w:r w:rsidR="000959C9">
        <w:rPr>
          <w:sz w:val="24"/>
          <w:szCs w:val="24"/>
        </w:rPr>
        <w:t xml:space="preserve"> up to large increases in the total Project costs.</w:t>
      </w:r>
    </w:p>
    <w:p w14:paraId="4F38BCA6" w14:textId="77777777" w:rsidR="000E0588" w:rsidRDefault="000E0588" w:rsidP="00933E3F">
      <w:pPr>
        <w:spacing w:after="0" w:line="240" w:lineRule="auto"/>
        <w:rPr>
          <w:sz w:val="24"/>
          <w:szCs w:val="24"/>
        </w:rPr>
      </w:pPr>
    </w:p>
    <w:p w14:paraId="11290C9A" w14:textId="77777777" w:rsidR="000E0588" w:rsidRPr="000E0588" w:rsidRDefault="000E0588" w:rsidP="000E0588">
      <w:pPr>
        <w:pStyle w:val="Heading2"/>
        <w:rPr>
          <w:color w:val="auto"/>
        </w:rPr>
      </w:pPr>
      <w:r w:rsidRPr="000E0588">
        <w:rPr>
          <w:color w:val="auto"/>
        </w:rPr>
        <w:lastRenderedPageBreak/>
        <w:t>DoN Project-19120215-CL</w:t>
      </w:r>
    </w:p>
    <w:p w14:paraId="6ED53733" w14:textId="77777777" w:rsidR="000E0588" w:rsidRPr="000E0588" w:rsidRDefault="000E0588" w:rsidP="000E0588">
      <w:pPr>
        <w:pStyle w:val="Heading2"/>
        <w:rPr>
          <w:color w:val="auto"/>
        </w:rPr>
      </w:pPr>
      <w:r w:rsidRPr="000E0588">
        <w:rPr>
          <w:color w:val="auto"/>
        </w:rPr>
        <w:t>Advocate Healthcare of East Boston</w:t>
      </w:r>
    </w:p>
    <w:p w14:paraId="04B395C5" w14:textId="77777777" w:rsidR="000E0588" w:rsidRPr="000E0588" w:rsidRDefault="000E0588" w:rsidP="000E0588">
      <w:pPr>
        <w:pStyle w:val="Heading2"/>
        <w:rPr>
          <w:color w:val="auto"/>
        </w:rPr>
      </w:pPr>
      <w:r w:rsidRPr="000E0588">
        <w:rPr>
          <w:color w:val="auto"/>
        </w:rPr>
        <w:t>Significant Amendment</w:t>
      </w:r>
    </w:p>
    <w:p w14:paraId="06249A22" w14:textId="77777777" w:rsidR="000E0588" w:rsidRDefault="000E0588" w:rsidP="00933E3F">
      <w:pPr>
        <w:spacing w:after="0" w:line="240" w:lineRule="auto"/>
        <w:rPr>
          <w:sz w:val="24"/>
          <w:szCs w:val="24"/>
        </w:rPr>
      </w:pPr>
    </w:p>
    <w:p w14:paraId="418D3EC4" w14:textId="0D6EA124" w:rsidR="00E27CB5" w:rsidRDefault="0047071D" w:rsidP="00933E3F">
      <w:pPr>
        <w:spacing w:after="0" w:line="240" w:lineRule="auto"/>
        <w:rPr>
          <w:sz w:val="24"/>
          <w:szCs w:val="24"/>
        </w:rPr>
      </w:pPr>
      <w:r w:rsidRPr="00F75F82">
        <w:rPr>
          <w:sz w:val="24"/>
          <w:szCs w:val="24"/>
        </w:rPr>
        <w:t>In addition, upon completion of the HUD physical plant inspection</w:t>
      </w:r>
      <w:r w:rsidR="00E27CB5" w:rsidRPr="00F75F82">
        <w:rPr>
          <w:sz w:val="24"/>
          <w:szCs w:val="24"/>
        </w:rPr>
        <w:t>, HUD required additional repairs that were not contemplated in the original DoN.</w:t>
      </w:r>
      <w:r w:rsidR="000959C9">
        <w:rPr>
          <w:sz w:val="24"/>
          <w:szCs w:val="24"/>
        </w:rPr>
        <w:t xml:space="preserve">  These repairs do not materially impact the approved scope of the DoN, but are costs that are a condition of the HUD approval.</w:t>
      </w:r>
    </w:p>
    <w:p w14:paraId="20080786" w14:textId="38592C2A" w:rsidR="00933E3F" w:rsidRDefault="00933E3F" w:rsidP="00933E3F">
      <w:pPr>
        <w:spacing w:after="0" w:line="240" w:lineRule="auto"/>
        <w:rPr>
          <w:sz w:val="24"/>
          <w:szCs w:val="24"/>
        </w:rPr>
      </w:pPr>
    </w:p>
    <w:p w14:paraId="50001F00" w14:textId="667BEE35" w:rsidR="006E5154" w:rsidRDefault="006E5154" w:rsidP="00933E3F">
      <w:pPr>
        <w:spacing w:after="0" w:line="240" w:lineRule="auto"/>
        <w:rPr>
          <w:sz w:val="24"/>
          <w:szCs w:val="24"/>
        </w:rPr>
      </w:pPr>
      <w:r>
        <w:rPr>
          <w:sz w:val="24"/>
          <w:szCs w:val="24"/>
        </w:rPr>
        <w:t>Also</w:t>
      </w:r>
      <w:r w:rsidR="00454480">
        <w:rPr>
          <w:sz w:val="24"/>
          <w:szCs w:val="24"/>
        </w:rPr>
        <w:t>,</w:t>
      </w:r>
      <w:r>
        <w:rPr>
          <w:sz w:val="24"/>
          <w:szCs w:val="24"/>
        </w:rPr>
        <w:t xml:space="preserve"> as part of the HUD application process, a complete HUD building inspection was required.  This inspection identified additional items that had not been identified by the architects, engineers or other consultants.  The total cost of the repairs designated as “critical” was $42,632.50.  Many items related to accessibility </w:t>
      </w:r>
      <w:r w:rsidR="00294D7E">
        <w:rPr>
          <w:sz w:val="24"/>
          <w:szCs w:val="24"/>
        </w:rPr>
        <w:t>requirements</w:t>
      </w:r>
      <w:r>
        <w:rPr>
          <w:sz w:val="24"/>
          <w:szCs w:val="24"/>
        </w:rPr>
        <w:t xml:space="preserve"> such as height of towel bars, handles on doors, and mirror accessibility for wheelchair bound residents</w:t>
      </w:r>
      <w:r w:rsidR="00454480">
        <w:rPr>
          <w:sz w:val="24"/>
          <w:szCs w:val="24"/>
        </w:rPr>
        <w:t>, but others related to infrastructure type Items.</w:t>
      </w:r>
      <w:r w:rsidR="006D6573">
        <w:rPr>
          <w:sz w:val="24"/>
          <w:szCs w:val="24"/>
        </w:rPr>
        <w:t xml:space="preserve">  The incremental cost for these accessibility improvements is approximately $19,000.00</w:t>
      </w:r>
    </w:p>
    <w:p w14:paraId="23B04E57" w14:textId="3DBA14E1" w:rsidR="00933E3F" w:rsidRDefault="00933E3F" w:rsidP="00933E3F">
      <w:pPr>
        <w:spacing w:after="0" w:line="240" w:lineRule="auto"/>
        <w:rPr>
          <w:sz w:val="24"/>
          <w:szCs w:val="24"/>
        </w:rPr>
      </w:pPr>
    </w:p>
    <w:p w14:paraId="26BFDB33" w14:textId="15E1AB83" w:rsidR="00933E3F" w:rsidRPr="003669DF" w:rsidRDefault="00454480" w:rsidP="00933E3F">
      <w:pPr>
        <w:spacing w:after="0" w:line="240" w:lineRule="auto"/>
        <w:rPr>
          <w:sz w:val="24"/>
          <w:szCs w:val="24"/>
        </w:rPr>
      </w:pPr>
      <w:r w:rsidRPr="003669DF">
        <w:rPr>
          <w:sz w:val="24"/>
          <w:szCs w:val="24"/>
        </w:rPr>
        <w:t xml:space="preserve">The inspection identified an electrical breaker panel manufactured by Federal Pacific Electric (“FPE”).  FPE </w:t>
      </w:r>
      <w:r w:rsidR="00933E3F" w:rsidRPr="003669DF">
        <w:rPr>
          <w:sz w:val="24"/>
          <w:szCs w:val="24"/>
        </w:rPr>
        <w:t xml:space="preserve">“Stab-Lok” panels </w:t>
      </w:r>
      <w:r w:rsidRPr="003669DF">
        <w:rPr>
          <w:sz w:val="24"/>
          <w:szCs w:val="24"/>
        </w:rPr>
        <w:t>have been determined to have</w:t>
      </w:r>
      <w:r w:rsidR="00933E3F" w:rsidRPr="003669DF">
        <w:rPr>
          <w:sz w:val="24"/>
          <w:szCs w:val="24"/>
        </w:rPr>
        <w:t xml:space="preserve"> a significant failure rate</w:t>
      </w:r>
      <w:r w:rsidR="003669DF" w:rsidRPr="003669DF">
        <w:rPr>
          <w:sz w:val="24"/>
          <w:szCs w:val="24"/>
        </w:rPr>
        <w:t xml:space="preserve"> to trip properly with overload and short-circuiting. In over one-third of the panels tested, breakers would not trip when overloaded.</w:t>
      </w:r>
      <w:r w:rsidR="00555AB5">
        <w:rPr>
          <w:rStyle w:val="FootnoteReference"/>
          <w:sz w:val="24"/>
          <w:szCs w:val="24"/>
        </w:rPr>
        <w:footnoteReference w:id="5"/>
      </w:r>
      <w:r w:rsidR="00555AB5">
        <w:rPr>
          <w:sz w:val="24"/>
          <w:szCs w:val="24"/>
        </w:rPr>
        <w:t xml:space="preserve">  </w:t>
      </w:r>
      <w:r w:rsidR="003669DF" w:rsidRPr="003669DF">
        <w:rPr>
          <w:sz w:val="24"/>
          <w:szCs w:val="24"/>
        </w:rPr>
        <w:t xml:space="preserve">While this product has not had a formal recall, it has been identified as requiring replacement under several government financing programs.  </w:t>
      </w:r>
      <w:r w:rsidR="006D6573">
        <w:rPr>
          <w:sz w:val="24"/>
          <w:szCs w:val="24"/>
        </w:rPr>
        <w:t>Replacement of this panel added about $1,000.00.</w:t>
      </w:r>
    </w:p>
    <w:p w14:paraId="733FCA01" w14:textId="4C02A2F9" w:rsidR="003669DF" w:rsidRDefault="003669DF" w:rsidP="00933E3F">
      <w:pPr>
        <w:spacing w:after="0" w:line="240" w:lineRule="auto"/>
        <w:rPr>
          <w:sz w:val="24"/>
          <w:szCs w:val="24"/>
        </w:rPr>
      </w:pPr>
    </w:p>
    <w:p w14:paraId="1C331036" w14:textId="75CBA4CC" w:rsidR="006D6573" w:rsidRDefault="006D6573" w:rsidP="00933E3F">
      <w:pPr>
        <w:spacing w:after="0" w:line="240" w:lineRule="auto"/>
        <w:rPr>
          <w:sz w:val="24"/>
          <w:szCs w:val="24"/>
        </w:rPr>
      </w:pPr>
      <w:r>
        <w:rPr>
          <w:sz w:val="24"/>
          <w:szCs w:val="24"/>
        </w:rPr>
        <w:t>In addition, the inspection identified that a sprinkler riser in one location was using galvanized piping</w:t>
      </w:r>
      <w:r w:rsidR="00555AB5">
        <w:rPr>
          <w:sz w:val="24"/>
          <w:szCs w:val="24"/>
        </w:rPr>
        <w:t xml:space="preserve"> that requires replacement</w:t>
      </w:r>
      <w:r>
        <w:rPr>
          <w:sz w:val="24"/>
          <w:szCs w:val="24"/>
        </w:rPr>
        <w:t>.  This replacement and related further inspections for similar conditions is estimate</w:t>
      </w:r>
      <w:r w:rsidR="00555AB5">
        <w:rPr>
          <w:sz w:val="24"/>
          <w:szCs w:val="24"/>
        </w:rPr>
        <w:t>s to cost about $2,500.00.</w:t>
      </w:r>
    </w:p>
    <w:p w14:paraId="527ECD29" w14:textId="77777777" w:rsidR="006D6573" w:rsidRPr="003669DF" w:rsidRDefault="006D6573" w:rsidP="00933E3F">
      <w:pPr>
        <w:spacing w:after="0" w:line="240" w:lineRule="auto"/>
        <w:rPr>
          <w:sz w:val="24"/>
          <w:szCs w:val="24"/>
        </w:rPr>
      </w:pPr>
    </w:p>
    <w:p w14:paraId="1AC53661" w14:textId="26A5CB02" w:rsidR="003669DF" w:rsidRPr="003669DF" w:rsidRDefault="006D6573" w:rsidP="00933E3F">
      <w:pPr>
        <w:spacing w:after="0" w:line="240" w:lineRule="auto"/>
        <w:rPr>
          <w:sz w:val="24"/>
          <w:szCs w:val="24"/>
        </w:rPr>
      </w:pPr>
      <w:r>
        <w:rPr>
          <w:sz w:val="24"/>
          <w:szCs w:val="24"/>
        </w:rPr>
        <w:t>The more costly area of the critical repairs related to moisture intrusion from roof, windows and façade issues in various locations.  While the Project included some window and façade repair, the HUD inspection expanded the already identified areas.  All of this repair and remediation work added about $20,000.00 of additional costs</w:t>
      </w:r>
    </w:p>
    <w:p w14:paraId="0FBFC533" w14:textId="77777777" w:rsidR="003669DF" w:rsidRPr="003669DF" w:rsidRDefault="003669DF" w:rsidP="00933E3F">
      <w:pPr>
        <w:spacing w:after="0" w:line="240" w:lineRule="auto"/>
        <w:rPr>
          <w:sz w:val="24"/>
          <w:szCs w:val="24"/>
        </w:rPr>
      </w:pPr>
    </w:p>
    <w:p w14:paraId="1B0E8A14" w14:textId="77777777" w:rsidR="000E0588" w:rsidRDefault="003669DF" w:rsidP="00933E3F">
      <w:pPr>
        <w:spacing w:after="0" w:line="240" w:lineRule="auto"/>
        <w:rPr>
          <w:sz w:val="24"/>
          <w:szCs w:val="24"/>
        </w:rPr>
      </w:pPr>
      <w:r w:rsidRPr="00555AB5">
        <w:rPr>
          <w:sz w:val="24"/>
          <w:szCs w:val="24"/>
        </w:rPr>
        <w:t>The inspection also identified certain areas of galvanized piping and required replacement of this piping</w:t>
      </w:r>
      <w:r w:rsidR="00555AB5" w:rsidRPr="00555AB5">
        <w:rPr>
          <w:sz w:val="24"/>
          <w:szCs w:val="24"/>
        </w:rPr>
        <w:t xml:space="preserve">.  This is because </w:t>
      </w:r>
      <w:r w:rsidR="00555AB5">
        <w:rPr>
          <w:sz w:val="24"/>
          <w:szCs w:val="24"/>
        </w:rPr>
        <w:t xml:space="preserve">“. . . </w:t>
      </w:r>
      <w:r w:rsidR="00555AB5" w:rsidRPr="00555AB5">
        <w:rPr>
          <w:sz w:val="24"/>
          <w:szCs w:val="24"/>
        </w:rPr>
        <w:t xml:space="preserve">poor field performance under typical conditions has shown that galvanized pipe is inappropriate for dry and </w:t>
      </w:r>
      <w:proofErr w:type="spellStart"/>
      <w:r w:rsidR="00555AB5" w:rsidRPr="00555AB5">
        <w:rPr>
          <w:sz w:val="24"/>
          <w:szCs w:val="24"/>
        </w:rPr>
        <w:t>preaction</w:t>
      </w:r>
      <w:proofErr w:type="spellEnd"/>
      <w:r w:rsidR="00555AB5" w:rsidRPr="00555AB5">
        <w:rPr>
          <w:sz w:val="24"/>
          <w:szCs w:val="24"/>
        </w:rPr>
        <w:t xml:space="preserve"> fire sprinkler systems</w:t>
      </w:r>
      <w:r w:rsidR="00555AB5">
        <w:rPr>
          <w:sz w:val="24"/>
          <w:szCs w:val="24"/>
        </w:rPr>
        <w:t>”</w:t>
      </w:r>
      <w:r w:rsidR="00555AB5" w:rsidRPr="00555AB5">
        <w:rPr>
          <w:sz w:val="24"/>
          <w:szCs w:val="24"/>
        </w:rPr>
        <w:t>.</w:t>
      </w:r>
      <w:r w:rsidR="00555AB5">
        <w:rPr>
          <w:sz w:val="24"/>
          <w:szCs w:val="24"/>
        </w:rPr>
        <w:t xml:space="preserve"> </w:t>
      </w:r>
      <w:r w:rsidR="00555AB5">
        <w:rPr>
          <w:rStyle w:val="FootnoteReference"/>
          <w:sz w:val="24"/>
          <w:szCs w:val="24"/>
        </w:rPr>
        <w:footnoteReference w:id="6"/>
      </w:r>
      <w:r w:rsidR="00294D7E">
        <w:rPr>
          <w:sz w:val="24"/>
          <w:szCs w:val="24"/>
        </w:rPr>
        <w:t xml:space="preserve">  This type of </w:t>
      </w:r>
    </w:p>
    <w:p w14:paraId="5B83D419" w14:textId="77777777" w:rsidR="000E0588" w:rsidRPr="000E0588" w:rsidRDefault="000E0588" w:rsidP="000E0588">
      <w:pPr>
        <w:pStyle w:val="Heading2"/>
        <w:rPr>
          <w:color w:val="auto"/>
        </w:rPr>
      </w:pPr>
      <w:r w:rsidRPr="000E0588">
        <w:rPr>
          <w:color w:val="auto"/>
        </w:rPr>
        <w:lastRenderedPageBreak/>
        <w:t>DoN Project-19120215-CL</w:t>
      </w:r>
    </w:p>
    <w:p w14:paraId="6B6CAB4E" w14:textId="77777777" w:rsidR="000E0588" w:rsidRPr="000E0588" w:rsidRDefault="000E0588" w:rsidP="000E0588">
      <w:pPr>
        <w:pStyle w:val="Heading2"/>
        <w:rPr>
          <w:color w:val="auto"/>
        </w:rPr>
      </w:pPr>
      <w:r w:rsidRPr="000E0588">
        <w:rPr>
          <w:color w:val="auto"/>
        </w:rPr>
        <w:t>Advocate Healthcare of East Boston</w:t>
      </w:r>
    </w:p>
    <w:p w14:paraId="42F4C293" w14:textId="77777777" w:rsidR="000E0588" w:rsidRPr="000E0588" w:rsidRDefault="000E0588" w:rsidP="000E0588">
      <w:pPr>
        <w:pStyle w:val="Heading2"/>
        <w:rPr>
          <w:color w:val="auto"/>
        </w:rPr>
      </w:pPr>
      <w:r w:rsidRPr="000E0588">
        <w:rPr>
          <w:color w:val="auto"/>
        </w:rPr>
        <w:t>Significant Amendment</w:t>
      </w:r>
    </w:p>
    <w:p w14:paraId="21AB7BD6" w14:textId="77777777" w:rsidR="000E0588" w:rsidRDefault="000E0588" w:rsidP="00933E3F">
      <w:pPr>
        <w:spacing w:after="0" w:line="240" w:lineRule="auto"/>
        <w:rPr>
          <w:sz w:val="24"/>
          <w:szCs w:val="24"/>
        </w:rPr>
      </w:pPr>
    </w:p>
    <w:p w14:paraId="231FF9DD" w14:textId="12E09036" w:rsidR="003669DF" w:rsidRPr="00555AB5" w:rsidRDefault="00294D7E" w:rsidP="00933E3F">
      <w:pPr>
        <w:spacing w:after="0" w:line="240" w:lineRule="auto"/>
        <w:rPr>
          <w:sz w:val="24"/>
          <w:szCs w:val="24"/>
        </w:rPr>
      </w:pPr>
      <w:r>
        <w:rPr>
          <w:sz w:val="24"/>
          <w:szCs w:val="24"/>
        </w:rPr>
        <w:t xml:space="preserve">piping is </w:t>
      </w:r>
      <w:proofErr w:type="spellStart"/>
      <w:r>
        <w:rPr>
          <w:sz w:val="24"/>
          <w:szCs w:val="24"/>
        </w:rPr>
        <w:t>not longer</w:t>
      </w:r>
      <w:proofErr w:type="spellEnd"/>
      <w:r>
        <w:rPr>
          <w:sz w:val="24"/>
          <w:szCs w:val="24"/>
        </w:rPr>
        <w:t xml:space="preserve"> an accepted standard as it can develop holes </w:t>
      </w:r>
      <w:proofErr w:type="spellStart"/>
      <w:r>
        <w:rPr>
          <w:sz w:val="24"/>
          <w:szCs w:val="24"/>
        </w:rPr>
        <w:t>withing</w:t>
      </w:r>
      <w:proofErr w:type="spellEnd"/>
      <w:r>
        <w:rPr>
          <w:sz w:val="24"/>
          <w:szCs w:val="24"/>
        </w:rPr>
        <w:t xml:space="preserve"> 2 to 3 years of installation.</w:t>
      </w:r>
      <w:r>
        <w:rPr>
          <w:rStyle w:val="FootnoteReference"/>
          <w:sz w:val="24"/>
          <w:szCs w:val="24"/>
        </w:rPr>
        <w:footnoteReference w:id="7"/>
      </w:r>
    </w:p>
    <w:p w14:paraId="51A21680" w14:textId="627F1ECA" w:rsidR="00933E3F" w:rsidRDefault="00933E3F" w:rsidP="00933E3F">
      <w:pPr>
        <w:spacing w:after="0" w:line="240" w:lineRule="auto"/>
        <w:rPr>
          <w:sz w:val="24"/>
          <w:szCs w:val="24"/>
        </w:rPr>
      </w:pPr>
    </w:p>
    <w:p w14:paraId="307DB464" w14:textId="512B09B6" w:rsidR="0046155F" w:rsidRDefault="002526AD" w:rsidP="00933E3F">
      <w:pPr>
        <w:spacing w:after="0" w:line="240" w:lineRule="auto"/>
        <w:rPr>
          <w:rFonts w:cstheme="minorHAnsi"/>
          <w:sz w:val="24"/>
          <w:szCs w:val="24"/>
        </w:rPr>
      </w:pPr>
      <w:r>
        <w:rPr>
          <w:rFonts w:cstheme="minorHAnsi"/>
          <w:sz w:val="24"/>
          <w:szCs w:val="24"/>
        </w:rPr>
        <w:t xml:space="preserve">The noncritical repairs required by the HUD inspection added approximately $500,000.00 in costs to the Project.  </w:t>
      </w:r>
      <w:r w:rsidR="0046155F">
        <w:rPr>
          <w:rFonts w:cstheme="minorHAnsi"/>
          <w:sz w:val="24"/>
          <w:szCs w:val="24"/>
        </w:rPr>
        <w:t xml:space="preserve"> The most significant portion of these repairs is about $250,000 for selective repairs of the building exterior.  This includes repairs to wood siding, peeling paid on soffits, and exterior sealants.  Another key area is $150,000 for roof repairs.  The remaining $100,000.00 is comprised of stairway repairs, fire pump repairs, closing out underground storage tanks, </w:t>
      </w:r>
      <w:proofErr w:type="spellStart"/>
      <w:r w:rsidR="0046155F">
        <w:rPr>
          <w:rFonts w:cstheme="minorHAnsi"/>
          <w:sz w:val="24"/>
          <w:szCs w:val="24"/>
        </w:rPr>
        <w:t>tel</w:t>
      </w:r>
      <w:proofErr w:type="spellEnd"/>
      <w:r w:rsidR="0046155F">
        <w:rPr>
          <w:rFonts w:cstheme="minorHAnsi"/>
          <w:sz w:val="24"/>
          <w:szCs w:val="24"/>
        </w:rPr>
        <w:t xml:space="preserve"> data wiring repairs, and demolition, removal and replacement of boilers.</w:t>
      </w:r>
    </w:p>
    <w:p w14:paraId="41CD05E5" w14:textId="73872961" w:rsidR="00294D7E" w:rsidRPr="00F75F82" w:rsidRDefault="0046155F" w:rsidP="00933E3F">
      <w:pPr>
        <w:spacing w:after="0" w:line="240" w:lineRule="auto"/>
        <w:rPr>
          <w:sz w:val="24"/>
          <w:szCs w:val="24"/>
        </w:rPr>
      </w:pPr>
      <w:r>
        <w:rPr>
          <w:rFonts w:cstheme="minorHAnsi"/>
          <w:sz w:val="24"/>
          <w:szCs w:val="24"/>
        </w:rPr>
        <w:t xml:space="preserve"> </w:t>
      </w:r>
    </w:p>
    <w:p w14:paraId="7B7FA24B" w14:textId="13439429" w:rsidR="00672404" w:rsidRPr="00E64C97" w:rsidRDefault="00E64C97">
      <w:pPr>
        <w:rPr>
          <w:sz w:val="24"/>
          <w:szCs w:val="24"/>
          <w:u w:val="single"/>
        </w:rPr>
      </w:pPr>
      <w:r>
        <w:rPr>
          <w:sz w:val="24"/>
          <w:szCs w:val="24"/>
          <w:u w:val="single"/>
        </w:rPr>
        <w:t>Detailed Description and Rationale for Increased Costs</w:t>
      </w:r>
    </w:p>
    <w:p w14:paraId="2016C1D3" w14:textId="3F98FE59" w:rsidR="00454480" w:rsidRDefault="007A6A5D" w:rsidP="00454480">
      <w:pPr>
        <w:spacing w:after="0" w:line="240" w:lineRule="auto"/>
      </w:pPr>
      <w:r w:rsidRPr="007A6A5D">
        <w:rPr>
          <w:sz w:val="24"/>
          <w:szCs w:val="24"/>
        </w:rPr>
        <w:t>The following chart</w:t>
      </w:r>
      <w:r>
        <w:rPr>
          <w:sz w:val="24"/>
          <w:szCs w:val="24"/>
        </w:rPr>
        <w:t xml:space="preserve"> provides the comparison by major DoN capital cost category of what was approved as part of the DoN and the current projected capital expenses.  It also provides the dollar and percentage increase for each category, comparing the April 2020 approved Dollars to the current requested May 2021 Dollars, without adjustment for inflation.  Items that are not</w:t>
      </w:r>
      <w:r w:rsidR="00FF31EA">
        <w:t xml:space="preserve"> </w:t>
      </w:r>
    </w:p>
    <w:p w14:paraId="20B3EAFF" w14:textId="31EF0B22" w:rsidR="001E1C6B" w:rsidRDefault="007A6A5D">
      <w:pPr>
        <w:rPr>
          <w:sz w:val="24"/>
          <w:szCs w:val="24"/>
        </w:rPr>
      </w:pPr>
      <w:r>
        <w:rPr>
          <w:sz w:val="24"/>
          <w:szCs w:val="24"/>
        </w:rPr>
        <w:t>in the Category of Expense from the standard DoN form are zero or not applicable.</w:t>
      </w:r>
    </w:p>
    <w:p w14:paraId="0E95E344" w14:textId="3BA83CC0" w:rsidR="007A6A5D" w:rsidRPr="00262636" w:rsidRDefault="00262636" w:rsidP="00262636">
      <w:pPr>
        <w:spacing w:after="0" w:line="240" w:lineRule="auto"/>
        <w:jc w:val="center"/>
        <w:rPr>
          <w:b/>
          <w:bCs/>
          <w:sz w:val="24"/>
          <w:szCs w:val="24"/>
        </w:rPr>
      </w:pPr>
      <w:r>
        <w:rPr>
          <w:b/>
          <w:bCs/>
          <w:sz w:val="24"/>
          <w:szCs w:val="24"/>
        </w:rPr>
        <w:t>Comparison of Approved and Requested Capital Expenditures</w:t>
      </w:r>
    </w:p>
    <w:p w14:paraId="55723897" w14:textId="77777777" w:rsidR="00262636" w:rsidRDefault="00262636" w:rsidP="007A6A5D">
      <w:pPr>
        <w:spacing w:after="0" w:line="240" w:lineRule="auto"/>
        <w:rPr>
          <w:sz w:val="24"/>
          <w:szCs w:val="24"/>
        </w:rPr>
      </w:pPr>
    </w:p>
    <w:tbl>
      <w:tblPr>
        <w:tblStyle w:val="TableGrid"/>
        <w:tblW w:w="0" w:type="auto"/>
        <w:tblLook w:val="04A0" w:firstRow="1" w:lastRow="0" w:firstColumn="1" w:lastColumn="0" w:noHBand="0" w:noVBand="1"/>
        <w:tblCaption w:val="Comparison of Approved and Requested Capital Expenditures"/>
        <w:tblDescription w:val="Category of Expense Approved (April 2020 Dollars) Request (May 2021 Dollars) Difference % Change&#10;Land Costs $0 $0 $0 $0&#10;Construction Contract $8,175,023 $14,051,044 $5,876,021 71.9%&#10;Fixed Equipment 0 474,276 474,276 100.0%&#10;Architectural Cost 663,790 908,500 244,710 36.9%&#10;Pre-Filling Planning Costs 145,000 169,000 24,000 16.6%&#10;Post-Filing Planning Costs 40,000 180,000 140,000 350.0%&#10;Net Interest Construction 276,695 664,258 387,653 140.1%&#10;Major Movable Equipment 628,909 629,000 91 0%&#10;Total Construction Cost $9,929,417 $17,076,078  &#10;Financing Costs 158,305 420,422 262,177 165.6%&#10;TOTAL $10,087,722 $17,496,500 $7,408,788 73.4%&#10;"/>
      </w:tblPr>
      <w:tblGrid>
        <w:gridCol w:w="2685"/>
        <w:gridCol w:w="1887"/>
        <w:gridCol w:w="1887"/>
        <w:gridCol w:w="1797"/>
        <w:gridCol w:w="1074"/>
      </w:tblGrid>
      <w:tr w:rsidR="006668D7" w14:paraId="5950E551" w14:textId="77777777" w:rsidTr="005B0E38">
        <w:trPr>
          <w:tblHeader/>
        </w:trPr>
        <w:tc>
          <w:tcPr>
            <w:tcW w:w="2685" w:type="dxa"/>
            <w:tcBorders>
              <w:top w:val="double" w:sz="4" w:space="0" w:color="auto"/>
              <w:left w:val="double" w:sz="4" w:space="0" w:color="auto"/>
              <w:bottom w:val="double" w:sz="4" w:space="0" w:color="auto"/>
            </w:tcBorders>
          </w:tcPr>
          <w:p w14:paraId="550EC41B" w14:textId="27223BA5" w:rsidR="006668D7" w:rsidRPr="006668D7" w:rsidRDefault="006668D7" w:rsidP="006668D7">
            <w:pPr>
              <w:jc w:val="center"/>
              <w:rPr>
                <w:b/>
                <w:bCs/>
              </w:rPr>
            </w:pPr>
            <w:r w:rsidRPr="006668D7">
              <w:rPr>
                <w:b/>
                <w:bCs/>
              </w:rPr>
              <w:t>Category of Expense</w:t>
            </w:r>
          </w:p>
        </w:tc>
        <w:tc>
          <w:tcPr>
            <w:tcW w:w="1887" w:type="dxa"/>
            <w:tcBorders>
              <w:top w:val="double" w:sz="4" w:space="0" w:color="auto"/>
              <w:bottom w:val="double" w:sz="4" w:space="0" w:color="auto"/>
            </w:tcBorders>
          </w:tcPr>
          <w:p w14:paraId="32862676" w14:textId="18ABFDCB" w:rsidR="006668D7" w:rsidRPr="006668D7" w:rsidRDefault="006668D7" w:rsidP="006668D7">
            <w:pPr>
              <w:jc w:val="center"/>
              <w:rPr>
                <w:b/>
                <w:bCs/>
              </w:rPr>
            </w:pPr>
            <w:r w:rsidRPr="006668D7">
              <w:rPr>
                <w:b/>
                <w:bCs/>
              </w:rPr>
              <w:t>Approved (April 2020 Dollars)</w:t>
            </w:r>
          </w:p>
        </w:tc>
        <w:tc>
          <w:tcPr>
            <w:tcW w:w="1887" w:type="dxa"/>
            <w:tcBorders>
              <w:top w:val="double" w:sz="4" w:space="0" w:color="auto"/>
              <w:bottom w:val="double" w:sz="4" w:space="0" w:color="auto"/>
            </w:tcBorders>
          </w:tcPr>
          <w:p w14:paraId="5F7E50DC" w14:textId="45FC1298" w:rsidR="006668D7" w:rsidRPr="006668D7" w:rsidRDefault="006668D7" w:rsidP="006668D7">
            <w:pPr>
              <w:jc w:val="center"/>
              <w:rPr>
                <w:b/>
                <w:bCs/>
              </w:rPr>
            </w:pPr>
            <w:r w:rsidRPr="006668D7">
              <w:rPr>
                <w:b/>
                <w:bCs/>
              </w:rPr>
              <w:t>Request (May 202</w:t>
            </w:r>
            <w:r w:rsidR="001E1C6B">
              <w:rPr>
                <w:b/>
                <w:bCs/>
              </w:rPr>
              <w:t>1</w:t>
            </w:r>
            <w:r w:rsidRPr="006668D7">
              <w:rPr>
                <w:b/>
                <w:bCs/>
              </w:rPr>
              <w:t xml:space="preserve"> Dollars)</w:t>
            </w:r>
          </w:p>
        </w:tc>
        <w:tc>
          <w:tcPr>
            <w:tcW w:w="1797" w:type="dxa"/>
            <w:tcBorders>
              <w:top w:val="double" w:sz="4" w:space="0" w:color="auto"/>
              <w:bottom w:val="double" w:sz="4" w:space="0" w:color="auto"/>
            </w:tcBorders>
          </w:tcPr>
          <w:p w14:paraId="0BF0F984" w14:textId="188C8CDE" w:rsidR="006668D7" w:rsidRPr="006668D7" w:rsidRDefault="006668D7" w:rsidP="006668D7">
            <w:pPr>
              <w:jc w:val="center"/>
              <w:rPr>
                <w:b/>
                <w:bCs/>
              </w:rPr>
            </w:pPr>
            <w:r w:rsidRPr="006668D7">
              <w:rPr>
                <w:b/>
                <w:bCs/>
              </w:rPr>
              <w:t>Difference</w:t>
            </w:r>
          </w:p>
        </w:tc>
        <w:tc>
          <w:tcPr>
            <w:tcW w:w="1074" w:type="dxa"/>
            <w:tcBorders>
              <w:top w:val="double" w:sz="4" w:space="0" w:color="auto"/>
              <w:bottom w:val="double" w:sz="4" w:space="0" w:color="auto"/>
              <w:right w:val="double" w:sz="4" w:space="0" w:color="auto"/>
            </w:tcBorders>
          </w:tcPr>
          <w:p w14:paraId="36A0FE84" w14:textId="3807EB2C" w:rsidR="006668D7" w:rsidRPr="006668D7" w:rsidRDefault="006668D7" w:rsidP="006668D7">
            <w:pPr>
              <w:jc w:val="center"/>
              <w:rPr>
                <w:b/>
                <w:bCs/>
              </w:rPr>
            </w:pPr>
            <w:r w:rsidRPr="006668D7">
              <w:rPr>
                <w:b/>
                <w:bCs/>
              </w:rPr>
              <w:t>% Change</w:t>
            </w:r>
          </w:p>
        </w:tc>
      </w:tr>
      <w:tr w:rsidR="006668D7" w14:paraId="73DE95B6" w14:textId="77777777" w:rsidTr="007A6A5D">
        <w:tc>
          <w:tcPr>
            <w:tcW w:w="2685" w:type="dxa"/>
            <w:tcBorders>
              <w:top w:val="double" w:sz="4" w:space="0" w:color="auto"/>
              <w:left w:val="double" w:sz="4" w:space="0" w:color="auto"/>
              <w:bottom w:val="double" w:sz="4" w:space="0" w:color="auto"/>
            </w:tcBorders>
          </w:tcPr>
          <w:p w14:paraId="0F7A4CB0" w14:textId="3E7D3929" w:rsidR="006668D7" w:rsidRPr="001E1C6B" w:rsidRDefault="006668D7">
            <w:pPr>
              <w:rPr>
                <w:b/>
                <w:bCs/>
              </w:rPr>
            </w:pPr>
            <w:r w:rsidRPr="001E1C6B">
              <w:rPr>
                <w:b/>
                <w:bCs/>
              </w:rPr>
              <w:t>Land Costs</w:t>
            </w:r>
          </w:p>
        </w:tc>
        <w:tc>
          <w:tcPr>
            <w:tcW w:w="1887" w:type="dxa"/>
            <w:tcBorders>
              <w:top w:val="double" w:sz="4" w:space="0" w:color="auto"/>
              <w:bottom w:val="double" w:sz="4" w:space="0" w:color="auto"/>
            </w:tcBorders>
          </w:tcPr>
          <w:p w14:paraId="61DCC3DE" w14:textId="2F8BB73A" w:rsidR="006668D7" w:rsidRPr="001E1C6B" w:rsidRDefault="00F75F82" w:rsidP="001E1C6B">
            <w:pPr>
              <w:jc w:val="right"/>
              <w:rPr>
                <w:b/>
                <w:bCs/>
              </w:rPr>
            </w:pPr>
            <w:r>
              <w:rPr>
                <w:b/>
                <w:bCs/>
              </w:rPr>
              <w:t>$</w:t>
            </w:r>
            <w:r w:rsidR="001E1C6B">
              <w:rPr>
                <w:b/>
                <w:bCs/>
              </w:rPr>
              <w:t>0</w:t>
            </w:r>
          </w:p>
        </w:tc>
        <w:tc>
          <w:tcPr>
            <w:tcW w:w="1887" w:type="dxa"/>
            <w:tcBorders>
              <w:top w:val="double" w:sz="4" w:space="0" w:color="auto"/>
              <w:bottom w:val="double" w:sz="4" w:space="0" w:color="auto"/>
            </w:tcBorders>
          </w:tcPr>
          <w:p w14:paraId="6D5303DF" w14:textId="1E00FBF2" w:rsidR="006668D7" w:rsidRPr="001E1C6B" w:rsidRDefault="00F75F82" w:rsidP="001E1C6B">
            <w:pPr>
              <w:jc w:val="right"/>
              <w:rPr>
                <w:b/>
                <w:bCs/>
              </w:rPr>
            </w:pPr>
            <w:r>
              <w:rPr>
                <w:b/>
                <w:bCs/>
              </w:rPr>
              <w:t>$</w:t>
            </w:r>
            <w:r w:rsidR="001E1C6B">
              <w:rPr>
                <w:b/>
                <w:bCs/>
              </w:rPr>
              <w:t>0</w:t>
            </w:r>
          </w:p>
        </w:tc>
        <w:tc>
          <w:tcPr>
            <w:tcW w:w="1797" w:type="dxa"/>
            <w:tcBorders>
              <w:top w:val="double" w:sz="4" w:space="0" w:color="auto"/>
              <w:bottom w:val="double" w:sz="4" w:space="0" w:color="auto"/>
            </w:tcBorders>
          </w:tcPr>
          <w:p w14:paraId="24C87541" w14:textId="26CE3E85" w:rsidR="006668D7" w:rsidRPr="001E1C6B" w:rsidRDefault="00F75F82" w:rsidP="001E1C6B">
            <w:pPr>
              <w:jc w:val="right"/>
              <w:rPr>
                <w:b/>
                <w:bCs/>
              </w:rPr>
            </w:pPr>
            <w:r>
              <w:rPr>
                <w:b/>
                <w:bCs/>
              </w:rPr>
              <w:t>$</w:t>
            </w:r>
            <w:r w:rsidR="001E1C6B">
              <w:rPr>
                <w:b/>
                <w:bCs/>
              </w:rPr>
              <w:t>0</w:t>
            </w:r>
          </w:p>
        </w:tc>
        <w:tc>
          <w:tcPr>
            <w:tcW w:w="1074" w:type="dxa"/>
            <w:tcBorders>
              <w:top w:val="double" w:sz="4" w:space="0" w:color="auto"/>
              <w:bottom w:val="double" w:sz="4" w:space="0" w:color="auto"/>
              <w:right w:val="double" w:sz="4" w:space="0" w:color="auto"/>
            </w:tcBorders>
          </w:tcPr>
          <w:p w14:paraId="3947002D" w14:textId="5141325B" w:rsidR="006668D7" w:rsidRPr="001E1C6B" w:rsidRDefault="00F75F82" w:rsidP="001E1C6B">
            <w:pPr>
              <w:jc w:val="center"/>
              <w:rPr>
                <w:b/>
                <w:bCs/>
              </w:rPr>
            </w:pPr>
            <w:r>
              <w:rPr>
                <w:b/>
                <w:bCs/>
              </w:rPr>
              <w:t>$</w:t>
            </w:r>
            <w:r w:rsidR="001E1C6B">
              <w:rPr>
                <w:b/>
                <w:bCs/>
              </w:rPr>
              <w:t>0</w:t>
            </w:r>
          </w:p>
        </w:tc>
      </w:tr>
      <w:tr w:rsidR="006668D7" w14:paraId="521AF75B" w14:textId="77777777" w:rsidTr="007A6A5D">
        <w:tc>
          <w:tcPr>
            <w:tcW w:w="2685" w:type="dxa"/>
            <w:tcBorders>
              <w:top w:val="double" w:sz="4" w:space="0" w:color="auto"/>
              <w:left w:val="double" w:sz="4" w:space="0" w:color="auto"/>
              <w:bottom w:val="single" w:sz="12" w:space="0" w:color="auto"/>
            </w:tcBorders>
          </w:tcPr>
          <w:p w14:paraId="3D225F61" w14:textId="1A5B384E" w:rsidR="006668D7" w:rsidRDefault="006668D7">
            <w:r>
              <w:t>Construction Contract</w:t>
            </w:r>
          </w:p>
        </w:tc>
        <w:tc>
          <w:tcPr>
            <w:tcW w:w="1887" w:type="dxa"/>
            <w:tcBorders>
              <w:top w:val="double" w:sz="4" w:space="0" w:color="auto"/>
              <w:bottom w:val="single" w:sz="12" w:space="0" w:color="auto"/>
            </w:tcBorders>
          </w:tcPr>
          <w:p w14:paraId="6AB1D43E" w14:textId="6A821439" w:rsidR="006668D7" w:rsidRPr="00F75F82" w:rsidRDefault="00672404" w:rsidP="001E1C6B">
            <w:pPr>
              <w:jc w:val="right"/>
              <w:rPr>
                <w:sz w:val="24"/>
                <w:szCs w:val="24"/>
              </w:rPr>
            </w:pPr>
            <w:r w:rsidRPr="00F75F82">
              <w:rPr>
                <w:sz w:val="24"/>
                <w:szCs w:val="24"/>
              </w:rPr>
              <w:t>$</w:t>
            </w:r>
            <w:r w:rsidR="001E1C6B" w:rsidRPr="00F75F82">
              <w:rPr>
                <w:sz w:val="24"/>
                <w:szCs w:val="24"/>
              </w:rPr>
              <w:t>8,175,023</w:t>
            </w:r>
          </w:p>
        </w:tc>
        <w:tc>
          <w:tcPr>
            <w:tcW w:w="1887" w:type="dxa"/>
            <w:tcBorders>
              <w:top w:val="double" w:sz="4" w:space="0" w:color="auto"/>
              <w:bottom w:val="single" w:sz="12" w:space="0" w:color="auto"/>
            </w:tcBorders>
          </w:tcPr>
          <w:p w14:paraId="43283DB8" w14:textId="01DB2659" w:rsidR="006668D7" w:rsidRPr="00F75F82" w:rsidRDefault="00672404" w:rsidP="001E1C6B">
            <w:pPr>
              <w:jc w:val="right"/>
              <w:rPr>
                <w:sz w:val="24"/>
                <w:szCs w:val="24"/>
              </w:rPr>
            </w:pPr>
            <w:r w:rsidRPr="00F75F82">
              <w:rPr>
                <w:sz w:val="24"/>
                <w:szCs w:val="24"/>
              </w:rPr>
              <w:t>$14,051,044</w:t>
            </w:r>
          </w:p>
        </w:tc>
        <w:tc>
          <w:tcPr>
            <w:tcW w:w="1797" w:type="dxa"/>
            <w:tcBorders>
              <w:top w:val="double" w:sz="4" w:space="0" w:color="auto"/>
              <w:bottom w:val="single" w:sz="12" w:space="0" w:color="auto"/>
            </w:tcBorders>
          </w:tcPr>
          <w:p w14:paraId="79D48499" w14:textId="128F7DF9" w:rsidR="006668D7" w:rsidRPr="00F75F82" w:rsidRDefault="00200465" w:rsidP="001E1C6B">
            <w:pPr>
              <w:jc w:val="right"/>
              <w:rPr>
                <w:sz w:val="24"/>
                <w:szCs w:val="24"/>
              </w:rPr>
            </w:pPr>
            <w:r w:rsidRPr="00F75F82">
              <w:rPr>
                <w:sz w:val="24"/>
                <w:szCs w:val="24"/>
              </w:rPr>
              <w:t>$5,876,021</w:t>
            </w:r>
          </w:p>
        </w:tc>
        <w:tc>
          <w:tcPr>
            <w:tcW w:w="1074" w:type="dxa"/>
            <w:tcBorders>
              <w:top w:val="double" w:sz="4" w:space="0" w:color="auto"/>
              <w:bottom w:val="single" w:sz="12" w:space="0" w:color="auto"/>
              <w:right w:val="double" w:sz="4" w:space="0" w:color="auto"/>
            </w:tcBorders>
          </w:tcPr>
          <w:p w14:paraId="68EFC9BB" w14:textId="2F775D22" w:rsidR="006668D7" w:rsidRPr="00F75F82" w:rsidRDefault="00200465" w:rsidP="001E1C6B">
            <w:pPr>
              <w:jc w:val="center"/>
              <w:rPr>
                <w:sz w:val="24"/>
                <w:szCs w:val="24"/>
              </w:rPr>
            </w:pPr>
            <w:r w:rsidRPr="00F75F82">
              <w:rPr>
                <w:sz w:val="24"/>
                <w:szCs w:val="24"/>
              </w:rPr>
              <w:t>71.9%</w:t>
            </w:r>
          </w:p>
        </w:tc>
      </w:tr>
      <w:tr w:rsidR="001E1C6B" w14:paraId="0E2EDB5D" w14:textId="77777777" w:rsidTr="007A6A5D">
        <w:tc>
          <w:tcPr>
            <w:tcW w:w="2685" w:type="dxa"/>
            <w:tcBorders>
              <w:top w:val="single" w:sz="12" w:space="0" w:color="auto"/>
              <w:left w:val="double" w:sz="4" w:space="0" w:color="auto"/>
            </w:tcBorders>
          </w:tcPr>
          <w:p w14:paraId="31950237" w14:textId="0B23745A" w:rsidR="001E1C6B" w:rsidRDefault="001E1C6B">
            <w:r>
              <w:t>Fixed Equipment</w:t>
            </w:r>
          </w:p>
        </w:tc>
        <w:tc>
          <w:tcPr>
            <w:tcW w:w="1887" w:type="dxa"/>
            <w:tcBorders>
              <w:top w:val="single" w:sz="12" w:space="0" w:color="auto"/>
            </w:tcBorders>
          </w:tcPr>
          <w:p w14:paraId="3C82CF1F" w14:textId="7CEF8B98" w:rsidR="001E1C6B" w:rsidRPr="00F75F82" w:rsidRDefault="001E1C6B" w:rsidP="001E1C6B">
            <w:pPr>
              <w:jc w:val="right"/>
              <w:rPr>
                <w:sz w:val="24"/>
                <w:szCs w:val="24"/>
              </w:rPr>
            </w:pPr>
            <w:r w:rsidRPr="00F75F82">
              <w:rPr>
                <w:sz w:val="24"/>
                <w:szCs w:val="24"/>
              </w:rPr>
              <w:t>0</w:t>
            </w:r>
          </w:p>
        </w:tc>
        <w:tc>
          <w:tcPr>
            <w:tcW w:w="1887" w:type="dxa"/>
            <w:tcBorders>
              <w:top w:val="single" w:sz="12" w:space="0" w:color="auto"/>
            </w:tcBorders>
          </w:tcPr>
          <w:p w14:paraId="0150BB9F" w14:textId="45D00759" w:rsidR="001E1C6B" w:rsidRPr="00F75F82" w:rsidRDefault="00672404" w:rsidP="001E1C6B">
            <w:pPr>
              <w:jc w:val="right"/>
              <w:rPr>
                <w:sz w:val="24"/>
                <w:szCs w:val="24"/>
              </w:rPr>
            </w:pPr>
            <w:r w:rsidRPr="00F75F82">
              <w:rPr>
                <w:sz w:val="24"/>
                <w:szCs w:val="24"/>
              </w:rPr>
              <w:t>4</w:t>
            </w:r>
            <w:r w:rsidR="006D43DE">
              <w:rPr>
                <w:sz w:val="24"/>
                <w:szCs w:val="24"/>
              </w:rPr>
              <w:t>7</w:t>
            </w:r>
            <w:r w:rsidRPr="00F75F82">
              <w:rPr>
                <w:sz w:val="24"/>
                <w:szCs w:val="24"/>
              </w:rPr>
              <w:t>4,276</w:t>
            </w:r>
          </w:p>
        </w:tc>
        <w:tc>
          <w:tcPr>
            <w:tcW w:w="1797" w:type="dxa"/>
            <w:tcBorders>
              <w:top w:val="single" w:sz="12" w:space="0" w:color="auto"/>
            </w:tcBorders>
          </w:tcPr>
          <w:p w14:paraId="113A70B2" w14:textId="74A79F1F" w:rsidR="001E1C6B" w:rsidRPr="00F75F82" w:rsidRDefault="00200465" w:rsidP="001E1C6B">
            <w:pPr>
              <w:jc w:val="right"/>
              <w:rPr>
                <w:sz w:val="24"/>
                <w:szCs w:val="24"/>
              </w:rPr>
            </w:pPr>
            <w:r w:rsidRPr="00F75F82">
              <w:rPr>
                <w:sz w:val="24"/>
                <w:szCs w:val="24"/>
              </w:rPr>
              <w:t>4</w:t>
            </w:r>
            <w:r w:rsidR="006D43DE">
              <w:rPr>
                <w:sz w:val="24"/>
                <w:szCs w:val="24"/>
              </w:rPr>
              <w:t>7</w:t>
            </w:r>
            <w:r w:rsidRPr="00F75F82">
              <w:rPr>
                <w:sz w:val="24"/>
                <w:szCs w:val="24"/>
              </w:rPr>
              <w:t>4,276</w:t>
            </w:r>
          </w:p>
        </w:tc>
        <w:tc>
          <w:tcPr>
            <w:tcW w:w="1074" w:type="dxa"/>
            <w:tcBorders>
              <w:top w:val="single" w:sz="12" w:space="0" w:color="auto"/>
              <w:right w:val="double" w:sz="4" w:space="0" w:color="auto"/>
            </w:tcBorders>
          </w:tcPr>
          <w:p w14:paraId="0A021D68" w14:textId="6DFDFD8A" w:rsidR="001E1C6B" w:rsidRPr="00F75F82" w:rsidRDefault="00200465" w:rsidP="001E1C6B">
            <w:pPr>
              <w:jc w:val="center"/>
              <w:rPr>
                <w:sz w:val="24"/>
                <w:szCs w:val="24"/>
              </w:rPr>
            </w:pPr>
            <w:r w:rsidRPr="00F75F82">
              <w:rPr>
                <w:sz w:val="24"/>
                <w:szCs w:val="24"/>
              </w:rPr>
              <w:t>100.0%</w:t>
            </w:r>
          </w:p>
        </w:tc>
      </w:tr>
      <w:tr w:rsidR="006668D7" w14:paraId="6C98B62A" w14:textId="77777777" w:rsidTr="007A6A5D">
        <w:tc>
          <w:tcPr>
            <w:tcW w:w="2685" w:type="dxa"/>
            <w:tcBorders>
              <w:left w:val="double" w:sz="4" w:space="0" w:color="auto"/>
            </w:tcBorders>
          </w:tcPr>
          <w:p w14:paraId="6F903187" w14:textId="2749D21A" w:rsidR="006668D7" w:rsidRDefault="006668D7">
            <w:r>
              <w:t>Architectural Cost</w:t>
            </w:r>
          </w:p>
        </w:tc>
        <w:tc>
          <w:tcPr>
            <w:tcW w:w="1887" w:type="dxa"/>
          </w:tcPr>
          <w:p w14:paraId="09C8EF39" w14:textId="31FEA2F7" w:rsidR="006668D7" w:rsidRPr="00F75F82" w:rsidRDefault="001E1C6B" w:rsidP="001E1C6B">
            <w:pPr>
              <w:jc w:val="right"/>
              <w:rPr>
                <w:sz w:val="24"/>
                <w:szCs w:val="24"/>
              </w:rPr>
            </w:pPr>
            <w:r w:rsidRPr="00F75F82">
              <w:rPr>
                <w:sz w:val="24"/>
                <w:szCs w:val="24"/>
              </w:rPr>
              <w:t>663,790</w:t>
            </w:r>
          </w:p>
        </w:tc>
        <w:tc>
          <w:tcPr>
            <w:tcW w:w="1887" w:type="dxa"/>
          </w:tcPr>
          <w:p w14:paraId="7C8E15D3" w14:textId="64D56F0F" w:rsidR="006668D7" w:rsidRPr="00F75F82" w:rsidRDefault="00672404" w:rsidP="001E1C6B">
            <w:pPr>
              <w:jc w:val="right"/>
              <w:rPr>
                <w:sz w:val="24"/>
                <w:szCs w:val="24"/>
              </w:rPr>
            </w:pPr>
            <w:r w:rsidRPr="00F75F82">
              <w:rPr>
                <w:sz w:val="24"/>
                <w:szCs w:val="24"/>
              </w:rPr>
              <w:t>908,500</w:t>
            </w:r>
          </w:p>
        </w:tc>
        <w:tc>
          <w:tcPr>
            <w:tcW w:w="1797" w:type="dxa"/>
          </w:tcPr>
          <w:p w14:paraId="71E841BA" w14:textId="07EA3FE9" w:rsidR="006668D7" w:rsidRPr="00F75F82" w:rsidRDefault="00200465" w:rsidP="001E1C6B">
            <w:pPr>
              <w:jc w:val="right"/>
              <w:rPr>
                <w:sz w:val="24"/>
                <w:szCs w:val="24"/>
              </w:rPr>
            </w:pPr>
            <w:r w:rsidRPr="00F75F82">
              <w:rPr>
                <w:sz w:val="24"/>
                <w:szCs w:val="24"/>
              </w:rPr>
              <w:t>244,710</w:t>
            </w:r>
          </w:p>
        </w:tc>
        <w:tc>
          <w:tcPr>
            <w:tcW w:w="1074" w:type="dxa"/>
            <w:tcBorders>
              <w:right w:val="double" w:sz="4" w:space="0" w:color="auto"/>
            </w:tcBorders>
          </w:tcPr>
          <w:p w14:paraId="762E62FF" w14:textId="2862F2BC" w:rsidR="006668D7" w:rsidRPr="00F75F82" w:rsidRDefault="00200465" w:rsidP="001E1C6B">
            <w:pPr>
              <w:jc w:val="center"/>
              <w:rPr>
                <w:sz w:val="24"/>
                <w:szCs w:val="24"/>
              </w:rPr>
            </w:pPr>
            <w:r w:rsidRPr="00F75F82">
              <w:rPr>
                <w:sz w:val="24"/>
                <w:szCs w:val="24"/>
              </w:rPr>
              <w:t>36.9%</w:t>
            </w:r>
          </w:p>
        </w:tc>
      </w:tr>
      <w:tr w:rsidR="006668D7" w14:paraId="6A4D0087" w14:textId="77777777" w:rsidTr="007A6A5D">
        <w:tc>
          <w:tcPr>
            <w:tcW w:w="2685" w:type="dxa"/>
            <w:tcBorders>
              <w:left w:val="double" w:sz="4" w:space="0" w:color="auto"/>
            </w:tcBorders>
          </w:tcPr>
          <w:p w14:paraId="399147E5" w14:textId="61AA0363" w:rsidR="006668D7" w:rsidRDefault="006668D7">
            <w:r>
              <w:t xml:space="preserve">Pre-Filling </w:t>
            </w:r>
            <w:r w:rsidR="001E1C6B">
              <w:t xml:space="preserve">Planning </w:t>
            </w:r>
            <w:r>
              <w:t>Costs</w:t>
            </w:r>
          </w:p>
        </w:tc>
        <w:tc>
          <w:tcPr>
            <w:tcW w:w="1887" w:type="dxa"/>
          </w:tcPr>
          <w:p w14:paraId="157FDF8E" w14:textId="7D51D5A4" w:rsidR="006668D7" w:rsidRPr="00F75F82" w:rsidRDefault="001E1C6B" w:rsidP="001E1C6B">
            <w:pPr>
              <w:jc w:val="right"/>
              <w:rPr>
                <w:sz w:val="24"/>
                <w:szCs w:val="24"/>
              </w:rPr>
            </w:pPr>
            <w:r w:rsidRPr="00F75F82">
              <w:rPr>
                <w:sz w:val="24"/>
                <w:szCs w:val="24"/>
              </w:rPr>
              <w:t>145,000</w:t>
            </w:r>
          </w:p>
        </w:tc>
        <w:tc>
          <w:tcPr>
            <w:tcW w:w="1887" w:type="dxa"/>
          </w:tcPr>
          <w:p w14:paraId="65B00960" w14:textId="108AED68" w:rsidR="006668D7" w:rsidRPr="00F75F82" w:rsidRDefault="00672404" w:rsidP="001E1C6B">
            <w:pPr>
              <w:jc w:val="right"/>
              <w:rPr>
                <w:sz w:val="24"/>
                <w:szCs w:val="24"/>
              </w:rPr>
            </w:pPr>
            <w:r w:rsidRPr="00F75F82">
              <w:rPr>
                <w:sz w:val="24"/>
                <w:szCs w:val="24"/>
              </w:rPr>
              <w:t>169,000</w:t>
            </w:r>
          </w:p>
        </w:tc>
        <w:tc>
          <w:tcPr>
            <w:tcW w:w="1797" w:type="dxa"/>
          </w:tcPr>
          <w:p w14:paraId="2D6489F5" w14:textId="1B29DA4F" w:rsidR="006668D7" w:rsidRPr="00F75F82" w:rsidRDefault="00200465" w:rsidP="001E1C6B">
            <w:pPr>
              <w:jc w:val="right"/>
              <w:rPr>
                <w:sz w:val="24"/>
                <w:szCs w:val="24"/>
              </w:rPr>
            </w:pPr>
            <w:r w:rsidRPr="00F75F82">
              <w:rPr>
                <w:sz w:val="24"/>
                <w:szCs w:val="24"/>
              </w:rPr>
              <w:t>24,000</w:t>
            </w:r>
          </w:p>
        </w:tc>
        <w:tc>
          <w:tcPr>
            <w:tcW w:w="1074" w:type="dxa"/>
            <w:tcBorders>
              <w:right w:val="double" w:sz="4" w:space="0" w:color="auto"/>
            </w:tcBorders>
          </w:tcPr>
          <w:p w14:paraId="050D4CEE" w14:textId="655709E3" w:rsidR="006668D7" w:rsidRPr="00F75F82" w:rsidRDefault="00200465" w:rsidP="001E1C6B">
            <w:pPr>
              <w:jc w:val="center"/>
              <w:rPr>
                <w:sz w:val="24"/>
                <w:szCs w:val="24"/>
              </w:rPr>
            </w:pPr>
            <w:r w:rsidRPr="00F75F82">
              <w:rPr>
                <w:sz w:val="24"/>
                <w:szCs w:val="24"/>
              </w:rPr>
              <w:t>16.6%</w:t>
            </w:r>
          </w:p>
        </w:tc>
      </w:tr>
      <w:tr w:rsidR="006668D7" w14:paraId="013F5E26" w14:textId="77777777" w:rsidTr="007A6A5D">
        <w:tc>
          <w:tcPr>
            <w:tcW w:w="2685" w:type="dxa"/>
            <w:tcBorders>
              <w:left w:val="double" w:sz="4" w:space="0" w:color="auto"/>
            </w:tcBorders>
          </w:tcPr>
          <w:p w14:paraId="271A327B" w14:textId="01A6515B" w:rsidR="006668D7" w:rsidRDefault="006668D7">
            <w:r>
              <w:t xml:space="preserve">Post-Filing </w:t>
            </w:r>
            <w:r w:rsidR="001E1C6B">
              <w:t xml:space="preserve">Planning </w:t>
            </w:r>
            <w:r>
              <w:t>Costs</w:t>
            </w:r>
          </w:p>
        </w:tc>
        <w:tc>
          <w:tcPr>
            <w:tcW w:w="1887" w:type="dxa"/>
          </w:tcPr>
          <w:p w14:paraId="330F60B1" w14:textId="65D4E771" w:rsidR="006668D7" w:rsidRPr="00F75F82" w:rsidRDefault="001E1C6B" w:rsidP="001E1C6B">
            <w:pPr>
              <w:jc w:val="right"/>
              <w:rPr>
                <w:sz w:val="24"/>
                <w:szCs w:val="24"/>
              </w:rPr>
            </w:pPr>
            <w:r w:rsidRPr="00F75F82">
              <w:rPr>
                <w:sz w:val="24"/>
                <w:szCs w:val="24"/>
              </w:rPr>
              <w:t>40,000</w:t>
            </w:r>
          </w:p>
        </w:tc>
        <w:tc>
          <w:tcPr>
            <w:tcW w:w="1887" w:type="dxa"/>
          </w:tcPr>
          <w:p w14:paraId="6FFD2F21" w14:textId="3447909A" w:rsidR="006668D7" w:rsidRPr="00F75F82" w:rsidRDefault="00672404" w:rsidP="001E1C6B">
            <w:pPr>
              <w:jc w:val="right"/>
              <w:rPr>
                <w:sz w:val="24"/>
                <w:szCs w:val="24"/>
              </w:rPr>
            </w:pPr>
            <w:r w:rsidRPr="00F75F82">
              <w:rPr>
                <w:sz w:val="24"/>
                <w:szCs w:val="24"/>
              </w:rPr>
              <w:t>180,000</w:t>
            </w:r>
          </w:p>
        </w:tc>
        <w:tc>
          <w:tcPr>
            <w:tcW w:w="1797" w:type="dxa"/>
          </w:tcPr>
          <w:p w14:paraId="5F05F41B" w14:textId="2334002E" w:rsidR="006668D7" w:rsidRPr="00F75F82" w:rsidRDefault="00200465" w:rsidP="001E1C6B">
            <w:pPr>
              <w:jc w:val="right"/>
              <w:rPr>
                <w:sz w:val="24"/>
                <w:szCs w:val="24"/>
              </w:rPr>
            </w:pPr>
            <w:r w:rsidRPr="00F75F82">
              <w:rPr>
                <w:sz w:val="24"/>
                <w:szCs w:val="24"/>
              </w:rPr>
              <w:t>140,000</w:t>
            </w:r>
          </w:p>
        </w:tc>
        <w:tc>
          <w:tcPr>
            <w:tcW w:w="1074" w:type="dxa"/>
            <w:tcBorders>
              <w:right w:val="double" w:sz="4" w:space="0" w:color="auto"/>
            </w:tcBorders>
          </w:tcPr>
          <w:p w14:paraId="0272980A" w14:textId="7EC26CA8" w:rsidR="006668D7" w:rsidRPr="00F75F82" w:rsidRDefault="00200465" w:rsidP="001E1C6B">
            <w:pPr>
              <w:jc w:val="center"/>
              <w:rPr>
                <w:sz w:val="24"/>
                <w:szCs w:val="24"/>
              </w:rPr>
            </w:pPr>
            <w:r w:rsidRPr="00F75F82">
              <w:rPr>
                <w:sz w:val="24"/>
                <w:szCs w:val="24"/>
              </w:rPr>
              <w:t>350.0%</w:t>
            </w:r>
          </w:p>
        </w:tc>
      </w:tr>
      <w:tr w:rsidR="006668D7" w14:paraId="2BCF5E18" w14:textId="77777777" w:rsidTr="007A6A5D">
        <w:tc>
          <w:tcPr>
            <w:tcW w:w="2685" w:type="dxa"/>
            <w:tcBorders>
              <w:left w:val="double" w:sz="4" w:space="0" w:color="auto"/>
            </w:tcBorders>
          </w:tcPr>
          <w:p w14:paraId="770B9937" w14:textId="55629B50" w:rsidR="006668D7" w:rsidRDefault="006668D7">
            <w:r>
              <w:t xml:space="preserve">Net Interest </w:t>
            </w:r>
            <w:r w:rsidR="001E1C6B">
              <w:t>Construction</w:t>
            </w:r>
          </w:p>
        </w:tc>
        <w:tc>
          <w:tcPr>
            <w:tcW w:w="1887" w:type="dxa"/>
          </w:tcPr>
          <w:p w14:paraId="1301D9C6" w14:textId="275E498D" w:rsidR="006668D7" w:rsidRPr="00F75F82" w:rsidRDefault="001E1C6B" w:rsidP="001E1C6B">
            <w:pPr>
              <w:jc w:val="right"/>
              <w:rPr>
                <w:sz w:val="24"/>
                <w:szCs w:val="24"/>
              </w:rPr>
            </w:pPr>
            <w:r w:rsidRPr="00F75F82">
              <w:rPr>
                <w:sz w:val="24"/>
                <w:szCs w:val="24"/>
              </w:rPr>
              <w:t>276,695</w:t>
            </w:r>
          </w:p>
        </w:tc>
        <w:tc>
          <w:tcPr>
            <w:tcW w:w="1887" w:type="dxa"/>
          </w:tcPr>
          <w:p w14:paraId="490C3EE5" w14:textId="2B154022" w:rsidR="006668D7" w:rsidRPr="00F75F82" w:rsidRDefault="00672404" w:rsidP="001E1C6B">
            <w:pPr>
              <w:jc w:val="right"/>
              <w:rPr>
                <w:sz w:val="24"/>
                <w:szCs w:val="24"/>
              </w:rPr>
            </w:pPr>
            <w:r w:rsidRPr="00F75F82">
              <w:rPr>
                <w:sz w:val="24"/>
                <w:szCs w:val="24"/>
              </w:rPr>
              <w:t>664,258</w:t>
            </w:r>
          </w:p>
        </w:tc>
        <w:tc>
          <w:tcPr>
            <w:tcW w:w="1797" w:type="dxa"/>
          </w:tcPr>
          <w:p w14:paraId="75D5B958" w14:textId="65ED5937" w:rsidR="006668D7" w:rsidRPr="00F75F82" w:rsidRDefault="00200465" w:rsidP="001E1C6B">
            <w:pPr>
              <w:jc w:val="right"/>
              <w:rPr>
                <w:sz w:val="24"/>
                <w:szCs w:val="24"/>
              </w:rPr>
            </w:pPr>
            <w:r w:rsidRPr="00F75F82">
              <w:rPr>
                <w:sz w:val="24"/>
                <w:szCs w:val="24"/>
              </w:rPr>
              <w:t>387,653</w:t>
            </w:r>
          </w:p>
        </w:tc>
        <w:tc>
          <w:tcPr>
            <w:tcW w:w="1074" w:type="dxa"/>
            <w:tcBorders>
              <w:right w:val="double" w:sz="4" w:space="0" w:color="auto"/>
            </w:tcBorders>
          </w:tcPr>
          <w:p w14:paraId="2334633A" w14:textId="723DD274" w:rsidR="006668D7" w:rsidRPr="00F75F82" w:rsidRDefault="00200465" w:rsidP="001E1C6B">
            <w:pPr>
              <w:jc w:val="center"/>
              <w:rPr>
                <w:sz w:val="24"/>
                <w:szCs w:val="24"/>
              </w:rPr>
            </w:pPr>
            <w:r w:rsidRPr="00F75F82">
              <w:rPr>
                <w:sz w:val="24"/>
                <w:szCs w:val="24"/>
              </w:rPr>
              <w:t>140.1%</w:t>
            </w:r>
          </w:p>
        </w:tc>
      </w:tr>
      <w:tr w:rsidR="006668D7" w14:paraId="67AB7A51" w14:textId="77777777" w:rsidTr="007A6A5D">
        <w:tc>
          <w:tcPr>
            <w:tcW w:w="2685" w:type="dxa"/>
            <w:tcBorders>
              <w:left w:val="double" w:sz="4" w:space="0" w:color="auto"/>
              <w:bottom w:val="single" w:sz="4" w:space="0" w:color="auto"/>
            </w:tcBorders>
          </w:tcPr>
          <w:p w14:paraId="4D599722" w14:textId="59042F51" w:rsidR="006668D7" w:rsidRDefault="001E1C6B">
            <w:r>
              <w:t>Major Movable Equipment</w:t>
            </w:r>
          </w:p>
        </w:tc>
        <w:tc>
          <w:tcPr>
            <w:tcW w:w="1887" w:type="dxa"/>
            <w:tcBorders>
              <w:bottom w:val="single" w:sz="4" w:space="0" w:color="auto"/>
            </w:tcBorders>
          </w:tcPr>
          <w:p w14:paraId="0107DA15" w14:textId="235D9446" w:rsidR="006668D7" w:rsidRPr="00F75F82" w:rsidRDefault="001E1C6B" w:rsidP="001E1C6B">
            <w:pPr>
              <w:jc w:val="right"/>
              <w:rPr>
                <w:sz w:val="24"/>
                <w:szCs w:val="24"/>
              </w:rPr>
            </w:pPr>
            <w:r w:rsidRPr="00F75F82">
              <w:rPr>
                <w:sz w:val="24"/>
                <w:szCs w:val="24"/>
              </w:rPr>
              <w:t>628,909</w:t>
            </w:r>
          </w:p>
        </w:tc>
        <w:tc>
          <w:tcPr>
            <w:tcW w:w="1887" w:type="dxa"/>
            <w:tcBorders>
              <w:bottom w:val="single" w:sz="4" w:space="0" w:color="auto"/>
            </w:tcBorders>
          </w:tcPr>
          <w:p w14:paraId="25460C3B" w14:textId="10B23D15" w:rsidR="006668D7" w:rsidRPr="00F75F82" w:rsidRDefault="00672404" w:rsidP="001E1C6B">
            <w:pPr>
              <w:jc w:val="right"/>
              <w:rPr>
                <w:sz w:val="24"/>
                <w:szCs w:val="24"/>
              </w:rPr>
            </w:pPr>
            <w:r w:rsidRPr="00F75F82">
              <w:rPr>
                <w:sz w:val="24"/>
                <w:szCs w:val="24"/>
              </w:rPr>
              <w:t>629,000</w:t>
            </w:r>
          </w:p>
        </w:tc>
        <w:tc>
          <w:tcPr>
            <w:tcW w:w="1797" w:type="dxa"/>
            <w:tcBorders>
              <w:bottom w:val="single" w:sz="4" w:space="0" w:color="auto"/>
            </w:tcBorders>
          </w:tcPr>
          <w:p w14:paraId="0B4FFA8C" w14:textId="3ECAC961" w:rsidR="006668D7" w:rsidRPr="00F75F82" w:rsidRDefault="00200465" w:rsidP="001E1C6B">
            <w:pPr>
              <w:jc w:val="right"/>
              <w:rPr>
                <w:sz w:val="24"/>
                <w:szCs w:val="24"/>
              </w:rPr>
            </w:pPr>
            <w:r w:rsidRPr="00F75F82">
              <w:rPr>
                <w:sz w:val="24"/>
                <w:szCs w:val="24"/>
              </w:rPr>
              <w:t>91</w:t>
            </w:r>
          </w:p>
        </w:tc>
        <w:tc>
          <w:tcPr>
            <w:tcW w:w="1074" w:type="dxa"/>
            <w:tcBorders>
              <w:bottom w:val="single" w:sz="4" w:space="0" w:color="auto"/>
              <w:right w:val="double" w:sz="4" w:space="0" w:color="auto"/>
            </w:tcBorders>
          </w:tcPr>
          <w:p w14:paraId="164B73F0" w14:textId="31CC3F36" w:rsidR="006668D7" w:rsidRPr="00F75F82" w:rsidRDefault="00A95EC4" w:rsidP="001E1C6B">
            <w:pPr>
              <w:jc w:val="center"/>
              <w:rPr>
                <w:sz w:val="24"/>
                <w:szCs w:val="24"/>
              </w:rPr>
            </w:pPr>
            <w:r w:rsidRPr="00F75F82">
              <w:rPr>
                <w:sz w:val="24"/>
                <w:szCs w:val="24"/>
              </w:rPr>
              <w:t>0%</w:t>
            </w:r>
          </w:p>
        </w:tc>
      </w:tr>
      <w:tr w:rsidR="006668D7" w14:paraId="21C98814" w14:textId="77777777" w:rsidTr="007A6A5D">
        <w:tc>
          <w:tcPr>
            <w:tcW w:w="2685" w:type="dxa"/>
            <w:tcBorders>
              <w:left w:val="double" w:sz="4" w:space="0" w:color="auto"/>
              <w:bottom w:val="double" w:sz="4" w:space="0" w:color="auto"/>
            </w:tcBorders>
          </w:tcPr>
          <w:p w14:paraId="3880597E" w14:textId="384D1F61" w:rsidR="006668D7" w:rsidRPr="001E1C6B" w:rsidRDefault="001E1C6B">
            <w:pPr>
              <w:rPr>
                <w:b/>
                <w:bCs/>
              </w:rPr>
            </w:pPr>
            <w:r w:rsidRPr="001E1C6B">
              <w:rPr>
                <w:b/>
                <w:bCs/>
              </w:rPr>
              <w:t>Total Construction Cost</w:t>
            </w:r>
          </w:p>
        </w:tc>
        <w:tc>
          <w:tcPr>
            <w:tcW w:w="1887" w:type="dxa"/>
            <w:tcBorders>
              <w:bottom w:val="double" w:sz="4" w:space="0" w:color="auto"/>
            </w:tcBorders>
          </w:tcPr>
          <w:p w14:paraId="2EF613B0" w14:textId="56B2B436" w:rsidR="006668D7" w:rsidRPr="00F75F82" w:rsidRDefault="00672404" w:rsidP="001E1C6B">
            <w:pPr>
              <w:jc w:val="right"/>
              <w:rPr>
                <w:b/>
                <w:bCs/>
                <w:sz w:val="24"/>
                <w:szCs w:val="24"/>
              </w:rPr>
            </w:pPr>
            <w:r w:rsidRPr="00F75F82">
              <w:rPr>
                <w:b/>
                <w:bCs/>
                <w:sz w:val="24"/>
                <w:szCs w:val="24"/>
              </w:rPr>
              <w:t>$</w:t>
            </w:r>
            <w:r w:rsidR="001E1C6B" w:rsidRPr="00F75F82">
              <w:rPr>
                <w:b/>
                <w:bCs/>
                <w:sz w:val="24"/>
                <w:szCs w:val="24"/>
              </w:rPr>
              <w:t>9,929,417</w:t>
            </w:r>
          </w:p>
        </w:tc>
        <w:tc>
          <w:tcPr>
            <w:tcW w:w="1887" w:type="dxa"/>
            <w:tcBorders>
              <w:bottom w:val="double" w:sz="4" w:space="0" w:color="auto"/>
            </w:tcBorders>
          </w:tcPr>
          <w:p w14:paraId="315E0368" w14:textId="6F457552" w:rsidR="006668D7" w:rsidRPr="00F75F82" w:rsidRDefault="00672404" w:rsidP="001E1C6B">
            <w:pPr>
              <w:jc w:val="right"/>
              <w:rPr>
                <w:b/>
                <w:bCs/>
                <w:sz w:val="24"/>
                <w:szCs w:val="24"/>
              </w:rPr>
            </w:pPr>
            <w:r w:rsidRPr="00F75F82">
              <w:rPr>
                <w:b/>
                <w:bCs/>
                <w:sz w:val="24"/>
                <w:szCs w:val="24"/>
              </w:rPr>
              <w:t>$17,076,078</w:t>
            </w:r>
          </w:p>
        </w:tc>
        <w:tc>
          <w:tcPr>
            <w:tcW w:w="1797" w:type="dxa"/>
            <w:tcBorders>
              <w:bottom w:val="double" w:sz="4" w:space="0" w:color="auto"/>
            </w:tcBorders>
          </w:tcPr>
          <w:p w14:paraId="7EB576A8" w14:textId="77777777" w:rsidR="006668D7" w:rsidRPr="00F75F82" w:rsidRDefault="006668D7" w:rsidP="001E1C6B">
            <w:pPr>
              <w:jc w:val="right"/>
              <w:rPr>
                <w:b/>
                <w:bCs/>
                <w:sz w:val="24"/>
                <w:szCs w:val="24"/>
              </w:rPr>
            </w:pPr>
          </w:p>
        </w:tc>
        <w:tc>
          <w:tcPr>
            <w:tcW w:w="1074" w:type="dxa"/>
            <w:tcBorders>
              <w:bottom w:val="double" w:sz="4" w:space="0" w:color="auto"/>
              <w:right w:val="double" w:sz="4" w:space="0" w:color="auto"/>
            </w:tcBorders>
          </w:tcPr>
          <w:p w14:paraId="12960EFC" w14:textId="77777777" w:rsidR="006668D7" w:rsidRPr="00F75F82" w:rsidRDefault="006668D7" w:rsidP="001E1C6B">
            <w:pPr>
              <w:jc w:val="center"/>
              <w:rPr>
                <w:b/>
                <w:bCs/>
                <w:sz w:val="24"/>
                <w:szCs w:val="24"/>
              </w:rPr>
            </w:pPr>
          </w:p>
        </w:tc>
      </w:tr>
      <w:tr w:rsidR="006668D7" w14:paraId="0BDB23A4" w14:textId="77777777" w:rsidTr="007A6A5D">
        <w:tc>
          <w:tcPr>
            <w:tcW w:w="2685" w:type="dxa"/>
            <w:tcBorders>
              <w:top w:val="double" w:sz="4" w:space="0" w:color="auto"/>
              <w:left w:val="double" w:sz="4" w:space="0" w:color="auto"/>
              <w:bottom w:val="double" w:sz="4" w:space="0" w:color="auto"/>
            </w:tcBorders>
          </w:tcPr>
          <w:p w14:paraId="4B763963" w14:textId="695CD1A1" w:rsidR="006668D7" w:rsidRPr="001E1C6B" w:rsidRDefault="001E1C6B">
            <w:pPr>
              <w:rPr>
                <w:b/>
                <w:bCs/>
              </w:rPr>
            </w:pPr>
            <w:r>
              <w:rPr>
                <w:b/>
                <w:bCs/>
              </w:rPr>
              <w:t>Financing Costs</w:t>
            </w:r>
          </w:p>
        </w:tc>
        <w:tc>
          <w:tcPr>
            <w:tcW w:w="1887" w:type="dxa"/>
            <w:tcBorders>
              <w:top w:val="double" w:sz="4" w:space="0" w:color="auto"/>
              <w:bottom w:val="double" w:sz="4" w:space="0" w:color="auto"/>
            </w:tcBorders>
          </w:tcPr>
          <w:p w14:paraId="118467CE" w14:textId="64A1747A" w:rsidR="006668D7" w:rsidRPr="00F75F82" w:rsidRDefault="001E1C6B" w:rsidP="001E1C6B">
            <w:pPr>
              <w:jc w:val="right"/>
              <w:rPr>
                <w:sz w:val="24"/>
                <w:szCs w:val="24"/>
              </w:rPr>
            </w:pPr>
            <w:r w:rsidRPr="00F75F82">
              <w:rPr>
                <w:sz w:val="24"/>
                <w:szCs w:val="24"/>
              </w:rPr>
              <w:t>158,305</w:t>
            </w:r>
          </w:p>
        </w:tc>
        <w:tc>
          <w:tcPr>
            <w:tcW w:w="1887" w:type="dxa"/>
            <w:tcBorders>
              <w:top w:val="double" w:sz="4" w:space="0" w:color="auto"/>
              <w:bottom w:val="double" w:sz="4" w:space="0" w:color="auto"/>
            </w:tcBorders>
          </w:tcPr>
          <w:p w14:paraId="1F8EFF56" w14:textId="1C7D50EB" w:rsidR="006668D7" w:rsidRPr="00F75F82" w:rsidRDefault="00672404" w:rsidP="001E1C6B">
            <w:pPr>
              <w:jc w:val="right"/>
              <w:rPr>
                <w:sz w:val="24"/>
                <w:szCs w:val="24"/>
              </w:rPr>
            </w:pPr>
            <w:r w:rsidRPr="00F75F82">
              <w:rPr>
                <w:sz w:val="24"/>
                <w:szCs w:val="24"/>
              </w:rPr>
              <w:t>420,422</w:t>
            </w:r>
          </w:p>
        </w:tc>
        <w:tc>
          <w:tcPr>
            <w:tcW w:w="1797" w:type="dxa"/>
            <w:tcBorders>
              <w:top w:val="double" w:sz="4" w:space="0" w:color="auto"/>
              <w:bottom w:val="double" w:sz="4" w:space="0" w:color="auto"/>
            </w:tcBorders>
          </w:tcPr>
          <w:p w14:paraId="4BE6543E" w14:textId="6492B3F7" w:rsidR="006668D7" w:rsidRPr="00F75F82" w:rsidRDefault="00200465" w:rsidP="001E1C6B">
            <w:pPr>
              <w:jc w:val="right"/>
              <w:rPr>
                <w:sz w:val="24"/>
                <w:szCs w:val="24"/>
              </w:rPr>
            </w:pPr>
            <w:r w:rsidRPr="00F75F82">
              <w:rPr>
                <w:sz w:val="24"/>
                <w:szCs w:val="24"/>
              </w:rPr>
              <w:t>262,177</w:t>
            </w:r>
          </w:p>
        </w:tc>
        <w:tc>
          <w:tcPr>
            <w:tcW w:w="1074" w:type="dxa"/>
            <w:tcBorders>
              <w:top w:val="double" w:sz="4" w:space="0" w:color="auto"/>
              <w:bottom w:val="double" w:sz="4" w:space="0" w:color="auto"/>
              <w:right w:val="double" w:sz="4" w:space="0" w:color="auto"/>
            </w:tcBorders>
          </w:tcPr>
          <w:p w14:paraId="5E3AABBC" w14:textId="4BD0B455" w:rsidR="006668D7" w:rsidRPr="00F75F82" w:rsidRDefault="00A95EC4" w:rsidP="001E1C6B">
            <w:pPr>
              <w:jc w:val="center"/>
              <w:rPr>
                <w:sz w:val="24"/>
                <w:szCs w:val="24"/>
              </w:rPr>
            </w:pPr>
            <w:r w:rsidRPr="00F75F82">
              <w:rPr>
                <w:sz w:val="24"/>
                <w:szCs w:val="24"/>
              </w:rPr>
              <w:t>165.6%</w:t>
            </w:r>
          </w:p>
        </w:tc>
      </w:tr>
      <w:tr w:rsidR="006668D7" w:rsidRPr="001E1C6B" w14:paraId="774265D9" w14:textId="77777777" w:rsidTr="007A6A5D">
        <w:tc>
          <w:tcPr>
            <w:tcW w:w="2685" w:type="dxa"/>
            <w:tcBorders>
              <w:top w:val="double" w:sz="4" w:space="0" w:color="auto"/>
              <w:left w:val="double" w:sz="4" w:space="0" w:color="auto"/>
              <w:bottom w:val="double" w:sz="4" w:space="0" w:color="auto"/>
            </w:tcBorders>
          </w:tcPr>
          <w:p w14:paraId="70F303F8" w14:textId="28C1E6AA" w:rsidR="006668D7" w:rsidRPr="001E1C6B" w:rsidRDefault="001E1C6B">
            <w:pPr>
              <w:rPr>
                <w:b/>
                <w:bCs/>
              </w:rPr>
            </w:pPr>
            <w:r w:rsidRPr="001E1C6B">
              <w:rPr>
                <w:b/>
                <w:bCs/>
              </w:rPr>
              <w:t>TOTAL</w:t>
            </w:r>
          </w:p>
        </w:tc>
        <w:tc>
          <w:tcPr>
            <w:tcW w:w="1887" w:type="dxa"/>
            <w:tcBorders>
              <w:top w:val="double" w:sz="4" w:space="0" w:color="auto"/>
              <w:bottom w:val="double" w:sz="4" w:space="0" w:color="auto"/>
            </w:tcBorders>
          </w:tcPr>
          <w:p w14:paraId="35EC468B" w14:textId="28406428" w:rsidR="006668D7" w:rsidRPr="00F75F82" w:rsidRDefault="001E1C6B" w:rsidP="001E1C6B">
            <w:pPr>
              <w:jc w:val="right"/>
              <w:rPr>
                <w:b/>
                <w:bCs/>
                <w:sz w:val="24"/>
                <w:szCs w:val="24"/>
              </w:rPr>
            </w:pPr>
            <w:r w:rsidRPr="00F75F82">
              <w:rPr>
                <w:b/>
                <w:bCs/>
                <w:sz w:val="24"/>
                <w:szCs w:val="24"/>
              </w:rPr>
              <w:t>$10,087,722</w:t>
            </w:r>
          </w:p>
        </w:tc>
        <w:tc>
          <w:tcPr>
            <w:tcW w:w="1887" w:type="dxa"/>
            <w:tcBorders>
              <w:top w:val="double" w:sz="4" w:space="0" w:color="auto"/>
              <w:bottom w:val="double" w:sz="4" w:space="0" w:color="auto"/>
            </w:tcBorders>
          </w:tcPr>
          <w:p w14:paraId="445B094E" w14:textId="750DD86C" w:rsidR="006668D7" w:rsidRPr="00F75F82" w:rsidRDefault="00672404" w:rsidP="001E1C6B">
            <w:pPr>
              <w:jc w:val="right"/>
              <w:rPr>
                <w:b/>
                <w:bCs/>
                <w:sz w:val="24"/>
                <w:szCs w:val="24"/>
              </w:rPr>
            </w:pPr>
            <w:r w:rsidRPr="00F75F82">
              <w:rPr>
                <w:b/>
                <w:bCs/>
                <w:sz w:val="24"/>
                <w:szCs w:val="24"/>
              </w:rPr>
              <w:t>$17,496,500</w:t>
            </w:r>
          </w:p>
        </w:tc>
        <w:tc>
          <w:tcPr>
            <w:tcW w:w="1797" w:type="dxa"/>
            <w:tcBorders>
              <w:top w:val="double" w:sz="4" w:space="0" w:color="auto"/>
              <w:bottom w:val="double" w:sz="4" w:space="0" w:color="auto"/>
            </w:tcBorders>
          </w:tcPr>
          <w:p w14:paraId="7380C1C3" w14:textId="58F26208" w:rsidR="006668D7" w:rsidRPr="00F75F82" w:rsidRDefault="00672404" w:rsidP="001E1C6B">
            <w:pPr>
              <w:jc w:val="right"/>
              <w:rPr>
                <w:b/>
                <w:bCs/>
                <w:sz w:val="24"/>
                <w:szCs w:val="24"/>
              </w:rPr>
            </w:pPr>
            <w:r w:rsidRPr="00F75F82">
              <w:rPr>
                <w:b/>
                <w:bCs/>
                <w:sz w:val="24"/>
                <w:szCs w:val="24"/>
              </w:rPr>
              <w:t>$7,408,788</w:t>
            </w:r>
          </w:p>
        </w:tc>
        <w:tc>
          <w:tcPr>
            <w:tcW w:w="1074" w:type="dxa"/>
            <w:tcBorders>
              <w:top w:val="double" w:sz="4" w:space="0" w:color="auto"/>
              <w:bottom w:val="double" w:sz="4" w:space="0" w:color="auto"/>
              <w:right w:val="double" w:sz="4" w:space="0" w:color="auto"/>
            </w:tcBorders>
          </w:tcPr>
          <w:p w14:paraId="2D963A2C" w14:textId="431E953D" w:rsidR="006668D7" w:rsidRPr="00F75F82" w:rsidRDefault="00200465" w:rsidP="001E1C6B">
            <w:pPr>
              <w:jc w:val="center"/>
              <w:rPr>
                <w:b/>
                <w:bCs/>
                <w:sz w:val="24"/>
                <w:szCs w:val="24"/>
              </w:rPr>
            </w:pPr>
            <w:r w:rsidRPr="00F75F82">
              <w:rPr>
                <w:b/>
                <w:bCs/>
                <w:sz w:val="24"/>
                <w:szCs w:val="24"/>
              </w:rPr>
              <w:t>73.4%</w:t>
            </w:r>
          </w:p>
        </w:tc>
      </w:tr>
    </w:tbl>
    <w:p w14:paraId="7C8C6462" w14:textId="0D238E48" w:rsidR="006668D7" w:rsidRDefault="00E829F2">
      <w:pPr>
        <w:rPr>
          <w:b/>
          <w:bCs/>
        </w:rPr>
      </w:pPr>
      <w:r>
        <w:rPr>
          <w:b/>
          <w:bCs/>
        </w:rPr>
        <w:t xml:space="preserve"> </w:t>
      </w:r>
    </w:p>
    <w:p w14:paraId="32C6BA1C" w14:textId="77777777" w:rsidR="009801F3" w:rsidRDefault="009801F3">
      <w:pPr>
        <w:rPr>
          <w:sz w:val="24"/>
          <w:szCs w:val="24"/>
        </w:rPr>
      </w:pPr>
    </w:p>
    <w:p w14:paraId="2F7A5EA4" w14:textId="77777777" w:rsidR="009801F3" w:rsidRPr="000E0588" w:rsidRDefault="009801F3" w:rsidP="009801F3">
      <w:pPr>
        <w:pStyle w:val="Heading2"/>
        <w:rPr>
          <w:color w:val="auto"/>
        </w:rPr>
      </w:pPr>
      <w:r w:rsidRPr="000E0588">
        <w:rPr>
          <w:color w:val="auto"/>
        </w:rPr>
        <w:lastRenderedPageBreak/>
        <w:t>DoN Project-19120215-CL</w:t>
      </w:r>
    </w:p>
    <w:p w14:paraId="048D76CC" w14:textId="77777777" w:rsidR="009801F3" w:rsidRPr="000E0588" w:rsidRDefault="009801F3" w:rsidP="009801F3">
      <w:pPr>
        <w:pStyle w:val="Heading2"/>
        <w:rPr>
          <w:color w:val="auto"/>
        </w:rPr>
      </w:pPr>
      <w:r w:rsidRPr="000E0588">
        <w:rPr>
          <w:color w:val="auto"/>
        </w:rPr>
        <w:t>Advocate Healthcare of East Boston</w:t>
      </w:r>
    </w:p>
    <w:p w14:paraId="421332F2" w14:textId="77777777" w:rsidR="009801F3" w:rsidRPr="000E0588" w:rsidRDefault="009801F3" w:rsidP="009801F3">
      <w:pPr>
        <w:pStyle w:val="Heading2"/>
        <w:rPr>
          <w:color w:val="auto"/>
        </w:rPr>
      </w:pPr>
      <w:r w:rsidRPr="000E0588">
        <w:rPr>
          <w:color w:val="auto"/>
        </w:rPr>
        <w:t>Significant Amendment</w:t>
      </w:r>
    </w:p>
    <w:p w14:paraId="6E83B7AF" w14:textId="77777777" w:rsidR="009801F3" w:rsidRDefault="009801F3">
      <w:pPr>
        <w:rPr>
          <w:sz w:val="24"/>
          <w:szCs w:val="24"/>
        </w:rPr>
      </w:pPr>
    </w:p>
    <w:p w14:paraId="281620F9" w14:textId="4400D1F7" w:rsidR="007A6A5D" w:rsidRPr="007A6A5D" w:rsidRDefault="007A6A5D">
      <w:pPr>
        <w:rPr>
          <w:sz w:val="24"/>
          <w:szCs w:val="24"/>
        </w:rPr>
      </w:pPr>
      <w:r w:rsidRPr="007A6A5D">
        <w:rPr>
          <w:sz w:val="24"/>
          <w:szCs w:val="24"/>
        </w:rPr>
        <w:t>The following item by item discussion is a review in each of the items that make up that particular cost category.  It includes the amount of increase and the specific reasons attributed for the cost increase.</w:t>
      </w:r>
    </w:p>
    <w:p w14:paraId="38160C28" w14:textId="4363F7EF" w:rsidR="00620645" w:rsidRPr="00F75F82" w:rsidRDefault="007A6A5D">
      <w:pPr>
        <w:rPr>
          <w:rFonts w:cstheme="minorHAnsi"/>
          <w:sz w:val="24"/>
          <w:szCs w:val="24"/>
          <w:u w:val="single"/>
        </w:rPr>
      </w:pPr>
      <w:r>
        <w:rPr>
          <w:rFonts w:cstheme="minorHAnsi"/>
          <w:sz w:val="24"/>
          <w:szCs w:val="24"/>
        </w:rPr>
        <w:t>A.</w:t>
      </w:r>
      <w:r w:rsidR="0047071D" w:rsidRPr="00F75F82">
        <w:rPr>
          <w:rFonts w:cstheme="minorHAnsi"/>
          <w:sz w:val="24"/>
          <w:szCs w:val="24"/>
        </w:rPr>
        <w:t xml:space="preserve"> </w:t>
      </w:r>
      <w:r>
        <w:rPr>
          <w:rFonts w:cstheme="minorHAnsi"/>
          <w:sz w:val="24"/>
          <w:szCs w:val="24"/>
        </w:rPr>
        <w:tab/>
      </w:r>
      <w:r w:rsidR="00B51307" w:rsidRPr="00F75F82">
        <w:rPr>
          <w:rFonts w:cstheme="minorHAnsi"/>
          <w:sz w:val="24"/>
          <w:szCs w:val="24"/>
          <w:u w:val="single"/>
        </w:rPr>
        <w:t>Construction Contract</w:t>
      </w:r>
    </w:p>
    <w:p w14:paraId="28D21526" w14:textId="14196D81" w:rsidR="00487053" w:rsidRPr="00F75F82" w:rsidRDefault="00B51307">
      <w:pPr>
        <w:rPr>
          <w:rFonts w:cstheme="minorHAnsi"/>
          <w:sz w:val="24"/>
          <w:szCs w:val="24"/>
        </w:rPr>
      </w:pPr>
      <w:r w:rsidRPr="00F75F82">
        <w:rPr>
          <w:rFonts w:cstheme="minorHAnsi"/>
          <w:sz w:val="24"/>
          <w:szCs w:val="24"/>
        </w:rPr>
        <w:t xml:space="preserve">There are a variety of areas within the expense category of construction contact that experienced an increase in costs over the original cost estimates.  </w:t>
      </w:r>
      <w:r w:rsidR="00487053" w:rsidRPr="00F75F82">
        <w:rPr>
          <w:rFonts w:cstheme="minorHAnsi"/>
          <w:sz w:val="24"/>
          <w:szCs w:val="24"/>
        </w:rPr>
        <w:t>The</w:t>
      </w:r>
      <w:r w:rsidRPr="00F75F82">
        <w:rPr>
          <w:rFonts w:cstheme="minorHAnsi"/>
          <w:sz w:val="24"/>
          <w:szCs w:val="24"/>
        </w:rPr>
        <w:t xml:space="preserve"> “prevailing wage” impact of approximately $1.3 million is a</w:t>
      </w:r>
      <w:r w:rsidR="00487053" w:rsidRPr="00F75F82">
        <w:rPr>
          <w:rFonts w:cstheme="minorHAnsi"/>
          <w:sz w:val="24"/>
          <w:szCs w:val="24"/>
        </w:rPr>
        <w:t>n element</w:t>
      </w:r>
      <w:r w:rsidRPr="00F75F82">
        <w:rPr>
          <w:rFonts w:cstheme="minorHAnsi"/>
          <w:sz w:val="24"/>
          <w:szCs w:val="24"/>
        </w:rPr>
        <w:t xml:space="preserve"> of all </w:t>
      </w:r>
      <w:r w:rsidR="00487053" w:rsidRPr="00F75F82">
        <w:rPr>
          <w:rFonts w:cstheme="minorHAnsi"/>
          <w:sz w:val="24"/>
          <w:szCs w:val="24"/>
        </w:rPr>
        <w:t xml:space="preserve">construction </w:t>
      </w:r>
      <w:r w:rsidRPr="00F75F82">
        <w:rPr>
          <w:rFonts w:cstheme="minorHAnsi"/>
          <w:sz w:val="24"/>
          <w:szCs w:val="24"/>
        </w:rPr>
        <w:t>components involving labor</w:t>
      </w:r>
      <w:r w:rsidR="00487053" w:rsidRPr="00F75F82">
        <w:rPr>
          <w:rFonts w:cstheme="minorHAnsi"/>
          <w:sz w:val="24"/>
          <w:szCs w:val="24"/>
        </w:rPr>
        <w:t xml:space="preserve"> and is not itemized in the following discussion.</w:t>
      </w:r>
    </w:p>
    <w:p w14:paraId="3CACD901" w14:textId="43EE963F" w:rsidR="00487053" w:rsidRPr="00F75F82" w:rsidRDefault="000F4E57">
      <w:pPr>
        <w:rPr>
          <w:rFonts w:cstheme="minorHAnsi"/>
          <w:sz w:val="24"/>
          <w:szCs w:val="24"/>
        </w:rPr>
      </w:pPr>
      <w:r w:rsidRPr="00F75F82">
        <w:rPr>
          <w:rFonts w:cstheme="minorHAnsi"/>
          <w:sz w:val="24"/>
          <w:szCs w:val="24"/>
        </w:rPr>
        <w:t xml:space="preserve">As these </w:t>
      </w:r>
      <w:r w:rsidR="0084227F">
        <w:rPr>
          <w:rFonts w:cstheme="minorHAnsi"/>
          <w:sz w:val="24"/>
          <w:szCs w:val="24"/>
        </w:rPr>
        <w:t>recent</w:t>
      </w:r>
      <w:r w:rsidR="00350AC1" w:rsidRPr="00F75F82">
        <w:rPr>
          <w:rFonts w:cstheme="minorHAnsi"/>
          <w:sz w:val="24"/>
          <w:szCs w:val="24"/>
        </w:rPr>
        <w:t xml:space="preserve"> </w:t>
      </w:r>
      <w:r w:rsidRPr="00F75F82">
        <w:rPr>
          <w:rFonts w:cstheme="minorHAnsi"/>
          <w:sz w:val="24"/>
          <w:szCs w:val="24"/>
        </w:rPr>
        <w:t>estimates demonstrate, the 18</w:t>
      </w:r>
      <w:r w:rsidR="00487053" w:rsidRPr="00F75F82">
        <w:rPr>
          <w:rFonts w:cstheme="minorHAnsi"/>
          <w:sz w:val="24"/>
          <w:szCs w:val="24"/>
        </w:rPr>
        <w:t>-</w:t>
      </w:r>
      <w:r w:rsidRPr="00F75F82">
        <w:rPr>
          <w:rFonts w:cstheme="minorHAnsi"/>
          <w:sz w:val="24"/>
          <w:szCs w:val="24"/>
        </w:rPr>
        <w:t xml:space="preserve">month period since the original estimates were obtained has experienced significant costs </w:t>
      </w:r>
      <w:r w:rsidR="00487053" w:rsidRPr="00F75F82">
        <w:rPr>
          <w:rFonts w:cstheme="minorHAnsi"/>
          <w:sz w:val="24"/>
          <w:szCs w:val="24"/>
        </w:rPr>
        <w:t>increase</w:t>
      </w:r>
      <w:r w:rsidR="00350AC1" w:rsidRPr="00F75F82">
        <w:rPr>
          <w:rFonts w:cstheme="minorHAnsi"/>
          <w:sz w:val="24"/>
          <w:szCs w:val="24"/>
        </w:rPr>
        <w:t xml:space="preserve">s.  A major aspect of such costs increase is the increase cost of </w:t>
      </w:r>
      <w:r w:rsidRPr="00F75F82">
        <w:rPr>
          <w:rFonts w:cstheme="minorHAnsi"/>
          <w:sz w:val="24"/>
          <w:szCs w:val="24"/>
        </w:rPr>
        <w:t xml:space="preserve">materials.  Another common factor in the increase in construction costs </w:t>
      </w:r>
      <w:r w:rsidR="00487053" w:rsidRPr="00F75F82">
        <w:rPr>
          <w:rFonts w:cstheme="minorHAnsi"/>
          <w:sz w:val="24"/>
          <w:szCs w:val="24"/>
        </w:rPr>
        <w:t>arises as a result of additional information</w:t>
      </w:r>
      <w:r w:rsidRPr="00F75F82">
        <w:rPr>
          <w:rFonts w:cstheme="minorHAnsi"/>
          <w:sz w:val="24"/>
          <w:szCs w:val="24"/>
        </w:rPr>
        <w:t xml:space="preserve"> obtained </w:t>
      </w:r>
      <w:r w:rsidR="00487053" w:rsidRPr="00F75F82">
        <w:rPr>
          <w:rFonts w:cstheme="minorHAnsi"/>
          <w:sz w:val="24"/>
          <w:szCs w:val="24"/>
        </w:rPr>
        <w:t>when</w:t>
      </w:r>
      <w:r w:rsidRPr="00F75F82">
        <w:rPr>
          <w:rFonts w:cstheme="minorHAnsi"/>
          <w:sz w:val="24"/>
          <w:szCs w:val="24"/>
        </w:rPr>
        <w:t xml:space="preserve"> the more detailed architectural and engineering inspections </w:t>
      </w:r>
      <w:r w:rsidR="00487053" w:rsidRPr="00F75F82">
        <w:rPr>
          <w:rFonts w:cstheme="minorHAnsi"/>
          <w:sz w:val="24"/>
          <w:szCs w:val="24"/>
        </w:rPr>
        <w:t xml:space="preserve">were conducted </w:t>
      </w:r>
      <w:r w:rsidRPr="00F75F82">
        <w:rPr>
          <w:rFonts w:cstheme="minorHAnsi"/>
          <w:sz w:val="24"/>
          <w:szCs w:val="24"/>
        </w:rPr>
        <w:t>and final plans</w:t>
      </w:r>
      <w:r w:rsidR="00487053" w:rsidRPr="00F75F82">
        <w:rPr>
          <w:rFonts w:cstheme="minorHAnsi"/>
          <w:sz w:val="24"/>
          <w:szCs w:val="24"/>
        </w:rPr>
        <w:t xml:space="preserve"> developed</w:t>
      </w:r>
      <w:r w:rsidRPr="00F75F82">
        <w:rPr>
          <w:rFonts w:cstheme="minorHAnsi"/>
          <w:sz w:val="24"/>
          <w:szCs w:val="24"/>
        </w:rPr>
        <w:t xml:space="preserve">.  The fact that the building is concrete block construction impacted the plans </w:t>
      </w:r>
      <w:r w:rsidR="00487053" w:rsidRPr="00F75F82">
        <w:rPr>
          <w:rFonts w:cstheme="minorHAnsi"/>
          <w:sz w:val="24"/>
          <w:szCs w:val="24"/>
        </w:rPr>
        <w:t>more than originally expected as</w:t>
      </w:r>
      <w:r w:rsidRPr="00F75F82">
        <w:rPr>
          <w:rFonts w:cstheme="minorHAnsi"/>
          <w:sz w:val="24"/>
          <w:szCs w:val="24"/>
        </w:rPr>
        <w:t xml:space="preserve"> </w:t>
      </w:r>
      <w:r w:rsidR="00487053" w:rsidRPr="00F75F82">
        <w:rPr>
          <w:rFonts w:cstheme="minorHAnsi"/>
          <w:sz w:val="24"/>
          <w:szCs w:val="24"/>
        </w:rPr>
        <w:t xml:space="preserve">such things as </w:t>
      </w:r>
      <w:r w:rsidRPr="00F75F82">
        <w:rPr>
          <w:rFonts w:cstheme="minorHAnsi"/>
          <w:sz w:val="24"/>
          <w:szCs w:val="24"/>
        </w:rPr>
        <w:t xml:space="preserve">chases and </w:t>
      </w:r>
      <w:r w:rsidR="00487053" w:rsidRPr="00F75F82">
        <w:rPr>
          <w:rFonts w:cstheme="minorHAnsi"/>
          <w:sz w:val="24"/>
          <w:szCs w:val="24"/>
        </w:rPr>
        <w:t>achieving horizontal access for electrical and related rewiring resulted in more expensive approaches being required.</w:t>
      </w:r>
    </w:p>
    <w:p w14:paraId="2DB83945" w14:textId="203AE850" w:rsidR="00487053" w:rsidRPr="00F75F82" w:rsidRDefault="00487053">
      <w:pPr>
        <w:rPr>
          <w:rFonts w:cstheme="minorHAnsi"/>
          <w:sz w:val="24"/>
          <w:szCs w:val="24"/>
        </w:rPr>
      </w:pPr>
      <w:r w:rsidRPr="00F75F82">
        <w:rPr>
          <w:rFonts w:cstheme="minorHAnsi"/>
          <w:sz w:val="24"/>
          <w:szCs w:val="24"/>
        </w:rPr>
        <w:t xml:space="preserve">The following outline reviews the increases in the more major components </w:t>
      </w:r>
      <w:r w:rsidR="001966A9">
        <w:rPr>
          <w:rFonts w:cstheme="minorHAnsi"/>
          <w:sz w:val="24"/>
          <w:szCs w:val="24"/>
        </w:rPr>
        <w:t>that comprise the cost category labeled “C</w:t>
      </w:r>
      <w:r w:rsidRPr="00F75F82">
        <w:rPr>
          <w:rFonts w:cstheme="minorHAnsi"/>
          <w:sz w:val="24"/>
          <w:szCs w:val="24"/>
        </w:rPr>
        <w:t xml:space="preserve">onstruction </w:t>
      </w:r>
      <w:r w:rsidR="001966A9">
        <w:rPr>
          <w:rFonts w:cstheme="minorHAnsi"/>
          <w:sz w:val="24"/>
          <w:szCs w:val="24"/>
        </w:rPr>
        <w:t>C</w:t>
      </w:r>
      <w:r w:rsidRPr="00F75F82">
        <w:rPr>
          <w:rFonts w:cstheme="minorHAnsi"/>
          <w:sz w:val="24"/>
          <w:szCs w:val="24"/>
        </w:rPr>
        <w:t xml:space="preserve">ontract.  </w:t>
      </w:r>
    </w:p>
    <w:p w14:paraId="123CCE8B" w14:textId="77777777" w:rsidR="00B51307" w:rsidRPr="00F75F82" w:rsidRDefault="00B51307" w:rsidP="00350AC1">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t xml:space="preserve">Roofing </w:t>
      </w:r>
    </w:p>
    <w:p w14:paraId="50249449" w14:textId="77777777" w:rsidR="00350AC1" w:rsidRPr="00F75F82" w:rsidRDefault="00350AC1" w:rsidP="00350AC1">
      <w:pPr>
        <w:spacing w:after="0" w:line="240" w:lineRule="auto"/>
        <w:rPr>
          <w:rFonts w:cstheme="minorHAnsi"/>
          <w:sz w:val="24"/>
          <w:szCs w:val="24"/>
        </w:rPr>
      </w:pPr>
    </w:p>
    <w:p w14:paraId="179D3436" w14:textId="61BFFD81" w:rsidR="00B51307" w:rsidRPr="00F75F82" w:rsidRDefault="00350AC1" w:rsidP="00350AC1">
      <w:pPr>
        <w:spacing w:after="0" w:line="240" w:lineRule="auto"/>
        <w:rPr>
          <w:rFonts w:cstheme="minorHAnsi"/>
          <w:sz w:val="24"/>
          <w:szCs w:val="24"/>
        </w:rPr>
      </w:pPr>
      <w:r w:rsidRPr="00F75F82">
        <w:rPr>
          <w:rFonts w:cstheme="minorHAnsi"/>
          <w:sz w:val="24"/>
          <w:szCs w:val="24"/>
        </w:rPr>
        <w:t xml:space="preserve">The initial estimate was </w:t>
      </w:r>
      <w:r w:rsidR="00B51307" w:rsidRPr="00F75F82">
        <w:rPr>
          <w:rFonts w:cstheme="minorHAnsi"/>
          <w:sz w:val="24"/>
          <w:szCs w:val="24"/>
        </w:rPr>
        <w:t>$244,778</w:t>
      </w:r>
      <w:r w:rsidRPr="00F75F82">
        <w:rPr>
          <w:rFonts w:cstheme="minorHAnsi"/>
          <w:sz w:val="24"/>
          <w:szCs w:val="24"/>
        </w:rPr>
        <w:t xml:space="preserve">; however, the current estimate is </w:t>
      </w:r>
      <w:r w:rsidR="00B51307" w:rsidRPr="00F75F82">
        <w:rPr>
          <w:rFonts w:cstheme="minorHAnsi"/>
          <w:sz w:val="24"/>
          <w:szCs w:val="24"/>
        </w:rPr>
        <w:t>$314,220</w:t>
      </w:r>
      <w:r w:rsidRPr="00F75F82">
        <w:rPr>
          <w:rFonts w:cstheme="minorHAnsi"/>
          <w:sz w:val="24"/>
          <w:szCs w:val="24"/>
        </w:rPr>
        <w:t>.  This is an i</w:t>
      </w:r>
      <w:r w:rsidR="00B51307" w:rsidRPr="00F75F82">
        <w:rPr>
          <w:rFonts w:cstheme="minorHAnsi"/>
          <w:sz w:val="24"/>
          <w:szCs w:val="24"/>
        </w:rPr>
        <w:t xml:space="preserve">ncrease </w:t>
      </w:r>
      <w:r w:rsidRPr="00F75F82">
        <w:rPr>
          <w:rFonts w:cstheme="minorHAnsi"/>
          <w:sz w:val="24"/>
          <w:szCs w:val="24"/>
        </w:rPr>
        <w:t>of</w:t>
      </w:r>
      <w:r w:rsidR="00B51307" w:rsidRPr="00F75F82">
        <w:rPr>
          <w:rFonts w:cstheme="minorHAnsi"/>
          <w:sz w:val="24"/>
          <w:szCs w:val="24"/>
        </w:rPr>
        <w:t xml:space="preserve"> $69,442</w:t>
      </w:r>
      <w:r w:rsidRPr="00F75F82">
        <w:rPr>
          <w:rFonts w:cstheme="minorHAnsi"/>
          <w:sz w:val="24"/>
          <w:szCs w:val="24"/>
        </w:rPr>
        <w:t xml:space="preserve">.  A material factor in this increase is that it was determined that the coordination </w:t>
      </w:r>
      <w:r w:rsidR="00B51307" w:rsidRPr="00F75F82">
        <w:rPr>
          <w:rFonts w:cstheme="minorHAnsi"/>
          <w:sz w:val="24"/>
          <w:szCs w:val="24"/>
        </w:rPr>
        <w:t>and phasing of roof repairs</w:t>
      </w:r>
      <w:r w:rsidRPr="00F75F82">
        <w:rPr>
          <w:rFonts w:cstheme="minorHAnsi"/>
          <w:sz w:val="24"/>
          <w:szCs w:val="24"/>
        </w:rPr>
        <w:t>/replacement</w:t>
      </w:r>
      <w:r w:rsidR="00B51307" w:rsidRPr="00F75F82">
        <w:rPr>
          <w:rFonts w:cstheme="minorHAnsi"/>
          <w:sz w:val="24"/>
          <w:szCs w:val="24"/>
        </w:rPr>
        <w:t xml:space="preserve"> </w:t>
      </w:r>
      <w:r w:rsidRPr="00F75F82">
        <w:rPr>
          <w:rFonts w:cstheme="minorHAnsi"/>
          <w:sz w:val="24"/>
          <w:szCs w:val="24"/>
        </w:rPr>
        <w:t>had to be more closely coordinated</w:t>
      </w:r>
      <w:r w:rsidR="00B51307" w:rsidRPr="00F75F82">
        <w:rPr>
          <w:rFonts w:cstheme="minorHAnsi"/>
          <w:sz w:val="24"/>
          <w:szCs w:val="24"/>
        </w:rPr>
        <w:t xml:space="preserve"> in conjunction mechanical systems installation.</w:t>
      </w:r>
      <w:r w:rsidRPr="00F75F82">
        <w:rPr>
          <w:rFonts w:cstheme="minorHAnsi"/>
          <w:sz w:val="24"/>
          <w:szCs w:val="24"/>
        </w:rPr>
        <w:t xml:space="preserve">  This means that the roofing must now be done in phase</w:t>
      </w:r>
      <w:r w:rsidR="0087188A">
        <w:rPr>
          <w:rFonts w:cstheme="minorHAnsi"/>
          <w:sz w:val="24"/>
          <w:szCs w:val="24"/>
        </w:rPr>
        <w:t>s</w:t>
      </w:r>
      <w:r w:rsidRPr="00F75F82">
        <w:rPr>
          <w:rFonts w:cstheme="minorHAnsi"/>
          <w:sz w:val="24"/>
          <w:szCs w:val="24"/>
        </w:rPr>
        <w:t>, which significantly increases the costs of the roofing component of the budget.</w:t>
      </w:r>
    </w:p>
    <w:p w14:paraId="04E8CC8B" w14:textId="77777777" w:rsidR="00B51307" w:rsidRPr="00F75F82" w:rsidRDefault="00B51307" w:rsidP="00350AC1">
      <w:pPr>
        <w:spacing w:after="0" w:line="240" w:lineRule="auto"/>
        <w:ind w:left="360"/>
        <w:rPr>
          <w:rFonts w:cstheme="minorHAnsi"/>
          <w:sz w:val="24"/>
          <w:szCs w:val="24"/>
        </w:rPr>
      </w:pPr>
      <w:r w:rsidRPr="00F75F82">
        <w:rPr>
          <w:rFonts w:cstheme="minorHAnsi"/>
          <w:sz w:val="24"/>
          <w:szCs w:val="24"/>
        </w:rPr>
        <w:t> </w:t>
      </w:r>
    </w:p>
    <w:p w14:paraId="57392B64" w14:textId="77777777" w:rsidR="00350AC1" w:rsidRPr="00F75F82" w:rsidRDefault="00B51307" w:rsidP="00350AC1">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t xml:space="preserve">Glass &amp; Glazing </w:t>
      </w:r>
    </w:p>
    <w:p w14:paraId="5F0B2A0A" w14:textId="77777777" w:rsidR="00350AC1" w:rsidRPr="00F75F82" w:rsidRDefault="00350AC1" w:rsidP="00350AC1">
      <w:pPr>
        <w:spacing w:after="0" w:line="240" w:lineRule="auto"/>
        <w:rPr>
          <w:rFonts w:cstheme="minorHAnsi"/>
          <w:sz w:val="24"/>
          <w:szCs w:val="24"/>
        </w:rPr>
      </w:pPr>
    </w:p>
    <w:p w14:paraId="176A1C0B" w14:textId="77777777" w:rsidR="005A5F76" w:rsidRDefault="00350AC1" w:rsidP="00E31D52">
      <w:pPr>
        <w:spacing w:after="0" w:line="240" w:lineRule="auto"/>
        <w:rPr>
          <w:rFonts w:cstheme="minorHAnsi"/>
          <w:sz w:val="24"/>
          <w:szCs w:val="24"/>
        </w:rPr>
      </w:pPr>
      <w:r w:rsidRPr="00F75F82">
        <w:rPr>
          <w:rFonts w:cstheme="minorHAnsi"/>
          <w:sz w:val="24"/>
          <w:szCs w:val="24"/>
        </w:rPr>
        <w:t xml:space="preserve">The initial estimate for the replacement windows desperately needed by the Facility in order </w:t>
      </w:r>
      <w:r w:rsidR="00E31D52" w:rsidRPr="00F75F82">
        <w:rPr>
          <w:rFonts w:cstheme="minorHAnsi"/>
          <w:sz w:val="24"/>
          <w:szCs w:val="24"/>
        </w:rPr>
        <w:t>to achieve energy efficiency and uniformity in temperature for resident comfort was</w:t>
      </w:r>
      <w:r w:rsidR="00B51307" w:rsidRPr="00F75F82">
        <w:rPr>
          <w:rFonts w:cstheme="minorHAnsi"/>
          <w:sz w:val="24"/>
          <w:szCs w:val="24"/>
        </w:rPr>
        <w:t xml:space="preserve"> $995,044</w:t>
      </w:r>
      <w:r w:rsidR="00E31D52" w:rsidRPr="00F75F82">
        <w:rPr>
          <w:rFonts w:cstheme="minorHAnsi"/>
          <w:sz w:val="24"/>
          <w:szCs w:val="24"/>
        </w:rPr>
        <w:t xml:space="preserve">.  Current estimates are now </w:t>
      </w:r>
      <w:r w:rsidR="00B51307" w:rsidRPr="00F75F82">
        <w:rPr>
          <w:rFonts w:cstheme="minorHAnsi"/>
          <w:sz w:val="24"/>
          <w:szCs w:val="24"/>
        </w:rPr>
        <w:t>$1,309,221</w:t>
      </w:r>
      <w:r w:rsidR="00E31D52" w:rsidRPr="00F75F82">
        <w:rPr>
          <w:rFonts w:cstheme="minorHAnsi"/>
          <w:sz w:val="24"/>
          <w:szCs w:val="24"/>
        </w:rPr>
        <w:t>, which is an i</w:t>
      </w:r>
      <w:r w:rsidR="00B51307" w:rsidRPr="00F75F82">
        <w:rPr>
          <w:rFonts w:cstheme="minorHAnsi"/>
          <w:sz w:val="24"/>
          <w:szCs w:val="24"/>
        </w:rPr>
        <w:t xml:space="preserve">ncrease </w:t>
      </w:r>
      <w:r w:rsidR="00E31D52" w:rsidRPr="00F75F82">
        <w:rPr>
          <w:rFonts w:cstheme="minorHAnsi"/>
          <w:sz w:val="24"/>
          <w:szCs w:val="24"/>
        </w:rPr>
        <w:t>of</w:t>
      </w:r>
      <w:r w:rsidR="00B51307" w:rsidRPr="00F75F82">
        <w:rPr>
          <w:rFonts w:cstheme="minorHAnsi"/>
          <w:sz w:val="24"/>
          <w:szCs w:val="24"/>
        </w:rPr>
        <w:t xml:space="preserve"> $314,177</w:t>
      </w:r>
      <w:r w:rsidR="00E31D52" w:rsidRPr="00F75F82">
        <w:rPr>
          <w:rFonts w:cstheme="minorHAnsi"/>
          <w:sz w:val="24"/>
          <w:szCs w:val="24"/>
        </w:rPr>
        <w:t xml:space="preserve">.  </w:t>
      </w:r>
      <w:r w:rsidR="0087188A">
        <w:rPr>
          <w:rFonts w:cstheme="minorHAnsi"/>
          <w:sz w:val="24"/>
          <w:szCs w:val="24"/>
        </w:rPr>
        <w:t xml:space="preserve">Since the window caulking includes asbestos, the window replacement process will be more labor intensive and a much slower process. </w:t>
      </w:r>
      <w:r w:rsidR="0086345D">
        <w:rPr>
          <w:rFonts w:cstheme="minorHAnsi"/>
          <w:sz w:val="24"/>
          <w:szCs w:val="24"/>
        </w:rPr>
        <w:t xml:space="preserve">This process also is impacted by processes required to assure there will </w:t>
      </w:r>
    </w:p>
    <w:p w14:paraId="2D6BA5D5" w14:textId="77777777" w:rsidR="005A5F76" w:rsidRPr="000E0588" w:rsidRDefault="005A5F76" w:rsidP="005A5F76">
      <w:pPr>
        <w:pStyle w:val="Heading2"/>
        <w:rPr>
          <w:color w:val="auto"/>
        </w:rPr>
      </w:pPr>
      <w:r w:rsidRPr="000E0588">
        <w:rPr>
          <w:color w:val="auto"/>
        </w:rPr>
        <w:lastRenderedPageBreak/>
        <w:t>DoN Project-19120215-CL</w:t>
      </w:r>
    </w:p>
    <w:p w14:paraId="15C5B326" w14:textId="77777777" w:rsidR="005A5F76" w:rsidRPr="000E0588" w:rsidRDefault="005A5F76" w:rsidP="005A5F76">
      <w:pPr>
        <w:pStyle w:val="Heading2"/>
        <w:rPr>
          <w:color w:val="auto"/>
        </w:rPr>
      </w:pPr>
      <w:r w:rsidRPr="000E0588">
        <w:rPr>
          <w:color w:val="auto"/>
        </w:rPr>
        <w:t>Advocate Healthcare of East Boston</w:t>
      </w:r>
    </w:p>
    <w:p w14:paraId="5C767951" w14:textId="77777777" w:rsidR="005A5F76" w:rsidRPr="000E0588" w:rsidRDefault="005A5F76" w:rsidP="005A5F76">
      <w:pPr>
        <w:pStyle w:val="Heading2"/>
        <w:rPr>
          <w:color w:val="auto"/>
        </w:rPr>
      </w:pPr>
      <w:r w:rsidRPr="000E0588">
        <w:rPr>
          <w:color w:val="auto"/>
        </w:rPr>
        <w:t>Significant Amendment</w:t>
      </w:r>
    </w:p>
    <w:p w14:paraId="6555E9F1" w14:textId="77777777" w:rsidR="005A5F76" w:rsidRDefault="005A5F76" w:rsidP="00E31D52">
      <w:pPr>
        <w:spacing w:after="0" w:line="240" w:lineRule="auto"/>
        <w:rPr>
          <w:rFonts w:cstheme="minorHAnsi"/>
          <w:sz w:val="24"/>
          <w:szCs w:val="24"/>
        </w:rPr>
      </w:pPr>
    </w:p>
    <w:p w14:paraId="6535383C" w14:textId="178F9EBD" w:rsidR="00B51307" w:rsidRPr="00F75F82" w:rsidRDefault="0086345D" w:rsidP="00E31D52">
      <w:pPr>
        <w:spacing w:after="0" w:line="240" w:lineRule="auto"/>
        <w:rPr>
          <w:rFonts w:cstheme="minorHAnsi"/>
          <w:sz w:val="24"/>
          <w:szCs w:val="24"/>
        </w:rPr>
      </w:pPr>
      <w:r>
        <w:rPr>
          <w:rFonts w:cstheme="minorHAnsi"/>
          <w:sz w:val="24"/>
          <w:szCs w:val="24"/>
        </w:rPr>
        <w:t xml:space="preserve">be no </w:t>
      </w:r>
      <w:r w:rsidRPr="00F75F82">
        <w:rPr>
          <w:rFonts w:cstheme="minorHAnsi"/>
          <w:sz w:val="24"/>
          <w:szCs w:val="24"/>
        </w:rPr>
        <w:t xml:space="preserve">impact to staff and resident areas.  </w:t>
      </w:r>
      <w:r w:rsidR="0087188A">
        <w:rPr>
          <w:rFonts w:cstheme="minorHAnsi"/>
          <w:sz w:val="24"/>
          <w:szCs w:val="24"/>
        </w:rPr>
        <w:t xml:space="preserve"> This will increase the associated cost.</w:t>
      </w:r>
      <w:r w:rsidR="00E31D52" w:rsidRPr="00F75F82">
        <w:rPr>
          <w:rFonts w:cstheme="minorHAnsi"/>
          <w:sz w:val="24"/>
          <w:szCs w:val="24"/>
        </w:rPr>
        <w:t xml:space="preserve"> This resulted in more complex phasing than initially contemplated, further increasing the cost for this component.</w:t>
      </w:r>
    </w:p>
    <w:p w14:paraId="45BB3EB2" w14:textId="77777777" w:rsidR="00B51307" w:rsidRPr="00F75F82" w:rsidRDefault="00B51307" w:rsidP="00350AC1">
      <w:pPr>
        <w:spacing w:after="0" w:line="240" w:lineRule="auto"/>
        <w:ind w:left="360"/>
        <w:rPr>
          <w:rFonts w:cstheme="minorHAnsi"/>
          <w:sz w:val="24"/>
          <w:szCs w:val="24"/>
        </w:rPr>
      </w:pPr>
      <w:r w:rsidRPr="00F75F82">
        <w:rPr>
          <w:rFonts w:cstheme="minorHAnsi"/>
          <w:sz w:val="24"/>
          <w:szCs w:val="24"/>
        </w:rPr>
        <w:t> </w:t>
      </w:r>
    </w:p>
    <w:p w14:paraId="2776C265" w14:textId="77777777" w:rsidR="001B7528" w:rsidRPr="00F75F82" w:rsidRDefault="00B51307" w:rsidP="008D6FA6">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t>Drywall</w:t>
      </w:r>
    </w:p>
    <w:p w14:paraId="02CD355A" w14:textId="77777777" w:rsidR="001B7528" w:rsidRPr="00F75F82" w:rsidRDefault="001B7528" w:rsidP="001B7528">
      <w:pPr>
        <w:pStyle w:val="ListParagraph"/>
        <w:rPr>
          <w:rFonts w:asciiTheme="minorHAnsi" w:hAnsiTheme="minorHAnsi" w:cstheme="minorHAnsi"/>
          <w:sz w:val="24"/>
          <w:szCs w:val="24"/>
        </w:rPr>
      </w:pPr>
    </w:p>
    <w:p w14:paraId="58C8FE35" w14:textId="7BB9E61B" w:rsidR="00B51307" w:rsidRPr="00F75F82" w:rsidRDefault="00E31D52" w:rsidP="001B7528">
      <w:pPr>
        <w:rPr>
          <w:rFonts w:cstheme="minorHAnsi"/>
          <w:sz w:val="24"/>
          <w:szCs w:val="24"/>
        </w:rPr>
      </w:pPr>
      <w:r w:rsidRPr="00F75F82">
        <w:rPr>
          <w:rFonts w:cstheme="minorHAnsi"/>
          <w:sz w:val="24"/>
          <w:szCs w:val="24"/>
        </w:rPr>
        <w:t>Whe</w:t>
      </w:r>
      <w:r w:rsidR="001B7528" w:rsidRPr="00F75F82">
        <w:rPr>
          <w:rFonts w:cstheme="minorHAnsi"/>
          <w:sz w:val="24"/>
          <w:szCs w:val="24"/>
        </w:rPr>
        <w:t>n</w:t>
      </w:r>
      <w:r w:rsidRPr="00F75F82">
        <w:rPr>
          <w:rFonts w:cstheme="minorHAnsi"/>
          <w:sz w:val="24"/>
          <w:szCs w:val="24"/>
        </w:rPr>
        <w:t xml:space="preserve"> the initial budget was developed, </w:t>
      </w:r>
      <w:r w:rsidR="00B51307" w:rsidRPr="00F75F82">
        <w:rPr>
          <w:rFonts w:cstheme="minorHAnsi"/>
          <w:sz w:val="24"/>
          <w:szCs w:val="24"/>
        </w:rPr>
        <w:t>$414,164</w:t>
      </w:r>
      <w:r w:rsidRPr="00F75F82">
        <w:rPr>
          <w:rFonts w:cstheme="minorHAnsi"/>
          <w:sz w:val="24"/>
          <w:szCs w:val="24"/>
        </w:rPr>
        <w:t xml:space="preserve"> was allocated for drywall costs.  This aspect of the budget has now increased to </w:t>
      </w:r>
      <w:r w:rsidR="00B51307" w:rsidRPr="00F75F82">
        <w:rPr>
          <w:rFonts w:cstheme="minorHAnsi"/>
          <w:sz w:val="24"/>
          <w:szCs w:val="24"/>
        </w:rPr>
        <w:t>$1,126,014</w:t>
      </w:r>
      <w:r w:rsidRPr="00F75F82">
        <w:rPr>
          <w:rFonts w:cstheme="minorHAnsi"/>
          <w:sz w:val="24"/>
          <w:szCs w:val="24"/>
        </w:rPr>
        <w:t xml:space="preserve">, which is an increase of </w:t>
      </w:r>
      <w:r w:rsidR="00B51307" w:rsidRPr="00F75F82">
        <w:rPr>
          <w:rFonts w:cstheme="minorHAnsi"/>
          <w:sz w:val="24"/>
          <w:szCs w:val="24"/>
        </w:rPr>
        <w:t>$711,850</w:t>
      </w:r>
      <w:r w:rsidRPr="00F75F82">
        <w:rPr>
          <w:rFonts w:cstheme="minorHAnsi"/>
          <w:sz w:val="24"/>
          <w:szCs w:val="24"/>
        </w:rPr>
        <w:t>.  These cost increases are primarily attributed to</w:t>
      </w:r>
      <w:r w:rsidR="0084227F">
        <w:rPr>
          <w:rFonts w:cstheme="minorHAnsi"/>
          <w:sz w:val="24"/>
          <w:szCs w:val="24"/>
        </w:rPr>
        <w:t xml:space="preserve"> </w:t>
      </w:r>
      <w:r w:rsidR="0084227F" w:rsidRPr="009914A7">
        <w:rPr>
          <w:rFonts w:cstheme="minorHAnsi"/>
          <w:bCs/>
          <w:color w:val="000000" w:themeColor="text1"/>
          <w:sz w:val="24"/>
          <w:szCs w:val="24"/>
        </w:rPr>
        <w:t xml:space="preserve">an increase in framing and drywall materials associated with </w:t>
      </w:r>
      <w:r w:rsidR="0084227F">
        <w:rPr>
          <w:rFonts w:cstheme="minorHAnsi"/>
          <w:bCs/>
          <w:color w:val="000000" w:themeColor="text1"/>
          <w:sz w:val="24"/>
          <w:szCs w:val="24"/>
        </w:rPr>
        <w:t>(</w:t>
      </w:r>
      <w:proofErr w:type="spellStart"/>
      <w:r w:rsidR="0084227F">
        <w:rPr>
          <w:rFonts w:cstheme="minorHAnsi"/>
          <w:bCs/>
          <w:color w:val="000000" w:themeColor="text1"/>
          <w:sz w:val="24"/>
          <w:szCs w:val="24"/>
        </w:rPr>
        <w:t>i</w:t>
      </w:r>
      <w:proofErr w:type="spellEnd"/>
      <w:r w:rsidR="0084227F">
        <w:rPr>
          <w:rFonts w:cstheme="minorHAnsi"/>
          <w:bCs/>
          <w:color w:val="000000" w:themeColor="text1"/>
          <w:sz w:val="24"/>
          <w:szCs w:val="24"/>
        </w:rPr>
        <w:t xml:space="preserve">) </w:t>
      </w:r>
      <w:r w:rsidR="0084227F" w:rsidRPr="009914A7">
        <w:rPr>
          <w:rFonts w:cstheme="minorHAnsi"/>
          <w:bCs/>
          <w:color w:val="000000" w:themeColor="text1"/>
          <w:sz w:val="24"/>
          <w:szCs w:val="24"/>
        </w:rPr>
        <w:t xml:space="preserve">added soffits, drywall </w:t>
      </w:r>
      <w:r w:rsidR="0086345D">
        <w:rPr>
          <w:rFonts w:cstheme="minorHAnsi"/>
          <w:bCs/>
          <w:color w:val="000000" w:themeColor="text1"/>
          <w:sz w:val="24"/>
          <w:szCs w:val="24"/>
        </w:rPr>
        <w:t xml:space="preserve">and </w:t>
      </w:r>
      <w:r w:rsidR="0084227F" w:rsidRPr="009914A7">
        <w:rPr>
          <w:rFonts w:cstheme="minorHAnsi"/>
          <w:bCs/>
          <w:color w:val="000000" w:themeColor="text1"/>
          <w:sz w:val="24"/>
          <w:szCs w:val="24"/>
        </w:rPr>
        <w:t xml:space="preserve">ceilings; </w:t>
      </w:r>
      <w:r w:rsidR="0084227F">
        <w:rPr>
          <w:rFonts w:cstheme="minorHAnsi"/>
          <w:bCs/>
          <w:color w:val="000000" w:themeColor="text1"/>
          <w:sz w:val="24"/>
          <w:szCs w:val="24"/>
        </w:rPr>
        <w:t>(ii)</w:t>
      </w:r>
      <w:r w:rsidR="0084227F" w:rsidRPr="009914A7">
        <w:rPr>
          <w:rFonts w:cstheme="minorHAnsi"/>
          <w:bCs/>
          <w:color w:val="000000" w:themeColor="text1"/>
          <w:sz w:val="24"/>
          <w:szCs w:val="24"/>
        </w:rPr>
        <w:t xml:space="preserve"> patient room and common area demising walls as the final room configurations were fully developed; </w:t>
      </w:r>
      <w:r w:rsidR="0084227F">
        <w:rPr>
          <w:rFonts w:cstheme="minorHAnsi"/>
          <w:bCs/>
          <w:color w:val="000000" w:themeColor="text1"/>
          <w:sz w:val="24"/>
          <w:szCs w:val="24"/>
        </w:rPr>
        <w:t xml:space="preserve">(iii) </w:t>
      </w:r>
      <w:r w:rsidR="0084227F" w:rsidRPr="009914A7">
        <w:rPr>
          <w:rFonts w:cstheme="minorHAnsi"/>
          <w:bCs/>
          <w:color w:val="000000" w:themeColor="text1"/>
          <w:sz w:val="24"/>
          <w:szCs w:val="24"/>
        </w:rPr>
        <w:t xml:space="preserve">an increase in framing and drywall materials associated with extensive fire rated shafts walls required to wrap mechanical systems that extend through the building; </w:t>
      </w:r>
      <w:r w:rsidR="0084227F">
        <w:rPr>
          <w:rFonts w:cstheme="minorHAnsi"/>
          <w:bCs/>
          <w:color w:val="000000" w:themeColor="text1"/>
          <w:sz w:val="24"/>
          <w:szCs w:val="24"/>
        </w:rPr>
        <w:t xml:space="preserve">(iv) </w:t>
      </w:r>
      <w:r w:rsidR="0084227F" w:rsidRPr="009914A7">
        <w:rPr>
          <w:rFonts w:cstheme="minorHAnsi"/>
          <w:bCs/>
          <w:color w:val="000000" w:themeColor="text1"/>
          <w:sz w:val="24"/>
          <w:szCs w:val="24"/>
        </w:rPr>
        <w:t xml:space="preserve">an increase in material prices associated with </w:t>
      </w:r>
      <w:r w:rsidR="0084227F">
        <w:rPr>
          <w:rFonts w:cstheme="minorHAnsi"/>
          <w:bCs/>
          <w:color w:val="000000" w:themeColor="text1"/>
          <w:sz w:val="24"/>
          <w:szCs w:val="24"/>
        </w:rPr>
        <w:t>framing and drywalls</w:t>
      </w:r>
      <w:r w:rsidR="0084227F" w:rsidRPr="009914A7">
        <w:rPr>
          <w:rFonts w:cstheme="minorHAnsi"/>
          <w:bCs/>
          <w:color w:val="000000" w:themeColor="text1"/>
          <w:sz w:val="24"/>
          <w:szCs w:val="24"/>
        </w:rPr>
        <w:t xml:space="preserve">; and </w:t>
      </w:r>
      <w:r w:rsidR="0084227F">
        <w:rPr>
          <w:rFonts w:cstheme="minorHAnsi"/>
          <w:bCs/>
          <w:color w:val="000000" w:themeColor="text1"/>
          <w:sz w:val="24"/>
          <w:szCs w:val="24"/>
        </w:rPr>
        <w:t xml:space="preserve">(v) </w:t>
      </w:r>
      <w:r w:rsidR="0084227F" w:rsidRPr="009914A7">
        <w:rPr>
          <w:rFonts w:cstheme="minorHAnsi"/>
          <w:bCs/>
          <w:color w:val="000000" w:themeColor="text1"/>
          <w:sz w:val="24"/>
          <w:szCs w:val="24"/>
        </w:rPr>
        <w:t xml:space="preserve">an increase in labor costs to install the drywall scope on a multi-phase process not fully reflected per </w:t>
      </w:r>
      <w:r w:rsidR="0084227F">
        <w:rPr>
          <w:rFonts w:cstheme="minorHAnsi"/>
          <w:bCs/>
          <w:color w:val="000000" w:themeColor="text1"/>
          <w:sz w:val="24"/>
          <w:szCs w:val="24"/>
        </w:rPr>
        <w:t>the</w:t>
      </w:r>
      <w:r w:rsidR="0084227F" w:rsidRPr="009914A7">
        <w:rPr>
          <w:rFonts w:cstheme="minorHAnsi"/>
          <w:bCs/>
          <w:color w:val="000000" w:themeColor="text1"/>
          <w:sz w:val="24"/>
          <w:szCs w:val="24"/>
        </w:rPr>
        <w:t xml:space="preserve"> initial cost estimate</w:t>
      </w:r>
      <w:r w:rsidR="0084227F">
        <w:rPr>
          <w:rFonts w:cstheme="minorHAnsi"/>
          <w:bCs/>
          <w:color w:val="000000" w:themeColor="text1"/>
          <w:sz w:val="24"/>
          <w:szCs w:val="24"/>
        </w:rPr>
        <w:t>.  This is one of the areas where the increased cost in lumber is most evident.</w:t>
      </w:r>
      <w:r w:rsidR="0084227F" w:rsidRPr="009914A7">
        <w:rPr>
          <w:rFonts w:cstheme="minorHAnsi"/>
          <w:b/>
          <w:color w:val="000000" w:themeColor="text1"/>
          <w:sz w:val="24"/>
          <w:szCs w:val="24"/>
        </w:rPr>
        <w:t xml:space="preserve"> </w:t>
      </w:r>
    </w:p>
    <w:p w14:paraId="31CD2879" w14:textId="466DC2F0" w:rsidR="00B51307" w:rsidRPr="00F75F82" w:rsidRDefault="00B51307" w:rsidP="00350AC1">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t>Wall Protection</w:t>
      </w:r>
      <w:r w:rsidR="0084227F">
        <w:rPr>
          <w:rFonts w:asciiTheme="minorHAnsi" w:hAnsiTheme="minorHAnsi" w:cstheme="minorHAnsi"/>
          <w:sz w:val="24"/>
          <w:szCs w:val="24"/>
        </w:rPr>
        <w:t>/Accessories</w:t>
      </w:r>
      <w:r w:rsidRPr="00F75F82">
        <w:rPr>
          <w:rFonts w:asciiTheme="minorHAnsi" w:hAnsiTheme="minorHAnsi" w:cstheme="minorHAnsi"/>
          <w:sz w:val="24"/>
          <w:szCs w:val="24"/>
        </w:rPr>
        <w:t xml:space="preserve"> </w:t>
      </w:r>
    </w:p>
    <w:p w14:paraId="5A9041AC" w14:textId="77777777" w:rsidR="00E31D52" w:rsidRPr="00F75F82" w:rsidRDefault="00E31D52" w:rsidP="00E31D52">
      <w:pPr>
        <w:pStyle w:val="ListParagraph"/>
        <w:rPr>
          <w:rFonts w:asciiTheme="minorHAnsi" w:hAnsiTheme="minorHAnsi" w:cstheme="minorHAnsi"/>
          <w:sz w:val="24"/>
          <w:szCs w:val="24"/>
        </w:rPr>
      </w:pPr>
    </w:p>
    <w:p w14:paraId="03B3F309" w14:textId="1CA05BCC" w:rsidR="00B51307" w:rsidRPr="00F75F82" w:rsidRDefault="00B51307" w:rsidP="001B7528">
      <w:pPr>
        <w:rPr>
          <w:rFonts w:cstheme="minorHAnsi"/>
          <w:sz w:val="24"/>
          <w:szCs w:val="24"/>
        </w:rPr>
      </w:pPr>
      <w:r w:rsidRPr="00F75F82">
        <w:rPr>
          <w:rFonts w:cstheme="minorHAnsi"/>
          <w:sz w:val="24"/>
          <w:szCs w:val="24"/>
        </w:rPr>
        <w:t>$153,957</w:t>
      </w:r>
      <w:r w:rsidR="00E31D52" w:rsidRPr="00F75F82">
        <w:rPr>
          <w:rFonts w:cstheme="minorHAnsi"/>
          <w:sz w:val="24"/>
          <w:szCs w:val="24"/>
        </w:rPr>
        <w:t xml:space="preserve"> was the original projected costs for </w:t>
      </w:r>
      <w:r w:rsidR="007C579D">
        <w:rPr>
          <w:rFonts w:cstheme="minorHAnsi"/>
          <w:sz w:val="24"/>
          <w:szCs w:val="24"/>
        </w:rPr>
        <w:t xml:space="preserve">this category of expense.  </w:t>
      </w:r>
      <w:r w:rsidR="007C579D" w:rsidRPr="00F75F82">
        <w:rPr>
          <w:rFonts w:cstheme="minorHAnsi"/>
          <w:sz w:val="24"/>
          <w:szCs w:val="24"/>
        </w:rPr>
        <w:t xml:space="preserve">The revised estimate, after more detailed evaluation and planning, is now $346,088.  This is an increase of $192,131. </w:t>
      </w:r>
      <w:r w:rsidR="007C579D">
        <w:rPr>
          <w:rFonts w:cstheme="minorHAnsi"/>
          <w:sz w:val="24"/>
          <w:szCs w:val="24"/>
        </w:rPr>
        <w:t xml:space="preserve">This work relates to the application of </w:t>
      </w:r>
      <w:r w:rsidR="00983107">
        <w:rPr>
          <w:rFonts w:cstheme="minorHAnsi"/>
          <w:sz w:val="24"/>
          <w:szCs w:val="24"/>
        </w:rPr>
        <w:t xml:space="preserve">such protection devices as </w:t>
      </w:r>
      <w:r w:rsidR="007C579D">
        <w:rPr>
          <w:rFonts w:cstheme="minorHAnsi"/>
          <w:sz w:val="24"/>
          <w:szCs w:val="24"/>
        </w:rPr>
        <w:t>corner guards</w:t>
      </w:r>
      <w:r w:rsidR="00983107">
        <w:rPr>
          <w:rFonts w:cstheme="minorHAnsi"/>
          <w:sz w:val="24"/>
          <w:szCs w:val="24"/>
        </w:rPr>
        <w:t xml:space="preserve"> and door kick plates,</w:t>
      </w:r>
      <w:r w:rsidR="0084227F" w:rsidRPr="009914A7">
        <w:rPr>
          <w:rFonts w:cstheme="minorHAnsi"/>
          <w:bCs/>
          <w:color w:val="000000" w:themeColor="text1"/>
          <w:sz w:val="24"/>
          <w:szCs w:val="24"/>
        </w:rPr>
        <w:t xml:space="preserve"> as well as interior signage, cubicle curtains </w:t>
      </w:r>
      <w:r w:rsidR="00983107">
        <w:rPr>
          <w:rFonts w:cstheme="minorHAnsi"/>
          <w:bCs/>
          <w:color w:val="000000" w:themeColor="text1"/>
          <w:sz w:val="24"/>
          <w:szCs w:val="24"/>
        </w:rPr>
        <w:t>and</w:t>
      </w:r>
      <w:r w:rsidR="0084227F" w:rsidRPr="009914A7">
        <w:rPr>
          <w:rFonts w:cstheme="minorHAnsi"/>
          <w:bCs/>
          <w:color w:val="000000" w:themeColor="text1"/>
          <w:sz w:val="24"/>
          <w:szCs w:val="24"/>
        </w:rPr>
        <w:t xml:space="preserve"> tracks; toilet </w:t>
      </w:r>
      <w:r w:rsidR="00983107">
        <w:rPr>
          <w:rFonts w:cstheme="minorHAnsi"/>
          <w:bCs/>
          <w:color w:val="000000" w:themeColor="text1"/>
          <w:sz w:val="24"/>
          <w:szCs w:val="24"/>
        </w:rPr>
        <w:t xml:space="preserve">and </w:t>
      </w:r>
      <w:r w:rsidR="0084227F" w:rsidRPr="009914A7">
        <w:rPr>
          <w:rFonts w:cstheme="minorHAnsi"/>
          <w:bCs/>
          <w:color w:val="000000" w:themeColor="text1"/>
          <w:sz w:val="24"/>
          <w:szCs w:val="24"/>
        </w:rPr>
        <w:t>bath accessories</w:t>
      </w:r>
      <w:r w:rsidR="00983107">
        <w:rPr>
          <w:rFonts w:cstheme="minorHAnsi"/>
          <w:bCs/>
          <w:color w:val="000000" w:themeColor="text1"/>
          <w:sz w:val="24"/>
          <w:szCs w:val="24"/>
        </w:rPr>
        <w:t xml:space="preserve"> such as towel racks and toilet paper holders,</w:t>
      </w:r>
      <w:r w:rsidR="0084227F" w:rsidRPr="009914A7">
        <w:rPr>
          <w:rFonts w:cstheme="minorHAnsi"/>
          <w:bCs/>
          <w:color w:val="000000" w:themeColor="text1"/>
          <w:sz w:val="24"/>
          <w:szCs w:val="24"/>
        </w:rPr>
        <w:t xml:space="preserve"> metal lockers</w:t>
      </w:r>
      <w:r w:rsidR="00983107">
        <w:rPr>
          <w:rFonts w:cstheme="minorHAnsi"/>
          <w:bCs/>
          <w:color w:val="000000" w:themeColor="text1"/>
          <w:sz w:val="24"/>
          <w:szCs w:val="24"/>
        </w:rPr>
        <w:t>,</w:t>
      </w:r>
      <w:r w:rsidR="0084227F" w:rsidRPr="009914A7">
        <w:rPr>
          <w:rFonts w:cstheme="minorHAnsi"/>
          <w:bCs/>
          <w:color w:val="000000" w:themeColor="text1"/>
          <w:sz w:val="24"/>
          <w:szCs w:val="24"/>
        </w:rPr>
        <w:t xml:space="preserve"> and window shades.</w:t>
      </w:r>
      <w:r w:rsidR="0084227F" w:rsidRPr="009914A7">
        <w:rPr>
          <w:rFonts w:cstheme="minorHAnsi"/>
          <w:color w:val="000000" w:themeColor="text1"/>
          <w:sz w:val="24"/>
          <w:szCs w:val="24"/>
        </w:rPr>
        <w:t xml:space="preserve"> </w:t>
      </w:r>
      <w:r w:rsidR="00E31D52" w:rsidRPr="00F75F82">
        <w:rPr>
          <w:rFonts w:cstheme="minorHAnsi"/>
          <w:sz w:val="24"/>
          <w:szCs w:val="24"/>
        </w:rPr>
        <w:t xml:space="preserve"> The predominate reason for this area of increased cost is that upon the development of detailed architectural plans for construction</w:t>
      </w:r>
      <w:r w:rsidR="00565091" w:rsidRPr="00F75F82">
        <w:rPr>
          <w:rFonts w:cstheme="minorHAnsi"/>
          <w:sz w:val="24"/>
          <w:szCs w:val="24"/>
        </w:rPr>
        <w:t>, the areas identified where wall protection was required were much greater than originally estimated</w:t>
      </w:r>
      <w:r w:rsidR="00983107">
        <w:rPr>
          <w:rFonts w:cstheme="minorHAnsi"/>
          <w:sz w:val="24"/>
          <w:szCs w:val="24"/>
        </w:rPr>
        <w:t xml:space="preserve"> and accessory cost have increased materially.</w:t>
      </w:r>
      <w:r w:rsidRPr="00F75F82">
        <w:rPr>
          <w:rFonts w:cstheme="minorHAnsi"/>
          <w:sz w:val="24"/>
          <w:szCs w:val="24"/>
        </w:rPr>
        <w:t> </w:t>
      </w:r>
    </w:p>
    <w:p w14:paraId="7C8A924B" w14:textId="46A42424" w:rsidR="001B7528" w:rsidRPr="00F75F82" w:rsidRDefault="00B51307" w:rsidP="001B7528">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t xml:space="preserve">Hazardous Material Abatement </w:t>
      </w:r>
    </w:p>
    <w:p w14:paraId="220B5EC2" w14:textId="77777777" w:rsidR="001B7528" w:rsidRPr="00F75F82" w:rsidRDefault="001B7528" w:rsidP="001B7528">
      <w:pPr>
        <w:pStyle w:val="ListParagraph"/>
        <w:rPr>
          <w:rFonts w:asciiTheme="minorHAnsi" w:hAnsiTheme="minorHAnsi" w:cstheme="minorHAnsi"/>
          <w:sz w:val="24"/>
          <w:szCs w:val="24"/>
        </w:rPr>
      </w:pPr>
    </w:p>
    <w:p w14:paraId="3A0AAECF" w14:textId="0E1E39C6" w:rsidR="00B51307" w:rsidRPr="00F75F82" w:rsidRDefault="001B7528" w:rsidP="0079534A">
      <w:pPr>
        <w:rPr>
          <w:rFonts w:cstheme="minorHAnsi"/>
          <w:sz w:val="24"/>
          <w:szCs w:val="24"/>
        </w:rPr>
      </w:pPr>
      <w:r w:rsidRPr="00F75F82">
        <w:rPr>
          <w:rFonts w:cstheme="minorHAnsi"/>
          <w:sz w:val="24"/>
          <w:szCs w:val="24"/>
        </w:rPr>
        <w:t xml:space="preserve">The original estimate for the asbestos abatement </w:t>
      </w:r>
      <w:r w:rsidR="0079534A" w:rsidRPr="00F75F82">
        <w:rPr>
          <w:rFonts w:cstheme="minorHAnsi"/>
          <w:sz w:val="24"/>
          <w:szCs w:val="24"/>
        </w:rPr>
        <w:t xml:space="preserve">was </w:t>
      </w:r>
      <w:r w:rsidR="00B51307" w:rsidRPr="00F75F82">
        <w:rPr>
          <w:rFonts w:cstheme="minorHAnsi"/>
          <w:sz w:val="24"/>
          <w:szCs w:val="24"/>
        </w:rPr>
        <w:t>$200,844</w:t>
      </w:r>
      <w:r w:rsidR="0079534A" w:rsidRPr="00F75F82">
        <w:rPr>
          <w:rFonts w:cstheme="minorHAnsi"/>
          <w:sz w:val="24"/>
          <w:szCs w:val="24"/>
        </w:rPr>
        <w:t xml:space="preserve">.  The current estimates being received indicate an increase of $132,309 and now are projected to be </w:t>
      </w:r>
      <w:r w:rsidR="00B51307" w:rsidRPr="00F75F82">
        <w:rPr>
          <w:rFonts w:cstheme="minorHAnsi"/>
          <w:sz w:val="24"/>
          <w:szCs w:val="24"/>
        </w:rPr>
        <w:t>$333,153</w:t>
      </w:r>
      <w:r w:rsidR="0079534A" w:rsidRPr="00F75F82">
        <w:rPr>
          <w:rFonts w:cstheme="minorHAnsi"/>
          <w:sz w:val="24"/>
          <w:szCs w:val="24"/>
        </w:rPr>
        <w:t>. The i</w:t>
      </w:r>
      <w:r w:rsidR="00B51307" w:rsidRPr="00F75F82">
        <w:rPr>
          <w:rFonts w:cstheme="minorHAnsi"/>
          <w:sz w:val="24"/>
          <w:szCs w:val="24"/>
        </w:rPr>
        <w:t>ncrease</w:t>
      </w:r>
      <w:r w:rsidR="0079534A" w:rsidRPr="00F75F82">
        <w:rPr>
          <w:rFonts w:cstheme="minorHAnsi"/>
          <w:sz w:val="24"/>
          <w:szCs w:val="24"/>
        </w:rPr>
        <w:t xml:space="preserve"> in</w:t>
      </w:r>
      <w:r w:rsidR="00B51307" w:rsidRPr="00F75F82">
        <w:rPr>
          <w:rFonts w:cstheme="minorHAnsi"/>
          <w:sz w:val="24"/>
          <w:szCs w:val="24"/>
        </w:rPr>
        <w:t xml:space="preserve"> hazardous material abatement costs </w:t>
      </w:r>
      <w:r w:rsidR="0079534A" w:rsidRPr="00F75F82">
        <w:rPr>
          <w:rFonts w:cstheme="minorHAnsi"/>
          <w:sz w:val="24"/>
          <w:szCs w:val="24"/>
        </w:rPr>
        <w:t xml:space="preserve">is </w:t>
      </w:r>
      <w:r w:rsidR="00B51307" w:rsidRPr="00F75F82">
        <w:rPr>
          <w:rFonts w:cstheme="minorHAnsi"/>
          <w:sz w:val="24"/>
          <w:szCs w:val="24"/>
        </w:rPr>
        <w:t xml:space="preserve">associated with the increased levels of asbestos </w:t>
      </w:r>
      <w:r w:rsidR="0079534A" w:rsidRPr="00F75F82">
        <w:rPr>
          <w:rFonts w:cstheme="minorHAnsi"/>
          <w:sz w:val="24"/>
          <w:szCs w:val="24"/>
        </w:rPr>
        <w:t xml:space="preserve">identified since the </w:t>
      </w:r>
      <w:r w:rsidR="00B51307" w:rsidRPr="00F75F82">
        <w:rPr>
          <w:rFonts w:cstheme="minorHAnsi"/>
          <w:sz w:val="24"/>
          <w:szCs w:val="24"/>
        </w:rPr>
        <w:t>prior estimate</w:t>
      </w:r>
      <w:r w:rsidR="0079534A" w:rsidRPr="00F75F82">
        <w:rPr>
          <w:rFonts w:cstheme="minorHAnsi"/>
          <w:sz w:val="24"/>
          <w:szCs w:val="24"/>
        </w:rPr>
        <w:t xml:space="preserve"> was obtained.  The additional areas requiring asbestos removal include</w:t>
      </w:r>
      <w:r w:rsidR="00B51307" w:rsidRPr="00F75F82">
        <w:rPr>
          <w:rFonts w:cstheme="minorHAnsi"/>
          <w:sz w:val="24"/>
          <w:szCs w:val="24"/>
        </w:rPr>
        <w:t xml:space="preserve"> within the flooring and window caulking materials</w:t>
      </w:r>
      <w:r w:rsidR="0079534A" w:rsidRPr="00F75F82">
        <w:rPr>
          <w:rFonts w:cstheme="minorHAnsi"/>
          <w:sz w:val="24"/>
          <w:szCs w:val="24"/>
        </w:rPr>
        <w:t>.  Also, part of this increase is need for</w:t>
      </w:r>
      <w:r w:rsidR="00B51307" w:rsidRPr="00F75F82">
        <w:rPr>
          <w:rFonts w:cstheme="minorHAnsi"/>
          <w:sz w:val="24"/>
          <w:szCs w:val="24"/>
        </w:rPr>
        <w:t xml:space="preserve"> increased testing and the inclusion of </w:t>
      </w:r>
      <w:r w:rsidR="0079534A" w:rsidRPr="00F75F82">
        <w:rPr>
          <w:rFonts w:cstheme="minorHAnsi"/>
          <w:sz w:val="24"/>
          <w:szCs w:val="24"/>
        </w:rPr>
        <w:t xml:space="preserve">additional </w:t>
      </w:r>
      <w:r w:rsidR="00B51307" w:rsidRPr="00F75F82">
        <w:rPr>
          <w:rFonts w:cstheme="minorHAnsi"/>
          <w:sz w:val="24"/>
          <w:szCs w:val="24"/>
        </w:rPr>
        <w:t xml:space="preserve">monitoring, inspections and air clearance costs not reflected in prior estimates </w:t>
      </w:r>
    </w:p>
    <w:p w14:paraId="1E42235F" w14:textId="77777777" w:rsidR="0079534A" w:rsidRPr="00F75F82" w:rsidRDefault="00B51307" w:rsidP="0079534A">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lastRenderedPageBreak/>
        <w:t>Demolition Costs</w:t>
      </w:r>
    </w:p>
    <w:p w14:paraId="269045B4" w14:textId="77777777" w:rsidR="0079534A" w:rsidRPr="00F75F82" w:rsidRDefault="0079534A" w:rsidP="0079534A">
      <w:pPr>
        <w:pStyle w:val="ListParagraph"/>
        <w:rPr>
          <w:rFonts w:asciiTheme="minorHAnsi" w:hAnsiTheme="minorHAnsi" w:cstheme="minorHAnsi"/>
          <w:sz w:val="24"/>
          <w:szCs w:val="24"/>
        </w:rPr>
      </w:pPr>
    </w:p>
    <w:p w14:paraId="7FB62222" w14:textId="74431DF7" w:rsidR="00B5218D" w:rsidRPr="000E0588" w:rsidRDefault="00B5218D" w:rsidP="00B5218D">
      <w:pPr>
        <w:pStyle w:val="Heading2"/>
        <w:rPr>
          <w:color w:val="auto"/>
        </w:rPr>
      </w:pPr>
      <w:r w:rsidRPr="000E0588">
        <w:rPr>
          <w:color w:val="auto"/>
        </w:rPr>
        <w:t>DoN Project-19120215-CL</w:t>
      </w:r>
    </w:p>
    <w:p w14:paraId="0948697E" w14:textId="77777777" w:rsidR="00B5218D" w:rsidRPr="000E0588" w:rsidRDefault="00B5218D" w:rsidP="00B5218D">
      <w:pPr>
        <w:pStyle w:val="Heading2"/>
        <w:rPr>
          <w:color w:val="auto"/>
        </w:rPr>
      </w:pPr>
      <w:r w:rsidRPr="000E0588">
        <w:rPr>
          <w:color w:val="auto"/>
        </w:rPr>
        <w:t>Advocate Healthcare of East Boston</w:t>
      </w:r>
    </w:p>
    <w:p w14:paraId="3A03C9FC" w14:textId="77777777" w:rsidR="00B5218D" w:rsidRPr="000E0588" w:rsidRDefault="00B5218D" w:rsidP="00B5218D">
      <w:pPr>
        <w:pStyle w:val="Heading2"/>
        <w:rPr>
          <w:color w:val="auto"/>
        </w:rPr>
      </w:pPr>
      <w:r w:rsidRPr="000E0588">
        <w:rPr>
          <w:color w:val="auto"/>
        </w:rPr>
        <w:t>Significant Amendment</w:t>
      </w:r>
    </w:p>
    <w:p w14:paraId="4515CD1E" w14:textId="77777777" w:rsidR="00B5218D" w:rsidRDefault="00B5218D" w:rsidP="003D1C2E">
      <w:pPr>
        <w:rPr>
          <w:rFonts w:cstheme="minorHAnsi"/>
          <w:sz w:val="24"/>
          <w:szCs w:val="24"/>
        </w:rPr>
      </w:pPr>
    </w:p>
    <w:p w14:paraId="72E2A4EC" w14:textId="48000D94" w:rsidR="00B51307" w:rsidRPr="00F75F82" w:rsidRDefault="008B17AA" w:rsidP="003D1C2E">
      <w:pPr>
        <w:rPr>
          <w:rFonts w:cstheme="minorHAnsi"/>
          <w:sz w:val="24"/>
          <w:szCs w:val="24"/>
        </w:rPr>
      </w:pPr>
      <w:r w:rsidRPr="00F75F82">
        <w:rPr>
          <w:rFonts w:cstheme="minorHAnsi"/>
          <w:sz w:val="24"/>
          <w:szCs w:val="24"/>
        </w:rPr>
        <w:t>Demolition was originally estimated at</w:t>
      </w:r>
      <w:r w:rsidR="00B51307" w:rsidRPr="00F75F82">
        <w:rPr>
          <w:rFonts w:cstheme="minorHAnsi"/>
          <w:sz w:val="24"/>
          <w:szCs w:val="24"/>
        </w:rPr>
        <w:t xml:space="preserve"> $95,269</w:t>
      </w:r>
      <w:r w:rsidRPr="00F75F82">
        <w:rPr>
          <w:rFonts w:cstheme="minorHAnsi"/>
          <w:sz w:val="24"/>
          <w:szCs w:val="24"/>
        </w:rPr>
        <w:t xml:space="preserve">; however, current costs for this work is estimated to be </w:t>
      </w:r>
      <w:r w:rsidR="00B51307" w:rsidRPr="00F75F82">
        <w:rPr>
          <w:rFonts w:cstheme="minorHAnsi"/>
          <w:sz w:val="24"/>
          <w:szCs w:val="24"/>
        </w:rPr>
        <w:t>$288,892</w:t>
      </w:r>
      <w:r w:rsidRPr="00F75F82">
        <w:rPr>
          <w:rFonts w:cstheme="minorHAnsi"/>
          <w:sz w:val="24"/>
          <w:szCs w:val="24"/>
        </w:rPr>
        <w:t xml:space="preserve">.  </w:t>
      </w:r>
      <w:r w:rsidR="00B51307" w:rsidRPr="00F75F82">
        <w:rPr>
          <w:rFonts w:cstheme="minorHAnsi"/>
          <w:sz w:val="24"/>
          <w:szCs w:val="24"/>
        </w:rPr>
        <w:t>Increased demolition costs</w:t>
      </w:r>
      <w:r w:rsidR="003D1C2E" w:rsidRPr="00F75F82">
        <w:rPr>
          <w:rFonts w:cstheme="minorHAnsi"/>
          <w:sz w:val="24"/>
          <w:szCs w:val="24"/>
        </w:rPr>
        <w:t xml:space="preserve"> are </w:t>
      </w:r>
      <w:r w:rsidR="00B51307" w:rsidRPr="00F75F82">
        <w:rPr>
          <w:rFonts w:cstheme="minorHAnsi"/>
          <w:sz w:val="24"/>
          <w:szCs w:val="24"/>
        </w:rPr>
        <w:t>associated with routing of mechanical duct work and refrigeration piping, increased plumbing and drainage piping replacements including cutting of the concrete floor slab at the Garden Level; and demolition of four</w:t>
      </w:r>
      <w:r w:rsidR="00983107">
        <w:rPr>
          <w:rFonts w:cstheme="minorHAnsi"/>
          <w:sz w:val="24"/>
          <w:szCs w:val="24"/>
        </w:rPr>
        <w:t xml:space="preserve"> (4)</w:t>
      </w:r>
      <w:r w:rsidR="00B51307" w:rsidRPr="00F75F82">
        <w:rPr>
          <w:rFonts w:cstheme="minorHAnsi"/>
          <w:sz w:val="24"/>
          <w:szCs w:val="24"/>
        </w:rPr>
        <w:t xml:space="preserve"> existing inactive boilers</w:t>
      </w:r>
      <w:r w:rsidR="00983107">
        <w:rPr>
          <w:rFonts w:cstheme="minorHAnsi"/>
          <w:sz w:val="24"/>
          <w:szCs w:val="24"/>
        </w:rPr>
        <w:t xml:space="preserve"> (as required by HUD</w:t>
      </w:r>
      <w:proofErr w:type="gramStart"/>
      <w:r w:rsidR="00983107">
        <w:rPr>
          <w:rFonts w:cstheme="minorHAnsi"/>
          <w:sz w:val="24"/>
          <w:szCs w:val="24"/>
        </w:rPr>
        <w:t>)which</w:t>
      </w:r>
      <w:proofErr w:type="gramEnd"/>
      <w:r w:rsidR="00983107">
        <w:rPr>
          <w:rFonts w:cstheme="minorHAnsi"/>
          <w:sz w:val="24"/>
          <w:szCs w:val="24"/>
        </w:rPr>
        <w:t xml:space="preserve"> was</w:t>
      </w:r>
      <w:r w:rsidR="00B51307" w:rsidRPr="00F75F82">
        <w:rPr>
          <w:rFonts w:cstheme="minorHAnsi"/>
          <w:sz w:val="24"/>
          <w:szCs w:val="24"/>
        </w:rPr>
        <w:t xml:space="preserve"> not included in prior estimates</w:t>
      </w:r>
      <w:r w:rsidR="00983107">
        <w:rPr>
          <w:rFonts w:cstheme="minorHAnsi"/>
          <w:sz w:val="24"/>
          <w:szCs w:val="24"/>
        </w:rPr>
        <w:t xml:space="preserve"> as there was adequate space without such demolition, especially in light of much smaller size of new and efficient boilers</w:t>
      </w:r>
      <w:r w:rsidR="003D1C2E" w:rsidRPr="00F75F82">
        <w:rPr>
          <w:rFonts w:cstheme="minorHAnsi"/>
          <w:sz w:val="24"/>
          <w:szCs w:val="24"/>
        </w:rPr>
        <w:t>.</w:t>
      </w:r>
      <w:r w:rsidR="00372D15">
        <w:rPr>
          <w:rFonts w:cstheme="minorHAnsi"/>
          <w:sz w:val="24"/>
          <w:szCs w:val="24"/>
        </w:rPr>
        <w:t xml:space="preserve"> </w:t>
      </w:r>
      <w:r w:rsidR="00983107">
        <w:rPr>
          <w:rFonts w:cstheme="minorHAnsi"/>
          <w:sz w:val="24"/>
          <w:szCs w:val="24"/>
        </w:rPr>
        <w:t xml:space="preserve"> Another major factor in the increase in demolition costs is with the concrete block b</w:t>
      </w:r>
      <w:r w:rsidR="003D1C2E" w:rsidRPr="00F75F82">
        <w:rPr>
          <w:rFonts w:cstheme="minorHAnsi"/>
          <w:sz w:val="24"/>
          <w:szCs w:val="24"/>
        </w:rPr>
        <w:t>uilding</w:t>
      </w:r>
      <w:r w:rsidR="00983107">
        <w:rPr>
          <w:rFonts w:cstheme="minorHAnsi"/>
          <w:sz w:val="24"/>
          <w:szCs w:val="24"/>
        </w:rPr>
        <w:t xml:space="preserve"> construction.</w:t>
      </w:r>
      <w:r w:rsidR="003D1C2E" w:rsidRPr="00F75F82">
        <w:rPr>
          <w:rFonts w:cstheme="minorHAnsi"/>
          <w:sz w:val="24"/>
          <w:szCs w:val="24"/>
        </w:rPr>
        <w:t xml:space="preserve"> </w:t>
      </w:r>
      <w:r w:rsidR="00593432">
        <w:rPr>
          <w:rFonts w:cstheme="minorHAnsi"/>
          <w:sz w:val="24"/>
          <w:szCs w:val="24"/>
        </w:rPr>
        <w:t xml:space="preserve">Demolition of these concrete block walls </w:t>
      </w:r>
      <w:r w:rsidR="00983107">
        <w:rPr>
          <w:rFonts w:cstheme="minorHAnsi"/>
          <w:sz w:val="24"/>
          <w:szCs w:val="24"/>
        </w:rPr>
        <w:t xml:space="preserve">is very </w:t>
      </w:r>
      <w:r w:rsidR="00593432">
        <w:rPr>
          <w:rFonts w:cstheme="minorHAnsi"/>
          <w:sz w:val="24"/>
          <w:szCs w:val="24"/>
        </w:rPr>
        <w:t xml:space="preserve">time consuming and labor intensive.  As existing conditions became more apparent, changes were made </w:t>
      </w:r>
      <w:r w:rsidR="003D1C2E" w:rsidRPr="00F75F82">
        <w:rPr>
          <w:rFonts w:cstheme="minorHAnsi"/>
          <w:sz w:val="24"/>
          <w:szCs w:val="24"/>
        </w:rPr>
        <w:t xml:space="preserve">in </w:t>
      </w:r>
      <w:r w:rsidR="00593432">
        <w:rPr>
          <w:rFonts w:cstheme="minorHAnsi"/>
          <w:sz w:val="24"/>
          <w:szCs w:val="24"/>
        </w:rPr>
        <w:t xml:space="preserve">the </w:t>
      </w:r>
      <w:r w:rsidR="003D1C2E" w:rsidRPr="00F75F82">
        <w:rPr>
          <w:rFonts w:cstheme="minorHAnsi"/>
          <w:sz w:val="24"/>
          <w:szCs w:val="24"/>
        </w:rPr>
        <w:t>plans for plumbing, electrical, HVAC and other system access throughout building</w:t>
      </w:r>
      <w:r w:rsidR="00593432">
        <w:rPr>
          <w:rFonts w:cstheme="minorHAnsi"/>
          <w:sz w:val="24"/>
          <w:szCs w:val="24"/>
        </w:rPr>
        <w:t xml:space="preserve"> further increasing the demolition required.</w:t>
      </w:r>
      <w:r w:rsidR="00B51307" w:rsidRPr="00F75F82">
        <w:rPr>
          <w:rFonts w:cstheme="minorHAnsi"/>
          <w:sz w:val="24"/>
          <w:szCs w:val="24"/>
        </w:rPr>
        <w:t> </w:t>
      </w:r>
    </w:p>
    <w:p w14:paraId="3900C6C2" w14:textId="1B912FA4" w:rsidR="001966A9" w:rsidRPr="00D37669" w:rsidRDefault="00B51307" w:rsidP="001966A9">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t xml:space="preserve">Plumbing  </w:t>
      </w:r>
    </w:p>
    <w:p w14:paraId="5722033E" w14:textId="7C8C08E4" w:rsidR="00B51307" w:rsidRDefault="003D1C2E" w:rsidP="001966A9">
      <w:pPr>
        <w:spacing w:after="0" w:line="240" w:lineRule="auto"/>
        <w:rPr>
          <w:rFonts w:cstheme="minorHAnsi"/>
          <w:sz w:val="24"/>
          <w:szCs w:val="24"/>
        </w:rPr>
      </w:pPr>
      <w:r w:rsidRPr="00F75F82">
        <w:rPr>
          <w:rFonts w:cstheme="minorHAnsi"/>
          <w:sz w:val="24"/>
          <w:szCs w:val="24"/>
        </w:rPr>
        <w:t xml:space="preserve">The costs associated with the plumbing work was </w:t>
      </w:r>
      <w:r w:rsidR="00B51307" w:rsidRPr="00F75F82">
        <w:rPr>
          <w:rFonts w:cstheme="minorHAnsi"/>
          <w:sz w:val="24"/>
          <w:szCs w:val="24"/>
        </w:rPr>
        <w:t>$768</w:t>
      </w:r>
      <w:r w:rsidRPr="00F75F82">
        <w:rPr>
          <w:rFonts w:cstheme="minorHAnsi"/>
          <w:sz w:val="24"/>
          <w:szCs w:val="24"/>
        </w:rPr>
        <w:t>,</w:t>
      </w:r>
      <w:r w:rsidR="00B51307" w:rsidRPr="00F75F82">
        <w:rPr>
          <w:rFonts w:cstheme="minorHAnsi"/>
          <w:sz w:val="24"/>
          <w:szCs w:val="24"/>
        </w:rPr>
        <w:t>390</w:t>
      </w:r>
      <w:r w:rsidRPr="00F75F82">
        <w:rPr>
          <w:rFonts w:cstheme="minorHAnsi"/>
          <w:sz w:val="24"/>
          <w:szCs w:val="24"/>
        </w:rPr>
        <w:t xml:space="preserve">; however, current estimates are now </w:t>
      </w:r>
      <w:r w:rsidR="00B51307" w:rsidRPr="00F75F82">
        <w:rPr>
          <w:rFonts w:cstheme="minorHAnsi"/>
          <w:sz w:val="24"/>
          <w:szCs w:val="24"/>
        </w:rPr>
        <w:t>$1,174,841</w:t>
      </w:r>
      <w:r w:rsidRPr="00F75F82">
        <w:rPr>
          <w:rFonts w:cstheme="minorHAnsi"/>
          <w:sz w:val="24"/>
          <w:szCs w:val="24"/>
        </w:rPr>
        <w:t>.  This is an increase of</w:t>
      </w:r>
      <w:r w:rsidR="00B51307" w:rsidRPr="00F75F82">
        <w:rPr>
          <w:rFonts w:cstheme="minorHAnsi"/>
          <w:sz w:val="24"/>
          <w:szCs w:val="24"/>
        </w:rPr>
        <w:t xml:space="preserve"> $406,451</w:t>
      </w:r>
      <w:r w:rsidRPr="00F75F82">
        <w:rPr>
          <w:rFonts w:cstheme="minorHAnsi"/>
          <w:sz w:val="24"/>
          <w:szCs w:val="24"/>
        </w:rPr>
        <w:t xml:space="preserve">.  The increase in plumbing costs is primarily related to the </w:t>
      </w:r>
      <w:r w:rsidR="00B51307" w:rsidRPr="00F75F82">
        <w:rPr>
          <w:rFonts w:cstheme="minorHAnsi"/>
          <w:sz w:val="24"/>
          <w:szCs w:val="24"/>
        </w:rPr>
        <w:t>expan</w:t>
      </w:r>
      <w:r w:rsidRPr="00F75F82">
        <w:rPr>
          <w:rFonts w:cstheme="minorHAnsi"/>
          <w:sz w:val="24"/>
          <w:szCs w:val="24"/>
        </w:rPr>
        <w:t>sion in the amount of</w:t>
      </w:r>
      <w:r w:rsidR="00B51307" w:rsidRPr="00F75F82">
        <w:rPr>
          <w:rFonts w:cstheme="minorHAnsi"/>
          <w:sz w:val="24"/>
          <w:szCs w:val="24"/>
        </w:rPr>
        <w:t xml:space="preserve"> existing plumbing and drainage piping extending throughout the building</w:t>
      </w:r>
      <w:r w:rsidRPr="00F75F82">
        <w:rPr>
          <w:rFonts w:cstheme="minorHAnsi"/>
          <w:sz w:val="24"/>
          <w:szCs w:val="24"/>
        </w:rPr>
        <w:t xml:space="preserve"> that requires replacement.  Much of this plumbing was</w:t>
      </w:r>
      <w:r w:rsidR="00B51307" w:rsidRPr="00F75F82">
        <w:rPr>
          <w:rFonts w:cstheme="minorHAnsi"/>
          <w:sz w:val="24"/>
          <w:szCs w:val="24"/>
        </w:rPr>
        <w:t xml:space="preserve"> hidden behind existing walls</w:t>
      </w:r>
      <w:r w:rsidRPr="00F75F82">
        <w:rPr>
          <w:rFonts w:cstheme="minorHAnsi"/>
          <w:sz w:val="24"/>
          <w:szCs w:val="24"/>
        </w:rPr>
        <w:t>, but was identified as further engineering evaluations were performed in order to develop construction level plans.  Additionally, as these plans were developed it was determined that there would be some</w:t>
      </w:r>
      <w:r w:rsidR="00B51307" w:rsidRPr="00F75F82">
        <w:rPr>
          <w:rFonts w:cstheme="minorHAnsi"/>
          <w:sz w:val="24"/>
          <w:szCs w:val="24"/>
        </w:rPr>
        <w:t xml:space="preserve"> re-routing of existing-to-remain piping </w:t>
      </w:r>
      <w:r w:rsidRPr="00F75F82">
        <w:rPr>
          <w:rFonts w:cstheme="minorHAnsi"/>
          <w:sz w:val="24"/>
          <w:szCs w:val="24"/>
        </w:rPr>
        <w:t>in order for it to rem</w:t>
      </w:r>
      <w:r w:rsidR="00B51307" w:rsidRPr="00F75F82">
        <w:rPr>
          <w:rFonts w:cstheme="minorHAnsi"/>
          <w:sz w:val="24"/>
          <w:szCs w:val="24"/>
        </w:rPr>
        <w:t>ain active to feed building areas to not included in the Phase 1 scope</w:t>
      </w:r>
      <w:r w:rsidRPr="00F75F82">
        <w:rPr>
          <w:rFonts w:cstheme="minorHAnsi"/>
          <w:sz w:val="24"/>
          <w:szCs w:val="24"/>
        </w:rPr>
        <w:t>.</w:t>
      </w:r>
      <w:r w:rsidR="00B51307" w:rsidRPr="00F75F82">
        <w:rPr>
          <w:rFonts w:cstheme="minorHAnsi"/>
          <w:sz w:val="24"/>
          <w:szCs w:val="24"/>
        </w:rPr>
        <w:t xml:space="preserve"> </w:t>
      </w:r>
    </w:p>
    <w:p w14:paraId="233E01B9" w14:textId="77777777" w:rsidR="001966A9" w:rsidRPr="00F75F82" w:rsidRDefault="001966A9" w:rsidP="001966A9">
      <w:pPr>
        <w:spacing w:after="0" w:line="240" w:lineRule="auto"/>
        <w:rPr>
          <w:rFonts w:cstheme="minorHAnsi"/>
          <w:sz w:val="24"/>
          <w:szCs w:val="24"/>
        </w:rPr>
      </w:pPr>
    </w:p>
    <w:p w14:paraId="4EE3548A" w14:textId="77777777" w:rsidR="00B51307" w:rsidRPr="00F75F82" w:rsidRDefault="00B51307" w:rsidP="001966A9">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t xml:space="preserve">Mechanical </w:t>
      </w:r>
    </w:p>
    <w:p w14:paraId="36699140" w14:textId="77777777" w:rsidR="001966A9" w:rsidRDefault="001966A9" w:rsidP="001966A9">
      <w:pPr>
        <w:spacing w:after="0" w:line="240" w:lineRule="auto"/>
        <w:rPr>
          <w:rFonts w:cstheme="minorHAnsi"/>
          <w:sz w:val="24"/>
          <w:szCs w:val="24"/>
        </w:rPr>
      </w:pPr>
    </w:p>
    <w:p w14:paraId="79F4F39B" w14:textId="384D075E" w:rsidR="00B51307" w:rsidRPr="00E1771D" w:rsidRDefault="001966A9" w:rsidP="00E1771D">
      <w:pPr>
        <w:spacing w:after="0" w:line="240" w:lineRule="auto"/>
        <w:rPr>
          <w:rFonts w:cstheme="minorHAnsi"/>
          <w:sz w:val="24"/>
          <w:szCs w:val="24"/>
        </w:rPr>
      </w:pPr>
      <w:r>
        <w:rPr>
          <w:rFonts w:cstheme="minorHAnsi"/>
          <w:sz w:val="24"/>
          <w:szCs w:val="24"/>
        </w:rPr>
        <w:t xml:space="preserve">Mechanical costs were originally estimated to be approximately </w:t>
      </w:r>
      <w:r w:rsidR="00B51307" w:rsidRPr="001966A9">
        <w:rPr>
          <w:rFonts w:cstheme="minorHAnsi"/>
          <w:sz w:val="24"/>
          <w:szCs w:val="24"/>
        </w:rPr>
        <w:t>$979,845</w:t>
      </w:r>
      <w:r>
        <w:rPr>
          <w:rFonts w:cstheme="minorHAnsi"/>
          <w:sz w:val="24"/>
          <w:szCs w:val="24"/>
        </w:rPr>
        <w:t xml:space="preserve">.  After all the necessary investigation required to prepare detailed construction plans, it was determined that mechanical costs would be much higher and the current projected costs is </w:t>
      </w:r>
      <w:r w:rsidR="00B51307" w:rsidRPr="00F75F82">
        <w:rPr>
          <w:rFonts w:cstheme="minorHAnsi"/>
          <w:sz w:val="24"/>
          <w:szCs w:val="24"/>
        </w:rPr>
        <w:t>$2,617,419</w:t>
      </w:r>
      <w:r w:rsidR="00E1771D">
        <w:rPr>
          <w:rFonts w:cstheme="minorHAnsi"/>
          <w:sz w:val="24"/>
          <w:szCs w:val="24"/>
        </w:rPr>
        <w:t xml:space="preserve">, an increase of </w:t>
      </w:r>
      <w:r w:rsidR="00B51307" w:rsidRPr="00F75F82">
        <w:rPr>
          <w:rFonts w:cstheme="minorHAnsi"/>
          <w:sz w:val="24"/>
          <w:szCs w:val="24"/>
        </w:rPr>
        <w:t>$1,638,574</w:t>
      </w:r>
      <w:r w:rsidR="00E1771D">
        <w:rPr>
          <w:rFonts w:cstheme="minorHAnsi"/>
          <w:sz w:val="24"/>
          <w:szCs w:val="24"/>
        </w:rPr>
        <w:t>.  This increase arose as a result of the</w:t>
      </w:r>
      <w:r w:rsidR="00B51307" w:rsidRPr="00E1771D">
        <w:rPr>
          <w:rFonts w:cstheme="minorHAnsi"/>
          <w:sz w:val="24"/>
          <w:szCs w:val="24"/>
        </w:rPr>
        <w:t xml:space="preserve"> </w:t>
      </w:r>
      <w:r w:rsidR="00E1771D">
        <w:rPr>
          <w:rFonts w:cstheme="minorHAnsi"/>
          <w:sz w:val="24"/>
          <w:szCs w:val="24"/>
        </w:rPr>
        <w:t xml:space="preserve">fact that </w:t>
      </w:r>
      <w:r w:rsidR="00B51307" w:rsidRPr="00E1771D">
        <w:rPr>
          <w:rFonts w:cstheme="minorHAnsi"/>
          <w:sz w:val="24"/>
          <w:szCs w:val="24"/>
        </w:rPr>
        <w:t xml:space="preserve">final scope details </w:t>
      </w:r>
      <w:r w:rsidR="00E1771D">
        <w:rPr>
          <w:rFonts w:cstheme="minorHAnsi"/>
          <w:sz w:val="24"/>
          <w:szCs w:val="24"/>
        </w:rPr>
        <w:t xml:space="preserve">developed </w:t>
      </w:r>
      <w:r w:rsidR="00B51307" w:rsidRPr="00E1771D">
        <w:rPr>
          <w:rFonts w:cstheme="minorHAnsi"/>
          <w:sz w:val="24"/>
          <w:szCs w:val="24"/>
        </w:rPr>
        <w:t xml:space="preserve">for the mechanical system </w:t>
      </w:r>
      <w:r w:rsidR="00E1771D">
        <w:rPr>
          <w:rFonts w:cstheme="minorHAnsi"/>
          <w:sz w:val="24"/>
          <w:szCs w:val="24"/>
        </w:rPr>
        <w:t>were</w:t>
      </w:r>
      <w:r w:rsidR="00B51307" w:rsidRPr="00E1771D">
        <w:rPr>
          <w:rFonts w:cstheme="minorHAnsi"/>
          <w:sz w:val="24"/>
          <w:szCs w:val="24"/>
        </w:rPr>
        <w:t xml:space="preserve"> significantly in excess of prior estimates</w:t>
      </w:r>
      <w:r w:rsidR="00E1771D">
        <w:rPr>
          <w:rFonts w:cstheme="minorHAnsi"/>
          <w:sz w:val="24"/>
          <w:szCs w:val="24"/>
        </w:rPr>
        <w:t>.  The revised scope as a result of the investigation necessary to develop construction level mechanical plans</w:t>
      </w:r>
      <w:r w:rsidR="00B51307" w:rsidRPr="00E1771D">
        <w:rPr>
          <w:rFonts w:cstheme="minorHAnsi"/>
          <w:sz w:val="24"/>
          <w:szCs w:val="24"/>
        </w:rPr>
        <w:t xml:space="preserve"> </w:t>
      </w:r>
      <w:r w:rsidR="00E1771D">
        <w:rPr>
          <w:rFonts w:cstheme="minorHAnsi"/>
          <w:sz w:val="24"/>
          <w:szCs w:val="24"/>
        </w:rPr>
        <w:t>required</w:t>
      </w:r>
      <w:r w:rsidR="00B51307" w:rsidRPr="00E1771D">
        <w:rPr>
          <w:rFonts w:cstheme="minorHAnsi"/>
          <w:sz w:val="24"/>
          <w:szCs w:val="24"/>
        </w:rPr>
        <w:t xml:space="preserve"> two (2) new roof-mounted energy recovery units</w:t>
      </w:r>
      <w:r w:rsidR="00E1771D">
        <w:rPr>
          <w:rFonts w:cstheme="minorHAnsi"/>
          <w:sz w:val="24"/>
          <w:szCs w:val="24"/>
        </w:rPr>
        <w:t xml:space="preserve"> that were not in the initial plans.  Furthermore,</w:t>
      </w:r>
      <w:r w:rsidR="00B51307" w:rsidRPr="00E1771D">
        <w:rPr>
          <w:rFonts w:cstheme="minorHAnsi"/>
          <w:sz w:val="24"/>
          <w:szCs w:val="24"/>
        </w:rPr>
        <w:t xml:space="preserve"> due to low ceiling height, the</w:t>
      </w:r>
      <w:r w:rsidR="00E1771D">
        <w:rPr>
          <w:rFonts w:cstheme="minorHAnsi"/>
          <w:sz w:val="24"/>
          <w:szCs w:val="24"/>
        </w:rPr>
        <w:t xml:space="preserve">re was </w:t>
      </w:r>
      <w:r w:rsidR="00B51307" w:rsidRPr="00E1771D">
        <w:rPr>
          <w:rFonts w:cstheme="minorHAnsi"/>
          <w:sz w:val="24"/>
          <w:szCs w:val="24"/>
        </w:rPr>
        <w:t>extensive routing of the ductwork for supply and return air from the ERUs to the individual rooms</w:t>
      </w:r>
      <w:r w:rsidR="00E1771D">
        <w:rPr>
          <w:rFonts w:cstheme="minorHAnsi"/>
          <w:sz w:val="24"/>
          <w:szCs w:val="24"/>
        </w:rPr>
        <w:t>,</w:t>
      </w:r>
      <w:r w:rsidR="00B51307" w:rsidRPr="00E1771D">
        <w:rPr>
          <w:rFonts w:cstheme="minorHAnsi"/>
          <w:sz w:val="24"/>
          <w:szCs w:val="24"/>
        </w:rPr>
        <w:t xml:space="preserve"> as well as </w:t>
      </w:r>
      <w:r w:rsidR="00E1771D">
        <w:rPr>
          <w:rFonts w:cstheme="minorHAnsi"/>
          <w:sz w:val="24"/>
          <w:szCs w:val="24"/>
        </w:rPr>
        <w:t xml:space="preserve">for </w:t>
      </w:r>
      <w:r w:rsidR="00B51307" w:rsidRPr="00E1771D">
        <w:rPr>
          <w:rFonts w:cstheme="minorHAnsi"/>
          <w:sz w:val="24"/>
          <w:szCs w:val="24"/>
        </w:rPr>
        <w:t>the routing of refrigerant piping for heating and air-conditioning from the new roof mounted heat pumps to the to the individual rooms.</w:t>
      </w:r>
    </w:p>
    <w:p w14:paraId="45327EF7" w14:textId="77777777" w:rsidR="00B51307" w:rsidRPr="00F75F82" w:rsidRDefault="00B51307" w:rsidP="00262636">
      <w:pPr>
        <w:spacing w:after="0" w:line="240" w:lineRule="auto"/>
        <w:ind w:left="360"/>
        <w:rPr>
          <w:rFonts w:cstheme="minorHAnsi"/>
          <w:sz w:val="24"/>
          <w:szCs w:val="24"/>
        </w:rPr>
      </w:pPr>
      <w:r w:rsidRPr="00F75F82">
        <w:rPr>
          <w:rFonts w:cstheme="minorHAnsi"/>
          <w:sz w:val="24"/>
          <w:szCs w:val="24"/>
        </w:rPr>
        <w:lastRenderedPageBreak/>
        <w:t> </w:t>
      </w:r>
    </w:p>
    <w:p w14:paraId="3D3D94BC" w14:textId="77777777" w:rsidR="00B51307" w:rsidRPr="00F75F82" w:rsidRDefault="00B51307" w:rsidP="00262636">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t xml:space="preserve">Electrical </w:t>
      </w:r>
    </w:p>
    <w:p w14:paraId="4DEFA88B" w14:textId="77777777" w:rsidR="00262636" w:rsidRDefault="00262636" w:rsidP="00E226A8">
      <w:pPr>
        <w:spacing w:after="0" w:line="240" w:lineRule="auto"/>
        <w:rPr>
          <w:rFonts w:cstheme="minorHAnsi"/>
          <w:sz w:val="24"/>
          <w:szCs w:val="24"/>
        </w:rPr>
      </w:pPr>
    </w:p>
    <w:p w14:paraId="60DA6E2A" w14:textId="77777777" w:rsidR="00B5218D" w:rsidRPr="000E0588" w:rsidRDefault="00B5218D" w:rsidP="00B5218D">
      <w:pPr>
        <w:pStyle w:val="Heading2"/>
        <w:rPr>
          <w:color w:val="auto"/>
        </w:rPr>
      </w:pPr>
      <w:r w:rsidRPr="000E0588">
        <w:rPr>
          <w:color w:val="auto"/>
        </w:rPr>
        <w:t>DoN Project-19120215-CL</w:t>
      </w:r>
    </w:p>
    <w:p w14:paraId="36C13672" w14:textId="77777777" w:rsidR="00B5218D" w:rsidRPr="000E0588" w:rsidRDefault="00B5218D" w:rsidP="00B5218D">
      <w:pPr>
        <w:pStyle w:val="Heading2"/>
        <w:rPr>
          <w:color w:val="auto"/>
        </w:rPr>
      </w:pPr>
      <w:r w:rsidRPr="000E0588">
        <w:rPr>
          <w:color w:val="auto"/>
        </w:rPr>
        <w:t>Advocate Healthcare of East Boston</w:t>
      </w:r>
    </w:p>
    <w:p w14:paraId="2D52908D" w14:textId="77777777" w:rsidR="00B5218D" w:rsidRPr="000E0588" w:rsidRDefault="00B5218D" w:rsidP="00B5218D">
      <w:pPr>
        <w:pStyle w:val="Heading2"/>
        <w:rPr>
          <w:color w:val="auto"/>
        </w:rPr>
      </w:pPr>
      <w:r w:rsidRPr="000E0588">
        <w:rPr>
          <w:color w:val="auto"/>
        </w:rPr>
        <w:t>Significant Amendment</w:t>
      </w:r>
    </w:p>
    <w:p w14:paraId="6F2717FF" w14:textId="77777777" w:rsidR="00B5218D" w:rsidRDefault="00B5218D" w:rsidP="001E4C6E">
      <w:pPr>
        <w:spacing w:after="0" w:line="240" w:lineRule="auto"/>
        <w:rPr>
          <w:rFonts w:cstheme="minorHAnsi"/>
          <w:sz w:val="24"/>
          <w:szCs w:val="24"/>
        </w:rPr>
      </w:pPr>
    </w:p>
    <w:p w14:paraId="45AA633C" w14:textId="77777777" w:rsidR="00B5218D" w:rsidRDefault="00B5218D" w:rsidP="001E4C6E">
      <w:pPr>
        <w:spacing w:after="0" w:line="240" w:lineRule="auto"/>
        <w:rPr>
          <w:rFonts w:cstheme="minorHAnsi"/>
          <w:sz w:val="24"/>
          <w:szCs w:val="24"/>
        </w:rPr>
      </w:pPr>
    </w:p>
    <w:p w14:paraId="3752E3B4" w14:textId="67C9D983" w:rsidR="00B51307" w:rsidRPr="00F75F82" w:rsidRDefault="00262636" w:rsidP="001E4C6E">
      <w:pPr>
        <w:spacing w:after="0" w:line="240" w:lineRule="auto"/>
        <w:rPr>
          <w:rFonts w:cstheme="minorHAnsi"/>
          <w:sz w:val="24"/>
          <w:szCs w:val="24"/>
        </w:rPr>
      </w:pPr>
      <w:r>
        <w:rPr>
          <w:rFonts w:cstheme="minorHAnsi"/>
          <w:sz w:val="24"/>
          <w:szCs w:val="24"/>
        </w:rPr>
        <w:t xml:space="preserve">Replacement of and upgrading electrical systems to current standards was a material component of the capital expenditures for this Project as the wiring and systems in the facility have not been addressed in decades.  The initial cost estimate of this extensive work was </w:t>
      </w:r>
      <w:r w:rsidR="00B51307" w:rsidRPr="00262636">
        <w:rPr>
          <w:rFonts w:cstheme="minorHAnsi"/>
          <w:sz w:val="24"/>
          <w:szCs w:val="24"/>
        </w:rPr>
        <w:t>$1,222,961</w:t>
      </w:r>
      <w:r w:rsidR="001E4C6E">
        <w:rPr>
          <w:rFonts w:cstheme="minorHAnsi"/>
          <w:sz w:val="24"/>
          <w:szCs w:val="24"/>
        </w:rPr>
        <w:t xml:space="preserve">.  The costs for this critical work is now estimated to be </w:t>
      </w:r>
      <w:r w:rsidR="00B51307" w:rsidRPr="00F75F82">
        <w:rPr>
          <w:rFonts w:cstheme="minorHAnsi"/>
          <w:sz w:val="24"/>
          <w:szCs w:val="24"/>
        </w:rPr>
        <w:t>$1,775,208</w:t>
      </w:r>
      <w:r w:rsidR="001E4C6E">
        <w:rPr>
          <w:rFonts w:cstheme="minorHAnsi"/>
          <w:sz w:val="24"/>
          <w:szCs w:val="24"/>
        </w:rPr>
        <w:t>, which is an i</w:t>
      </w:r>
      <w:r w:rsidR="00B51307" w:rsidRPr="001E4C6E">
        <w:rPr>
          <w:rFonts w:cstheme="minorHAnsi"/>
          <w:sz w:val="24"/>
          <w:szCs w:val="24"/>
        </w:rPr>
        <w:t>ncrease</w:t>
      </w:r>
      <w:r w:rsidR="001E4C6E">
        <w:rPr>
          <w:rFonts w:cstheme="minorHAnsi"/>
          <w:sz w:val="24"/>
          <w:szCs w:val="24"/>
        </w:rPr>
        <w:t xml:space="preserve"> of</w:t>
      </w:r>
      <w:r w:rsidR="00B51307" w:rsidRPr="001E4C6E">
        <w:rPr>
          <w:rFonts w:cstheme="minorHAnsi"/>
          <w:sz w:val="24"/>
          <w:szCs w:val="24"/>
        </w:rPr>
        <w:t xml:space="preserve"> $552,247</w:t>
      </w:r>
      <w:r w:rsidR="001E4C6E">
        <w:rPr>
          <w:rFonts w:cstheme="minorHAnsi"/>
          <w:sz w:val="24"/>
          <w:szCs w:val="24"/>
        </w:rPr>
        <w:t>.  These increased costs arise from increased costs in supplies, the required addition of a replacement emergency generator and the increase in electrical panels and rewiring determined through the development of final construction plans.</w:t>
      </w:r>
    </w:p>
    <w:p w14:paraId="01F64597" w14:textId="77777777" w:rsidR="00B51307" w:rsidRPr="00F75F82" w:rsidRDefault="00B51307" w:rsidP="001966A9">
      <w:pPr>
        <w:spacing w:after="0" w:line="240" w:lineRule="auto"/>
        <w:ind w:left="360"/>
        <w:rPr>
          <w:rFonts w:cstheme="minorHAnsi"/>
          <w:sz w:val="24"/>
          <w:szCs w:val="24"/>
        </w:rPr>
      </w:pPr>
      <w:r w:rsidRPr="00F75F82">
        <w:rPr>
          <w:rFonts w:cstheme="minorHAnsi"/>
          <w:sz w:val="24"/>
          <w:szCs w:val="24"/>
        </w:rPr>
        <w:t> </w:t>
      </w:r>
    </w:p>
    <w:p w14:paraId="5FD8531F" w14:textId="77777777" w:rsidR="00B51307" w:rsidRPr="00F75F82" w:rsidRDefault="00B51307" w:rsidP="001966A9">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t xml:space="preserve">Contractor’s General Requirements </w:t>
      </w:r>
    </w:p>
    <w:p w14:paraId="322D3B1A" w14:textId="77777777" w:rsidR="003A36F6" w:rsidRPr="00F75F82" w:rsidRDefault="003A36F6" w:rsidP="001966A9">
      <w:pPr>
        <w:spacing w:after="0" w:line="240" w:lineRule="auto"/>
        <w:rPr>
          <w:rFonts w:cstheme="minorHAnsi"/>
          <w:sz w:val="24"/>
          <w:szCs w:val="24"/>
        </w:rPr>
      </w:pPr>
    </w:p>
    <w:p w14:paraId="798194F0" w14:textId="31023B43" w:rsidR="003A36F6" w:rsidRDefault="003A36F6" w:rsidP="001966A9">
      <w:pPr>
        <w:spacing w:after="0" w:line="240" w:lineRule="auto"/>
        <w:rPr>
          <w:rFonts w:cstheme="minorHAnsi"/>
          <w:sz w:val="24"/>
          <w:szCs w:val="24"/>
        </w:rPr>
      </w:pPr>
      <w:r w:rsidRPr="00F75F82">
        <w:rPr>
          <w:rFonts w:cstheme="minorHAnsi"/>
          <w:sz w:val="24"/>
          <w:szCs w:val="24"/>
        </w:rPr>
        <w:t xml:space="preserve">The estimates developed for the DoN, included contractor overhead or general requirements of </w:t>
      </w:r>
      <w:r w:rsidR="00B51307" w:rsidRPr="00F75F82">
        <w:rPr>
          <w:rFonts w:cstheme="minorHAnsi"/>
          <w:sz w:val="24"/>
          <w:szCs w:val="24"/>
        </w:rPr>
        <w:t>$104,005</w:t>
      </w:r>
      <w:r w:rsidRPr="00F75F82">
        <w:rPr>
          <w:rFonts w:cstheme="minorHAnsi"/>
          <w:sz w:val="24"/>
          <w:szCs w:val="24"/>
        </w:rPr>
        <w:t xml:space="preserve">.  The current estimate being provided now that construction level plans are available </w:t>
      </w:r>
      <w:r w:rsidR="00B51307" w:rsidRPr="00F75F82">
        <w:rPr>
          <w:rFonts w:cstheme="minorHAnsi"/>
          <w:sz w:val="24"/>
          <w:szCs w:val="24"/>
        </w:rPr>
        <w:t>$181,266</w:t>
      </w:r>
      <w:r w:rsidRPr="00F75F82">
        <w:rPr>
          <w:rFonts w:cstheme="minorHAnsi"/>
          <w:sz w:val="24"/>
          <w:szCs w:val="24"/>
        </w:rPr>
        <w:t>.  This is an i</w:t>
      </w:r>
      <w:r w:rsidR="00B51307" w:rsidRPr="00F75F82">
        <w:rPr>
          <w:rFonts w:cstheme="minorHAnsi"/>
          <w:sz w:val="24"/>
          <w:szCs w:val="24"/>
        </w:rPr>
        <w:t xml:space="preserve">ncrease </w:t>
      </w:r>
      <w:r w:rsidRPr="00F75F82">
        <w:rPr>
          <w:rFonts w:cstheme="minorHAnsi"/>
          <w:sz w:val="24"/>
          <w:szCs w:val="24"/>
        </w:rPr>
        <w:t>of</w:t>
      </w:r>
      <w:r w:rsidR="00B51307" w:rsidRPr="00F75F82">
        <w:rPr>
          <w:rFonts w:cstheme="minorHAnsi"/>
          <w:sz w:val="24"/>
          <w:szCs w:val="24"/>
        </w:rPr>
        <w:t xml:space="preserve"> $77,261</w:t>
      </w:r>
      <w:r w:rsidRPr="00F75F82">
        <w:rPr>
          <w:rFonts w:cstheme="minorHAnsi"/>
          <w:sz w:val="24"/>
          <w:szCs w:val="24"/>
        </w:rPr>
        <w:t xml:space="preserve">.  The increase is needed as a result of the </w:t>
      </w:r>
      <w:r w:rsidR="00B51307" w:rsidRPr="00F75F82">
        <w:rPr>
          <w:rFonts w:cstheme="minorHAnsi"/>
          <w:sz w:val="24"/>
          <w:szCs w:val="24"/>
        </w:rPr>
        <w:t xml:space="preserve">extended construction period </w:t>
      </w:r>
      <w:r w:rsidRPr="00F75F82">
        <w:rPr>
          <w:rFonts w:cstheme="minorHAnsi"/>
          <w:sz w:val="24"/>
          <w:szCs w:val="24"/>
        </w:rPr>
        <w:t>now projected to be required from the additional work and phasing needed and additional work required.</w:t>
      </w:r>
      <w:r w:rsidR="00B51307" w:rsidRPr="00F75F82">
        <w:rPr>
          <w:rFonts w:cstheme="minorHAnsi"/>
          <w:sz w:val="24"/>
          <w:szCs w:val="24"/>
        </w:rPr>
        <w:t xml:space="preserve"> </w:t>
      </w:r>
    </w:p>
    <w:p w14:paraId="3DA84C83" w14:textId="77777777" w:rsidR="001966A9" w:rsidRPr="00F75F82" w:rsidRDefault="001966A9" w:rsidP="001966A9">
      <w:pPr>
        <w:spacing w:after="0" w:line="240" w:lineRule="auto"/>
        <w:rPr>
          <w:rFonts w:cstheme="minorHAnsi"/>
          <w:sz w:val="24"/>
          <w:szCs w:val="24"/>
        </w:rPr>
      </w:pPr>
    </w:p>
    <w:p w14:paraId="3B5940C1" w14:textId="77777777" w:rsidR="003A36F6" w:rsidRPr="00F75F82" w:rsidRDefault="00B51307" w:rsidP="001966A9">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t xml:space="preserve">Contractor’s General Conditions Labor Costs </w:t>
      </w:r>
    </w:p>
    <w:p w14:paraId="195FB8BB" w14:textId="77777777" w:rsidR="003A36F6" w:rsidRPr="00F75F82" w:rsidRDefault="003A36F6" w:rsidP="003A36F6">
      <w:pPr>
        <w:spacing w:after="0" w:line="240" w:lineRule="auto"/>
        <w:rPr>
          <w:rFonts w:cstheme="minorHAnsi"/>
          <w:sz w:val="24"/>
          <w:szCs w:val="24"/>
        </w:rPr>
      </w:pPr>
    </w:p>
    <w:p w14:paraId="38828F0C" w14:textId="265722F7" w:rsidR="00B51307" w:rsidRPr="00F75F82" w:rsidRDefault="00B51307" w:rsidP="003A36F6">
      <w:pPr>
        <w:spacing w:after="0" w:line="240" w:lineRule="auto"/>
        <w:rPr>
          <w:rFonts w:cstheme="minorHAnsi"/>
          <w:sz w:val="24"/>
          <w:szCs w:val="24"/>
        </w:rPr>
      </w:pPr>
      <w:r w:rsidRPr="00F75F82">
        <w:rPr>
          <w:rFonts w:cstheme="minorHAnsi"/>
          <w:sz w:val="24"/>
          <w:szCs w:val="24"/>
        </w:rPr>
        <w:t>I</w:t>
      </w:r>
      <w:r w:rsidR="003A36F6" w:rsidRPr="00F75F82">
        <w:rPr>
          <w:rFonts w:cstheme="minorHAnsi"/>
          <w:sz w:val="24"/>
          <w:szCs w:val="24"/>
        </w:rPr>
        <w:t>n addition to the Contractor’s General Requirements, the Contractor’s General Conditions Labor Costs has also increased due to the increase in project work and the length of the construction period.  I</w:t>
      </w:r>
      <w:r w:rsidRPr="00F75F82">
        <w:rPr>
          <w:rFonts w:cstheme="minorHAnsi"/>
          <w:sz w:val="24"/>
          <w:szCs w:val="24"/>
        </w:rPr>
        <w:t xml:space="preserve">nitial </w:t>
      </w:r>
      <w:r w:rsidR="003A36F6" w:rsidRPr="00F75F82">
        <w:rPr>
          <w:rFonts w:cstheme="minorHAnsi"/>
          <w:sz w:val="24"/>
          <w:szCs w:val="24"/>
        </w:rPr>
        <w:t>Contractor Labor Costs were estimated at</w:t>
      </w:r>
      <w:r w:rsidRPr="00F75F82">
        <w:rPr>
          <w:rFonts w:cstheme="minorHAnsi"/>
          <w:sz w:val="24"/>
          <w:szCs w:val="24"/>
        </w:rPr>
        <w:t xml:space="preserve"> $489,762</w:t>
      </w:r>
      <w:r w:rsidR="003A36F6" w:rsidRPr="00F75F82">
        <w:rPr>
          <w:rFonts w:cstheme="minorHAnsi"/>
          <w:sz w:val="24"/>
          <w:szCs w:val="24"/>
        </w:rPr>
        <w:t xml:space="preserve">, but the current proposed amount is </w:t>
      </w:r>
      <w:r w:rsidRPr="00F75F82">
        <w:rPr>
          <w:rFonts w:cstheme="minorHAnsi"/>
          <w:sz w:val="24"/>
          <w:szCs w:val="24"/>
        </w:rPr>
        <w:t>$857,924</w:t>
      </w:r>
      <w:r w:rsidR="003A36F6" w:rsidRPr="00F75F82">
        <w:rPr>
          <w:rFonts w:cstheme="minorHAnsi"/>
          <w:sz w:val="24"/>
          <w:szCs w:val="24"/>
        </w:rPr>
        <w:t xml:space="preserve">.  This is an increase of </w:t>
      </w:r>
      <w:r w:rsidRPr="00F75F82">
        <w:rPr>
          <w:rFonts w:cstheme="minorHAnsi"/>
          <w:sz w:val="24"/>
          <w:szCs w:val="24"/>
        </w:rPr>
        <w:t>$368,162</w:t>
      </w:r>
      <w:r w:rsidR="00F75F82" w:rsidRPr="00F75F82">
        <w:rPr>
          <w:rFonts w:cstheme="minorHAnsi"/>
          <w:sz w:val="24"/>
          <w:szCs w:val="24"/>
        </w:rPr>
        <w:t>.</w:t>
      </w:r>
    </w:p>
    <w:p w14:paraId="1050BD7E" w14:textId="77777777" w:rsidR="00B51307" w:rsidRPr="00F75F82" w:rsidRDefault="00B51307" w:rsidP="001E4C6E">
      <w:pPr>
        <w:spacing w:after="0" w:line="240" w:lineRule="auto"/>
        <w:ind w:left="360"/>
        <w:rPr>
          <w:rFonts w:cstheme="minorHAnsi"/>
          <w:sz w:val="24"/>
          <w:szCs w:val="24"/>
        </w:rPr>
      </w:pPr>
      <w:r w:rsidRPr="00F75F82">
        <w:rPr>
          <w:rFonts w:cstheme="minorHAnsi"/>
          <w:sz w:val="24"/>
          <w:szCs w:val="24"/>
        </w:rPr>
        <w:t> </w:t>
      </w:r>
    </w:p>
    <w:p w14:paraId="79749AD3" w14:textId="77777777" w:rsidR="001E4C6E" w:rsidRDefault="00B51307" w:rsidP="001E4C6E">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t>Contractor’s Fee</w:t>
      </w:r>
    </w:p>
    <w:p w14:paraId="5B1215C1" w14:textId="77777777" w:rsidR="001E4C6E" w:rsidRDefault="001E4C6E" w:rsidP="001E4C6E">
      <w:pPr>
        <w:spacing w:after="0" w:line="240" w:lineRule="auto"/>
        <w:rPr>
          <w:rFonts w:cstheme="minorHAnsi"/>
          <w:sz w:val="24"/>
          <w:szCs w:val="24"/>
        </w:rPr>
      </w:pPr>
    </w:p>
    <w:p w14:paraId="73EAF14D" w14:textId="760BBD3D" w:rsidR="00B51307" w:rsidRDefault="00F75F82" w:rsidP="001E4C6E">
      <w:pPr>
        <w:spacing w:after="0" w:line="240" w:lineRule="auto"/>
        <w:rPr>
          <w:rFonts w:cstheme="minorHAnsi"/>
          <w:sz w:val="24"/>
          <w:szCs w:val="24"/>
        </w:rPr>
      </w:pPr>
      <w:r w:rsidRPr="001E4C6E">
        <w:rPr>
          <w:rFonts w:cstheme="minorHAnsi"/>
          <w:sz w:val="24"/>
          <w:szCs w:val="24"/>
        </w:rPr>
        <w:t>The i</w:t>
      </w:r>
      <w:r w:rsidR="00B51307" w:rsidRPr="001E4C6E">
        <w:rPr>
          <w:rFonts w:cstheme="minorHAnsi"/>
          <w:sz w:val="24"/>
          <w:szCs w:val="24"/>
        </w:rPr>
        <w:t xml:space="preserve">nitial </w:t>
      </w:r>
      <w:r w:rsidRPr="001E4C6E">
        <w:rPr>
          <w:rFonts w:cstheme="minorHAnsi"/>
          <w:sz w:val="24"/>
          <w:szCs w:val="24"/>
        </w:rPr>
        <w:t>estimated Contractor Fee was</w:t>
      </w:r>
      <w:r w:rsidR="00B51307" w:rsidRPr="001E4C6E">
        <w:rPr>
          <w:rFonts w:cstheme="minorHAnsi"/>
          <w:sz w:val="24"/>
          <w:szCs w:val="24"/>
        </w:rPr>
        <w:t xml:space="preserve"> $209,898</w:t>
      </w:r>
      <w:r w:rsidRPr="001E4C6E">
        <w:rPr>
          <w:rFonts w:cstheme="minorHAnsi"/>
          <w:sz w:val="24"/>
          <w:szCs w:val="24"/>
        </w:rPr>
        <w:t>; however</w:t>
      </w:r>
      <w:r w:rsidR="001E4C6E" w:rsidRPr="001E4C6E">
        <w:rPr>
          <w:rFonts w:cstheme="minorHAnsi"/>
          <w:sz w:val="24"/>
          <w:szCs w:val="24"/>
        </w:rPr>
        <w:t>,</w:t>
      </w:r>
      <w:r w:rsidRPr="001E4C6E">
        <w:rPr>
          <w:rFonts w:cstheme="minorHAnsi"/>
          <w:sz w:val="24"/>
          <w:szCs w:val="24"/>
        </w:rPr>
        <w:t xml:space="preserve"> with this increased length of </w:t>
      </w:r>
      <w:r w:rsidR="001E4C6E" w:rsidRPr="001E4C6E">
        <w:rPr>
          <w:rFonts w:cstheme="minorHAnsi"/>
          <w:sz w:val="24"/>
          <w:szCs w:val="24"/>
        </w:rPr>
        <w:t>time for c</w:t>
      </w:r>
      <w:r w:rsidRPr="001E4C6E">
        <w:rPr>
          <w:rFonts w:cstheme="minorHAnsi"/>
          <w:sz w:val="24"/>
          <w:szCs w:val="24"/>
        </w:rPr>
        <w:t xml:space="preserve">onstruction and the various modifications in the work required, the contractor currently estimates a fee of </w:t>
      </w:r>
      <w:r w:rsidR="00B51307" w:rsidRPr="001E4C6E">
        <w:rPr>
          <w:rFonts w:cstheme="minorHAnsi"/>
          <w:sz w:val="24"/>
          <w:szCs w:val="24"/>
        </w:rPr>
        <w:t>$362,695</w:t>
      </w:r>
      <w:r w:rsidRPr="001E4C6E">
        <w:rPr>
          <w:rFonts w:cstheme="minorHAnsi"/>
          <w:sz w:val="24"/>
          <w:szCs w:val="24"/>
        </w:rPr>
        <w:t>, a</w:t>
      </w:r>
      <w:r w:rsidR="00B51307" w:rsidRPr="001E4C6E">
        <w:rPr>
          <w:rFonts w:cstheme="minorHAnsi"/>
          <w:sz w:val="24"/>
          <w:szCs w:val="24"/>
        </w:rPr>
        <w:t xml:space="preserve"> $152,797</w:t>
      </w:r>
      <w:r w:rsidRPr="001E4C6E">
        <w:rPr>
          <w:rFonts w:cstheme="minorHAnsi"/>
          <w:sz w:val="24"/>
          <w:szCs w:val="24"/>
        </w:rPr>
        <w:t xml:space="preserve"> increase of the estimate in the DoN application.</w:t>
      </w:r>
    </w:p>
    <w:p w14:paraId="3B67B1A4" w14:textId="77777777" w:rsidR="001E4C6E" w:rsidRPr="001E4C6E" w:rsidRDefault="001E4C6E" w:rsidP="001E4C6E">
      <w:pPr>
        <w:spacing w:after="0" w:line="240" w:lineRule="auto"/>
        <w:rPr>
          <w:rFonts w:cstheme="minorHAnsi"/>
          <w:sz w:val="24"/>
          <w:szCs w:val="24"/>
        </w:rPr>
      </w:pPr>
    </w:p>
    <w:p w14:paraId="5B592BF0" w14:textId="0BADC7AF" w:rsidR="00B51307" w:rsidRPr="001E4C6E" w:rsidRDefault="00B51307" w:rsidP="00E226A8">
      <w:pPr>
        <w:pStyle w:val="ListParagraph"/>
        <w:numPr>
          <w:ilvl w:val="0"/>
          <w:numId w:val="1"/>
        </w:numPr>
        <w:ind w:left="720" w:hanging="270"/>
        <w:rPr>
          <w:rFonts w:cstheme="minorHAnsi"/>
          <w:sz w:val="24"/>
          <w:szCs w:val="24"/>
        </w:rPr>
      </w:pPr>
      <w:r w:rsidRPr="001E4C6E">
        <w:rPr>
          <w:rFonts w:cstheme="minorHAnsi"/>
          <w:sz w:val="24"/>
          <w:szCs w:val="24"/>
        </w:rPr>
        <w:t xml:space="preserve">Permits &amp; Fees </w:t>
      </w:r>
    </w:p>
    <w:p w14:paraId="2956771B" w14:textId="77777777" w:rsidR="00B5218D" w:rsidRDefault="00B51307" w:rsidP="00E226A8">
      <w:pPr>
        <w:spacing w:after="0" w:line="240" w:lineRule="auto"/>
        <w:rPr>
          <w:rFonts w:cstheme="minorHAnsi"/>
          <w:sz w:val="24"/>
          <w:szCs w:val="24"/>
        </w:rPr>
      </w:pPr>
      <w:r w:rsidRPr="002A29BA">
        <w:rPr>
          <w:rFonts w:cstheme="minorHAnsi"/>
          <w:sz w:val="24"/>
          <w:szCs w:val="24"/>
        </w:rPr>
        <w:t>$75,966</w:t>
      </w:r>
      <w:r w:rsidR="002A29BA">
        <w:rPr>
          <w:rFonts w:cstheme="minorHAnsi"/>
          <w:sz w:val="24"/>
          <w:szCs w:val="24"/>
        </w:rPr>
        <w:t xml:space="preserve"> was originally provided as an estimate of the fees the contract would play when the budget for the DoN was prepared in 2019.  The latest proposals have increased this expense category to </w:t>
      </w:r>
      <w:r w:rsidRPr="00F75F82">
        <w:rPr>
          <w:rFonts w:cstheme="minorHAnsi"/>
          <w:sz w:val="24"/>
          <w:szCs w:val="24"/>
        </w:rPr>
        <w:t>$142,843</w:t>
      </w:r>
      <w:r w:rsidR="002A29BA">
        <w:rPr>
          <w:rFonts w:cstheme="minorHAnsi"/>
          <w:sz w:val="24"/>
          <w:szCs w:val="24"/>
        </w:rPr>
        <w:t>.  This is an unforeseen i</w:t>
      </w:r>
      <w:r w:rsidRPr="00F75F82">
        <w:rPr>
          <w:rFonts w:cstheme="minorHAnsi"/>
          <w:sz w:val="24"/>
          <w:szCs w:val="24"/>
        </w:rPr>
        <w:t xml:space="preserve">ncrease </w:t>
      </w:r>
      <w:r w:rsidR="002A29BA">
        <w:rPr>
          <w:rFonts w:cstheme="minorHAnsi"/>
          <w:sz w:val="24"/>
          <w:szCs w:val="24"/>
        </w:rPr>
        <w:t>of</w:t>
      </w:r>
      <w:r w:rsidRPr="00F75F82">
        <w:rPr>
          <w:rFonts w:cstheme="minorHAnsi"/>
          <w:sz w:val="24"/>
          <w:szCs w:val="24"/>
        </w:rPr>
        <w:t xml:space="preserve"> $66,877</w:t>
      </w:r>
      <w:r w:rsidR="002A29BA">
        <w:rPr>
          <w:rFonts w:cstheme="minorHAnsi"/>
          <w:sz w:val="24"/>
          <w:szCs w:val="24"/>
        </w:rPr>
        <w:t xml:space="preserve">.  The increased fees are a </w:t>
      </w:r>
    </w:p>
    <w:p w14:paraId="233D663D" w14:textId="77777777" w:rsidR="00B5218D" w:rsidRDefault="00B5218D" w:rsidP="00E226A8">
      <w:pPr>
        <w:spacing w:after="0" w:line="240" w:lineRule="auto"/>
        <w:rPr>
          <w:rFonts w:cstheme="minorHAnsi"/>
          <w:sz w:val="24"/>
          <w:szCs w:val="24"/>
        </w:rPr>
      </w:pPr>
    </w:p>
    <w:p w14:paraId="511A3F99" w14:textId="77777777" w:rsidR="00B5218D" w:rsidRPr="000E0588" w:rsidRDefault="00B5218D" w:rsidP="00B5218D">
      <w:pPr>
        <w:pStyle w:val="Heading2"/>
        <w:rPr>
          <w:color w:val="auto"/>
        </w:rPr>
      </w:pPr>
      <w:r w:rsidRPr="000E0588">
        <w:rPr>
          <w:color w:val="auto"/>
        </w:rPr>
        <w:lastRenderedPageBreak/>
        <w:t>DoN Project-19120215-CL</w:t>
      </w:r>
    </w:p>
    <w:p w14:paraId="7706BC07" w14:textId="77777777" w:rsidR="00B5218D" w:rsidRPr="000E0588" w:rsidRDefault="00B5218D" w:rsidP="00B5218D">
      <w:pPr>
        <w:pStyle w:val="Heading2"/>
        <w:rPr>
          <w:color w:val="auto"/>
        </w:rPr>
      </w:pPr>
      <w:r w:rsidRPr="000E0588">
        <w:rPr>
          <w:color w:val="auto"/>
        </w:rPr>
        <w:t>Advocate Healthcare of East Boston</w:t>
      </w:r>
    </w:p>
    <w:p w14:paraId="58684483" w14:textId="77777777" w:rsidR="00B5218D" w:rsidRPr="000E0588" w:rsidRDefault="00B5218D" w:rsidP="00B5218D">
      <w:pPr>
        <w:pStyle w:val="Heading2"/>
        <w:rPr>
          <w:color w:val="auto"/>
        </w:rPr>
      </w:pPr>
      <w:r w:rsidRPr="000E0588">
        <w:rPr>
          <w:color w:val="auto"/>
        </w:rPr>
        <w:t>Significant Amendment</w:t>
      </w:r>
    </w:p>
    <w:p w14:paraId="7480C216" w14:textId="77777777" w:rsidR="00B5218D" w:rsidRDefault="00B5218D" w:rsidP="00E226A8">
      <w:pPr>
        <w:spacing w:after="0" w:line="240" w:lineRule="auto"/>
        <w:rPr>
          <w:rFonts w:cstheme="minorHAnsi"/>
          <w:sz w:val="24"/>
          <w:szCs w:val="24"/>
        </w:rPr>
      </w:pPr>
    </w:p>
    <w:p w14:paraId="7F52EBE2" w14:textId="3E3CAA05" w:rsidR="00B51307" w:rsidRPr="002A29BA" w:rsidRDefault="002A29BA" w:rsidP="00E226A8">
      <w:pPr>
        <w:spacing w:after="0" w:line="240" w:lineRule="auto"/>
        <w:rPr>
          <w:rFonts w:cstheme="minorHAnsi"/>
          <w:sz w:val="24"/>
          <w:szCs w:val="24"/>
        </w:rPr>
      </w:pPr>
      <w:r>
        <w:rPr>
          <w:rFonts w:cstheme="minorHAnsi"/>
          <w:sz w:val="24"/>
          <w:szCs w:val="24"/>
        </w:rPr>
        <w:t xml:space="preserve">result of the </w:t>
      </w:r>
      <w:r w:rsidR="00B51307" w:rsidRPr="002A29BA">
        <w:rPr>
          <w:rFonts w:cstheme="minorHAnsi"/>
          <w:sz w:val="24"/>
          <w:szCs w:val="24"/>
        </w:rPr>
        <w:t xml:space="preserve">Increased subcontractor trade costs </w:t>
      </w:r>
      <w:r>
        <w:rPr>
          <w:rFonts w:cstheme="minorHAnsi"/>
          <w:sz w:val="24"/>
          <w:szCs w:val="24"/>
        </w:rPr>
        <w:t xml:space="preserve">discussed </w:t>
      </w:r>
      <w:r w:rsidR="00B51307" w:rsidRPr="002A29BA">
        <w:rPr>
          <w:rFonts w:cstheme="minorHAnsi"/>
          <w:sz w:val="24"/>
          <w:szCs w:val="24"/>
        </w:rPr>
        <w:t>above</w:t>
      </w:r>
      <w:r>
        <w:rPr>
          <w:rFonts w:cstheme="minorHAnsi"/>
          <w:sz w:val="24"/>
          <w:szCs w:val="24"/>
        </w:rPr>
        <w:t xml:space="preserve"> as local permitting is based on such costs.</w:t>
      </w:r>
      <w:r w:rsidR="00B51307" w:rsidRPr="002A29BA">
        <w:rPr>
          <w:rFonts w:cstheme="minorHAnsi"/>
          <w:sz w:val="24"/>
          <w:szCs w:val="24"/>
        </w:rPr>
        <w:t xml:space="preserve"> </w:t>
      </w:r>
    </w:p>
    <w:p w14:paraId="2B3028A0" w14:textId="50DA8C90" w:rsidR="00B51307" w:rsidRPr="00F75F82" w:rsidRDefault="00B51307" w:rsidP="00E226A8">
      <w:pPr>
        <w:spacing w:after="0" w:line="240" w:lineRule="auto"/>
        <w:ind w:left="360"/>
        <w:rPr>
          <w:rFonts w:cstheme="minorHAnsi"/>
          <w:sz w:val="24"/>
          <w:szCs w:val="24"/>
        </w:rPr>
      </w:pPr>
    </w:p>
    <w:p w14:paraId="71934EC6" w14:textId="28294DB3" w:rsidR="00B51307" w:rsidRDefault="00B51307" w:rsidP="00B51307">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t>Contractor</w:t>
      </w:r>
      <w:r w:rsidR="002A4C65">
        <w:rPr>
          <w:rFonts w:asciiTheme="minorHAnsi" w:hAnsiTheme="minorHAnsi" w:cstheme="minorHAnsi"/>
          <w:sz w:val="24"/>
          <w:szCs w:val="24"/>
        </w:rPr>
        <w:t>’</w:t>
      </w:r>
      <w:r w:rsidRPr="00F75F82">
        <w:rPr>
          <w:rFonts w:asciiTheme="minorHAnsi" w:hAnsiTheme="minorHAnsi" w:cstheme="minorHAnsi"/>
          <w:sz w:val="24"/>
          <w:szCs w:val="24"/>
        </w:rPr>
        <w:t xml:space="preserve">s Insurance </w:t>
      </w:r>
    </w:p>
    <w:p w14:paraId="2F9F5C05" w14:textId="77777777" w:rsidR="002A4C65" w:rsidRPr="00F75F82" w:rsidRDefault="002A4C65" w:rsidP="002A4C65">
      <w:pPr>
        <w:pStyle w:val="ListParagraph"/>
        <w:rPr>
          <w:rFonts w:asciiTheme="minorHAnsi" w:hAnsiTheme="minorHAnsi" w:cstheme="minorHAnsi"/>
          <w:sz w:val="24"/>
          <w:szCs w:val="24"/>
        </w:rPr>
      </w:pPr>
    </w:p>
    <w:p w14:paraId="3383DD49" w14:textId="49290162" w:rsidR="00B51307" w:rsidRPr="00F75F82" w:rsidRDefault="002A4C65" w:rsidP="00547BFB">
      <w:pPr>
        <w:rPr>
          <w:rFonts w:cstheme="minorHAnsi"/>
          <w:sz w:val="24"/>
          <w:szCs w:val="24"/>
        </w:rPr>
      </w:pPr>
      <w:r>
        <w:rPr>
          <w:rFonts w:cstheme="minorHAnsi"/>
          <w:sz w:val="24"/>
          <w:szCs w:val="24"/>
        </w:rPr>
        <w:t>The DoN projected budget had</w:t>
      </w:r>
      <w:r w:rsidR="00B51307" w:rsidRPr="002A4C65">
        <w:rPr>
          <w:rFonts w:cstheme="minorHAnsi"/>
          <w:sz w:val="24"/>
          <w:szCs w:val="24"/>
        </w:rPr>
        <w:t xml:space="preserve"> $69,971</w:t>
      </w:r>
      <w:r>
        <w:rPr>
          <w:rFonts w:cstheme="minorHAnsi"/>
          <w:sz w:val="24"/>
          <w:szCs w:val="24"/>
        </w:rPr>
        <w:t xml:space="preserve"> for the cost of the Contractor’s insurance.  The current estimate for this expense category is now $142,902 resulting in an increase in this cost of $72,931. These increases in cost are attributable to i</w:t>
      </w:r>
      <w:r w:rsidR="00B51307" w:rsidRPr="00F75F82">
        <w:rPr>
          <w:rFonts w:cstheme="minorHAnsi"/>
          <w:sz w:val="24"/>
          <w:szCs w:val="24"/>
        </w:rPr>
        <w:t>ncrease</w:t>
      </w:r>
      <w:r>
        <w:rPr>
          <w:rFonts w:cstheme="minorHAnsi"/>
          <w:sz w:val="24"/>
          <w:szCs w:val="24"/>
        </w:rPr>
        <w:t>d cost charged to the</w:t>
      </w:r>
      <w:r w:rsidR="00B51307" w:rsidRPr="00F75F82">
        <w:rPr>
          <w:rFonts w:cstheme="minorHAnsi"/>
          <w:sz w:val="24"/>
          <w:szCs w:val="24"/>
        </w:rPr>
        <w:t xml:space="preserve"> contractor</w:t>
      </w:r>
      <w:r w:rsidR="00E1771D">
        <w:rPr>
          <w:rFonts w:cstheme="minorHAnsi"/>
          <w:sz w:val="24"/>
          <w:szCs w:val="24"/>
        </w:rPr>
        <w:t xml:space="preserve"> </w:t>
      </w:r>
      <w:r>
        <w:rPr>
          <w:rFonts w:cstheme="minorHAnsi"/>
          <w:sz w:val="24"/>
          <w:szCs w:val="24"/>
        </w:rPr>
        <w:t xml:space="preserve">for such </w:t>
      </w:r>
      <w:r w:rsidR="00B51307" w:rsidRPr="00F75F82">
        <w:rPr>
          <w:rFonts w:cstheme="minorHAnsi"/>
          <w:sz w:val="24"/>
          <w:szCs w:val="24"/>
        </w:rPr>
        <w:t>insurance</w:t>
      </w:r>
      <w:r>
        <w:rPr>
          <w:rFonts w:cstheme="minorHAnsi"/>
          <w:sz w:val="24"/>
          <w:szCs w:val="24"/>
        </w:rPr>
        <w:t>.  This arises in part</w:t>
      </w:r>
      <w:r w:rsidR="00B51307" w:rsidRPr="00F75F82">
        <w:rPr>
          <w:rFonts w:cstheme="minorHAnsi"/>
          <w:sz w:val="24"/>
          <w:szCs w:val="24"/>
        </w:rPr>
        <w:t xml:space="preserve"> due to increased subcontractor trade costs </w:t>
      </w:r>
      <w:r>
        <w:rPr>
          <w:rFonts w:cstheme="minorHAnsi"/>
          <w:sz w:val="24"/>
          <w:szCs w:val="24"/>
        </w:rPr>
        <w:t>as reviewed</w:t>
      </w:r>
      <w:r w:rsidR="00B51307" w:rsidRPr="00F75F82">
        <w:rPr>
          <w:rFonts w:cstheme="minorHAnsi"/>
          <w:sz w:val="24"/>
          <w:szCs w:val="24"/>
        </w:rPr>
        <w:t xml:space="preserve"> above</w:t>
      </w:r>
      <w:r>
        <w:rPr>
          <w:rFonts w:cstheme="minorHAnsi"/>
          <w:sz w:val="24"/>
          <w:szCs w:val="24"/>
        </w:rPr>
        <w:t>. In addition, experts in the industry are indicating that</w:t>
      </w:r>
      <w:r w:rsidR="00B51307" w:rsidRPr="002A4C65">
        <w:rPr>
          <w:rFonts w:cstheme="minorHAnsi"/>
          <w:sz w:val="24"/>
          <w:szCs w:val="24"/>
        </w:rPr>
        <w:t xml:space="preserve"> </w:t>
      </w:r>
      <w:r w:rsidR="002A29BA" w:rsidRPr="002A4C65">
        <w:rPr>
          <w:rFonts w:cstheme="minorHAnsi"/>
          <w:sz w:val="24"/>
          <w:szCs w:val="24"/>
        </w:rPr>
        <w:t>“</w:t>
      </w:r>
      <w:r>
        <w:rPr>
          <w:rFonts w:cstheme="minorHAnsi"/>
          <w:sz w:val="24"/>
          <w:szCs w:val="24"/>
        </w:rPr>
        <w:t>(d)</w:t>
      </w:r>
      <w:proofErr w:type="spellStart"/>
      <w:r>
        <w:rPr>
          <w:rFonts w:cstheme="minorHAnsi"/>
          <w:sz w:val="24"/>
          <w:szCs w:val="24"/>
        </w:rPr>
        <w:t>ue</w:t>
      </w:r>
      <w:proofErr w:type="spellEnd"/>
      <w:r w:rsidR="002A29BA" w:rsidRPr="002A4C65">
        <w:rPr>
          <w:rFonts w:cstheme="minorHAnsi"/>
          <w:sz w:val="24"/>
          <w:szCs w:val="24"/>
        </w:rPr>
        <w:t xml:space="preserve"> to increasing losses and poor investment returns</w:t>
      </w:r>
      <w:r>
        <w:rPr>
          <w:rFonts w:cstheme="minorHAnsi"/>
          <w:sz w:val="24"/>
          <w:szCs w:val="24"/>
        </w:rPr>
        <w:t xml:space="preserve"> [by insurance companies]</w:t>
      </w:r>
      <w:r w:rsidR="002A29BA" w:rsidRPr="002A4C65">
        <w:rPr>
          <w:rFonts w:cstheme="minorHAnsi"/>
          <w:sz w:val="24"/>
          <w:szCs w:val="24"/>
        </w:rPr>
        <w:t>, rates for most lines of coverage are increasing, capacity is declining and underwriters are being more selective on which accounts they will even consider.”</w:t>
      </w:r>
      <w:r w:rsidR="00E1771D">
        <w:rPr>
          <w:rStyle w:val="FootnoteReference"/>
          <w:rFonts w:cstheme="minorHAnsi"/>
          <w:sz w:val="24"/>
          <w:szCs w:val="24"/>
        </w:rPr>
        <w:footnoteReference w:id="8"/>
      </w:r>
      <w:r w:rsidR="002A29BA" w:rsidRPr="002A4C65">
        <w:rPr>
          <w:rFonts w:cstheme="minorHAnsi"/>
          <w:sz w:val="24"/>
          <w:szCs w:val="24"/>
        </w:rPr>
        <w:t xml:space="preserve">   </w:t>
      </w:r>
      <w:r>
        <w:rPr>
          <w:rFonts w:cstheme="minorHAnsi"/>
          <w:sz w:val="24"/>
          <w:szCs w:val="24"/>
        </w:rPr>
        <w:t>This article</w:t>
      </w:r>
      <w:r w:rsidRPr="002A4C65">
        <w:rPr>
          <w:rFonts w:cstheme="minorHAnsi"/>
          <w:sz w:val="24"/>
          <w:szCs w:val="24"/>
        </w:rPr>
        <w:t xml:space="preserve"> projected increases </w:t>
      </w:r>
      <w:r>
        <w:rPr>
          <w:rFonts w:cstheme="minorHAnsi"/>
          <w:sz w:val="24"/>
          <w:szCs w:val="24"/>
        </w:rPr>
        <w:t>in all types of insurance required by the contractor and specifically indicated that it projected</w:t>
      </w:r>
      <w:r w:rsidRPr="002A4C65">
        <w:rPr>
          <w:rFonts w:cstheme="minorHAnsi"/>
          <w:sz w:val="24"/>
          <w:szCs w:val="24"/>
        </w:rPr>
        <w:t xml:space="preserve"> up to 10% on Builder’s Risk policies</w:t>
      </w:r>
      <w:r>
        <w:rPr>
          <w:rFonts w:cstheme="minorHAnsi"/>
          <w:sz w:val="24"/>
          <w:szCs w:val="24"/>
        </w:rPr>
        <w:t xml:space="preserve"> in 2021</w:t>
      </w:r>
      <w:r w:rsidRPr="002A4C65">
        <w:rPr>
          <w:rFonts w:cstheme="minorHAnsi"/>
          <w:sz w:val="24"/>
          <w:szCs w:val="24"/>
        </w:rPr>
        <w:t>.</w:t>
      </w:r>
    </w:p>
    <w:p w14:paraId="52E840EE" w14:textId="750B901D" w:rsidR="00547BFB" w:rsidRPr="00D37669" w:rsidRDefault="00B51307" w:rsidP="00547BFB">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t>Payment &amp; Performance Bond  </w:t>
      </w:r>
    </w:p>
    <w:p w14:paraId="319D92F8" w14:textId="35441C7C" w:rsidR="00B51307" w:rsidRPr="00F75F82" w:rsidRDefault="00547BFB" w:rsidP="00547BFB">
      <w:pPr>
        <w:spacing w:after="0" w:line="240" w:lineRule="auto"/>
        <w:rPr>
          <w:rFonts w:cstheme="minorHAnsi"/>
          <w:sz w:val="24"/>
          <w:szCs w:val="24"/>
        </w:rPr>
      </w:pPr>
      <w:r>
        <w:rPr>
          <w:rFonts w:cstheme="minorHAnsi"/>
          <w:sz w:val="24"/>
          <w:szCs w:val="24"/>
        </w:rPr>
        <w:t xml:space="preserve">Consistent with the trends seen in the Contractor’s insurance cost, the cost </w:t>
      </w:r>
      <w:r w:rsidRPr="00134438">
        <w:rPr>
          <w:rFonts w:cstheme="minorHAnsi"/>
          <w:sz w:val="24"/>
          <w:szCs w:val="24"/>
        </w:rPr>
        <w:t xml:space="preserve">of the </w:t>
      </w:r>
      <w:r>
        <w:rPr>
          <w:rFonts w:cstheme="minorHAnsi"/>
          <w:sz w:val="24"/>
          <w:szCs w:val="24"/>
        </w:rPr>
        <w:t>Payment and Performance Bond has risen fr</w:t>
      </w:r>
      <w:r w:rsidR="00134438">
        <w:rPr>
          <w:rFonts w:cstheme="minorHAnsi"/>
          <w:sz w:val="24"/>
          <w:szCs w:val="24"/>
        </w:rPr>
        <w:t>om</w:t>
      </w:r>
      <w:r>
        <w:rPr>
          <w:rFonts w:cstheme="minorHAnsi"/>
          <w:sz w:val="24"/>
          <w:szCs w:val="24"/>
        </w:rPr>
        <w:t xml:space="preserve"> the prior estimate of </w:t>
      </w:r>
      <w:r w:rsidR="00B51307" w:rsidRPr="00547BFB">
        <w:rPr>
          <w:rFonts w:cstheme="minorHAnsi"/>
          <w:sz w:val="24"/>
          <w:szCs w:val="24"/>
        </w:rPr>
        <w:t>$69,966</w:t>
      </w:r>
      <w:r>
        <w:rPr>
          <w:rFonts w:cstheme="minorHAnsi"/>
          <w:sz w:val="24"/>
          <w:szCs w:val="24"/>
        </w:rPr>
        <w:t xml:space="preserve"> to </w:t>
      </w:r>
      <w:r w:rsidR="00B51307" w:rsidRPr="00F75F82">
        <w:rPr>
          <w:rFonts w:cstheme="minorHAnsi"/>
          <w:sz w:val="24"/>
          <w:szCs w:val="24"/>
        </w:rPr>
        <w:t>$119,531</w:t>
      </w:r>
      <w:r>
        <w:rPr>
          <w:rFonts w:cstheme="minorHAnsi"/>
          <w:sz w:val="24"/>
          <w:szCs w:val="24"/>
        </w:rPr>
        <w:t>.  This is an i</w:t>
      </w:r>
      <w:r w:rsidR="00B51307" w:rsidRPr="00547BFB">
        <w:rPr>
          <w:rFonts w:cstheme="minorHAnsi"/>
          <w:sz w:val="24"/>
          <w:szCs w:val="24"/>
        </w:rPr>
        <w:t>ncrease</w:t>
      </w:r>
      <w:r>
        <w:rPr>
          <w:rFonts w:cstheme="minorHAnsi"/>
          <w:sz w:val="24"/>
          <w:szCs w:val="24"/>
        </w:rPr>
        <w:t xml:space="preserve"> of</w:t>
      </w:r>
      <w:r w:rsidR="00B51307" w:rsidRPr="00547BFB">
        <w:rPr>
          <w:rFonts w:cstheme="minorHAnsi"/>
          <w:sz w:val="24"/>
          <w:szCs w:val="24"/>
        </w:rPr>
        <w:t xml:space="preserve"> $49,565</w:t>
      </w:r>
      <w:r>
        <w:rPr>
          <w:rFonts w:cstheme="minorHAnsi"/>
          <w:sz w:val="24"/>
          <w:szCs w:val="24"/>
        </w:rPr>
        <w:t xml:space="preserve">.  While the underlying reason for the cost increase is the fact the subcontractor costs increased, therefor the insured amount increases, driving up the cost of the policy, this type of insurance also </w:t>
      </w:r>
      <w:r w:rsidR="00134438">
        <w:rPr>
          <w:rFonts w:cstheme="minorHAnsi"/>
          <w:sz w:val="24"/>
          <w:szCs w:val="24"/>
        </w:rPr>
        <w:t xml:space="preserve">is </w:t>
      </w:r>
      <w:r>
        <w:rPr>
          <w:rFonts w:cstheme="minorHAnsi"/>
          <w:sz w:val="24"/>
          <w:szCs w:val="24"/>
        </w:rPr>
        <w:t>more costly today than in 2019.</w:t>
      </w:r>
      <w:r w:rsidR="00B51307" w:rsidRPr="00F75F82">
        <w:rPr>
          <w:rFonts w:cstheme="minorHAnsi"/>
          <w:sz w:val="24"/>
          <w:szCs w:val="24"/>
        </w:rPr>
        <w:t xml:space="preserve"> </w:t>
      </w:r>
    </w:p>
    <w:p w14:paraId="051C0E03" w14:textId="0261C35B" w:rsidR="00B51307" w:rsidRPr="00F75F82" w:rsidRDefault="00B51307" w:rsidP="006207AC">
      <w:pPr>
        <w:spacing w:after="0" w:line="240" w:lineRule="auto"/>
        <w:ind w:left="360"/>
        <w:rPr>
          <w:rFonts w:cstheme="minorHAnsi"/>
          <w:sz w:val="24"/>
          <w:szCs w:val="24"/>
        </w:rPr>
      </w:pPr>
    </w:p>
    <w:p w14:paraId="7719BFEE" w14:textId="77777777" w:rsidR="00B51307" w:rsidRPr="00F75F82" w:rsidRDefault="00B51307" w:rsidP="006207AC">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t xml:space="preserve">Owner’s Project Management </w:t>
      </w:r>
    </w:p>
    <w:p w14:paraId="2C5CDB51" w14:textId="77777777" w:rsidR="006207AC" w:rsidRDefault="006207AC" w:rsidP="006207AC">
      <w:pPr>
        <w:spacing w:after="0" w:line="240" w:lineRule="auto"/>
        <w:rPr>
          <w:rFonts w:cstheme="minorHAnsi"/>
          <w:sz w:val="24"/>
          <w:szCs w:val="24"/>
        </w:rPr>
      </w:pPr>
    </w:p>
    <w:p w14:paraId="613C3806" w14:textId="77777777" w:rsidR="00B5218D" w:rsidRDefault="006207AC" w:rsidP="006207AC">
      <w:pPr>
        <w:spacing w:after="0" w:line="240" w:lineRule="auto"/>
        <w:rPr>
          <w:rFonts w:cstheme="minorHAnsi"/>
          <w:bCs/>
          <w:color w:val="000000" w:themeColor="text1"/>
          <w:sz w:val="24"/>
          <w:szCs w:val="24"/>
        </w:rPr>
      </w:pPr>
      <w:r>
        <w:rPr>
          <w:rFonts w:cstheme="minorHAnsi"/>
          <w:sz w:val="24"/>
          <w:szCs w:val="24"/>
        </w:rPr>
        <w:t xml:space="preserve">When the original DoN estimates were obtained, it was felt that the Applicant </w:t>
      </w:r>
      <w:r w:rsidR="00FB7A4F">
        <w:rPr>
          <w:rFonts w:cstheme="minorHAnsi"/>
          <w:sz w:val="24"/>
          <w:szCs w:val="24"/>
        </w:rPr>
        <w:t xml:space="preserve">would be able to manage the Project with existing staff.  </w:t>
      </w:r>
      <w:r>
        <w:rPr>
          <w:rFonts w:cstheme="minorHAnsi"/>
          <w:sz w:val="24"/>
          <w:szCs w:val="24"/>
        </w:rPr>
        <w:t>did not require additional staff for Project Management.  As the Project has become more complex with multiple phases and events requiring coordination with Facility operations, it was determined that the Applicant would require a</w:t>
      </w:r>
      <w:r w:rsidR="00FB7A4F">
        <w:rPr>
          <w:rFonts w:cstheme="minorHAnsi"/>
          <w:sz w:val="24"/>
          <w:szCs w:val="24"/>
        </w:rPr>
        <w:t xml:space="preserve"> professional project manager with knowledge of long-term care facility construction </w:t>
      </w:r>
      <w:r>
        <w:rPr>
          <w:rFonts w:cstheme="minorHAnsi"/>
          <w:sz w:val="24"/>
          <w:szCs w:val="24"/>
        </w:rPr>
        <w:t>to manage the Project in order to assure the least impact on the residents and the ongoing operation of the nursing home.  In addition, it was determined that</w:t>
      </w:r>
      <w:r w:rsidR="00484E60">
        <w:rPr>
          <w:rFonts w:cstheme="minorHAnsi"/>
          <w:sz w:val="24"/>
          <w:szCs w:val="24"/>
        </w:rPr>
        <w:t xml:space="preserve"> </w:t>
      </w:r>
      <w:r w:rsidR="00484E60" w:rsidRPr="0088769C">
        <w:rPr>
          <w:rFonts w:cstheme="minorHAnsi"/>
          <w:bCs/>
          <w:color w:val="000000" w:themeColor="text1"/>
          <w:sz w:val="24"/>
          <w:szCs w:val="24"/>
        </w:rPr>
        <w:t xml:space="preserve">in light of the increased complexity </w:t>
      </w:r>
      <w:r w:rsidR="00484E60">
        <w:rPr>
          <w:rFonts w:cstheme="minorHAnsi"/>
          <w:bCs/>
          <w:color w:val="000000" w:themeColor="text1"/>
          <w:sz w:val="24"/>
          <w:szCs w:val="24"/>
        </w:rPr>
        <w:t>of this project and its related</w:t>
      </w:r>
      <w:r w:rsidR="00484E60" w:rsidRPr="0088769C">
        <w:rPr>
          <w:rFonts w:cstheme="minorHAnsi"/>
          <w:bCs/>
          <w:color w:val="000000" w:themeColor="text1"/>
          <w:sz w:val="24"/>
          <w:szCs w:val="24"/>
        </w:rPr>
        <w:t xml:space="preserve"> budget</w:t>
      </w:r>
      <w:r w:rsidR="00484E60">
        <w:rPr>
          <w:rFonts w:cstheme="minorHAnsi"/>
          <w:bCs/>
          <w:color w:val="000000" w:themeColor="text1"/>
          <w:sz w:val="24"/>
          <w:szCs w:val="24"/>
        </w:rPr>
        <w:t xml:space="preserve">, </w:t>
      </w:r>
      <w:r w:rsidR="00484E60" w:rsidRPr="0088769C">
        <w:rPr>
          <w:rFonts w:cstheme="minorHAnsi"/>
          <w:bCs/>
          <w:color w:val="000000" w:themeColor="text1"/>
          <w:sz w:val="24"/>
          <w:szCs w:val="24"/>
        </w:rPr>
        <w:t xml:space="preserve">as well as </w:t>
      </w:r>
      <w:r w:rsidR="00484E60">
        <w:rPr>
          <w:rFonts w:cstheme="minorHAnsi"/>
          <w:bCs/>
          <w:color w:val="000000" w:themeColor="text1"/>
          <w:sz w:val="24"/>
          <w:szCs w:val="24"/>
        </w:rPr>
        <w:t>the significant impact such</w:t>
      </w:r>
      <w:r w:rsidR="00484E60" w:rsidRPr="0088769C">
        <w:rPr>
          <w:rFonts w:cstheme="minorHAnsi"/>
          <w:bCs/>
          <w:color w:val="000000" w:themeColor="text1"/>
          <w:sz w:val="24"/>
          <w:szCs w:val="24"/>
        </w:rPr>
        <w:t xml:space="preserve"> complex renovation </w:t>
      </w:r>
    </w:p>
    <w:p w14:paraId="7ADAF058" w14:textId="77777777" w:rsidR="00B5218D" w:rsidRPr="000E0588" w:rsidRDefault="00B5218D" w:rsidP="00B5218D">
      <w:pPr>
        <w:pStyle w:val="Heading2"/>
        <w:rPr>
          <w:color w:val="auto"/>
        </w:rPr>
      </w:pPr>
      <w:r w:rsidRPr="000E0588">
        <w:rPr>
          <w:color w:val="auto"/>
        </w:rPr>
        <w:lastRenderedPageBreak/>
        <w:t>DoN Project-19120215-CL</w:t>
      </w:r>
    </w:p>
    <w:p w14:paraId="3C435FF2" w14:textId="77777777" w:rsidR="00B5218D" w:rsidRPr="000E0588" w:rsidRDefault="00B5218D" w:rsidP="00B5218D">
      <w:pPr>
        <w:pStyle w:val="Heading2"/>
        <w:rPr>
          <w:color w:val="auto"/>
        </w:rPr>
      </w:pPr>
      <w:r w:rsidRPr="000E0588">
        <w:rPr>
          <w:color w:val="auto"/>
        </w:rPr>
        <w:t>Advocate Healthcare of East Boston</w:t>
      </w:r>
    </w:p>
    <w:p w14:paraId="7FC4AA0A" w14:textId="77777777" w:rsidR="00B5218D" w:rsidRPr="000E0588" w:rsidRDefault="00B5218D" w:rsidP="00B5218D">
      <w:pPr>
        <w:pStyle w:val="Heading2"/>
        <w:rPr>
          <w:color w:val="auto"/>
        </w:rPr>
      </w:pPr>
      <w:r w:rsidRPr="000E0588">
        <w:rPr>
          <w:color w:val="auto"/>
        </w:rPr>
        <w:t>Significant Amendment</w:t>
      </w:r>
    </w:p>
    <w:p w14:paraId="4FD7809D" w14:textId="77777777" w:rsidR="00B5218D" w:rsidRDefault="00B5218D" w:rsidP="006207AC">
      <w:pPr>
        <w:spacing w:after="0" w:line="240" w:lineRule="auto"/>
        <w:rPr>
          <w:rFonts w:cstheme="minorHAnsi"/>
          <w:bCs/>
          <w:color w:val="000000" w:themeColor="text1"/>
          <w:sz w:val="24"/>
          <w:szCs w:val="24"/>
        </w:rPr>
      </w:pPr>
    </w:p>
    <w:p w14:paraId="3C77D6DA" w14:textId="4B5A3133" w:rsidR="00B51307" w:rsidRPr="00F75F82" w:rsidRDefault="00484E60" w:rsidP="006207AC">
      <w:pPr>
        <w:spacing w:after="0" w:line="240" w:lineRule="auto"/>
        <w:rPr>
          <w:rFonts w:cstheme="minorHAnsi"/>
          <w:sz w:val="24"/>
          <w:szCs w:val="24"/>
        </w:rPr>
      </w:pPr>
      <w:r>
        <w:rPr>
          <w:rFonts w:cstheme="minorHAnsi"/>
          <w:bCs/>
          <w:color w:val="000000" w:themeColor="text1"/>
          <w:sz w:val="24"/>
          <w:szCs w:val="24"/>
        </w:rPr>
        <w:t>has on an operating long term care facility, the Applicant required a Project Manager.  The Project Manager will</w:t>
      </w:r>
      <w:r w:rsidRPr="0088769C">
        <w:rPr>
          <w:rFonts w:cstheme="minorHAnsi"/>
          <w:bCs/>
          <w:color w:val="000000" w:themeColor="text1"/>
          <w:sz w:val="24"/>
          <w:szCs w:val="24"/>
        </w:rPr>
        <w:t xml:space="preserve"> focus on managing the design process; </w:t>
      </w:r>
      <w:r>
        <w:rPr>
          <w:rFonts w:cstheme="minorHAnsi"/>
          <w:bCs/>
          <w:color w:val="000000" w:themeColor="text1"/>
          <w:sz w:val="24"/>
          <w:szCs w:val="24"/>
        </w:rPr>
        <w:t xml:space="preserve">obtaining </w:t>
      </w:r>
      <w:r w:rsidRPr="0088769C">
        <w:rPr>
          <w:rFonts w:cstheme="minorHAnsi"/>
          <w:bCs/>
          <w:color w:val="000000" w:themeColor="text1"/>
          <w:sz w:val="24"/>
          <w:szCs w:val="24"/>
        </w:rPr>
        <w:t>the permit</w:t>
      </w:r>
      <w:r>
        <w:rPr>
          <w:rFonts w:cstheme="minorHAnsi"/>
          <w:bCs/>
          <w:color w:val="000000" w:themeColor="text1"/>
          <w:sz w:val="24"/>
          <w:szCs w:val="24"/>
        </w:rPr>
        <w:t>s and</w:t>
      </w:r>
      <w:r w:rsidRPr="0088769C">
        <w:rPr>
          <w:rFonts w:cstheme="minorHAnsi"/>
          <w:bCs/>
          <w:color w:val="000000" w:themeColor="text1"/>
          <w:sz w:val="24"/>
          <w:szCs w:val="24"/>
        </w:rPr>
        <w:t xml:space="preserve"> </w:t>
      </w:r>
      <w:r>
        <w:rPr>
          <w:rFonts w:cstheme="minorHAnsi"/>
          <w:bCs/>
          <w:color w:val="000000" w:themeColor="text1"/>
          <w:sz w:val="24"/>
          <w:szCs w:val="24"/>
        </w:rPr>
        <w:t xml:space="preserve">construction </w:t>
      </w:r>
      <w:r w:rsidRPr="0088769C">
        <w:rPr>
          <w:rFonts w:cstheme="minorHAnsi"/>
          <w:bCs/>
          <w:color w:val="000000" w:themeColor="text1"/>
          <w:sz w:val="24"/>
          <w:szCs w:val="24"/>
        </w:rPr>
        <w:t>approvals</w:t>
      </w:r>
      <w:r>
        <w:rPr>
          <w:rFonts w:cstheme="minorHAnsi"/>
          <w:bCs/>
          <w:color w:val="000000" w:themeColor="text1"/>
          <w:sz w:val="24"/>
          <w:szCs w:val="24"/>
        </w:rPr>
        <w:t xml:space="preserve">, making required </w:t>
      </w:r>
      <w:r w:rsidRPr="0088769C">
        <w:rPr>
          <w:rFonts w:cstheme="minorHAnsi"/>
          <w:bCs/>
          <w:color w:val="000000" w:themeColor="text1"/>
          <w:sz w:val="24"/>
          <w:szCs w:val="24"/>
        </w:rPr>
        <w:t>regulatory filing</w:t>
      </w:r>
      <w:r>
        <w:rPr>
          <w:rFonts w:cstheme="minorHAnsi"/>
          <w:bCs/>
          <w:color w:val="000000" w:themeColor="text1"/>
          <w:sz w:val="24"/>
          <w:szCs w:val="24"/>
        </w:rPr>
        <w:t>s</w:t>
      </w:r>
      <w:r w:rsidRPr="0088769C">
        <w:rPr>
          <w:rFonts w:cstheme="minorHAnsi"/>
          <w:bCs/>
          <w:color w:val="000000" w:themeColor="text1"/>
          <w:sz w:val="24"/>
          <w:szCs w:val="24"/>
        </w:rPr>
        <w:t xml:space="preserve">; </w:t>
      </w:r>
      <w:r>
        <w:rPr>
          <w:rFonts w:cstheme="minorHAnsi"/>
          <w:bCs/>
          <w:color w:val="000000" w:themeColor="text1"/>
          <w:sz w:val="24"/>
          <w:szCs w:val="24"/>
        </w:rPr>
        <w:t>monitoring contractor performance and expenditures,</w:t>
      </w:r>
      <w:r w:rsidRPr="0088769C">
        <w:rPr>
          <w:rFonts w:cstheme="minorHAnsi"/>
          <w:bCs/>
          <w:color w:val="000000" w:themeColor="text1"/>
          <w:sz w:val="24"/>
          <w:szCs w:val="24"/>
        </w:rPr>
        <w:t xml:space="preserve"> negotiating</w:t>
      </w:r>
      <w:r>
        <w:rPr>
          <w:rFonts w:cstheme="minorHAnsi"/>
          <w:bCs/>
          <w:color w:val="000000" w:themeColor="text1"/>
          <w:sz w:val="24"/>
          <w:szCs w:val="24"/>
        </w:rPr>
        <w:t xml:space="preserve"> and finalizing </w:t>
      </w:r>
      <w:r w:rsidRPr="0088769C">
        <w:rPr>
          <w:rFonts w:cstheme="minorHAnsi"/>
          <w:bCs/>
          <w:color w:val="000000" w:themeColor="text1"/>
          <w:sz w:val="24"/>
          <w:szCs w:val="24"/>
        </w:rPr>
        <w:t>contracts</w:t>
      </w:r>
      <w:r>
        <w:rPr>
          <w:rFonts w:cstheme="minorHAnsi"/>
          <w:bCs/>
          <w:color w:val="000000" w:themeColor="text1"/>
          <w:sz w:val="24"/>
          <w:szCs w:val="24"/>
        </w:rPr>
        <w:t xml:space="preserve"> and assuring compliance with their terms</w:t>
      </w:r>
      <w:r w:rsidRPr="0088769C">
        <w:rPr>
          <w:rFonts w:cstheme="minorHAnsi"/>
          <w:bCs/>
          <w:color w:val="000000" w:themeColor="text1"/>
          <w:sz w:val="24"/>
          <w:szCs w:val="24"/>
        </w:rPr>
        <w:t>, organizing and managing the identification and procurement of various Owner Items.</w:t>
      </w:r>
      <w:r w:rsidRPr="0088769C">
        <w:rPr>
          <w:rFonts w:cstheme="minorHAnsi"/>
          <w:color w:val="000000" w:themeColor="text1"/>
          <w:sz w:val="24"/>
          <w:szCs w:val="24"/>
        </w:rPr>
        <w:t xml:space="preserve"> </w:t>
      </w:r>
      <w:r w:rsidR="006207AC">
        <w:rPr>
          <w:rFonts w:cstheme="minorHAnsi"/>
          <w:sz w:val="24"/>
          <w:szCs w:val="24"/>
        </w:rPr>
        <w:t xml:space="preserve"> The current estimate for these services is</w:t>
      </w:r>
      <w:r w:rsidR="00B51307" w:rsidRPr="00F75F82">
        <w:rPr>
          <w:rFonts w:cstheme="minorHAnsi"/>
          <w:sz w:val="24"/>
          <w:szCs w:val="24"/>
        </w:rPr>
        <w:t xml:space="preserve"> $275,000</w:t>
      </w:r>
      <w:r w:rsidR="006207AC">
        <w:rPr>
          <w:rFonts w:cstheme="minorHAnsi"/>
          <w:sz w:val="24"/>
          <w:szCs w:val="24"/>
        </w:rPr>
        <w:t>.</w:t>
      </w:r>
      <w:r w:rsidR="00B51307" w:rsidRPr="00F75F82">
        <w:rPr>
          <w:rFonts w:cstheme="minorHAnsi"/>
          <w:sz w:val="24"/>
          <w:szCs w:val="24"/>
        </w:rPr>
        <w:t xml:space="preserve"> </w:t>
      </w:r>
    </w:p>
    <w:p w14:paraId="370C323B" w14:textId="35F41D34" w:rsidR="00B51307" w:rsidRDefault="00B51307" w:rsidP="00D37669">
      <w:pPr>
        <w:spacing w:after="0" w:line="240" w:lineRule="auto"/>
        <w:rPr>
          <w:rFonts w:cstheme="minorHAnsi"/>
          <w:sz w:val="24"/>
          <w:szCs w:val="24"/>
        </w:rPr>
      </w:pPr>
    </w:p>
    <w:p w14:paraId="5C83C283" w14:textId="7AD62A62" w:rsidR="006207AC" w:rsidRPr="00D37669" w:rsidRDefault="00B51307" w:rsidP="00E226A8">
      <w:pPr>
        <w:pStyle w:val="ListParagraph"/>
        <w:numPr>
          <w:ilvl w:val="0"/>
          <w:numId w:val="1"/>
        </w:numPr>
        <w:ind w:left="720"/>
        <w:rPr>
          <w:rFonts w:asciiTheme="minorHAnsi" w:hAnsiTheme="minorHAnsi" w:cstheme="minorHAnsi"/>
          <w:sz w:val="24"/>
          <w:szCs w:val="24"/>
        </w:rPr>
      </w:pPr>
      <w:r w:rsidRPr="00F75F82">
        <w:rPr>
          <w:rFonts w:asciiTheme="minorHAnsi" w:hAnsiTheme="minorHAnsi" w:cstheme="minorHAnsi"/>
          <w:sz w:val="24"/>
          <w:szCs w:val="24"/>
        </w:rPr>
        <w:t>Façade Repairs  </w:t>
      </w:r>
    </w:p>
    <w:p w14:paraId="7007CE99" w14:textId="4B1AAAE9" w:rsidR="00B51307" w:rsidRDefault="007D507C" w:rsidP="00E226A8">
      <w:pPr>
        <w:spacing w:after="0" w:line="240" w:lineRule="auto"/>
        <w:rPr>
          <w:rFonts w:cstheme="minorHAnsi"/>
          <w:sz w:val="24"/>
          <w:szCs w:val="24"/>
        </w:rPr>
      </w:pPr>
      <w:r>
        <w:rPr>
          <w:rFonts w:cstheme="minorHAnsi"/>
          <w:sz w:val="24"/>
          <w:szCs w:val="24"/>
        </w:rPr>
        <w:t xml:space="preserve">Initial inspections and reviews indicated that while there were some issues with the façade, nothing required immediate attention.  However, as more detailed inspections were performed for the Project, </w:t>
      </w:r>
      <w:r w:rsidR="00182A2B" w:rsidRPr="0088769C">
        <w:rPr>
          <w:rFonts w:cstheme="minorHAnsi"/>
          <w:bCs/>
          <w:color w:val="000000" w:themeColor="text1"/>
          <w:sz w:val="24"/>
          <w:szCs w:val="24"/>
        </w:rPr>
        <w:t>including inspections provided by city inspectional officials and HUD, it was determined that repairs are required to address deteriorating areas including failed and spalling bricks at various exterior lintel locations; failing and spalling bricks at the rear stairwell and building corners; and failed bricks and stair treads at a rear egress stairwell.  It is also noted that replacement bricks needed to be compatible and properly blend with the existing bricks</w:t>
      </w:r>
      <w:r w:rsidR="000E59E7">
        <w:rPr>
          <w:rFonts w:cstheme="minorHAnsi"/>
          <w:bCs/>
          <w:color w:val="000000" w:themeColor="text1"/>
          <w:sz w:val="24"/>
          <w:szCs w:val="24"/>
        </w:rPr>
        <w:t>, which means that not just any</w:t>
      </w:r>
      <w:r w:rsidR="00182A2B" w:rsidRPr="0088769C">
        <w:rPr>
          <w:rFonts w:cstheme="minorHAnsi"/>
          <w:bCs/>
          <w:color w:val="000000" w:themeColor="text1"/>
          <w:sz w:val="24"/>
          <w:szCs w:val="24"/>
        </w:rPr>
        <w:t xml:space="preserve"> “off the shelf”</w:t>
      </w:r>
      <w:r w:rsidR="000E59E7">
        <w:rPr>
          <w:rFonts w:cstheme="minorHAnsi"/>
          <w:bCs/>
          <w:color w:val="000000" w:themeColor="text1"/>
          <w:sz w:val="24"/>
          <w:szCs w:val="24"/>
        </w:rPr>
        <w:t xml:space="preserve"> brick can be used</w:t>
      </w:r>
      <w:r w:rsidR="00182A2B" w:rsidRPr="0088769C">
        <w:rPr>
          <w:rFonts w:cstheme="minorHAnsi"/>
          <w:bCs/>
          <w:color w:val="000000" w:themeColor="text1"/>
          <w:sz w:val="24"/>
          <w:szCs w:val="24"/>
        </w:rPr>
        <w:t xml:space="preserve">. This work is now necessary due to inspectional and HUD </w:t>
      </w:r>
      <w:r w:rsidR="000E59E7">
        <w:rPr>
          <w:rFonts w:cstheme="minorHAnsi"/>
          <w:bCs/>
          <w:color w:val="000000" w:themeColor="text1"/>
          <w:sz w:val="24"/>
          <w:szCs w:val="24"/>
        </w:rPr>
        <w:t xml:space="preserve">related findings, </w:t>
      </w:r>
      <w:r w:rsidR="00182A2B" w:rsidRPr="0088769C">
        <w:rPr>
          <w:rFonts w:cstheme="minorHAnsi"/>
          <w:bCs/>
          <w:color w:val="000000" w:themeColor="text1"/>
          <w:sz w:val="24"/>
          <w:szCs w:val="24"/>
        </w:rPr>
        <w:t>as well as general safety requirements</w:t>
      </w:r>
      <w:r w:rsidR="000E59E7">
        <w:rPr>
          <w:rFonts w:cstheme="minorHAnsi"/>
          <w:bCs/>
          <w:color w:val="000000" w:themeColor="text1"/>
          <w:sz w:val="24"/>
          <w:szCs w:val="24"/>
        </w:rPr>
        <w:t>.  The</w:t>
      </w:r>
      <w:r>
        <w:rPr>
          <w:rFonts w:cstheme="minorHAnsi"/>
          <w:sz w:val="24"/>
          <w:szCs w:val="24"/>
        </w:rPr>
        <w:t xml:space="preserve"> projected cost of this work is </w:t>
      </w:r>
      <w:r w:rsidR="00B51307" w:rsidRPr="007D507C">
        <w:rPr>
          <w:rFonts w:cstheme="minorHAnsi"/>
          <w:sz w:val="24"/>
          <w:szCs w:val="24"/>
        </w:rPr>
        <w:t>$248,082</w:t>
      </w:r>
      <w:r w:rsidR="000E59E7">
        <w:rPr>
          <w:rFonts w:cstheme="minorHAnsi"/>
          <w:sz w:val="24"/>
          <w:szCs w:val="24"/>
        </w:rPr>
        <w:t>.00 and as this aspect had not been in the original budget, it represents an increase of $24,082.00</w:t>
      </w:r>
      <w:r>
        <w:rPr>
          <w:rFonts w:cstheme="minorHAnsi"/>
          <w:sz w:val="24"/>
          <w:szCs w:val="24"/>
        </w:rPr>
        <w:t>.</w:t>
      </w:r>
    </w:p>
    <w:p w14:paraId="1779A278" w14:textId="4C7FD8A1" w:rsidR="00E226A8" w:rsidRDefault="00E226A8" w:rsidP="00E226A8">
      <w:pPr>
        <w:spacing w:after="0" w:line="240" w:lineRule="auto"/>
        <w:rPr>
          <w:rFonts w:cstheme="minorHAnsi"/>
          <w:sz w:val="24"/>
          <w:szCs w:val="24"/>
        </w:rPr>
      </w:pPr>
    </w:p>
    <w:p w14:paraId="5FA670D4" w14:textId="2C1C024E" w:rsidR="005A3B06" w:rsidRPr="00A06FCB" w:rsidRDefault="005A3B06" w:rsidP="0086345D">
      <w:pPr>
        <w:spacing w:after="0" w:line="240" w:lineRule="auto"/>
        <w:ind w:firstLine="720"/>
        <w:rPr>
          <w:rFonts w:cstheme="minorHAnsi"/>
          <w:sz w:val="24"/>
          <w:szCs w:val="24"/>
          <w:u w:val="single"/>
        </w:rPr>
      </w:pPr>
      <w:r w:rsidRPr="00A06FCB">
        <w:rPr>
          <w:rFonts w:cstheme="minorHAnsi"/>
          <w:sz w:val="24"/>
          <w:szCs w:val="24"/>
          <w:u w:val="single"/>
        </w:rPr>
        <w:t>Summary of C</w:t>
      </w:r>
      <w:r w:rsidR="0086345D" w:rsidRPr="00A06FCB">
        <w:rPr>
          <w:rFonts w:cstheme="minorHAnsi"/>
          <w:sz w:val="24"/>
          <w:szCs w:val="24"/>
          <w:u w:val="single"/>
        </w:rPr>
        <w:t>onstruction Contract C</w:t>
      </w:r>
      <w:r w:rsidRPr="00A06FCB">
        <w:rPr>
          <w:rFonts w:cstheme="minorHAnsi"/>
          <w:sz w:val="24"/>
          <w:szCs w:val="24"/>
          <w:u w:val="single"/>
        </w:rPr>
        <w:t>ost Increases</w:t>
      </w:r>
    </w:p>
    <w:p w14:paraId="3BBC8EAA" w14:textId="77777777" w:rsidR="000E59E7" w:rsidRDefault="000E59E7" w:rsidP="00E226A8">
      <w:pPr>
        <w:spacing w:after="0" w:line="240" w:lineRule="auto"/>
        <w:rPr>
          <w:rFonts w:cstheme="minorHAnsi"/>
          <w:sz w:val="24"/>
          <w:szCs w:val="24"/>
        </w:rPr>
      </w:pPr>
    </w:p>
    <w:p w14:paraId="2DCBE7AC" w14:textId="1253E4CD" w:rsidR="00AC09B9" w:rsidRDefault="00E226A8" w:rsidP="00E226A8">
      <w:pPr>
        <w:spacing w:after="0" w:line="240" w:lineRule="auto"/>
        <w:rPr>
          <w:rFonts w:cstheme="minorHAnsi"/>
          <w:sz w:val="24"/>
          <w:szCs w:val="24"/>
        </w:rPr>
      </w:pPr>
      <w:r>
        <w:rPr>
          <w:rFonts w:cstheme="minorHAnsi"/>
          <w:sz w:val="24"/>
          <w:szCs w:val="24"/>
        </w:rPr>
        <w:t xml:space="preserve">The total of the difference in the original </w:t>
      </w:r>
      <w:r w:rsidR="005A3B06">
        <w:rPr>
          <w:rFonts w:cstheme="minorHAnsi"/>
          <w:sz w:val="24"/>
          <w:szCs w:val="24"/>
        </w:rPr>
        <w:t>estimate and the current project</w:t>
      </w:r>
      <w:r w:rsidR="00AC09B9">
        <w:rPr>
          <w:rFonts w:cstheme="minorHAnsi"/>
          <w:sz w:val="24"/>
          <w:szCs w:val="24"/>
        </w:rPr>
        <w:t>ed</w:t>
      </w:r>
      <w:r w:rsidR="005A3B06">
        <w:rPr>
          <w:rFonts w:cstheme="minorHAnsi"/>
          <w:sz w:val="24"/>
          <w:szCs w:val="24"/>
        </w:rPr>
        <w:t xml:space="preserve"> of costs for </w:t>
      </w:r>
      <w:r w:rsidR="00AC09B9">
        <w:rPr>
          <w:rFonts w:cstheme="minorHAnsi"/>
          <w:sz w:val="24"/>
          <w:szCs w:val="24"/>
        </w:rPr>
        <w:t xml:space="preserve">the construction contract category of the Project budget is $5,876,021.  The original budget projected $8,175,023.00 (April 2020 Dollars) for this material cost category and now the Applicant seeks $14,051,044 (May 2021 Dollars).  The items discussed above account for a total of $5,520,479.00 of the difference or 94% of the entire increase in the costs attributed to the construction Contract.  The remaining areas making up the 6% not discussed in detailed are varied in nature and contributing only a minor portion to the total.  A large portion of this amount is assumed to be directly </w:t>
      </w:r>
      <w:r w:rsidR="00815A57">
        <w:rPr>
          <w:rFonts w:cstheme="minorHAnsi"/>
          <w:sz w:val="24"/>
          <w:szCs w:val="24"/>
        </w:rPr>
        <w:t xml:space="preserve">or in directly </w:t>
      </w:r>
      <w:r w:rsidR="00AC09B9">
        <w:rPr>
          <w:rFonts w:cstheme="minorHAnsi"/>
          <w:sz w:val="24"/>
          <w:szCs w:val="24"/>
        </w:rPr>
        <w:t>related to inflation related increase in costs.</w:t>
      </w:r>
    </w:p>
    <w:p w14:paraId="768DC534" w14:textId="652A98AE" w:rsidR="00B51307" w:rsidRPr="00F75F82" w:rsidRDefault="00B51307" w:rsidP="00547BFB">
      <w:pPr>
        <w:spacing w:after="0" w:line="240" w:lineRule="auto"/>
        <w:ind w:left="360"/>
        <w:rPr>
          <w:rFonts w:cstheme="minorHAnsi"/>
          <w:sz w:val="24"/>
          <w:szCs w:val="24"/>
        </w:rPr>
      </w:pPr>
    </w:p>
    <w:p w14:paraId="37D36563" w14:textId="0F57B8FE" w:rsidR="00B51307" w:rsidRPr="00E226A8" w:rsidRDefault="00B51307" w:rsidP="00E226A8">
      <w:pPr>
        <w:pStyle w:val="ListParagraph"/>
        <w:numPr>
          <w:ilvl w:val="0"/>
          <w:numId w:val="3"/>
        </w:numPr>
        <w:ind w:left="0" w:firstLine="0"/>
        <w:rPr>
          <w:rFonts w:cstheme="minorHAnsi"/>
          <w:sz w:val="24"/>
          <w:szCs w:val="24"/>
          <w:u w:val="single"/>
        </w:rPr>
      </w:pPr>
      <w:r w:rsidRPr="00E226A8">
        <w:rPr>
          <w:rFonts w:cstheme="minorHAnsi"/>
          <w:sz w:val="24"/>
          <w:szCs w:val="24"/>
          <w:u w:val="single"/>
        </w:rPr>
        <w:t xml:space="preserve">Fixed Equipment Not </w:t>
      </w:r>
      <w:r w:rsidR="00E226A8" w:rsidRPr="00E226A8">
        <w:rPr>
          <w:rFonts w:cstheme="minorHAnsi"/>
          <w:sz w:val="24"/>
          <w:szCs w:val="24"/>
          <w:u w:val="single"/>
        </w:rPr>
        <w:t>in</w:t>
      </w:r>
      <w:r w:rsidRPr="00E226A8">
        <w:rPr>
          <w:rFonts w:cstheme="minorHAnsi"/>
          <w:sz w:val="24"/>
          <w:szCs w:val="24"/>
          <w:u w:val="single"/>
        </w:rPr>
        <w:t xml:space="preserve"> Contract </w:t>
      </w:r>
    </w:p>
    <w:p w14:paraId="1163FDDE" w14:textId="77777777" w:rsidR="007D507C" w:rsidRDefault="007D507C" w:rsidP="00E226A8">
      <w:pPr>
        <w:spacing w:after="0" w:line="240" w:lineRule="auto"/>
        <w:rPr>
          <w:rFonts w:cstheme="minorHAnsi"/>
          <w:sz w:val="24"/>
          <w:szCs w:val="24"/>
        </w:rPr>
      </w:pPr>
    </w:p>
    <w:p w14:paraId="43C1CF8E" w14:textId="77777777" w:rsidR="00B5218D" w:rsidRDefault="007D507C" w:rsidP="00E226A8">
      <w:pPr>
        <w:spacing w:after="0" w:line="240" w:lineRule="auto"/>
        <w:rPr>
          <w:rFonts w:cstheme="minorHAnsi"/>
          <w:sz w:val="24"/>
          <w:szCs w:val="24"/>
        </w:rPr>
      </w:pPr>
      <w:r>
        <w:rPr>
          <w:rFonts w:cstheme="minorHAnsi"/>
          <w:sz w:val="24"/>
          <w:szCs w:val="24"/>
        </w:rPr>
        <w:t>In the DoN approved expen</w:t>
      </w:r>
      <w:r w:rsidR="002C5535">
        <w:rPr>
          <w:rFonts w:cstheme="minorHAnsi"/>
          <w:sz w:val="24"/>
          <w:szCs w:val="24"/>
        </w:rPr>
        <w:t>ditures</w:t>
      </w:r>
      <w:r>
        <w:rPr>
          <w:rFonts w:cstheme="minorHAnsi"/>
          <w:sz w:val="24"/>
          <w:szCs w:val="24"/>
        </w:rPr>
        <w:t>, there was nothing budgeted for Fixed Equipment that was not in the Contractor’s Contract</w:t>
      </w:r>
      <w:r w:rsidR="002C5535">
        <w:rPr>
          <w:rFonts w:cstheme="minorHAnsi"/>
          <w:sz w:val="24"/>
          <w:szCs w:val="24"/>
        </w:rPr>
        <w:t>.  A</w:t>
      </w:r>
      <w:r>
        <w:rPr>
          <w:rFonts w:cstheme="minorHAnsi"/>
          <w:sz w:val="24"/>
          <w:szCs w:val="24"/>
        </w:rPr>
        <w:t xml:space="preserve">s part of the HUD review process, the </w:t>
      </w:r>
      <w:r w:rsidR="006D25FE">
        <w:rPr>
          <w:rFonts w:cstheme="minorHAnsi"/>
          <w:sz w:val="24"/>
          <w:szCs w:val="24"/>
        </w:rPr>
        <w:t xml:space="preserve">HUD physical plant inspection identified </w:t>
      </w:r>
      <w:r w:rsidR="00871C99">
        <w:rPr>
          <w:rFonts w:cstheme="minorHAnsi"/>
          <w:sz w:val="24"/>
          <w:szCs w:val="24"/>
        </w:rPr>
        <w:t xml:space="preserve">required </w:t>
      </w:r>
      <w:r w:rsidR="006D25FE">
        <w:rPr>
          <w:rFonts w:cstheme="minorHAnsi"/>
          <w:sz w:val="24"/>
          <w:szCs w:val="24"/>
        </w:rPr>
        <w:t xml:space="preserve">repairs to </w:t>
      </w:r>
      <w:r w:rsidR="00871C99">
        <w:rPr>
          <w:rFonts w:cstheme="minorHAnsi"/>
          <w:sz w:val="24"/>
          <w:szCs w:val="24"/>
        </w:rPr>
        <w:t>certain fixed equipment</w:t>
      </w:r>
      <w:r w:rsidR="00871C99" w:rsidRPr="00871C99">
        <w:rPr>
          <w:rFonts w:cstheme="minorHAnsi"/>
          <w:sz w:val="24"/>
          <w:szCs w:val="24"/>
        </w:rPr>
        <w:t xml:space="preserve"> </w:t>
      </w:r>
      <w:r w:rsidR="00871C99">
        <w:rPr>
          <w:rFonts w:cstheme="minorHAnsi"/>
          <w:sz w:val="24"/>
          <w:szCs w:val="24"/>
        </w:rPr>
        <w:t xml:space="preserve">in order for the Applicant to qualify for the HUD insured financing.  As these items were in the nature of repair, they were </w:t>
      </w:r>
    </w:p>
    <w:p w14:paraId="7A63CB51" w14:textId="77777777" w:rsidR="00B5218D" w:rsidRDefault="00B5218D" w:rsidP="00E226A8">
      <w:pPr>
        <w:spacing w:after="0" w:line="240" w:lineRule="auto"/>
        <w:rPr>
          <w:rFonts w:cstheme="minorHAnsi"/>
          <w:sz w:val="24"/>
          <w:szCs w:val="24"/>
        </w:rPr>
      </w:pPr>
    </w:p>
    <w:p w14:paraId="618F26A8" w14:textId="77777777" w:rsidR="00B5218D" w:rsidRPr="000E0588" w:rsidRDefault="00B5218D" w:rsidP="00B5218D">
      <w:pPr>
        <w:pStyle w:val="Heading2"/>
        <w:rPr>
          <w:color w:val="auto"/>
        </w:rPr>
      </w:pPr>
      <w:r w:rsidRPr="000E0588">
        <w:rPr>
          <w:color w:val="auto"/>
        </w:rPr>
        <w:lastRenderedPageBreak/>
        <w:t>DoN Project-19120215-CL</w:t>
      </w:r>
    </w:p>
    <w:p w14:paraId="4BCAF7A3" w14:textId="77777777" w:rsidR="00B5218D" w:rsidRPr="000E0588" w:rsidRDefault="00B5218D" w:rsidP="00B5218D">
      <w:pPr>
        <w:pStyle w:val="Heading2"/>
        <w:rPr>
          <w:color w:val="auto"/>
        </w:rPr>
      </w:pPr>
      <w:r w:rsidRPr="000E0588">
        <w:rPr>
          <w:color w:val="auto"/>
        </w:rPr>
        <w:t>Advocate Healthcare of East Boston</w:t>
      </w:r>
    </w:p>
    <w:p w14:paraId="448B04AD" w14:textId="77777777" w:rsidR="00B5218D" w:rsidRPr="000E0588" w:rsidRDefault="00B5218D" w:rsidP="00B5218D">
      <w:pPr>
        <w:pStyle w:val="Heading2"/>
        <w:rPr>
          <w:color w:val="auto"/>
        </w:rPr>
      </w:pPr>
      <w:r w:rsidRPr="000E0588">
        <w:rPr>
          <w:color w:val="auto"/>
        </w:rPr>
        <w:t>Significant Amendment</w:t>
      </w:r>
    </w:p>
    <w:p w14:paraId="09E82715" w14:textId="0A0460E9" w:rsidR="00B5218D" w:rsidRDefault="00B5218D" w:rsidP="00E226A8">
      <w:pPr>
        <w:spacing w:after="0" w:line="240" w:lineRule="auto"/>
        <w:rPr>
          <w:rFonts w:cstheme="minorHAnsi"/>
          <w:sz w:val="24"/>
          <w:szCs w:val="24"/>
        </w:rPr>
      </w:pPr>
    </w:p>
    <w:p w14:paraId="69FF5E68" w14:textId="36558550" w:rsidR="00871C99" w:rsidRDefault="00871C99" w:rsidP="00E226A8">
      <w:pPr>
        <w:spacing w:after="0" w:line="240" w:lineRule="auto"/>
        <w:rPr>
          <w:rFonts w:cstheme="minorHAnsi"/>
          <w:sz w:val="24"/>
          <w:szCs w:val="24"/>
        </w:rPr>
      </w:pPr>
      <w:r>
        <w:rPr>
          <w:rFonts w:cstheme="minorHAnsi"/>
          <w:sz w:val="24"/>
          <w:szCs w:val="24"/>
        </w:rPr>
        <w:t xml:space="preserve">considered to be more appropriately performed outside of the construction contract by the regular vendors used by the Applicant.  </w:t>
      </w:r>
    </w:p>
    <w:p w14:paraId="788FAC0B" w14:textId="5FCA1FA2" w:rsidR="00871C99" w:rsidRDefault="00871C99" w:rsidP="00E226A8">
      <w:pPr>
        <w:spacing w:after="0" w:line="240" w:lineRule="auto"/>
        <w:rPr>
          <w:rFonts w:cstheme="minorHAnsi"/>
          <w:sz w:val="24"/>
          <w:szCs w:val="24"/>
        </w:rPr>
      </w:pPr>
      <w:r>
        <w:rPr>
          <w:rFonts w:cstheme="minorHAnsi"/>
          <w:sz w:val="24"/>
          <w:szCs w:val="24"/>
        </w:rPr>
        <w:t xml:space="preserve">One area of required repairs related to the elevator.  The HUD inspection identified that a </w:t>
      </w:r>
      <w:bookmarkStart w:id="3" w:name="_Hlk71879696"/>
      <w:r>
        <w:rPr>
          <w:rFonts w:cstheme="minorHAnsi"/>
          <w:sz w:val="24"/>
          <w:szCs w:val="24"/>
        </w:rPr>
        <w:t xml:space="preserve">complete overhaul of both the passenger and the freight elevator was required.  These requirements were based on prolonging the life of the useful asset, as well and safety and efficiency matters.  The additional costs for this work </w:t>
      </w:r>
      <w:r w:rsidR="00D55E24">
        <w:rPr>
          <w:rFonts w:cstheme="minorHAnsi"/>
          <w:sz w:val="24"/>
          <w:szCs w:val="24"/>
        </w:rPr>
        <w:t>are</w:t>
      </w:r>
      <w:r>
        <w:rPr>
          <w:rFonts w:cstheme="minorHAnsi"/>
          <w:sz w:val="24"/>
          <w:szCs w:val="24"/>
        </w:rPr>
        <w:t xml:space="preserve"> currently projected to be $174,276.</w:t>
      </w:r>
      <w:r w:rsidR="00D55E24">
        <w:rPr>
          <w:rFonts w:cstheme="minorHAnsi"/>
          <w:sz w:val="24"/>
          <w:szCs w:val="24"/>
        </w:rPr>
        <w:t>00</w:t>
      </w:r>
    </w:p>
    <w:p w14:paraId="4468BB11" w14:textId="77777777" w:rsidR="00871C99" w:rsidRDefault="00871C99" w:rsidP="00E226A8">
      <w:pPr>
        <w:spacing w:after="0" w:line="240" w:lineRule="auto"/>
        <w:rPr>
          <w:rFonts w:cstheme="minorHAnsi"/>
          <w:sz w:val="24"/>
          <w:szCs w:val="24"/>
        </w:rPr>
      </w:pPr>
    </w:p>
    <w:p w14:paraId="3167689A" w14:textId="239E0D51" w:rsidR="006D25FE" w:rsidRDefault="00871C99" w:rsidP="00E226A8">
      <w:pPr>
        <w:spacing w:after="0" w:line="240" w:lineRule="auto"/>
        <w:rPr>
          <w:rFonts w:cstheme="minorHAnsi"/>
          <w:sz w:val="24"/>
          <w:szCs w:val="24"/>
        </w:rPr>
      </w:pPr>
      <w:r w:rsidRPr="00E51107">
        <w:rPr>
          <w:rFonts w:cstheme="minorHAnsi"/>
          <w:sz w:val="24"/>
          <w:szCs w:val="24"/>
        </w:rPr>
        <w:t xml:space="preserve">Also </w:t>
      </w:r>
      <w:proofErr w:type="gramStart"/>
      <w:r w:rsidRPr="00E51107">
        <w:rPr>
          <w:rFonts w:cstheme="minorHAnsi"/>
          <w:sz w:val="24"/>
          <w:szCs w:val="24"/>
        </w:rPr>
        <w:t>repairs to the oil boilers was</w:t>
      </w:r>
      <w:proofErr w:type="gramEnd"/>
      <w:r w:rsidRPr="00E51107">
        <w:rPr>
          <w:rFonts w:cstheme="minorHAnsi"/>
          <w:sz w:val="24"/>
          <w:szCs w:val="24"/>
        </w:rPr>
        <w:t xml:space="preserve"> identified in the HUD Inspection.  It was identified that </w:t>
      </w:r>
      <w:r w:rsidR="00E51107">
        <w:rPr>
          <w:rFonts w:cstheme="minorHAnsi"/>
          <w:sz w:val="24"/>
          <w:szCs w:val="24"/>
        </w:rPr>
        <w:t>three (3) existing, operating</w:t>
      </w:r>
      <w:r w:rsidR="00D55E24" w:rsidRPr="00E51107">
        <w:rPr>
          <w:rFonts w:cstheme="minorHAnsi"/>
          <w:sz w:val="24"/>
          <w:szCs w:val="24"/>
        </w:rPr>
        <w:t xml:space="preserve"> boilers</w:t>
      </w:r>
      <w:r w:rsidR="00E51107">
        <w:rPr>
          <w:rFonts w:cstheme="minorHAnsi"/>
          <w:sz w:val="24"/>
          <w:szCs w:val="24"/>
        </w:rPr>
        <w:t xml:space="preserve"> had passed their useful life and exhibited significant deferred maintenance concerns.  In addition, there was a fourth, older boiler that was inactive and should be removed. HUD required inspections concluded that strong consideration should be given to replacing the oil-fired boilers with new, energy efficient gas boilers.  This would eliminate the need for any fuel oil to serve the Facility and allow the removal of the underground fuel tanks</w:t>
      </w:r>
      <w:r>
        <w:rPr>
          <w:rFonts w:cstheme="minorHAnsi"/>
          <w:sz w:val="24"/>
          <w:szCs w:val="24"/>
        </w:rPr>
        <w:t xml:space="preserve">.  </w:t>
      </w:r>
      <w:r w:rsidR="00D55E24">
        <w:rPr>
          <w:rFonts w:cstheme="minorHAnsi"/>
          <w:sz w:val="24"/>
          <w:szCs w:val="24"/>
        </w:rPr>
        <w:t xml:space="preserve"> </w:t>
      </w:r>
      <w:bookmarkEnd w:id="3"/>
      <w:r w:rsidR="00D55E24">
        <w:rPr>
          <w:rFonts w:cstheme="minorHAnsi"/>
          <w:sz w:val="24"/>
          <w:szCs w:val="24"/>
        </w:rPr>
        <w:t>This resulted in additional Fixed Equipment Costs not included in the Construction Contract of another $300,000.00.</w:t>
      </w:r>
    </w:p>
    <w:p w14:paraId="041CEBB1" w14:textId="682C82C9" w:rsidR="006D25FE" w:rsidRDefault="006D25FE" w:rsidP="006D25FE">
      <w:pPr>
        <w:spacing w:after="0" w:line="240" w:lineRule="auto"/>
        <w:rPr>
          <w:rFonts w:cstheme="minorHAnsi"/>
          <w:sz w:val="24"/>
          <w:szCs w:val="24"/>
        </w:rPr>
      </w:pPr>
    </w:p>
    <w:p w14:paraId="0EA2394E" w14:textId="19619A8E" w:rsidR="00D55E24" w:rsidRDefault="006D43DE" w:rsidP="006D25FE">
      <w:pPr>
        <w:spacing w:after="0" w:line="240" w:lineRule="auto"/>
        <w:rPr>
          <w:rFonts w:cstheme="minorHAnsi"/>
          <w:sz w:val="24"/>
          <w:szCs w:val="24"/>
        </w:rPr>
      </w:pPr>
      <w:r>
        <w:rPr>
          <w:rFonts w:cstheme="minorHAnsi"/>
          <w:sz w:val="24"/>
          <w:szCs w:val="24"/>
        </w:rPr>
        <w:t xml:space="preserve">The increase in the approved capital expenditure related to Fixed Equipment not in the Contractor’s Contract is $474,276.00.  The need for this expenditure was not foreseeable by the Applicant.  </w:t>
      </w:r>
      <w:r w:rsidR="00D55E24">
        <w:rPr>
          <w:rFonts w:cstheme="minorHAnsi"/>
          <w:sz w:val="24"/>
          <w:szCs w:val="24"/>
        </w:rPr>
        <w:t xml:space="preserve">The Applicant and its consultants had reviewed these two areas of fixed equipment </w:t>
      </w:r>
      <w:r w:rsidR="00D617C8">
        <w:rPr>
          <w:rFonts w:cstheme="minorHAnsi"/>
          <w:sz w:val="24"/>
          <w:szCs w:val="24"/>
        </w:rPr>
        <w:t xml:space="preserve">prior to submitting its DoN </w:t>
      </w:r>
      <w:r w:rsidR="00D55E24">
        <w:rPr>
          <w:rFonts w:cstheme="minorHAnsi"/>
          <w:sz w:val="24"/>
          <w:szCs w:val="24"/>
        </w:rPr>
        <w:t>and determined that material repairs or replacements were not necessary at this time.  Based on its consultation with the various service vendors and consultants such work might be required in the future, but was not necessary for the Project</w:t>
      </w:r>
      <w:r>
        <w:rPr>
          <w:rFonts w:cstheme="minorHAnsi"/>
          <w:sz w:val="24"/>
          <w:szCs w:val="24"/>
        </w:rPr>
        <w:t xml:space="preserve"> completion</w:t>
      </w:r>
      <w:r w:rsidR="00D55E24">
        <w:rPr>
          <w:rFonts w:cstheme="minorHAnsi"/>
          <w:sz w:val="24"/>
          <w:szCs w:val="24"/>
        </w:rPr>
        <w:t xml:space="preserve">. The Applicant was surprised when HUD provided these requirements and </w:t>
      </w:r>
      <w:r>
        <w:rPr>
          <w:rFonts w:cstheme="minorHAnsi"/>
          <w:sz w:val="24"/>
          <w:szCs w:val="24"/>
        </w:rPr>
        <w:t>had no way of knowing</w:t>
      </w:r>
      <w:r w:rsidR="00D55E24">
        <w:rPr>
          <w:rFonts w:cstheme="minorHAnsi"/>
          <w:sz w:val="24"/>
          <w:szCs w:val="24"/>
        </w:rPr>
        <w:t xml:space="preserve"> that such repairs/improvements would be required.  As meeting the HUD insured loan requirements is necessary to secure reasonable lending opportunities, th</w:t>
      </w:r>
      <w:r w:rsidR="00D617C8">
        <w:rPr>
          <w:rFonts w:cstheme="minorHAnsi"/>
          <w:sz w:val="24"/>
          <w:szCs w:val="24"/>
        </w:rPr>
        <w:t>e</w:t>
      </w:r>
      <w:r w:rsidR="00D55E24">
        <w:rPr>
          <w:rFonts w:cstheme="minorHAnsi"/>
          <w:sz w:val="24"/>
          <w:szCs w:val="24"/>
        </w:rPr>
        <w:t>s</w:t>
      </w:r>
      <w:r w:rsidR="00D617C8">
        <w:rPr>
          <w:rFonts w:cstheme="minorHAnsi"/>
          <w:sz w:val="24"/>
          <w:szCs w:val="24"/>
        </w:rPr>
        <w:t>e</w:t>
      </w:r>
      <w:r w:rsidR="00D55E24">
        <w:rPr>
          <w:rFonts w:cstheme="minorHAnsi"/>
          <w:sz w:val="24"/>
          <w:szCs w:val="24"/>
        </w:rPr>
        <w:t xml:space="preserve"> fixed equipment expenditures must be made</w:t>
      </w:r>
      <w:r w:rsidR="00D617C8">
        <w:rPr>
          <w:rFonts w:cstheme="minorHAnsi"/>
          <w:sz w:val="24"/>
          <w:szCs w:val="24"/>
        </w:rPr>
        <w:t>.</w:t>
      </w:r>
    </w:p>
    <w:p w14:paraId="2D406D15" w14:textId="77777777" w:rsidR="00D55E24" w:rsidRDefault="00D55E24" w:rsidP="006D25FE">
      <w:pPr>
        <w:spacing w:after="0" w:line="240" w:lineRule="auto"/>
        <w:rPr>
          <w:rFonts w:cstheme="minorHAnsi"/>
          <w:sz w:val="24"/>
          <w:szCs w:val="24"/>
        </w:rPr>
      </w:pPr>
    </w:p>
    <w:p w14:paraId="18A882CD" w14:textId="502C6594" w:rsidR="00333C4B" w:rsidRDefault="00D55E24" w:rsidP="00333C4B">
      <w:pPr>
        <w:pStyle w:val="ListParagraph"/>
        <w:numPr>
          <w:ilvl w:val="0"/>
          <w:numId w:val="3"/>
        </w:numPr>
        <w:ind w:left="0" w:firstLine="0"/>
        <w:rPr>
          <w:rFonts w:asciiTheme="minorHAnsi" w:hAnsiTheme="minorHAnsi" w:cstheme="minorHAnsi"/>
          <w:bCs/>
          <w:color w:val="000000" w:themeColor="text1"/>
          <w:sz w:val="24"/>
          <w:szCs w:val="24"/>
        </w:rPr>
      </w:pPr>
      <w:r>
        <w:rPr>
          <w:rFonts w:asciiTheme="minorHAnsi" w:hAnsiTheme="minorHAnsi" w:cstheme="minorHAnsi"/>
          <w:sz w:val="24"/>
          <w:szCs w:val="24"/>
          <w:u w:val="single"/>
        </w:rPr>
        <w:t>A</w:t>
      </w:r>
      <w:r w:rsidR="00F8126F" w:rsidRPr="00333C4B">
        <w:rPr>
          <w:rFonts w:asciiTheme="minorHAnsi" w:hAnsiTheme="minorHAnsi" w:cstheme="minorHAnsi"/>
          <w:sz w:val="24"/>
          <w:szCs w:val="24"/>
          <w:u w:val="single"/>
        </w:rPr>
        <w:t>rchitectural</w:t>
      </w:r>
      <w:r w:rsidR="00333C4B" w:rsidRPr="00333C4B">
        <w:rPr>
          <w:rFonts w:asciiTheme="minorHAnsi" w:hAnsiTheme="minorHAnsi" w:cstheme="minorHAnsi"/>
          <w:sz w:val="24"/>
          <w:szCs w:val="24"/>
          <w:u w:val="single"/>
        </w:rPr>
        <w:t xml:space="preserve"> Costs</w:t>
      </w:r>
      <w:r w:rsidR="00333C4B">
        <w:rPr>
          <w:rFonts w:asciiTheme="minorHAnsi" w:hAnsiTheme="minorHAnsi" w:cstheme="minorHAnsi"/>
          <w:sz w:val="24"/>
          <w:szCs w:val="24"/>
        </w:rPr>
        <w:t>.</w:t>
      </w:r>
    </w:p>
    <w:p w14:paraId="2E496B24" w14:textId="77777777" w:rsidR="00333C4B" w:rsidRPr="00333C4B" w:rsidRDefault="00333C4B" w:rsidP="00333C4B">
      <w:pPr>
        <w:pStyle w:val="ListParagraph"/>
        <w:ind w:left="0"/>
        <w:rPr>
          <w:rFonts w:asciiTheme="minorHAnsi" w:hAnsiTheme="minorHAnsi" w:cstheme="minorHAnsi"/>
          <w:bCs/>
          <w:color w:val="000000" w:themeColor="text1"/>
          <w:sz w:val="24"/>
          <w:szCs w:val="24"/>
        </w:rPr>
      </w:pPr>
    </w:p>
    <w:p w14:paraId="6A6938D4" w14:textId="77777777" w:rsidR="00B5218D" w:rsidRDefault="00333C4B" w:rsidP="00333C4B">
      <w:pPr>
        <w:pStyle w:val="ListParagraph"/>
        <w:ind w:left="0"/>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T</w:t>
      </w:r>
      <w:r w:rsidRPr="00333C4B">
        <w:rPr>
          <w:rFonts w:asciiTheme="minorHAnsi" w:hAnsiTheme="minorHAnsi" w:cstheme="minorHAnsi"/>
          <w:bCs/>
          <w:color w:val="000000" w:themeColor="text1"/>
          <w:sz w:val="24"/>
          <w:szCs w:val="24"/>
        </w:rPr>
        <w:t xml:space="preserve">he increase in </w:t>
      </w:r>
      <w:r>
        <w:rPr>
          <w:rFonts w:asciiTheme="minorHAnsi" w:hAnsiTheme="minorHAnsi" w:cstheme="minorHAnsi"/>
          <w:bCs/>
          <w:color w:val="000000" w:themeColor="text1"/>
          <w:sz w:val="24"/>
          <w:szCs w:val="24"/>
        </w:rPr>
        <w:t xml:space="preserve">the architectural </w:t>
      </w:r>
      <w:r w:rsidRPr="00333C4B">
        <w:rPr>
          <w:rFonts w:asciiTheme="minorHAnsi" w:hAnsiTheme="minorHAnsi" w:cstheme="minorHAnsi"/>
          <w:bCs/>
          <w:color w:val="000000" w:themeColor="text1"/>
          <w:sz w:val="24"/>
          <w:szCs w:val="24"/>
        </w:rPr>
        <w:t>costs from $663,790 to $908,500</w:t>
      </w:r>
      <w:r w:rsidR="006D43DE">
        <w:rPr>
          <w:rFonts w:asciiTheme="minorHAnsi" w:hAnsiTheme="minorHAnsi" w:cstheme="minorHAnsi"/>
          <w:bCs/>
          <w:color w:val="000000" w:themeColor="text1"/>
          <w:sz w:val="24"/>
          <w:szCs w:val="24"/>
        </w:rPr>
        <w:t xml:space="preserve"> (an increase of $244,710.00)</w:t>
      </w:r>
      <w:r w:rsidRPr="00333C4B">
        <w:rPr>
          <w:rFonts w:asciiTheme="minorHAnsi" w:hAnsiTheme="minorHAnsi" w:cstheme="minorHAnsi"/>
          <w:bCs/>
          <w:color w:val="000000" w:themeColor="text1"/>
          <w:sz w:val="24"/>
          <w:szCs w:val="24"/>
        </w:rPr>
        <w:t xml:space="preserve"> </w:t>
      </w:r>
      <w:r>
        <w:rPr>
          <w:rFonts w:asciiTheme="minorHAnsi" w:hAnsiTheme="minorHAnsi" w:cstheme="minorHAnsi"/>
          <w:bCs/>
          <w:color w:val="000000" w:themeColor="text1"/>
          <w:sz w:val="24"/>
          <w:szCs w:val="24"/>
        </w:rPr>
        <w:t>is</w:t>
      </w:r>
      <w:r w:rsidRPr="00333C4B">
        <w:rPr>
          <w:rFonts w:asciiTheme="minorHAnsi" w:hAnsiTheme="minorHAnsi" w:cstheme="minorHAnsi"/>
          <w:bCs/>
          <w:color w:val="000000" w:themeColor="text1"/>
          <w:sz w:val="24"/>
          <w:szCs w:val="24"/>
        </w:rPr>
        <w:t xml:space="preserve"> due to </w:t>
      </w:r>
      <w:r>
        <w:rPr>
          <w:rFonts w:asciiTheme="minorHAnsi" w:hAnsiTheme="minorHAnsi" w:cstheme="minorHAnsi"/>
          <w:bCs/>
          <w:color w:val="000000" w:themeColor="text1"/>
          <w:sz w:val="24"/>
          <w:szCs w:val="24"/>
        </w:rPr>
        <w:t xml:space="preserve">the various modifications that were required once the scope of changes was apparent for the development of construction level drawings.  The additional phasing required, </w:t>
      </w:r>
      <w:r w:rsidRPr="00333C4B">
        <w:rPr>
          <w:rFonts w:asciiTheme="minorHAnsi" w:hAnsiTheme="minorHAnsi" w:cstheme="minorHAnsi"/>
          <w:bCs/>
          <w:color w:val="000000" w:themeColor="text1"/>
          <w:sz w:val="24"/>
          <w:szCs w:val="24"/>
        </w:rPr>
        <w:t>redesign</w:t>
      </w:r>
      <w:r>
        <w:rPr>
          <w:rFonts w:asciiTheme="minorHAnsi" w:hAnsiTheme="minorHAnsi" w:cstheme="minorHAnsi"/>
          <w:bCs/>
          <w:color w:val="000000" w:themeColor="text1"/>
          <w:sz w:val="24"/>
          <w:szCs w:val="24"/>
        </w:rPr>
        <w:t xml:space="preserve"> as a result of </w:t>
      </w:r>
      <w:r w:rsidR="00C66768">
        <w:rPr>
          <w:rFonts w:asciiTheme="minorHAnsi" w:hAnsiTheme="minorHAnsi" w:cstheme="minorHAnsi"/>
          <w:bCs/>
          <w:color w:val="000000" w:themeColor="text1"/>
          <w:sz w:val="24"/>
          <w:szCs w:val="24"/>
        </w:rPr>
        <w:t>the discovery of hidden factors</w:t>
      </w:r>
      <w:r w:rsidRPr="00333C4B">
        <w:rPr>
          <w:rFonts w:asciiTheme="minorHAnsi" w:hAnsiTheme="minorHAnsi" w:cstheme="minorHAnsi"/>
          <w:bCs/>
          <w:color w:val="000000" w:themeColor="text1"/>
          <w:sz w:val="24"/>
          <w:szCs w:val="24"/>
        </w:rPr>
        <w:t xml:space="preserve"> and </w:t>
      </w:r>
      <w:r w:rsidR="00C66768">
        <w:rPr>
          <w:rFonts w:asciiTheme="minorHAnsi" w:hAnsiTheme="minorHAnsi" w:cstheme="minorHAnsi"/>
          <w:bCs/>
          <w:color w:val="000000" w:themeColor="text1"/>
          <w:sz w:val="24"/>
          <w:szCs w:val="24"/>
        </w:rPr>
        <w:t xml:space="preserve">the </w:t>
      </w:r>
      <w:r w:rsidRPr="00333C4B">
        <w:rPr>
          <w:rFonts w:asciiTheme="minorHAnsi" w:hAnsiTheme="minorHAnsi" w:cstheme="minorHAnsi"/>
          <w:bCs/>
          <w:color w:val="000000" w:themeColor="text1"/>
          <w:sz w:val="24"/>
          <w:szCs w:val="24"/>
        </w:rPr>
        <w:t>added engineering costs to meet final routing of mechanical shafts from the roof down to the lower Garden Level and between the East and West Wings</w:t>
      </w:r>
      <w:r w:rsidR="00C66768">
        <w:rPr>
          <w:rFonts w:asciiTheme="minorHAnsi" w:hAnsiTheme="minorHAnsi" w:cstheme="minorHAnsi"/>
          <w:bCs/>
          <w:color w:val="000000" w:themeColor="text1"/>
          <w:sz w:val="24"/>
          <w:szCs w:val="24"/>
        </w:rPr>
        <w:t xml:space="preserve"> all contributed to the overall increase in this line item.  The more detailed inspections required for construction level plans identified</w:t>
      </w:r>
      <w:r w:rsidRPr="00333C4B">
        <w:rPr>
          <w:rFonts w:asciiTheme="minorHAnsi" w:hAnsiTheme="minorHAnsi" w:cstheme="minorHAnsi"/>
          <w:bCs/>
          <w:color w:val="000000" w:themeColor="text1"/>
          <w:sz w:val="24"/>
          <w:szCs w:val="24"/>
        </w:rPr>
        <w:t xml:space="preserve"> existing conditions </w:t>
      </w:r>
      <w:r w:rsidR="00C66768">
        <w:rPr>
          <w:rFonts w:asciiTheme="minorHAnsi" w:hAnsiTheme="minorHAnsi" w:cstheme="minorHAnsi"/>
          <w:bCs/>
          <w:color w:val="000000" w:themeColor="text1"/>
          <w:sz w:val="24"/>
          <w:szCs w:val="24"/>
        </w:rPr>
        <w:t>that required changes in plans and more complex solutions to address, adding costs.  Also there were some</w:t>
      </w:r>
      <w:r w:rsidRPr="00333C4B">
        <w:rPr>
          <w:rFonts w:asciiTheme="minorHAnsi" w:hAnsiTheme="minorHAnsi" w:cstheme="minorHAnsi"/>
          <w:bCs/>
          <w:color w:val="000000" w:themeColor="text1"/>
          <w:sz w:val="24"/>
          <w:szCs w:val="24"/>
        </w:rPr>
        <w:t xml:space="preserve"> added design and engineering costs </w:t>
      </w:r>
      <w:r w:rsidR="00C66768">
        <w:rPr>
          <w:rFonts w:asciiTheme="minorHAnsi" w:hAnsiTheme="minorHAnsi" w:cstheme="minorHAnsi"/>
          <w:bCs/>
          <w:color w:val="000000" w:themeColor="text1"/>
          <w:sz w:val="24"/>
          <w:szCs w:val="24"/>
        </w:rPr>
        <w:t xml:space="preserve">related to </w:t>
      </w:r>
      <w:r w:rsidRPr="00333C4B">
        <w:rPr>
          <w:rFonts w:asciiTheme="minorHAnsi" w:hAnsiTheme="minorHAnsi" w:cstheme="minorHAnsi"/>
          <w:bCs/>
          <w:color w:val="000000" w:themeColor="text1"/>
          <w:sz w:val="24"/>
          <w:szCs w:val="24"/>
        </w:rPr>
        <w:t>meet</w:t>
      </w:r>
      <w:r w:rsidR="00C66768">
        <w:rPr>
          <w:rFonts w:asciiTheme="minorHAnsi" w:hAnsiTheme="minorHAnsi" w:cstheme="minorHAnsi"/>
          <w:bCs/>
          <w:color w:val="000000" w:themeColor="text1"/>
          <w:sz w:val="24"/>
          <w:szCs w:val="24"/>
        </w:rPr>
        <w:t>ing</w:t>
      </w:r>
      <w:r w:rsidRPr="00333C4B">
        <w:rPr>
          <w:rFonts w:asciiTheme="minorHAnsi" w:hAnsiTheme="minorHAnsi" w:cstheme="minorHAnsi"/>
          <w:bCs/>
          <w:color w:val="000000" w:themeColor="text1"/>
          <w:sz w:val="24"/>
          <w:szCs w:val="24"/>
        </w:rPr>
        <w:t xml:space="preserve"> certain </w:t>
      </w:r>
      <w:r w:rsidR="00C66768">
        <w:rPr>
          <w:rFonts w:asciiTheme="minorHAnsi" w:hAnsiTheme="minorHAnsi" w:cstheme="minorHAnsi"/>
          <w:bCs/>
          <w:color w:val="000000" w:themeColor="text1"/>
          <w:sz w:val="24"/>
          <w:szCs w:val="24"/>
        </w:rPr>
        <w:t xml:space="preserve">items identified on </w:t>
      </w:r>
      <w:r w:rsidRPr="00333C4B">
        <w:rPr>
          <w:rFonts w:asciiTheme="minorHAnsi" w:hAnsiTheme="minorHAnsi" w:cstheme="minorHAnsi"/>
          <w:bCs/>
          <w:color w:val="000000" w:themeColor="text1"/>
          <w:sz w:val="24"/>
          <w:szCs w:val="24"/>
        </w:rPr>
        <w:t xml:space="preserve">inspectional </w:t>
      </w:r>
    </w:p>
    <w:p w14:paraId="6379D86B" w14:textId="77777777" w:rsidR="00B5218D" w:rsidRPr="000E0588" w:rsidRDefault="00B5218D" w:rsidP="00B5218D">
      <w:pPr>
        <w:pStyle w:val="Heading2"/>
        <w:rPr>
          <w:color w:val="auto"/>
        </w:rPr>
      </w:pPr>
      <w:r w:rsidRPr="000E0588">
        <w:rPr>
          <w:color w:val="auto"/>
        </w:rPr>
        <w:lastRenderedPageBreak/>
        <w:t>DoN Project-19120215-CL</w:t>
      </w:r>
    </w:p>
    <w:p w14:paraId="54705A1C" w14:textId="77777777" w:rsidR="00B5218D" w:rsidRPr="000E0588" w:rsidRDefault="00B5218D" w:rsidP="00B5218D">
      <w:pPr>
        <w:pStyle w:val="Heading2"/>
        <w:rPr>
          <w:color w:val="auto"/>
        </w:rPr>
      </w:pPr>
      <w:r w:rsidRPr="000E0588">
        <w:rPr>
          <w:color w:val="auto"/>
        </w:rPr>
        <w:t>Advocate Healthcare of East Boston</w:t>
      </w:r>
    </w:p>
    <w:p w14:paraId="753DCAD2" w14:textId="77777777" w:rsidR="00B5218D" w:rsidRPr="000E0588" w:rsidRDefault="00B5218D" w:rsidP="00B5218D">
      <w:pPr>
        <w:pStyle w:val="Heading2"/>
        <w:rPr>
          <w:color w:val="auto"/>
        </w:rPr>
      </w:pPr>
      <w:r w:rsidRPr="000E0588">
        <w:rPr>
          <w:color w:val="auto"/>
        </w:rPr>
        <w:t>Significant Amendment</w:t>
      </w:r>
    </w:p>
    <w:p w14:paraId="18302E48" w14:textId="77777777" w:rsidR="00B5218D" w:rsidRDefault="00B5218D" w:rsidP="00333C4B">
      <w:pPr>
        <w:pStyle w:val="ListParagraph"/>
        <w:ind w:left="0"/>
        <w:rPr>
          <w:rFonts w:asciiTheme="minorHAnsi" w:hAnsiTheme="minorHAnsi" w:cstheme="minorHAnsi"/>
          <w:bCs/>
          <w:color w:val="000000" w:themeColor="text1"/>
          <w:sz w:val="24"/>
          <w:szCs w:val="24"/>
        </w:rPr>
      </w:pPr>
    </w:p>
    <w:p w14:paraId="29879ADA" w14:textId="00EB7DC0" w:rsidR="00333C4B" w:rsidRPr="00333C4B" w:rsidRDefault="00333C4B" w:rsidP="00333C4B">
      <w:pPr>
        <w:pStyle w:val="ListParagraph"/>
        <w:ind w:left="0"/>
        <w:rPr>
          <w:rFonts w:asciiTheme="minorHAnsi" w:hAnsiTheme="minorHAnsi" w:cstheme="minorHAnsi"/>
          <w:bCs/>
          <w:color w:val="000000" w:themeColor="text1"/>
          <w:sz w:val="24"/>
          <w:szCs w:val="24"/>
        </w:rPr>
      </w:pPr>
      <w:r w:rsidRPr="00333C4B">
        <w:rPr>
          <w:rFonts w:asciiTheme="minorHAnsi" w:hAnsiTheme="minorHAnsi" w:cstheme="minorHAnsi"/>
          <w:bCs/>
          <w:color w:val="000000" w:themeColor="text1"/>
          <w:sz w:val="24"/>
          <w:szCs w:val="24"/>
        </w:rPr>
        <w:t xml:space="preserve">and </w:t>
      </w:r>
      <w:r w:rsidR="00C66768">
        <w:rPr>
          <w:rFonts w:asciiTheme="minorHAnsi" w:hAnsiTheme="minorHAnsi" w:cstheme="minorHAnsi"/>
          <w:bCs/>
          <w:color w:val="000000" w:themeColor="text1"/>
          <w:sz w:val="24"/>
          <w:szCs w:val="24"/>
        </w:rPr>
        <w:t xml:space="preserve">requirements set by </w:t>
      </w:r>
      <w:r w:rsidRPr="00333C4B">
        <w:rPr>
          <w:rFonts w:asciiTheme="minorHAnsi" w:hAnsiTheme="minorHAnsi" w:cstheme="minorHAnsi"/>
          <w:bCs/>
          <w:color w:val="000000" w:themeColor="text1"/>
          <w:sz w:val="24"/>
          <w:szCs w:val="24"/>
        </w:rPr>
        <w:t>HUD</w:t>
      </w:r>
      <w:r w:rsidR="00C66768">
        <w:rPr>
          <w:rFonts w:asciiTheme="minorHAnsi" w:hAnsiTheme="minorHAnsi" w:cstheme="minorHAnsi"/>
          <w:bCs/>
          <w:color w:val="000000" w:themeColor="text1"/>
          <w:sz w:val="24"/>
          <w:szCs w:val="24"/>
        </w:rPr>
        <w:t>,</w:t>
      </w:r>
      <w:r w:rsidRPr="00333C4B">
        <w:rPr>
          <w:rFonts w:asciiTheme="minorHAnsi" w:hAnsiTheme="minorHAnsi" w:cstheme="minorHAnsi"/>
          <w:bCs/>
          <w:color w:val="000000" w:themeColor="text1"/>
          <w:sz w:val="24"/>
          <w:szCs w:val="24"/>
        </w:rPr>
        <w:t xml:space="preserve"> including replacement of the existing boiler system</w:t>
      </w:r>
      <w:r w:rsidR="00C66768">
        <w:rPr>
          <w:rFonts w:asciiTheme="minorHAnsi" w:hAnsiTheme="minorHAnsi" w:cstheme="minorHAnsi"/>
          <w:bCs/>
          <w:color w:val="000000" w:themeColor="text1"/>
          <w:sz w:val="24"/>
          <w:szCs w:val="24"/>
        </w:rPr>
        <w:t>.  Also,</w:t>
      </w:r>
      <w:r w:rsidRPr="00333C4B">
        <w:rPr>
          <w:rFonts w:asciiTheme="minorHAnsi" w:hAnsiTheme="minorHAnsi" w:cstheme="minorHAnsi"/>
          <w:bCs/>
          <w:color w:val="000000" w:themeColor="text1"/>
          <w:sz w:val="24"/>
          <w:szCs w:val="24"/>
        </w:rPr>
        <w:t xml:space="preserve"> additional design and engineering </w:t>
      </w:r>
      <w:r w:rsidR="00C66768">
        <w:rPr>
          <w:rFonts w:asciiTheme="minorHAnsi" w:hAnsiTheme="minorHAnsi" w:cstheme="minorHAnsi"/>
          <w:bCs/>
          <w:color w:val="000000" w:themeColor="text1"/>
          <w:sz w:val="24"/>
          <w:szCs w:val="24"/>
        </w:rPr>
        <w:t>support was required as a result of the</w:t>
      </w:r>
      <w:r w:rsidRPr="00333C4B">
        <w:rPr>
          <w:rFonts w:asciiTheme="minorHAnsi" w:hAnsiTheme="minorHAnsi" w:cstheme="minorHAnsi"/>
          <w:bCs/>
          <w:color w:val="000000" w:themeColor="text1"/>
          <w:sz w:val="24"/>
          <w:szCs w:val="24"/>
        </w:rPr>
        <w:t xml:space="preserve"> exten</w:t>
      </w:r>
      <w:r w:rsidR="00C66768">
        <w:rPr>
          <w:rFonts w:asciiTheme="minorHAnsi" w:hAnsiTheme="minorHAnsi" w:cstheme="minorHAnsi"/>
          <w:bCs/>
          <w:color w:val="000000" w:themeColor="text1"/>
          <w:sz w:val="24"/>
          <w:szCs w:val="24"/>
        </w:rPr>
        <w:t>sion of the</w:t>
      </w:r>
      <w:r w:rsidRPr="00333C4B">
        <w:rPr>
          <w:rFonts w:asciiTheme="minorHAnsi" w:hAnsiTheme="minorHAnsi" w:cstheme="minorHAnsi"/>
          <w:bCs/>
          <w:color w:val="000000" w:themeColor="text1"/>
          <w:sz w:val="24"/>
          <w:szCs w:val="24"/>
        </w:rPr>
        <w:t xml:space="preserve"> construction period </w:t>
      </w:r>
      <w:r w:rsidR="00C66768">
        <w:rPr>
          <w:rFonts w:asciiTheme="minorHAnsi" w:hAnsiTheme="minorHAnsi" w:cstheme="minorHAnsi"/>
          <w:bCs/>
          <w:color w:val="000000" w:themeColor="text1"/>
          <w:sz w:val="24"/>
          <w:szCs w:val="24"/>
        </w:rPr>
        <w:t>to</w:t>
      </w:r>
      <w:r w:rsidRPr="00333C4B">
        <w:rPr>
          <w:rFonts w:asciiTheme="minorHAnsi" w:hAnsiTheme="minorHAnsi" w:cstheme="minorHAnsi"/>
          <w:bCs/>
          <w:color w:val="000000" w:themeColor="text1"/>
          <w:sz w:val="24"/>
          <w:szCs w:val="24"/>
        </w:rPr>
        <w:t xml:space="preserve"> 72 weeks versus the initial design contract estimate of 52 weeks. </w:t>
      </w:r>
      <w:r w:rsidR="00C66768">
        <w:rPr>
          <w:rFonts w:asciiTheme="minorHAnsi" w:hAnsiTheme="minorHAnsi" w:cstheme="minorHAnsi"/>
          <w:bCs/>
          <w:color w:val="000000" w:themeColor="text1"/>
          <w:sz w:val="24"/>
          <w:szCs w:val="24"/>
        </w:rPr>
        <w:t xml:space="preserve"> As with the various elements of the construction contract cost increase, the increase in architectural and engineering costs also were not reasonably foreseeable by the Applicant.</w:t>
      </w:r>
    </w:p>
    <w:p w14:paraId="3BD96A1F" w14:textId="77777777" w:rsidR="00F8126F" w:rsidRPr="00F76CD5" w:rsidRDefault="00F8126F" w:rsidP="00F8126F">
      <w:pPr>
        <w:pStyle w:val="ListParagraph"/>
        <w:rPr>
          <w:rFonts w:asciiTheme="minorHAnsi" w:hAnsiTheme="minorHAnsi" w:cstheme="minorHAnsi"/>
          <w:sz w:val="24"/>
          <w:szCs w:val="24"/>
        </w:rPr>
      </w:pPr>
    </w:p>
    <w:p w14:paraId="2067322E" w14:textId="07624737" w:rsidR="00F8126F" w:rsidRPr="00F76CD5" w:rsidRDefault="007A6A5D" w:rsidP="00F8126F">
      <w:pPr>
        <w:pStyle w:val="ListParagraph"/>
        <w:numPr>
          <w:ilvl w:val="0"/>
          <w:numId w:val="3"/>
        </w:numPr>
        <w:ind w:left="0" w:firstLine="0"/>
        <w:rPr>
          <w:rFonts w:asciiTheme="minorHAnsi" w:hAnsiTheme="minorHAnsi" w:cstheme="minorHAnsi"/>
          <w:sz w:val="24"/>
          <w:szCs w:val="24"/>
          <w:u w:val="single"/>
        </w:rPr>
      </w:pPr>
      <w:r w:rsidRPr="00F76CD5">
        <w:rPr>
          <w:rFonts w:cstheme="minorHAnsi"/>
          <w:sz w:val="24"/>
          <w:szCs w:val="24"/>
          <w:u w:val="single"/>
        </w:rPr>
        <w:t>Pre and Post Filing Planning and Development</w:t>
      </w:r>
      <w:r w:rsidR="00F76CD5">
        <w:rPr>
          <w:rFonts w:cstheme="minorHAnsi"/>
          <w:sz w:val="24"/>
          <w:szCs w:val="24"/>
          <w:u w:val="single"/>
        </w:rPr>
        <w:t xml:space="preserve"> Costs</w:t>
      </w:r>
      <w:r w:rsidR="00F76CD5">
        <w:rPr>
          <w:rFonts w:cstheme="minorHAnsi"/>
          <w:sz w:val="24"/>
          <w:szCs w:val="24"/>
        </w:rPr>
        <w:t>.</w:t>
      </w:r>
    </w:p>
    <w:p w14:paraId="6709F4B7" w14:textId="6052C73F" w:rsidR="00F76CD5" w:rsidRDefault="00F76CD5" w:rsidP="00F76CD5">
      <w:pPr>
        <w:pStyle w:val="ListParagraph"/>
        <w:ind w:left="0"/>
        <w:rPr>
          <w:rFonts w:cstheme="minorHAnsi"/>
          <w:sz w:val="24"/>
          <w:szCs w:val="24"/>
          <w:u w:val="single"/>
        </w:rPr>
      </w:pPr>
    </w:p>
    <w:p w14:paraId="0750B186" w14:textId="5EAB3A9F" w:rsidR="00A06FCB" w:rsidRPr="00D37669" w:rsidRDefault="00F76CD5" w:rsidP="00D37669">
      <w:pPr>
        <w:pStyle w:val="ListParagraph"/>
        <w:ind w:left="0"/>
        <w:rPr>
          <w:rFonts w:cstheme="minorHAnsi"/>
          <w:sz w:val="24"/>
          <w:szCs w:val="24"/>
        </w:rPr>
      </w:pPr>
      <w:r>
        <w:rPr>
          <w:rFonts w:cstheme="minorHAnsi"/>
          <w:sz w:val="24"/>
          <w:szCs w:val="24"/>
        </w:rPr>
        <w:t xml:space="preserve">These two categories of expense also are projected to be higher than those set forth in the original DoN approval.  These increases are related to the additional costs associated with the filing of this Amendment.  In addition, the increased costs in these categories </w:t>
      </w:r>
      <w:r w:rsidR="009C0295">
        <w:rPr>
          <w:rFonts w:cstheme="minorHAnsi"/>
          <w:sz w:val="24"/>
          <w:szCs w:val="24"/>
        </w:rPr>
        <w:t xml:space="preserve">are </w:t>
      </w:r>
      <w:r>
        <w:rPr>
          <w:rFonts w:cstheme="minorHAnsi"/>
          <w:sz w:val="24"/>
          <w:szCs w:val="24"/>
        </w:rPr>
        <w:t>due in part to the increased cost of the overall budget as some fees are based on certain expenditures and as the DoN expenditures are forecast to increase, so will the cost of certain permits or approvals.  The difference in the Pre-Filing costs is only $24,000.00; however, the Pos</w:t>
      </w:r>
      <w:r w:rsidR="009C0295">
        <w:rPr>
          <w:rFonts w:cstheme="minorHAnsi"/>
          <w:sz w:val="24"/>
          <w:szCs w:val="24"/>
        </w:rPr>
        <w:t>t</w:t>
      </w:r>
      <w:r>
        <w:rPr>
          <w:rFonts w:cstheme="minorHAnsi"/>
          <w:sz w:val="24"/>
          <w:szCs w:val="24"/>
        </w:rPr>
        <w:t xml:space="preserve">-Filing costs are projected to increase by $140,000.00 or 350%.  </w:t>
      </w:r>
    </w:p>
    <w:p w14:paraId="39225930" w14:textId="77777777" w:rsidR="009C0295" w:rsidRPr="009C0295" w:rsidRDefault="00F8126F" w:rsidP="00F8126F">
      <w:pPr>
        <w:pStyle w:val="ListParagraph"/>
        <w:numPr>
          <w:ilvl w:val="0"/>
          <w:numId w:val="3"/>
        </w:numPr>
        <w:ind w:left="0" w:firstLine="0"/>
        <w:rPr>
          <w:rFonts w:asciiTheme="minorHAnsi" w:hAnsiTheme="minorHAnsi" w:cstheme="minorHAnsi"/>
          <w:sz w:val="24"/>
          <w:szCs w:val="24"/>
          <w:u w:val="single"/>
        </w:rPr>
      </w:pPr>
      <w:r w:rsidRPr="00F76CD5">
        <w:rPr>
          <w:rFonts w:cstheme="minorHAnsi"/>
          <w:sz w:val="24"/>
          <w:szCs w:val="24"/>
          <w:u w:val="single"/>
        </w:rPr>
        <w:t>Net Interest Expense</w:t>
      </w:r>
    </w:p>
    <w:p w14:paraId="0A550DF8" w14:textId="7C058D46" w:rsidR="009C0295" w:rsidRDefault="009C0295" w:rsidP="009C0295">
      <w:pPr>
        <w:pStyle w:val="ListParagraph"/>
        <w:ind w:left="0"/>
        <w:rPr>
          <w:rFonts w:cstheme="minorHAnsi"/>
          <w:sz w:val="24"/>
          <w:szCs w:val="24"/>
        </w:rPr>
      </w:pPr>
    </w:p>
    <w:p w14:paraId="549B5AA2" w14:textId="59068EE5" w:rsidR="00F8126F" w:rsidRPr="00D37669" w:rsidRDefault="009C0295" w:rsidP="00D37669">
      <w:pPr>
        <w:pStyle w:val="ListParagraph"/>
        <w:ind w:left="0"/>
        <w:rPr>
          <w:rFonts w:asciiTheme="minorHAnsi" w:hAnsiTheme="minorHAnsi" w:cstheme="minorHAnsi"/>
          <w:sz w:val="24"/>
          <w:szCs w:val="24"/>
        </w:rPr>
      </w:pPr>
      <w:r>
        <w:rPr>
          <w:rFonts w:cstheme="minorHAnsi"/>
          <w:sz w:val="24"/>
          <w:szCs w:val="24"/>
        </w:rPr>
        <w:t>The approved DoN expenditures related “Net Interest Expense” was $276,695.00</w:t>
      </w:r>
      <w:r w:rsidR="00821BCA">
        <w:rPr>
          <w:rFonts w:cstheme="minorHAnsi"/>
          <w:sz w:val="24"/>
          <w:szCs w:val="24"/>
        </w:rPr>
        <w:t>.</w:t>
      </w:r>
      <w:r>
        <w:rPr>
          <w:rFonts w:cstheme="minorHAnsi"/>
          <w:sz w:val="24"/>
          <w:szCs w:val="24"/>
        </w:rPr>
        <w:t xml:space="preserve">  This</w:t>
      </w:r>
      <w:r w:rsidR="00821BCA">
        <w:rPr>
          <w:rFonts w:cstheme="minorHAnsi"/>
          <w:sz w:val="24"/>
          <w:szCs w:val="24"/>
        </w:rPr>
        <w:t xml:space="preserve"> amount</w:t>
      </w:r>
      <w:r>
        <w:rPr>
          <w:rFonts w:cstheme="minorHAnsi"/>
          <w:sz w:val="24"/>
          <w:szCs w:val="24"/>
        </w:rPr>
        <w:t xml:space="preserve"> was based on a 16</w:t>
      </w:r>
      <w:r w:rsidR="00821BCA">
        <w:rPr>
          <w:rFonts w:cstheme="minorHAnsi"/>
          <w:sz w:val="24"/>
          <w:szCs w:val="24"/>
        </w:rPr>
        <w:t>-</w:t>
      </w:r>
      <w:r>
        <w:rPr>
          <w:rFonts w:cstheme="minorHAnsi"/>
          <w:sz w:val="24"/>
          <w:szCs w:val="24"/>
        </w:rPr>
        <w:t xml:space="preserve">month construction period and total borrowed amount of </w:t>
      </w:r>
      <w:r w:rsidR="00821BCA">
        <w:rPr>
          <w:rFonts w:cstheme="minorHAnsi"/>
          <w:sz w:val="24"/>
          <w:szCs w:val="24"/>
        </w:rPr>
        <w:t>$8,042,000.00.  The amount requested in this amendment is $563,320.00. This is an increase of $286,625.00 requested for Net Interest Expense.  This revised Net Interest Expense is based on a total borrowing of $15,450,000.00 with the construction period now ex</w:t>
      </w:r>
      <w:r w:rsidR="00666CF7">
        <w:rPr>
          <w:rFonts w:cstheme="minorHAnsi"/>
          <w:sz w:val="24"/>
          <w:szCs w:val="24"/>
        </w:rPr>
        <w:t xml:space="preserve"> </w:t>
      </w:r>
      <w:r w:rsidR="00821BCA">
        <w:rPr>
          <w:rFonts w:cstheme="minorHAnsi"/>
          <w:sz w:val="24"/>
          <w:szCs w:val="24"/>
        </w:rPr>
        <w:t xml:space="preserve">tended to </w:t>
      </w:r>
      <w:r w:rsidR="00295DD4" w:rsidRPr="009C0295">
        <w:rPr>
          <w:rFonts w:cstheme="minorHAnsi"/>
          <w:sz w:val="24"/>
          <w:szCs w:val="24"/>
        </w:rPr>
        <w:t>20 months</w:t>
      </w:r>
      <w:r w:rsidR="00821BCA">
        <w:rPr>
          <w:rFonts w:cstheme="minorHAnsi"/>
          <w:sz w:val="24"/>
          <w:szCs w:val="24"/>
        </w:rPr>
        <w:t xml:space="preserve"> due to the additional phasing required.</w:t>
      </w:r>
    </w:p>
    <w:p w14:paraId="02D120BA" w14:textId="2BE128DB" w:rsidR="00821BCA" w:rsidRPr="00821BCA" w:rsidRDefault="004564A7" w:rsidP="00F8126F">
      <w:pPr>
        <w:pStyle w:val="ListParagraph"/>
        <w:numPr>
          <w:ilvl w:val="0"/>
          <w:numId w:val="3"/>
        </w:numPr>
        <w:ind w:left="0" w:firstLine="0"/>
        <w:rPr>
          <w:rFonts w:asciiTheme="minorHAnsi" w:hAnsiTheme="minorHAnsi" w:cstheme="minorHAnsi"/>
          <w:sz w:val="24"/>
          <w:szCs w:val="24"/>
          <w:u w:val="single"/>
        </w:rPr>
      </w:pPr>
      <w:r w:rsidRPr="00F76CD5">
        <w:rPr>
          <w:rFonts w:cstheme="minorHAnsi"/>
          <w:sz w:val="24"/>
          <w:szCs w:val="24"/>
        </w:rPr>
        <w:t xml:space="preserve"> </w:t>
      </w:r>
      <w:r w:rsidR="00F8126F" w:rsidRPr="00F76CD5">
        <w:rPr>
          <w:rFonts w:cstheme="minorHAnsi"/>
          <w:sz w:val="24"/>
          <w:szCs w:val="24"/>
          <w:u w:val="single"/>
        </w:rPr>
        <w:t>Financing Costs</w:t>
      </w:r>
    </w:p>
    <w:p w14:paraId="363D13FA" w14:textId="77777777" w:rsidR="00A06FCB" w:rsidRDefault="00A06FCB" w:rsidP="00821BCA">
      <w:pPr>
        <w:pStyle w:val="ListParagraph"/>
        <w:ind w:left="0"/>
        <w:rPr>
          <w:rFonts w:cstheme="minorHAnsi"/>
          <w:sz w:val="24"/>
          <w:szCs w:val="24"/>
        </w:rPr>
      </w:pPr>
    </w:p>
    <w:p w14:paraId="77E9369E" w14:textId="3DB72617" w:rsidR="00821BCA" w:rsidRDefault="00821BCA" w:rsidP="00821BCA">
      <w:pPr>
        <w:pStyle w:val="ListParagraph"/>
        <w:ind w:left="0"/>
        <w:rPr>
          <w:rFonts w:cstheme="minorHAnsi"/>
          <w:sz w:val="24"/>
          <w:szCs w:val="24"/>
        </w:rPr>
      </w:pPr>
      <w:r w:rsidRPr="00821BCA">
        <w:rPr>
          <w:rFonts w:cstheme="minorHAnsi"/>
          <w:sz w:val="24"/>
          <w:szCs w:val="24"/>
        </w:rPr>
        <w:t>As with other capital cost categories</w:t>
      </w:r>
      <w:r>
        <w:rPr>
          <w:rFonts w:cstheme="minorHAnsi"/>
          <w:sz w:val="24"/>
          <w:szCs w:val="24"/>
        </w:rPr>
        <w:t>, the financing costs associated with this Project also have risen.  Originally, the Applicant requested and was approved for $158,305 to secure financing.  With the chances in the amount to be borrowed and the change to HUD insured financing, the cost is now estimated to be $420,432.00.  The additional costs include the HUD application fees</w:t>
      </w:r>
      <w:r w:rsidR="00143494">
        <w:rPr>
          <w:rFonts w:cstheme="minorHAnsi"/>
          <w:sz w:val="24"/>
          <w:szCs w:val="24"/>
        </w:rPr>
        <w:t>, additional third-party reports and inspections and a loan placement fee not previously contemplated.  These additional expenses could not have been reasonably contemplated at the time the DoN was filed.</w:t>
      </w:r>
    </w:p>
    <w:p w14:paraId="70728C37" w14:textId="757A001B" w:rsidR="001106BF" w:rsidRDefault="001106BF" w:rsidP="00821BCA">
      <w:pPr>
        <w:pStyle w:val="ListParagraph"/>
        <w:ind w:left="0"/>
        <w:rPr>
          <w:rFonts w:cstheme="minorHAnsi"/>
          <w:sz w:val="24"/>
          <w:szCs w:val="24"/>
        </w:rPr>
      </w:pPr>
    </w:p>
    <w:p w14:paraId="6462FBD3" w14:textId="32E5768D" w:rsidR="001106BF" w:rsidRDefault="0086345D" w:rsidP="00821BCA">
      <w:pPr>
        <w:pStyle w:val="ListParagraph"/>
        <w:ind w:left="0"/>
        <w:rPr>
          <w:rFonts w:cstheme="minorHAnsi"/>
          <w:sz w:val="24"/>
          <w:szCs w:val="24"/>
        </w:rPr>
      </w:pPr>
      <w:r>
        <w:rPr>
          <w:rFonts w:cstheme="minorHAnsi"/>
          <w:sz w:val="24"/>
          <w:szCs w:val="24"/>
        </w:rPr>
        <w:t>G.</w:t>
      </w:r>
      <w:r>
        <w:rPr>
          <w:rFonts w:cstheme="minorHAnsi"/>
          <w:sz w:val="24"/>
          <w:szCs w:val="24"/>
        </w:rPr>
        <w:tab/>
      </w:r>
      <w:r w:rsidR="001106BF">
        <w:rPr>
          <w:rFonts w:cstheme="minorHAnsi"/>
          <w:sz w:val="24"/>
          <w:szCs w:val="24"/>
          <w:u w:val="single"/>
        </w:rPr>
        <w:t>Conclusion</w:t>
      </w:r>
      <w:r>
        <w:rPr>
          <w:rFonts w:cstheme="minorHAnsi"/>
          <w:sz w:val="24"/>
          <w:szCs w:val="24"/>
          <w:u w:val="single"/>
        </w:rPr>
        <w:t>:  Increased Cost Unforeseeable</w:t>
      </w:r>
    </w:p>
    <w:p w14:paraId="3C41B8AB" w14:textId="40563CFC" w:rsidR="001106BF" w:rsidRDefault="001106BF" w:rsidP="00821BCA">
      <w:pPr>
        <w:pStyle w:val="ListParagraph"/>
        <w:ind w:left="0"/>
        <w:rPr>
          <w:rFonts w:cstheme="minorHAnsi"/>
          <w:sz w:val="24"/>
          <w:szCs w:val="24"/>
        </w:rPr>
      </w:pPr>
    </w:p>
    <w:p w14:paraId="21769852" w14:textId="77777777" w:rsidR="00B5218D" w:rsidRDefault="00A47877" w:rsidP="00821BCA">
      <w:pPr>
        <w:pStyle w:val="ListParagraph"/>
        <w:ind w:left="0"/>
      </w:pPr>
      <w:r>
        <w:t>The Applicant has worked diligently to implement its DoN approval.</w:t>
      </w:r>
      <w:r w:rsidR="00035A0A">
        <w:t xml:space="preserve"> It has timely sought plan review approval and construction bids</w:t>
      </w:r>
      <w:r w:rsidR="000713EF">
        <w:t>, despite encountering</w:t>
      </w:r>
      <w:r w:rsidR="00035A0A">
        <w:t xml:space="preserve"> a variety of unexpected challenges.  </w:t>
      </w:r>
      <w:r w:rsidR="000713EF">
        <w:t xml:space="preserve">Such challenges </w:t>
      </w:r>
      <w:r w:rsidR="00035A0A">
        <w:t xml:space="preserve">included delays in inspectional work as a result of Covid-19 precautions in long term care </w:t>
      </w:r>
    </w:p>
    <w:p w14:paraId="3974F990" w14:textId="77777777" w:rsidR="00B5218D" w:rsidRPr="000E0588" w:rsidRDefault="00B5218D" w:rsidP="00B5218D">
      <w:pPr>
        <w:pStyle w:val="Heading2"/>
        <w:rPr>
          <w:color w:val="auto"/>
        </w:rPr>
      </w:pPr>
      <w:r w:rsidRPr="000E0588">
        <w:rPr>
          <w:color w:val="auto"/>
        </w:rPr>
        <w:lastRenderedPageBreak/>
        <w:t>DoN Project-19120215-CL</w:t>
      </w:r>
    </w:p>
    <w:p w14:paraId="5796C9D3" w14:textId="77777777" w:rsidR="00B5218D" w:rsidRPr="000E0588" w:rsidRDefault="00B5218D" w:rsidP="00B5218D">
      <w:pPr>
        <w:pStyle w:val="Heading2"/>
        <w:rPr>
          <w:color w:val="auto"/>
        </w:rPr>
      </w:pPr>
      <w:r w:rsidRPr="000E0588">
        <w:rPr>
          <w:color w:val="auto"/>
        </w:rPr>
        <w:t>Advocate Healthcare of East Boston</w:t>
      </w:r>
    </w:p>
    <w:p w14:paraId="4EC98C8D" w14:textId="77777777" w:rsidR="00B5218D" w:rsidRPr="000E0588" w:rsidRDefault="00B5218D" w:rsidP="00B5218D">
      <w:pPr>
        <w:pStyle w:val="Heading2"/>
        <w:rPr>
          <w:color w:val="auto"/>
        </w:rPr>
      </w:pPr>
      <w:r w:rsidRPr="000E0588">
        <w:rPr>
          <w:color w:val="auto"/>
        </w:rPr>
        <w:t>Significant Amendment</w:t>
      </w:r>
    </w:p>
    <w:p w14:paraId="42F25956" w14:textId="77777777" w:rsidR="00B5218D" w:rsidRDefault="00B5218D" w:rsidP="00821BCA">
      <w:pPr>
        <w:pStyle w:val="ListParagraph"/>
        <w:ind w:left="0"/>
      </w:pPr>
    </w:p>
    <w:p w14:paraId="2FBEC36E" w14:textId="598BF1F4" w:rsidR="000713EF" w:rsidRDefault="00035A0A" w:rsidP="00821BCA">
      <w:pPr>
        <w:pStyle w:val="ListParagraph"/>
        <w:ind w:left="0"/>
      </w:pPr>
      <w:r>
        <w:t xml:space="preserve">facilities.  </w:t>
      </w:r>
      <w:r w:rsidR="000713EF">
        <w:t xml:space="preserve">These more in-depth review of the building’s infrastructure as part of the development of construction and engineering plans uncovered unexpected existing conditions resulting in more costly designs and more phasing of construction that originally contemplated. </w:t>
      </w:r>
    </w:p>
    <w:p w14:paraId="1DF6343E" w14:textId="77777777" w:rsidR="000713EF" w:rsidRDefault="000713EF" w:rsidP="00821BCA">
      <w:pPr>
        <w:pStyle w:val="ListParagraph"/>
        <w:ind w:left="0"/>
      </w:pPr>
    </w:p>
    <w:p w14:paraId="60E07AC0" w14:textId="26295E94" w:rsidR="000713EF" w:rsidRDefault="00035A0A" w:rsidP="00821BCA">
      <w:pPr>
        <w:pStyle w:val="ListParagraph"/>
        <w:ind w:left="0"/>
      </w:pPr>
      <w:r>
        <w:t xml:space="preserve">Also included in these unexpected </w:t>
      </w:r>
      <w:r w:rsidR="000713EF">
        <w:t>challenges</w:t>
      </w:r>
      <w:r>
        <w:t xml:space="preserve"> </w:t>
      </w:r>
      <w:r w:rsidR="000713EF">
        <w:t>wa</w:t>
      </w:r>
      <w:r>
        <w:t xml:space="preserve">s the significant impact various economic and supply factors have had on the cost of construction supplies and </w:t>
      </w:r>
      <w:r w:rsidR="000713EF">
        <w:t xml:space="preserve">related </w:t>
      </w:r>
      <w:r>
        <w:t>labor</w:t>
      </w:r>
      <w:r w:rsidR="000713EF">
        <w:t>.  Many critical materials are significantly higher and labor costs have increased.  These unexpected cost increases, along with the increased requirement for additional phases in the Project construction affected the bids from contractors, which in many cases were distinctly different than the estimates obtained in 2019.</w:t>
      </w:r>
    </w:p>
    <w:p w14:paraId="798F641B" w14:textId="4ACFF573" w:rsidR="000713EF" w:rsidRDefault="000713EF" w:rsidP="00821BCA">
      <w:pPr>
        <w:pStyle w:val="ListParagraph"/>
        <w:ind w:left="0"/>
      </w:pPr>
    </w:p>
    <w:p w14:paraId="2708270F" w14:textId="0BC9AD3F" w:rsidR="000713EF" w:rsidRDefault="000713EF" w:rsidP="00821BCA">
      <w:pPr>
        <w:pStyle w:val="ListParagraph"/>
        <w:ind w:left="0"/>
      </w:pPr>
      <w:r>
        <w:t xml:space="preserve">Lastly, the Applicant had no reason in 2019 to believe that the financing market for long term care facilities would undergo significant changes as a result of Covid-19 and its impact on the financial performance of such facilities.  Many lenders </w:t>
      </w:r>
      <w:r w:rsidR="00FB025E">
        <w:t xml:space="preserve">no longer service long term care facilities and others required more onerous terms if they will provide a loan.  </w:t>
      </w:r>
      <w:r>
        <w:t xml:space="preserve">The Applicant did not desire to pursue the more costly and complex HUD insured financing, but </w:t>
      </w:r>
      <w:r w:rsidR="00FB025E">
        <w:t xml:space="preserve">at this point in time, </w:t>
      </w:r>
      <w:r>
        <w:t xml:space="preserve">this option </w:t>
      </w:r>
      <w:r w:rsidR="00FB025E">
        <w:t>is</w:t>
      </w:r>
      <w:r>
        <w:t xml:space="preserve"> its only reasonable choice</w:t>
      </w:r>
      <w:r w:rsidR="00FB025E">
        <w:t xml:space="preserve"> if it wants</w:t>
      </w:r>
      <w:r>
        <w:t xml:space="preserve"> to secure more reasonable and acceptable financial terms.</w:t>
      </w:r>
    </w:p>
    <w:p w14:paraId="0833523F" w14:textId="77777777" w:rsidR="000713EF" w:rsidRDefault="000713EF" w:rsidP="00821BCA">
      <w:pPr>
        <w:pStyle w:val="ListParagraph"/>
        <w:ind w:left="0"/>
      </w:pPr>
    </w:p>
    <w:p w14:paraId="476E5741" w14:textId="2CD01CE8" w:rsidR="001106BF" w:rsidRPr="001106BF" w:rsidRDefault="00035A0A" w:rsidP="00821BCA">
      <w:pPr>
        <w:pStyle w:val="ListParagraph"/>
        <w:ind w:left="0"/>
        <w:rPr>
          <w:rFonts w:asciiTheme="minorHAnsi" w:hAnsiTheme="minorHAnsi" w:cstheme="minorHAnsi"/>
          <w:sz w:val="24"/>
          <w:szCs w:val="24"/>
        </w:rPr>
      </w:pPr>
      <w:r>
        <w:t xml:space="preserve">All of the factors </w:t>
      </w:r>
      <w:r w:rsidR="00FB025E">
        <w:t xml:space="preserve">discussed above </w:t>
      </w:r>
      <w:r>
        <w:t xml:space="preserve">are beyond the control of the Applicant.  </w:t>
      </w:r>
      <w:r w:rsidR="00FB025E">
        <w:t>The Applicant could not have</w:t>
      </w:r>
      <w:r w:rsidR="001106BF">
        <w:t xml:space="preserve"> been reasonably foreseen</w:t>
      </w:r>
      <w:r w:rsidR="00FB025E">
        <w:t xml:space="preserve"> these circumstances when it was developing its DoN.  Moreover, these circumstances are not and were</w:t>
      </w:r>
      <w:r w:rsidR="001106BF">
        <w:t xml:space="preserve"> not reasonably within the control of the Holder</w:t>
      </w:r>
      <w:r w:rsidR="00FB025E">
        <w:t>.   As a result, the Applicant respectfully requests the consideration of its request for this significant amendment to its approved DoN.</w:t>
      </w:r>
    </w:p>
    <w:sectPr w:rsidR="001106BF" w:rsidRPr="001106B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D5746" w14:textId="77777777" w:rsidR="00795713" w:rsidRDefault="00795713" w:rsidP="00547BFB">
      <w:pPr>
        <w:spacing w:after="0" w:line="240" w:lineRule="auto"/>
      </w:pPr>
      <w:r>
        <w:separator/>
      </w:r>
    </w:p>
  </w:endnote>
  <w:endnote w:type="continuationSeparator" w:id="0">
    <w:p w14:paraId="5E4B099D" w14:textId="77777777" w:rsidR="00795713" w:rsidRDefault="00795713" w:rsidP="0054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934094"/>
      <w:docPartObj>
        <w:docPartGallery w:val="Page Numbers (Bottom of Page)"/>
        <w:docPartUnique/>
      </w:docPartObj>
    </w:sdtPr>
    <w:sdtEndPr>
      <w:rPr>
        <w:noProof/>
      </w:rPr>
    </w:sdtEndPr>
    <w:sdtContent>
      <w:p w14:paraId="77EA5775" w14:textId="1FE48D9A" w:rsidR="00547BFB" w:rsidRDefault="00547BFB">
        <w:pPr>
          <w:pStyle w:val="Footer"/>
          <w:jc w:val="center"/>
        </w:pPr>
        <w:r>
          <w:fldChar w:fldCharType="begin"/>
        </w:r>
        <w:r>
          <w:instrText xml:space="preserve"> PAGE   \* MERGEFORMAT </w:instrText>
        </w:r>
        <w:r>
          <w:fldChar w:fldCharType="separate"/>
        </w:r>
        <w:r w:rsidR="00CE2FB8">
          <w:rPr>
            <w:noProof/>
          </w:rPr>
          <w:t>13</w:t>
        </w:r>
        <w:r>
          <w:rPr>
            <w:noProof/>
          </w:rPr>
          <w:fldChar w:fldCharType="end"/>
        </w:r>
      </w:p>
    </w:sdtContent>
  </w:sdt>
  <w:p w14:paraId="64E8D824" w14:textId="77777777" w:rsidR="00547BFB" w:rsidRDefault="00547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684BA" w14:textId="77777777" w:rsidR="00795713" w:rsidRDefault="00795713" w:rsidP="00547BFB">
      <w:pPr>
        <w:spacing w:after="0" w:line="240" w:lineRule="auto"/>
      </w:pPr>
      <w:r>
        <w:separator/>
      </w:r>
    </w:p>
  </w:footnote>
  <w:footnote w:type="continuationSeparator" w:id="0">
    <w:p w14:paraId="0DEB1C37" w14:textId="77777777" w:rsidR="00795713" w:rsidRDefault="00795713" w:rsidP="00547BFB">
      <w:pPr>
        <w:spacing w:after="0" w:line="240" w:lineRule="auto"/>
      </w:pPr>
      <w:r>
        <w:continuationSeparator/>
      </w:r>
    </w:p>
  </w:footnote>
  <w:footnote w:id="1">
    <w:p w14:paraId="7A804BDE" w14:textId="6154EBBB" w:rsidR="00FE06D2" w:rsidRDefault="00FE06D2" w:rsidP="00FE06D2">
      <w:pPr>
        <w:shd w:val="clear" w:color="auto" w:fill="FFFFFF"/>
        <w:spacing w:after="0" w:line="240" w:lineRule="auto"/>
      </w:pPr>
      <w:r>
        <w:rPr>
          <w:rStyle w:val="FootnoteReference"/>
        </w:rPr>
        <w:footnoteRef/>
      </w:r>
      <w:r>
        <w:t xml:space="preserve"> </w:t>
      </w:r>
      <w:r w:rsidRPr="00FB38BC">
        <w:rPr>
          <w:sz w:val="20"/>
          <w:szCs w:val="20"/>
        </w:rPr>
        <w:t>How U.S. Trade Policy Helped Construction Materials Costs Go Through the Roof</w:t>
      </w:r>
      <w:r w:rsidRPr="005A3577">
        <w:rPr>
          <w:sz w:val="20"/>
          <w:szCs w:val="20"/>
        </w:rPr>
        <w:t xml:space="preserve"> by Scott Lincicome posted March</w:t>
      </w:r>
      <w:r w:rsidRPr="00FB38BC">
        <w:rPr>
          <w:sz w:val="20"/>
          <w:szCs w:val="20"/>
        </w:rPr>
        <w:t xml:space="preserve"> 18, 2021 11:11AM</w:t>
      </w:r>
      <w:r>
        <w:rPr>
          <w:rFonts w:eastAsia="Times New Roman" w:cstheme="minorHAnsi"/>
          <w:spacing w:val="22"/>
          <w:sz w:val="20"/>
          <w:szCs w:val="20"/>
        </w:rPr>
        <w:t>.</w:t>
      </w:r>
      <w:r>
        <w:t xml:space="preserve"> </w:t>
      </w:r>
      <w:hyperlink r:id="rId1" w:tooltip="How U.S. Trade Policy Helped Construction Materials Costs Go Through the Roof by Scott Lincicome posted March 18, 2021 11:11AM." w:history="1">
        <w:r w:rsidRPr="0071346F">
          <w:rPr>
            <w:rStyle w:val="Hyperlink"/>
          </w:rPr>
          <w:t>https://www.cato.org/blog/how-us-trade-policy-contributes-our-insane-construction-materials-costs</w:t>
        </w:r>
      </w:hyperlink>
      <w:r>
        <w:rPr>
          <w:rStyle w:val="Hyperlink"/>
        </w:rPr>
        <w:t>.</w:t>
      </w:r>
    </w:p>
    <w:p w14:paraId="26EB6F3F" w14:textId="77777777" w:rsidR="00FE06D2" w:rsidRDefault="00FE06D2" w:rsidP="00FE06D2">
      <w:pPr>
        <w:pStyle w:val="FootnoteText"/>
      </w:pPr>
    </w:p>
  </w:footnote>
  <w:footnote w:id="2">
    <w:p w14:paraId="63C0186B" w14:textId="61EFE05F" w:rsidR="00FE06D2" w:rsidRDefault="00FE06D2" w:rsidP="00FE06D2">
      <w:r>
        <w:rPr>
          <w:rStyle w:val="FootnoteReference"/>
        </w:rPr>
        <w:footnoteRef/>
      </w:r>
      <w:r>
        <w:t xml:space="preserve"> </w:t>
      </w:r>
      <w:r w:rsidRPr="00FE06D2">
        <w:rPr>
          <w:sz w:val="20"/>
          <w:szCs w:val="20"/>
        </w:rPr>
        <w:t>Domestic Material Price Trends</w:t>
      </w:r>
      <w:r>
        <w:t xml:space="preserve"> </w:t>
      </w:r>
      <w:hyperlink r:id="rId2" w:tooltip="Domestic Material Price Trends " w:history="1">
        <w:r w:rsidRPr="0071346F">
          <w:rPr>
            <w:rStyle w:val="Hyperlink"/>
          </w:rPr>
          <w:t>https://ccorpinsights.com/domestic-materials/</w:t>
        </w:r>
      </w:hyperlink>
      <w:r>
        <w:rPr>
          <w:rStyle w:val="Hyperlink"/>
        </w:rPr>
        <w:t>.</w:t>
      </w:r>
    </w:p>
  </w:footnote>
  <w:footnote w:id="3">
    <w:p w14:paraId="5314A9BF" w14:textId="77777777" w:rsidR="00FF31EA" w:rsidRPr="009B1327" w:rsidRDefault="00FF31EA" w:rsidP="00FF31EA">
      <w:pPr>
        <w:shd w:val="clear" w:color="auto" w:fill="FFFFFF"/>
        <w:spacing w:after="0" w:line="240" w:lineRule="auto"/>
        <w:outlineLvl w:val="0"/>
        <w:rPr>
          <w:rFonts w:cstheme="minorHAnsi"/>
          <w:sz w:val="20"/>
          <w:szCs w:val="20"/>
        </w:rPr>
      </w:pPr>
      <w:r>
        <w:rPr>
          <w:rStyle w:val="FootnoteReference"/>
        </w:rPr>
        <w:footnoteRef/>
      </w:r>
      <w:r>
        <w:t xml:space="preserve"> </w:t>
      </w:r>
      <w:r w:rsidRPr="00A65ED9">
        <w:rPr>
          <w:rFonts w:cstheme="minorHAnsi"/>
          <w:sz w:val="20"/>
          <w:szCs w:val="20"/>
        </w:rPr>
        <w:t>Thinking of a new wooden deck for spring? It may bust your budget</w:t>
      </w:r>
      <w:r w:rsidRPr="009B1327">
        <w:rPr>
          <w:rFonts w:cstheme="minorHAnsi"/>
          <w:sz w:val="20"/>
          <w:szCs w:val="20"/>
        </w:rPr>
        <w:t xml:space="preserve">. Published Wed. Feb. 10, 2021 at 11:50 AM, updated Wed. at 18:28 PM EST by </w:t>
      </w:r>
      <w:hyperlink r:id="rId3" w:history="1">
        <w:r w:rsidRPr="00A65ED9">
          <w:rPr>
            <w:rFonts w:cstheme="minorHAnsi"/>
            <w:sz w:val="20"/>
            <w:szCs w:val="20"/>
          </w:rPr>
          <w:t>Diana Olick</w:t>
        </w:r>
      </w:hyperlink>
      <w:r w:rsidRPr="009B1327">
        <w:rPr>
          <w:rFonts w:cstheme="minorHAnsi"/>
          <w:sz w:val="20"/>
          <w:szCs w:val="20"/>
        </w:rPr>
        <w:t>.</w:t>
      </w:r>
    </w:p>
    <w:p w14:paraId="5AC0E604" w14:textId="0509B25A" w:rsidR="00FF31EA" w:rsidRPr="009B1327" w:rsidRDefault="00795713" w:rsidP="00FF31EA">
      <w:pPr>
        <w:rPr>
          <w:rFonts w:cstheme="minorHAnsi"/>
          <w:sz w:val="20"/>
          <w:szCs w:val="20"/>
        </w:rPr>
      </w:pPr>
      <w:hyperlink r:id="rId4" w:tooltip="Thinking of a new wooden deck for spring? It may bust your budget" w:history="1">
        <w:r w:rsidR="00FF31EA" w:rsidRPr="009B1327">
          <w:rPr>
            <w:rStyle w:val="Hyperlink"/>
            <w:rFonts w:cstheme="minorHAnsi"/>
            <w:sz w:val="20"/>
            <w:szCs w:val="20"/>
          </w:rPr>
          <w:t>https://www.cnbc.com/2021/02/10/lumber-prices-skyrocket-pushing-up-housing-costs.html</w:t>
        </w:r>
      </w:hyperlink>
    </w:p>
    <w:p w14:paraId="1C677D96" w14:textId="35451B4B" w:rsidR="00FF31EA" w:rsidRDefault="00FF31EA">
      <w:pPr>
        <w:pStyle w:val="FootnoteText"/>
      </w:pPr>
    </w:p>
  </w:footnote>
  <w:footnote w:id="4">
    <w:p w14:paraId="45E1BE17" w14:textId="0272BAE9" w:rsidR="00FE06D2" w:rsidRPr="00FE06D2" w:rsidRDefault="00FE06D2" w:rsidP="00FE06D2">
      <w:pPr>
        <w:pStyle w:val="Heading1"/>
        <w:shd w:val="clear" w:color="auto" w:fill="FFFFFF"/>
        <w:spacing w:before="0" w:line="240" w:lineRule="auto"/>
        <w:rPr>
          <w:rFonts w:ascii="Times New Roman" w:eastAsia="Times New Roman" w:hAnsi="Times New Roman" w:cs="Times New Roman"/>
          <w:b/>
          <w:bCs/>
          <w:color w:val="auto"/>
          <w:kern w:val="36"/>
          <w:sz w:val="48"/>
          <w:szCs w:val="48"/>
        </w:rPr>
      </w:pPr>
      <w:r w:rsidRPr="00FE06D2">
        <w:rPr>
          <w:rStyle w:val="FootnoteReference"/>
          <w:rFonts w:asciiTheme="minorHAnsi" w:eastAsiaTheme="minorHAnsi" w:hAnsiTheme="minorHAnsi" w:cstheme="minorBidi"/>
          <w:color w:val="auto"/>
          <w:sz w:val="20"/>
          <w:szCs w:val="20"/>
        </w:rPr>
        <w:footnoteRef/>
      </w:r>
      <w:r w:rsidRPr="00FE06D2">
        <w:rPr>
          <w:rStyle w:val="FootnoteReference"/>
          <w:rFonts w:asciiTheme="minorHAnsi" w:eastAsiaTheme="minorHAnsi" w:hAnsiTheme="minorHAnsi" w:cstheme="minorBidi"/>
          <w:color w:val="auto"/>
          <w:sz w:val="20"/>
          <w:szCs w:val="20"/>
        </w:rPr>
        <w:t xml:space="preserve"> </w:t>
      </w:r>
      <w:r w:rsidRPr="00FE06D2">
        <w:rPr>
          <w:rFonts w:asciiTheme="minorHAnsi" w:eastAsiaTheme="minorHAnsi" w:hAnsiTheme="minorHAnsi" w:cstheme="minorBidi"/>
          <w:color w:val="auto"/>
          <w:sz w:val="20"/>
          <w:szCs w:val="20"/>
        </w:rPr>
        <w:t xml:space="preserve">Why Are Prices Skyrocketing in Wire &amp; Cable Products? Posted Feb. 17, 2021.  </w:t>
      </w:r>
      <w:hyperlink r:id="rId5" w:tooltip="Why Are Prices Skyrocketing in Wire &amp; Cable Products? Posted Feb. 17, 2021.  " w:history="1">
        <w:r w:rsidRPr="00FE06D2">
          <w:rPr>
            <w:rFonts w:asciiTheme="minorHAnsi" w:eastAsia="Times New Roman" w:hAnsiTheme="minorHAnsi" w:cstheme="minorHAnsi"/>
            <w:b/>
            <w:bCs/>
            <w:color w:val="0563C1" w:themeColor="hyperlink"/>
            <w:kern w:val="36"/>
            <w:sz w:val="20"/>
            <w:szCs w:val="20"/>
            <w:u w:val="single"/>
          </w:rPr>
          <w:t>https://www.lapptannehill.com/news/post/why-are-prices-skyrocketing-in-wire-and-cable-products</w:t>
        </w:r>
      </w:hyperlink>
    </w:p>
    <w:p w14:paraId="7C86F0A0" w14:textId="0046484F" w:rsidR="00FE06D2" w:rsidRDefault="00FE06D2">
      <w:pPr>
        <w:pStyle w:val="FootnoteText"/>
      </w:pPr>
    </w:p>
  </w:footnote>
  <w:footnote w:id="5">
    <w:p w14:paraId="10BDF2B6" w14:textId="52241365" w:rsidR="00555AB5" w:rsidRDefault="00555AB5" w:rsidP="00555AB5">
      <w:pPr>
        <w:pStyle w:val="FootnoteText"/>
      </w:pPr>
      <w:r>
        <w:rPr>
          <w:rStyle w:val="FootnoteReference"/>
        </w:rPr>
        <w:footnoteRef/>
      </w:r>
      <w:r>
        <w:t xml:space="preserve"> Fannie Mae Instructions for Performing a Multi-Family Property Condition Assessment, Version 2.1, Form 4099.G – September 2019, p.1. </w:t>
      </w:r>
      <w:hyperlink r:id="rId6" w:tooltip="  Fannie Mae Instructions for Performing a Multi-Family Property Condition Assessment, Version 2.1, Form 4099.G – September 2019, p.1" w:history="1">
        <w:r w:rsidRPr="00A64794">
          <w:rPr>
            <w:rStyle w:val="Hyperlink"/>
          </w:rPr>
          <w:t>https://multifamily.fanniemae.com/media/6901/display</w:t>
        </w:r>
      </w:hyperlink>
    </w:p>
    <w:p w14:paraId="5698952B" w14:textId="77777777" w:rsidR="00555AB5" w:rsidRDefault="00555AB5" w:rsidP="00555AB5">
      <w:pPr>
        <w:pStyle w:val="FootnoteText"/>
      </w:pPr>
    </w:p>
  </w:footnote>
  <w:footnote w:id="6">
    <w:p w14:paraId="684D5649" w14:textId="20237AA9" w:rsidR="00294D7E" w:rsidRPr="00294D7E" w:rsidRDefault="00555AB5" w:rsidP="00294D7E">
      <w:pPr>
        <w:shd w:val="clear" w:color="auto" w:fill="FFFFFF"/>
        <w:spacing w:after="0" w:line="240" w:lineRule="auto"/>
        <w:outlineLvl w:val="0"/>
        <w:rPr>
          <w:rFonts w:eastAsia="Times New Roman" w:cstheme="minorHAnsi"/>
          <w:color w:val="000000" w:themeColor="text1"/>
          <w:sz w:val="20"/>
          <w:szCs w:val="20"/>
        </w:rPr>
      </w:pPr>
      <w:r>
        <w:rPr>
          <w:rStyle w:val="FootnoteReference"/>
        </w:rPr>
        <w:footnoteRef/>
      </w:r>
      <w:r>
        <w:t xml:space="preserve"> </w:t>
      </w:r>
      <w:r w:rsidR="00294D7E" w:rsidRPr="00C343AC">
        <w:rPr>
          <w:rFonts w:eastAsia="Times New Roman" w:cstheme="minorHAnsi"/>
          <w:b/>
          <w:bCs/>
          <w:color w:val="000000" w:themeColor="text1"/>
          <w:kern w:val="36"/>
          <w:sz w:val="20"/>
          <w:szCs w:val="20"/>
        </w:rPr>
        <w:t>Galvanized Pipe Failures in Dry Pipe Sprinkler Systems</w:t>
      </w:r>
      <w:r w:rsidR="00294D7E" w:rsidRPr="00294D7E">
        <w:rPr>
          <w:rFonts w:eastAsia="Times New Roman" w:cstheme="minorHAnsi"/>
          <w:b/>
          <w:bCs/>
          <w:color w:val="000000" w:themeColor="text1"/>
          <w:kern w:val="36"/>
          <w:sz w:val="20"/>
          <w:szCs w:val="20"/>
        </w:rPr>
        <w:t xml:space="preserve">, </w:t>
      </w:r>
      <w:r w:rsidR="00294D7E" w:rsidRPr="00C343AC">
        <w:rPr>
          <w:rFonts w:eastAsia="Times New Roman" w:cstheme="minorHAnsi"/>
          <w:color w:val="000000" w:themeColor="text1"/>
          <w:sz w:val="20"/>
          <w:szCs w:val="20"/>
        </w:rPr>
        <w:t>Posted by </w:t>
      </w:r>
      <w:hyperlink r:id="rId7" w:history="1">
        <w:r w:rsidR="00294D7E" w:rsidRPr="00C343AC">
          <w:rPr>
            <w:rFonts w:eastAsia="Times New Roman" w:cstheme="minorHAnsi"/>
            <w:color w:val="000000" w:themeColor="text1"/>
            <w:sz w:val="20"/>
            <w:szCs w:val="20"/>
            <w:u w:val="single"/>
          </w:rPr>
          <w:t>Lucas Kirn, P.E.</w:t>
        </w:r>
      </w:hyperlink>
      <w:r w:rsidR="00294D7E" w:rsidRPr="00C343AC">
        <w:rPr>
          <w:rFonts w:eastAsia="Times New Roman" w:cstheme="minorHAnsi"/>
          <w:color w:val="000000" w:themeColor="text1"/>
          <w:sz w:val="20"/>
          <w:szCs w:val="20"/>
        </w:rPr>
        <w:t> on Apr 29, 2016 12:02:24 PM</w:t>
      </w:r>
      <w:r w:rsidR="00294D7E" w:rsidRPr="00294D7E">
        <w:rPr>
          <w:rFonts w:eastAsia="Times New Roman" w:cstheme="minorHAnsi"/>
          <w:color w:val="000000" w:themeColor="text1"/>
          <w:sz w:val="20"/>
          <w:szCs w:val="20"/>
        </w:rPr>
        <w:t xml:space="preserve"> </w:t>
      </w:r>
      <w:hyperlink r:id="rId8" w:tooltip="Galvanized Pipe Failures in Dry Pipe Sprinkler Systems, Posted by Lucas Kirn, P.E. on Apr 29, 2016 12:02:24 PM " w:history="1">
        <w:r w:rsidR="00294D7E" w:rsidRPr="00294D7E">
          <w:rPr>
            <w:rStyle w:val="Hyperlink"/>
            <w:rFonts w:eastAsia="Times New Roman" w:cstheme="minorHAnsi"/>
            <w:sz w:val="20"/>
            <w:szCs w:val="20"/>
          </w:rPr>
          <w:t>https://www.ecscorrosion.com/blog/galvanized-pipe-failures</w:t>
        </w:r>
      </w:hyperlink>
      <w:r w:rsidR="00294D7E" w:rsidRPr="00294D7E">
        <w:rPr>
          <w:rFonts w:eastAsia="Times New Roman" w:cstheme="minorHAnsi"/>
          <w:color w:val="000000" w:themeColor="text1"/>
          <w:sz w:val="20"/>
          <w:szCs w:val="20"/>
        </w:rPr>
        <w:t>.</w:t>
      </w:r>
    </w:p>
    <w:p w14:paraId="79F41FBC" w14:textId="77777777" w:rsidR="00294D7E" w:rsidRPr="00C343AC" w:rsidRDefault="00294D7E" w:rsidP="00294D7E">
      <w:pPr>
        <w:shd w:val="clear" w:color="auto" w:fill="FFFFFF"/>
        <w:spacing w:after="0" w:line="240" w:lineRule="auto"/>
        <w:outlineLvl w:val="0"/>
        <w:rPr>
          <w:rFonts w:eastAsia="Times New Roman" w:cstheme="minorHAnsi"/>
          <w:b/>
          <w:bCs/>
          <w:color w:val="000000" w:themeColor="text1"/>
          <w:kern w:val="36"/>
          <w:sz w:val="16"/>
          <w:szCs w:val="16"/>
        </w:rPr>
      </w:pPr>
    </w:p>
    <w:p w14:paraId="37C449C3" w14:textId="25725ABF" w:rsidR="00555AB5" w:rsidRDefault="00555AB5">
      <w:pPr>
        <w:pStyle w:val="FootnoteText"/>
      </w:pPr>
    </w:p>
  </w:footnote>
  <w:footnote w:id="7">
    <w:p w14:paraId="6A50CAD0" w14:textId="66F2FBA8" w:rsidR="00294D7E" w:rsidRPr="00294D7E" w:rsidRDefault="00294D7E">
      <w:pPr>
        <w:pStyle w:val="FootnoteText"/>
      </w:pPr>
      <w:r>
        <w:rPr>
          <w:rStyle w:val="FootnoteReference"/>
        </w:rPr>
        <w:footnoteRef/>
      </w:r>
      <w:r>
        <w:t xml:space="preserve"> </w:t>
      </w:r>
      <w:r>
        <w:rPr>
          <w:u w:val="single"/>
        </w:rPr>
        <w:t>Id</w:t>
      </w:r>
      <w:r>
        <w:t>.</w:t>
      </w:r>
    </w:p>
  </w:footnote>
  <w:footnote w:id="8">
    <w:p w14:paraId="123C4EB9" w14:textId="5E96A6B3" w:rsidR="00E1771D" w:rsidRDefault="00E1771D" w:rsidP="00E1771D">
      <w:pPr>
        <w:shd w:val="clear" w:color="auto" w:fill="FFFFFF"/>
        <w:spacing w:after="0" w:line="240" w:lineRule="auto"/>
        <w:outlineLvl w:val="0"/>
      </w:pPr>
      <w:r>
        <w:rPr>
          <w:rStyle w:val="FootnoteReference"/>
        </w:rPr>
        <w:footnoteRef/>
      </w:r>
      <w:r>
        <w:t xml:space="preserve"> </w:t>
      </w:r>
      <w:r w:rsidRPr="009A5DF7">
        <w:rPr>
          <w:rFonts w:cstheme="minorHAnsi"/>
          <w:sz w:val="20"/>
          <w:szCs w:val="20"/>
        </w:rPr>
        <w:t>The Insurance Market: What Contractors Can Expect in 2021</w:t>
      </w:r>
      <w:r>
        <w:rPr>
          <w:rFonts w:cstheme="minorHAnsi"/>
          <w:sz w:val="20"/>
          <w:szCs w:val="20"/>
        </w:rPr>
        <w:t xml:space="preserve"> b</w:t>
      </w:r>
      <w:r w:rsidRPr="009A5DF7">
        <w:rPr>
          <w:rFonts w:cstheme="minorHAnsi"/>
          <w:sz w:val="20"/>
          <w:szCs w:val="20"/>
        </w:rPr>
        <w:t xml:space="preserve">y Jeffrey </w:t>
      </w:r>
      <w:proofErr w:type="spellStart"/>
      <w:r w:rsidRPr="009A5DF7">
        <w:rPr>
          <w:rFonts w:cstheme="minorHAnsi"/>
          <w:sz w:val="20"/>
          <w:szCs w:val="20"/>
        </w:rPr>
        <w:t>Cavignac</w:t>
      </w:r>
      <w:proofErr w:type="spellEnd"/>
      <w:r>
        <w:rPr>
          <w:rFonts w:cstheme="minorHAnsi"/>
          <w:sz w:val="20"/>
          <w:szCs w:val="20"/>
        </w:rPr>
        <w:t xml:space="preserve"> published </w:t>
      </w:r>
      <w:r w:rsidRPr="009A5DF7">
        <w:rPr>
          <w:rFonts w:cstheme="minorHAnsi"/>
          <w:sz w:val="20"/>
          <w:szCs w:val="20"/>
        </w:rPr>
        <w:t>Tuesday, January 5, 2021</w:t>
      </w:r>
      <w:r>
        <w:rPr>
          <w:rFonts w:cstheme="minorHAnsi"/>
          <w:sz w:val="20"/>
          <w:szCs w:val="20"/>
        </w:rPr>
        <w:t xml:space="preserve">.  </w:t>
      </w:r>
      <w:hyperlink r:id="rId9" w:tooltip="The Insurance Market: What Contractors Can Expect in 2021 by Jeffrey Cavignac published Tuesday, January 5, 2021" w:history="1">
        <w:r w:rsidRPr="00DB2593">
          <w:rPr>
            <w:rStyle w:val="Hyperlink"/>
          </w:rPr>
          <w:t>https://www.constructionexec.com/article/the-insurance-market-what-contractors-can-expect-in-2021</w:t>
        </w:r>
      </w:hyperlink>
    </w:p>
    <w:p w14:paraId="4526E072" w14:textId="2EA4DBB6" w:rsidR="00E1771D" w:rsidRDefault="00E1771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178CB" w14:textId="2DD7A5A4" w:rsidR="00D617C8" w:rsidRDefault="00D617C8">
    <w:pPr>
      <w:pStyle w:val="Header"/>
    </w:pPr>
    <w:r>
      <w:t>DoN Project -19120215-CL</w:t>
    </w:r>
  </w:p>
  <w:p w14:paraId="44FA3D86" w14:textId="4E338208" w:rsidR="00D617C8" w:rsidRDefault="00D617C8">
    <w:pPr>
      <w:pStyle w:val="Header"/>
    </w:pPr>
    <w:r>
      <w:t>Advocate Healthcare of East Boston</w:t>
    </w:r>
  </w:p>
  <w:p w14:paraId="291047F2" w14:textId="2EAAF345" w:rsidR="00D617C8" w:rsidRDefault="00D617C8">
    <w:pPr>
      <w:pStyle w:val="Header"/>
    </w:pPr>
    <w:r>
      <w:t>Significant Amendment</w:t>
    </w:r>
  </w:p>
  <w:p w14:paraId="466AFD68" w14:textId="77777777" w:rsidR="00D617C8" w:rsidRDefault="00D617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2552"/>
    <w:multiLevelType w:val="hybridMultilevel"/>
    <w:tmpl w:val="73C25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DD94D93"/>
    <w:multiLevelType w:val="hybridMultilevel"/>
    <w:tmpl w:val="71F8D6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03626B"/>
    <w:multiLevelType w:val="hybridMultilevel"/>
    <w:tmpl w:val="91862EE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EF"/>
    <w:rsid w:val="00035A0A"/>
    <w:rsid w:val="000713EF"/>
    <w:rsid w:val="000959C9"/>
    <w:rsid w:val="000C4242"/>
    <w:rsid w:val="000E0588"/>
    <w:rsid w:val="000E59E7"/>
    <w:rsid w:val="000F4E57"/>
    <w:rsid w:val="001106BF"/>
    <w:rsid w:val="00134438"/>
    <w:rsid w:val="00143494"/>
    <w:rsid w:val="00182A2B"/>
    <w:rsid w:val="001966A9"/>
    <w:rsid w:val="001B7528"/>
    <w:rsid w:val="001B77BC"/>
    <w:rsid w:val="001E1C6B"/>
    <w:rsid w:val="001E4C6E"/>
    <w:rsid w:val="00200465"/>
    <w:rsid w:val="002526AD"/>
    <w:rsid w:val="002538B1"/>
    <w:rsid w:val="00262636"/>
    <w:rsid w:val="00264F54"/>
    <w:rsid w:val="00294D7E"/>
    <w:rsid w:val="00295DD4"/>
    <w:rsid w:val="002A29BA"/>
    <w:rsid w:val="002A4C65"/>
    <w:rsid w:val="002C5535"/>
    <w:rsid w:val="00333C4B"/>
    <w:rsid w:val="00350AC1"/>
    <w:rsid w:val="003669DF"/>
    <w:rsid w:val="00372D15"/>
    <w:rsid w:val="003A15B3"/>
    <w:rsid w:val="003A36F6"/>
    <w:rsid w:val="003B4FA5"/>
    <w:rsid w:val="003C4F07"/>
    <w:rsid w:val="003D1C2E"/>
    <w:rsid w:val="00420972"/>
    <w:rsid w:val="00454480"/>
    <w:rsid w:val="00455C9C"/>
    <w:rsid w:val="004564A7"/>
    <w:rsid w:val="0046155F"/>
    <w:rsid w:val="00464A2F"/>
    <w:rsid w:val="0047071D"/>
    <w:rsid w:val="00484E60"/>
    <w:rsid w:val="00487053"/>
    <w:rsid w:val="004C5F7A"/>
    <w:rsid w:val="00543077"/>
    <w:rsid w:val="00547BFB"/>
    <w:rsid w:val="00555AB5"/>
    <w:rsid w:val="00565091"/>
    <w:rsid w:val="00593432"/>
    <w:rsid w:val="005A3577"/>
    <w:rsid w:val="005A3B06"/>
    <w:rsid w:val="005A5F76"/>
    <w:rsid w:val="005B0E38"/>
    <w:rsid w:val="005E45F7"/>
    <w:rsid w:val="00620645"/>
    <w:rsid w:val="006207AC"/>
    <w:rsid w:val="0065682F"/>
    <w:rsid w:val="006601E7"/>
    <w:rsid w:val="006668D7"/>
    <w:rsid w:val="00666CF7"/>
    <w:rsid w:val="00672404"/>
    <w:rsid w:val="00691275"/>
    <w:rsid w:val="006A6C46"/>
    <w:rsid w:val="006D25FE"/>
    <w:rsid w:val="006D43DE"/>
    <w:rsid w:val="006D6573"/>
    <w:rsid w:val="006E5154"/>
    <w:rsid w:val="00735C11"/>
    <w:rsid w:val="0079534A"/>
    <w:rsid w:val="00795713"/>
    <w:rsid w:val="007A1E2D"/>
    <w:rsid w:val="007A6A5D"/>
    <w:rsid w:val="007C579D"/>
    <w:rsid w:val="007D507C"/>
    <w:rsid w:val="0080386B"/>
    <w:rsid w:val="00815A57"/>
    <w:rsid w:val="00821BCA"/>
    <w:rsid w:val="0084227F"/>
    <w:rsid w:val="00860432"/>
    <w:rsid w:val="0086345D"/>
    <w:rsid w:val="0087188A"/>
    <w:rsid w:val="00871C99"/>
    <w:rsid w:val="008801DF"/>
    <w:rsid w:val="008B17AA"/>
    <w:rsid w:val="008E43A7"/>
    <w:rsid w:val="008E59B4"/>
    <w:rsid w:val="00925449"/>
    <w:rsid w:val="00933E3F"/>
    <w:rsid w:val="00940856"/>
    <w:rsid w:val="00973346"/>
    <w:rsid w:val="009801F3"/>
    <w:rsid w:val="00983107"/>
    <w:rsid w:val="009C0295"/>
    <w:rsid w:val="009F1C6C"/>
    <w:rsid w:val="00A06FCB"/>
    <w:rsid w:val="00A47877"/>
    <w:rsid w:val="00A95EC4"/>
    <w:rsid w:val="00AC09B9"/>
    <w:rsid w:val="00AE5CE1"/>
    <w:rsid w:val="00AF235A"/>
    <w:rsid w:val="00B51307"/>
    <w:rsid w:val="00B5218D"/>
    <w:rsid w:val="00B610D9"/>
    <w:rsid w:val="00C33810"/>
    <w:rsid w:val="00C4576E"/>
    <w:rsid w:val="00C66768"/>
    <w:rsid w:val="00CC1AFA"/>
    <w:rsid w:val="00CE2FB8"/>
    <w:rsid w:val="00D267EC"/>
    <w:rsid w:val="00D37669"/>
    <w:rsid w:val="00D55E24"/>
    <w:rsid w:val="00D617C8"/>
    <w:rsid w:val="00D71EB3"/>
    <w:rsid w:val="00D96C08"/>
    <w:rsid w:val="00DC7EAC"/>
    <w:rsid w:val="00DE2871"/>
    <w:rsid w:val="00E0534D"/>
    <w:rsid w:val="00E1771D"/>
    <w:rsid w:val="00E226A8"/>
    <w:rsid w:val="00E27CB5"/>
    <w:rsid w:val="00E31D52"/>
    <w:rsid w:val="00E35D80"/>
    <w:rsid w:val="00E51107"/>
    <w:rsid w:val="00E64C97"/>
    <w:rsid w:val="00E719EF"/>
    <w:rsid w:val="00E829F2"/>
    <w:rsid w:val="00EC15FF"/>
    <w:rsid w:val="00EF7989"/>
    <w:rsid w:val="00F25194"/>
    <w:rsid w:val="00F45CB0"/>
    <w:rsid w:val="00F46CC5"/>
    <w:rsid w:val="00F75F82"/>
    <w:rsid w:val="00F76C5E"/>
    <w:rsid w:val="00F76CD5"/>
    <w:rsid w:val="00F8126F"/>
    <w:rsid w:val="00F9456A"/>
    <w:rsid w:val="00FB025E"/>
    <w:rsid w:val="00FB7A4F"/>
    <w:rsid w:val="00FE06D2"/>
    <w:rsid w:val="00FE1A5F"/>
    <w:rsid w:val="00FF31EA"/>
    <w:rsid w:val="00FF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0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05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1307"/>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2A29BA"/>
    <w:rPr>
      <w:sz w:val="16"/>
      <w:szCs w:val="16"/>
    </w:rPr>
  </w:style>
  <w:style w:type="paragraph" w:styleId="CommentText">
    <w:name w:val="annotation text"/>
    <w:basedOn w:val="Normal"/>
    <w:link w:val="CommentTextChar"/>
    <w:uiPriority w:val="99"/>
    <w:semiHidden/>
    <w:unhideWhenUsed/>
    <w:rsid w:val="002A29BA"/>
    <w:pPr>
      <w:spacing w:line="240" w:lineRule="auto"/>
    </w:pPr>
    <w:rPr>
      <w:sz w:val="20"/>
      <w:szCs w:val="20"/>
    </w:rPr>
  </w:style>
  <w:style w:type="character" w:customStyle="1" w:styleId="CommentTextChar">
    <w:name w:val="Comment Text Char"/>
    <w:basedOn w:val="DefaultParagraphFont"/>
    <w:link w:val="CommentText"/>
    <w:uiPriority w:val="99"/>
    <w:semiHidden/>
    <w:rsid w:val="002A29BA"/>
    <w:rPr>
      <w:sz w:val="20"/>
      <w:szCs w:val="20"/>
    </w:rPr>
  </w:style>
  <w:style w:type="paragraph" w:styleId="CommentSubject">
    <w:name w:val="annotation subject"/>
    <w:basedOn w:val="CommentText"/>
    <w:next w:val="CommentText"/>
    <w:link w:val="CommentSubjectChar"/>
    <w:uiPriority w:val="99"/>
    <w:semiHidden/>
    <w:unhideWhenUsed/>
    <w:rsid w:val="002A29BA"/>
    <w:rPr>
      <w:b/>
      <w:bCs/>
    </w:rPr>
  </w:style>
  <w:style w:type="character" w:customStyle="1" w:styleId="CommentSubjectChar">
    <w:name w:val="Comment Subject Char"/>
    <w:basedOn w:val="CommentTextChar"/>
    <w:link w:val="CommentSubject"/>
    <w:uiPriority w:val="99"/>
    <w:semiHidden/>
    <w:rsid w:val="002A29BA"/>
    <w:rPr>
      <w:b/>
      <w:bCs/>
      <w:sz w:val="20"/>
      <w:szCs w:val="20"/>
    </w:rPr>
  </w:style>
  <w:style w:type="character" w:styleId="Hyperlink">
    <w:name w:val="Hyperlink"/>
    <w:basedOn w:val="DefaultParagraphFont"/>
    <w:uiPriority w:val="99"/>
    <w:unhideWhenUsed/>
    <w:rsid w:val="002A29BA"/>
    <w:rPr>
      <w:color w:val="0563C1" w:themeColor="hyperlink"/>
      <w:u w:val="single"/>
    </w:rPr>
  </w:style>
  <w:style w:type="character" w:customStyle="1" w:styleId="UnresolvedMention">
    <w:name w:val="Unresolved Mention"/>
    <w:basedOn w:val="DefaultParagraphFont"/>
    <w:uiPriority w:val="99"/>
    <w:semiHidden/>
    <w:unhideWhenUsed/>
    <w:rsid w:val="002A29BA"/>
    <w:rPr>
      <w:color w:val="605E5C"/>
      <w:shd w:val="clear" w:color="auto" w:fill="E1DFDD"/>
    </w:rPr>
  </w:style>
  <w:style w:type="paragraph" w:styleId="Header">
    <w:name w:val="header"/>
    <w:basedOn w:val="Normal"/>
    <w:link w:val="HeaderChar"/>
    <w:uiPriority w:val="99"/>
    <w:unhideWhenUsed/>
    <w:rsid w:val="00547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BFB"/>
  </w:style>
  <w:style w:type="paragraph" w:styleId="Footer">
    <w:name w:val="footer"/>
    <w:basedOn w:val="Normal"/>
    <w:link w:val="FooterChar"/>
    <w:uiPriority w:val="99"/>
    <w:unhideWhenUsed/>
    <w:rsid w:val="00547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BFB"/>
  </w:style>
  <w:style w:type="paragraph" w:styleId="FootnoteText">
    <w:name w:val="footnote text"/>
    <w:basedOn w:val="Normal"/>
    <w:link w:val="FootnoteTextChar"/>
    <w:uiPriority w:val="99"/>
    <w:semiHidden/>
    <w:unhideWhenUsed/>
    <w:rsid w:val="004544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4480"/>
    <w:rPr>
      <w:sz w:val="20"/>
      <w:szCs w:val="20"/>
    </w:rPr>
  </w:style>
  <w:style w:type="character" w:styleId="FootnoteReference">
    <w:name w:val="footnote reference"/>
    <w:basedOn w:val="DefaultParagraphFont"/>
    <w:uiPriority w:val="99"/>
    <w:semiHidden/>
    <w:unhideWhenUsed/>
    <w:rsid w:val="00454480"/>
    <w:rPr>
      <w:vertAlign w:val="superscript"/>
    </w:rPr>
  </w:style>
  <w:style w:type="character" w:styleId="FollowedHyperlink">
    <w:name w:val="FollowedHyperlink"/>
    <w:basedOn w:val="DefaultParagraphFont"/>
    <w:uiPriority w:val="99"/>
    <w:semiHidden/>
    <w:unhideWhenUsed/>
    <w:rsid w:val="00454480"/>
    <w:rPr>
      <w:color w:val="954F72" w:themeColor="followedHyperlink"/>
      <w:u w:val="single"/>
    </w:rPr>
  </w:style>
  <w:style w:type="character" w:customStyle="1" w:styleId="Heading1Char">
    <w:name w:val="Heading 1 Char"/>
    <w:basedOn w:val="DefaultParagraphFont"/>
    <w:link w:val="Heading1"/>
    <w:uiPriority w:val="9"/>
    <w:rsid w:val="00FE06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E0588"/>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0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05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1307"/>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2A29BA"/>
    <w:rPr>
      <w:sz w:val="16"/>
      <w:szCs w:val="16"/>
    </w:rPr>
  </w:style>
  <w:style w:type="paragraph" w:styleId="CommentText">
    <w:name w:val="annotation text"/>
    <w:basedOn w:val="Normal"/>
    <w:link w:val="CommentTextChar"/>
    <w:uiPriority w:val="99"/>
    <w:semiHidden/>
    <w:unhideWhenUsed/>
    <w:rsid w:val="002A29BA"/>
    <w:pPr>
      <w:spacing w:line="240" w:lineRule="auto"/>
    </w:pPr>
    <w:rPr>
      <w:sz w:val="20"/>
      <w:szCs w:val="20"/>
    </w:rPr>
  </w:style>
  <w:style w:type="character" w:customStyle="1" w:styleId="CommentTextChar">
    <w:name w:val="Comment Text Char"/>
    <w:basedOn w:val="DefaultParagraphFont"/>
    <w:link w:val="CommentText"/>
    <w:uiPriority w:val="99"/>
    <w:semiHidden/>
    <w:rsid w:val="002A29BA"/>
    <w:rPr>
      <w:sz w:val="20"/>
      <w:szCs w:val="20"/>
    </w:rPr>
  </w:style>
  <w:style w:type="paragraph" w:styleId="CommentSubject">
    <w:name w:val="annotation subject"/>
    <w:basedOn w:val="CommentText"/>
    <w:next w:val="CommentText"/>
    <w:link w:val="CommentSubjectChar"/>
    <w:uiPriority w:val="99"/>
    <w:semiHidden/>
    <w:unhideWhenUsed/>
    <w:rsid w:val="002A29BA"/>
    <w:rPr>
      <w:b/>
      <w:bCs/>
    </w:rPr>
  </w:style>
  <w:style w:type="character" w:customStyle="1" w:styleId="CommentSubjectChar">
    <w:name w:val="Comment Subject Char"/>
    <w:basedOn w:val="CommentTextChar"/>
    <w:link w:val="CommentSubject"/>
    <w:uiPriority w:val="99"/>
    <w:semiHidden/>
    <w:rsid w:val="002A29BA"/>
    <w:rPr>
      <w:b/>
      <w:bCs/>
      <w:sz w:val="20"/>
      <w:szCs w:val="20"/>
    </w:rPr>
  </w:style>
  <w:style w:type="character" w:styleId="Hyperlink">
    <w:name w:val="Hyperlink"/>
    <w:basedOn w:val="DefaultParagraphFont"/>
    <w:uiPriority w:val="99"/>
    <w:unhideWhenUsed/>
    <w:rsid w:val="002A29BA"/>
    <w:rPr>
      <w:color w:val="0563C1" w:themeColor="hyperlink"/>
      <w:u w:val="single"/>
    </w:rPr>
  </w:style>
  <w:style w:type="character" w:customStyle="1" w:styleId="UnresolvedMention">
    <w:name w:val="Unresolved Mention"/>
    <w:basedOn w:val="DefaultParagraphFont"/>
    <w:uiPriority w:val="99"/>
    <w:semiHidden/>
    <w:unhideWhenUsed/>
    <w:rsid w:val="002A29BA"/>
    <w:rPr>
      <w:color w:val="605E5C"/>
      <w:shd w:val="clear" w:color="auto" w:fill="E1DFDD"/>
    </w:rPr>
  </w:style>
  <w:style w:type="paragraph" w:styleId="Header">
    <w:name w:val="header"/>
    <w:basedOn w:val="Normal"/>
    <w:link w:val="HeaderChar"/>
    <w:uiPriority w:val="99"/>
    <w:unhideWhenUsed/>
    <w:rsid w:val="00547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BFB"/>
  </w:style>
  <w:style w:type="paragraph" w:styleId="Footer">
    <w:name w:val="footer"/>
    <w:basedOn w:val="Normal"/>
    <w:link w:val="FooterChar"/>
    <w:uiPriority w:val="99"/>
    <w:unhideWhenUsed/>
    <w:rsid w:val="00547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BFB"/>
  </w:style>
  <w:style w:type="paragraph" w:styleId="FootnoteText">
    <w:name w:val="footnote text"/>
    <w:basedOn w:val="Normal"/>
    <w:link w:val="FootnoteTextChar"/>
    <w:uiPriority w:val="99"/>
    <w:semiHidden/>
    <w:unhideWhenUsed/>
    <w:rsid w:val="004544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4480"/>
    <w:rPr>
      <w:sz w:val="20"/>
      <w:szCs w:val="20"/>
    </w:rPr>
  </w:style>
  <w:style w:type="character" w:styleId="FootnoteReference">
    <w:name w:val="footnote reference"/>
    <w:basedOn w:val="DefaultParagraphFont"/>
    <w:uiPriority w:val="99"/>
    <w:semiHidden/>
    <w:unhideWhenUsed/>
    <w:rsid w:val="00454480"/>
    <w:rPr>
      <w:vertAlign w:val="superscript"/>
    </w:rPr>
  </w:style>
  <w:style w:type="character" w:styleId="FollowedHyperlink">
    <w:name w:val="FollowedHyperlink"/>
    <w:basedOn w:val="DefaultParagraphFont"/>
    <w:uiPriority w:val="99"/>
    <w:semiHidden/>
    <w:unhideWhenUsed/>
    <w:rsid w:val="00454480"/>
    <w:rPr>
      <w:color w:val="954F72" w:themeColor="followedHyperlink"/>
      <w:u w:val="single"/>
    </w:rPr>
  </w:style>
  <w:style w:type="character" w:customStyle="1" w:styleId="Heading1Char">
    <w:name w:val="Heading 1 Char"/>
    <w:basedOn w:val="DefaultParagraphFont"/>
    <w:link w:val="Heading1"/>
    <w:uiPriority w:val="9"/>
    <w:rsid w:val="00FE06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E058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797428">
      <w:bodyDiv w:val="1"/>
      <w:marLeft w:val="0"/>
      <w:marRight w:val="0"/>
      <w:marTop w:val="0"/>
      <w:marBottom w:val="0"/>
      <w:divBdr>
        <w:top w:val="none" w:sz="0" w:space="0" w:color="auto"/>
        <w:left w:val="none" w:sz="0" w:space="0" w:color="auto"/>
        <w:bottom w:val="none" w:sz="0" w:space="0" w:color="auto"/>
        <w:right w:val="none" w:sz="0" w:space="0" w:color="auto"/>
      </w:divBdr>
    </w:div>
    <w:div w:id="102957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ecscorrosion.com/blog/galvanized-pipe-failures" TargetMode="External"/><Relationship Id="rId3" Type="http://schemas.openxmlformats.org/officeDocument/2006/relationships/hyperlink" Target="https://www.cnbc.com/diana-olick/" TargetMode="External"/><Relationship Id="rId7" Type="http://schemas.openxmlformats.org/officeDocument/2006/relationships/hyperlink" Target="https://www.ecscorrosion.com/blog/author/lucas-kirn" TargetMode="External"/><Relationship Id="rId2" Type="http://schemas.openxmlformats.org/officeDocument/2006/relationships/hyperlink" Target="https://ccorpinsights.com/domestic-materials/" TargetMode="External"/><Relationship Id="rId1" Type="http://schemas.openxmlformats.org/officeDocument/2006/relationships/hyperlink" Target="https://www.cato.org/blog/how-us-trade-policy-contributes-our-insane-construction-materials-costs" TargetMode="External"/><Relationship Id="rId6" Type="http://schemas.openxmlformats.org/officeDocument/2006/relationships/hyperlink" Target="https://multifamily.fanniemae.com/media/6901/display" TargetMode="External"/><Relationship Id="rId5" Type="http://schemas.openxmlformats.org/officeDocument/2006/relationships/hyperlink" Target="https://www.lapptannehill.com/news/post/why-are-prices-skyrocketing-in-wire-and-cable-products" TargetMode="External"/><Relationship Id="rId4" Type="http://schemas.openxmlformats.org/officeDocument/2006/relationships/hyperlink" Target="https://www.cnbc.com/2021/02/10/lumber-prices-skyrocket-pushing-up-housing-costs.html" TargetMode="External"/><Relationship Id="rId9" Type="http://schemas.openxmlformats.org/officeDocument/2006/relationships/hyperlink" Target="https://www.constructionexec.com/article/the-insurance-market-what-contractors-can-expect-in-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A8F13-86A7-4ADC-B006-1319F72E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4708</Words>
  <Characters>26838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Edwards</dc:creator>
  <cp:lastModifiedBy>Lynn</cp:lastModifiedBy>
  <cp:revision>2</cp:revision>
  <dcterms:created xsi:type="dcterms:W3CDTF">2021-06-28T22:04:00Z</dcterms:created>
  <dcterms:modified xsi:type="dcterms:W3CDTF">2021-06-28T22:04:00Z</dcterms:modified>
</cp:coreProperties>
</file>