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50DD" w14:textId="77777777" w:rsidR="00933BDA" w:rsidRDefault="00000000">
      <w:pPr>
        <w:pStyle w:val="Heading1"/>
      </w:pPr>
      <w:r>
        <w:rPr>
          <w:noProof/>
        </w:rPr>
        <w:drawing>
          <wp:anchor distT="0" distB="0" distL="0" distR="0" simplePos="0" relativeHeight="15729152" behindDoc="0" locked="0" layoutInCell="1" allowOverlap="1" wp14:anchorId="4DD8EDB3" wp14:editId="381EDD6E">
            <wp:simplePos x="0" y="0"/>
            <wp:positionH relativeFrom="page">
              <wp:posOffset>685800</wp:posOffset>
            </wp:positionH>
            <wp:positionV relativeFrom="paragraph">
              <wp:posOffset>2540</wp:posOffset>
            </wp:positionV>
            <wp:extent cx="647700" cy="647700"/>
            <wp:effectExtent l="0" t="0" r="0" b="0"/>
            <wp:wrapNone/>
            <wp:docPr id="3" name="Image 3" descr="Commonwealth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mmonwealth State Seal"/>
                    <pic:cNvPicPr/>
                  </pic:nvPicPr>
                  <pic:blipFill>
                    <a:blip r:embed="rId7" cstate="print"/>
                    <a:stretch>
                      <a:fillRect/>
                    </a:stretch>
                  </pic:blipFill>
                  <pic:spPr>
                    <a:xfrm>
                      <a:off x="0" y="0"/>
                      <a:ext cx="647700" cy="647700"/>
                    </a:xfrm>
                    <a:prstGeom prst="rect">
                      <a:avLst/>
                    </a:prstGeom>
                  </pic:spPr>
                </pic:pic>
              </a:graphicData>
            </a:graphic>
          </wp:anchor>
        </w:drawing>
      </w:r>
      <w:r>
        <w:rPr>
          <w:color w:val="13548F"/>
        </w:rPr>
        <w:t>Driving</w:t>
      </w:r>
      <w:r>
        <w:rPr>
          <w:color w:val="13548F"/>
          <w:spacing w:val="-15"/>
        </w:rPr>
        <w:t xml:space="preserve"> </w:t>
      </w:r>
      <w:r>
        <w:rPr>
          <w:color w:val="13548F"/>
        </w:rPr>
        <w:t>Production</w:t>
      </w:r>
      <w:r>
        <w:rPr>
          <w:color w:val="13548F"/>
          <w:spacing w:val="-13"/>
        </w:rPr>
        <w:t xml:space="preserve"> </w:t>
      </w:r>
      <w:r>
        <w:rPr>
          <w:color w:val="13548F"/>
        </w:rPr>
        <w:t>and</w:t>
      </w:r>
      <w:r>
        <w:rPr>
          <w:color w:val="13548F"/>
          <w:spacing w:val="-16"/>
        </w:rPr>
        <w:t xml:space="preserve"> </w:t>
      </w:r>
      <w:r>
        <w:rPr>
          <w:color w:val="13548F"/>
          <w:spacing w:val="-2"/>
        </w:rPr>
        <w:t>Preservation</w:t>
      </w:r>
    </w:p>
    <w:p w14:paraId="75B6007B" w14:textId="77777777" w:rsidR="00933BDA" w:rsidRDefault="00000000">
      <w:pPr>
        <w:pStyle w:val="Heading2"/>
      </w:pPr>
      <w:r>
        <w:rPr>
          <w:color w:val="13548F"/>
          <w:spacing w:val="-2"/>
        </w:rPr>
        <w:t>Healey-Driscoll</w:t>
      </w:r>
      <w:r>
        <w:rPr>
          <w:color w:val="13548F"/>
          <w:spacing w:val="8"/>
        </w:rPr>
        <w:t xml:space="preserve"> </w:t>
      </w:r>
      <w:r>
        <w:rPr>
          <w:color w:val="13548F"/>
          <w:spacing w:val="-2"/>
        </w:rPr>
        <w:t>Administration</w:t>
      </w:r>
    </w:p>
    <w:p w14:paraId="623D527C" w14:textId="77777777" w:rsidR="00933BDA" w:rsidRDefault="00000000">
      <w:pPr>
        <w:pStyle w:val="BodyText"/>
        <w:spacing w:before="2"/>
        <w:rPr>
          <w:b/>
          <w:i/>
          <w:sz w:val="15"/>
        </w:rPr>
      </w:pPr>
      <w:r>
        <w:rPr>
          <w:b/>
          <w:i/>
          <w:noProof/>
          <w:sz w:val="15"/>
        </w:rPr>
        <mc:AlternateContent>
          <mc:Choice Requires="wps">
            <w:drawing>
              <wp:anchor distT="0" distB="0" distL="0" distR="0" simplePos="0" relativeHeight="487587840" behindDoc="1" locked="0" layoutInCell="1" allowOverlap="1" wp14:anchorId="768A1A62" wp14:editId="2B232B3F">
                <wp:simplePos x="0" y="0"/>
                <wp:positionH relativeFrom="page">
                  <wp:posOffset>730884</wp:posOffset>
                </wp:positionH>
                <wp:positionV relativeFrom="paragraph">
                  <wp:posOffset>126409</wp:posOffset>
                </wp:positionV>
                <wp:extent cx="63817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270"/>
                        </a:xfrm>
                        <a:custGeom>
                          <a:avLst/>
                          <a:gdLst/>
                          <a:ahLst/>
                          <a:cxnLst/>
                          <a:rect l="l" t="t" r="r" b="b"/>
                          <a:pathLst>
                            <a:path w="6381750">
                              <a:moveTo>
                                <a:pt x="0" y="0"/>
                              </a:moveTo>
                              <a:lnTo>
                                <a:pt x="638174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5BAF9E" id="Graphic 4" o:spid="_x0000_s1026" style="position:absolute;margin-left:57.55pt;margin-top:9.95pt;width:50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8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" path="m,l6381749,e" filled="f" strokeweight=".5pt">
                <v:path arrowok="t"/>
                <w10:wrap type="topAndBottom" anchorx="page"/>
              </v:shape>
            </w:pict>
          </mc:Fallback>
        </mc:AlternateContent>
      </w:r>
    </w:p>
    <w:p w14:paraId="65925D26" w14:textId="77777777" w:rsidR="00933BDA" w:rsidRDefault="00000000">
      <w:pPr>
        <w:pStyle w:val="Heading3"/>
        <w:spacing w:before="272"/>
      </w:pPr>
      <w:r>
        <w:rPr>
          <w:spacing w:val="-2"/>
        </w:rPr>
        <w:t>Introduction</w:t>
      </w:r>
    </w:p>
    <w:p w14:paraId="3B0C6F8B" w14:textId="77777777" w:rsidR="00933BDA" w:rsidRDefault="00933BDA">
      <w:pPr>
        <w:pStyle w:val="BodyText"/>
        <w:spacing w:before="5"/>
        <w:rPr>
          <w:b/>
        </w:rPr>
      </w:pPr>
    </w:p>
    <w:p w14:paraId="6720012F" w14:textId="77777777" w:rsidR="00933BDA" w:rsidRDefault="00000000">
      <w:pPr>
        <w:pStyle w:val="BodyText"/>
        <w:spacing w:line="276" w:lineRule="auto"/>
        <w:ind w:right="291"/>
      </w:pPr>
      <w:r>
        <w:t>Too</w:t>
      </w:r>
      <w:r>
        <w:rPr>
          <w:spacing w:val="-5"/>
        </w:rPr>
        <w:t xml:space="preserve"> </w:t>
      </w:r>
      <w:r>
        <w:t>many</w:t>
      </w:r>
      <w:r>
        <w:rPr>
          <w:spacing w:val="-8"/>
        </w:rPr>
        <w:t xml:space="preserve"> </w:t>
      </w:r>
      <w:r>
        <w:t>Massachusetts</w:t>
      </w:r>
      <w:r>
        <w:rPr>
          <w:spacing w:val="-5"/>
        </w:rPr>
        <w:t xml:space="preserve"> </w:t>
      </w:r>
      <w:r>
        <w:t>families</w:t>
      </w:r>
      <w:r>
        <w:rPr>
          <w:spacing w:val="-5"/>
        </w:rPr>
        <w:t xml:space="preserve"> </w:t>
      </w:r>
      <w:r>
        <w:t>are</w:t>
      </w:r>
      <w:r>
        <w:rPr>
          <w:spacing w:val="-8"/>
        </w:rPr>
        <w:t xml:space="preserve"> </w:t>
      </w:r>
      <w:r>
        <w:t>struggling</w:t>
      </w:r>
      <w:r>
        <w:rPr>
          <w:spacing w:val="-5"/>
        </w:rPr>
        <w:t xml:space="preserve"> </w:t>
      </w:r>
      <w:r>
        <w:t>under</w:t>
      </w:r>
      <w:r>
        <w:rPr>
          <w:spacing w:val="-8"/>
        </w:rPr>
        <w:t xml:space="preserve"> </w:t>
      </w:r>
      <w:r>
        <w:t>the</w:t>
      </w:r>
      <w:r>
        <w:rPr>
          <w:spacing w:val="-7"/>
        </w:rPr>
        <w:t xml:space="preserve"> </w:t>
      </w:r>
      <w:r>
        <w:t>burden</w:t>
      </w:r>
      <w:r>
        <w:rPr>
          <w:spacing w:val="-7"/>
        </w:rPr>
        <w:t xml:space="preserve"> </w:t>
      </w:r>
      <w:r>
        <w:t>of</w:t>
      </w:r>
      <w:r>
        <w:rPr>
          <w:spacing w:val="-7"/>
        </w:rPr>
        <w:t xml:space="preserve"> </w:t>
      </w:r>
      <w:r>
        <w:t>rising</w:t>
      </w:r>
      <w:r>
        <w:rPr>
          <w:spacing w:val="-4"/>
        </w:rPr>
        <w:t xml:space="preserve"> </w:t>
      </w:r>
      <w:r>
        <w:t>housing</w:t>
      </w:r>
      <w:r>
        <w:rPr>
          <w:spacing w:val="-4"/>
        </w:rPr>
        <w:t xml:space="preserve"> </w:t>
      </w:r>
      <w:r>
        <w:t>costs</w:t>
      </w:r>
      <w:r>
        <w:rPr>
          <w:spacing w:val="-7"/>
        </w:rPr>
        <w:t xml:space="preserve"> </w:t>
      </w:r>
      <w:r>
        <w:t>and limited housing availability.</w:t>
      </w:r>
      <w:r>
        <w:rPr>
          <w:spacing w:val="-7"/>
        </w:rPr>
        <w:t xml:space="preserve"> </w:t>
      </w:r>
      <w:r>
        <w:t>Across the state, the supply of housing has failed to keep up with demand.</w:t>
      </w:r>
      <w:r>
        <w:rPr>
          <w:spacing w:val="40"/>
        </w:rPr>
        <w:t xml:space="preserve"> </w:t>
      </w:r>
      <w:r>
        <w:t>Between 2020 and 2030, the state needs at least 200,000 new homes to accommodate growth and achieve a healthy vacancy rate.</w:t>
      </w:r>
    </w:p>
    <w:p w14:paraId="51DA522C" w14:textId="77777777" w:rsidR="00933BDA" w:rsidRDefault="00000000">
      <w:pPr>
        <w:pStyle w:val="BodyText"/>
        <w:spacing w:before="240" w:line="276" w:lineRule="auto"/>
        <w:ind w:right="291"/>
      </w:pPr>
      <w:r>
        <w:t>Since its first day in office, the Healey-Driscoll</w:t>
      </w:r>
      <w:r>
        <w:rPr>
          <w:spacing w:val="-5"/>
        </w:rPr>
        <w:t xml:space="preserve"> </w:t>
      </w:r>
      <w:r>
        <w:t>Administration has signaled its commitment to confronting the Commonwealth’s housing crisis. One of the first acts of the</w:t>
      </w:r>
      <w:r>
        <w:rPr>
          <w:spacing w:val="-10"/>
        </w:rPr>
        <w:t xml:space="preserve"> </w:t>
      </w:r>
      <w:r>
        <w:t>Administration was to elevate the former Department of Housing and Community Development to a cabinet-level agency. This year alone, Governor Healey, alongside the newly created Executive Office of Housing</w:t>
      </w:r>
      <w:r>
        <w:rPr>
          <w:spacing w:val="-4"/>
        </w:rPr>
        <w:t xml:space="preserve"> </w:t>
      </w:r>
      <w:r>
        <w:t>and</w:t>
      </w:r>
      <w:r>
        <w:rPr>
          <w:spacing w:val="-5"/>
        </w:rPr>
        <w:t xml:space="preserve"> </w:t>
      </w:r>
      <w:r>
        <w:t>Livable</w:t>
      </w:r>
      <w:r>
        <w:rPr>
          <w:spacing w:val="-3"/>
        </w:rPr>
        <w:t xml:space="preserve"> </w:t>
      </w:r>
      <w:r>
        <w:t>Communities,</w:t>
      </w:r>
      <w:r>
        <w:rPr>
          <w:spacing w:val="-3"/>
        </w:rPr>
        <w:t xml:space="preserve"> </w:t>
      </w:r>
      <w:r>
        <w:t>awarded</w:t>
      </w:r>
      <w:r>
        <w:rPr>
          <w:spacing w:val="-6"/>
        </w:rPr>
        <w:t xml:space="preserve"> </w:t>
      </w:r>
      <w:r>
        <w:t>over</w:t>
      </w:r>
      <w:r>
        <w:rPr>
          <w:spacing w:val="-3"/>
        </w:rPr>
        <w:t xml:space="preserve"> </w:t>
      </w:r>
      <w:r>
        <w:t>$300</w:t>
      </w:r>
      <w:r>
        <w:rPr>
          <w:spacing w:val="-2"/>
        </w:rPr>
        <w:t xml:space="preserve"> </w:t>
      </w:r>
      <w:r>
        <w:t>million</w:t>
      </w:r>
      <w:r>
        <w:rPr>
          <w:spacing w:val="-3"/>
        </w:rPr>
        <w:t xml:space="preserve"> </w:t>
      </w:r>
      <w:r>
        <w:t>in</w:t>
      </w:r>
      <w:r>
        <w:rPr>
          <w:spacing w:val="-5"/>
        </w:rPr>
        <w:t xml:space="preserve"> </w:t>
      </w:r>
      <w:r>
        <w:t>state</w:t>
      </w:r>
      <w:r>
        <w:rPr>
          <w:spacing w:val="-2"/>
        </w:rPr>
        <w:t xml:space="preserve"> </w:t>
      </w:r>
      <w:r>
        <w:t>and</w:t>
      </w:r>
      <w:r>
        <w:rPr>
          <w:spacing w:val="-3"/>
        </w:rPr>
        <w:t xml:space="preserve"> </w:t>
      </w:r>
      <w:r>
        <w:t>federal</w:t>
      </w:r>
      <w:r>
        <w:rPr>
          <w:spacing w:val="-3"/>
        </w:rPr>
        <w:t xml:space="preserve"> </w:t>
      </w:r>
      <w:r>
        <w:t>resources</w:t>
      </w:r>
      <w:r>
        <w:rPr>
          <w:spacing w:val="-3"/>
        </w:rPr>
        <w:t xml:space="preserve"> </w:t>
      </w:r>
      <w:r>
        <w:t>to accelerate projects that seek to build and preserve over 2,000 affordable housing units.</w:t>
      </w:r>
    </w:p>
    <w:p w14:paraId="3F8F439E" w14:textId="77777777" w:rsidR="00933BDA" w:rsidRDefault="00000000">
      <w:pPr>
        <w:pStyle w:val="BodyText"/>
        <w:spacing w:before="242" w:line="276" w:lineRule="auto"/>
        <w:ind w:right="291"/>
      </w:pPr>
      <w:r>
        <w:t>The</w:t>
      </w:r>
      <w:r>
        <w:rPr>
          <w:spacing w:val="-4"/>
        </w:rPr>
        <w:t xml:space="preserve"> </w:t>
      </w:r>
      <w:r>
        <w:t>Administration's FY24-FY28 Capital Investment Plan also represented an historic investment</w:t>
      </w:r>
      <w:r>
        <w:rPr>
          <w:spacing w:val="-4"/>
        </w:rPr>
        <w:t xml:space="preserve"> </w:t>
      </w:r>
      <w:r>
        <w:t>in</w:t>
      </w:r>
      <w:r>
        <w:rPr>
          <w:spacing w:val="-2"/>
        </w:rPr>
        <w:t xml:space="preserve"> </w:t>
      </w:r>
      <w:r>
        <w:t>housing,</w:t>
      </w:r>
      <w:r>
        <w:rPr>
          <w:spacing w:val="-4"/>
        </w:rPr>
        <w:t xml:space="preserve"> </w:t>
      </w:r>
      <w:r>
        <w:t>increasing</w:t>
      </w:r>
      <w:r>
        <w:rPr>
          <w:spacing w:val="-3"/>
        </w:rPr>
        <w:t xml:space="preserve"> </w:t>
      </w:r>
      <w:r>
        <w:t>the</w:t>
      </w:r>
      <w:r>
        <w:rPr>
          <w:spacing w:val="-4"/>
        </w:rPr>
        <w:t xml:space="preserve"> </w:t>
      </w:r>
      <w:r>
        <w:t>annual</w:t>
      </w:r>
      <w:r>
        <w:rPr>
          <w:spacing w:val="-2"/>
        </w:rPr>
        <w:t xml:space="preserve"> </w:t>
      </w:r>
      <w:r>
        <w:t>investment</w:t>
      </w:r>
      <w:r>
        <w:rPr>
          <w:spacing w:val="-2"/>
        </w:rPr>
        <w:t xml:space="preserve"> </w:t>
      </w:r>
      <w:r>
        <w:t>in</w:t>
      </w:r>
      <w:r>
        <w:rPr>
          <w:spacing w:val="-4"/>
        </w:rPr>
        <w:t xml:space="preserve"> </w:t>
      </w:r>
      <w:r>
        <w:t>housing</w:t>
      </w:r>
      <w:r>
        <w:rPr>
          <w:spacing w:val="-4"/>
        </w:rPr>
        <w:t xml:space="preserve"> </w:t>
      </w:r>
      <w:r>
        <w:t>by approximately</w:t>
      </w:r>
      <w:r>
        <w:rPr>
          <w:spacing w:val="-5"/>
        </w:rPr>
        <w:t xml:space="preserve"> </w:t>
      </w:r>
      <w:r>
        <w:t>18%</w:t>
      </w:r>
      <w:r>
        <w:rPr>
          <w:spacing w:val="-4"/>
        </w:rPr>
        <w:t xml:space="preserve"> </w:t>
      </w:r>
      <w:r>
        <w:t>to help finance the construction of hundreds of new affordable housing opportunities per year.</w:t>
      </w:r>
    </w:p>
    <w:p w14:paraId="7621D1DF" w14:textId="77777777" w:rsidR="00933BDA" w:rsidRDefault="00000000">
      <w:pPr>
        <w:pStyle w:val="BodyText"/>
        <w:spacing w:before="241" w:line="276" w:lineRule="auto"/>
        <w:ind w:right="454"/>
      </w:pPr>
      <w:r>
        <w:t>The</w:t>
      </w:r>
      <w:r>
        <w:rPr>
          <w:spacing w:val="-6"/>
        </w:rPr>
        <w:t xml:space="preserve"> </w:t>
      </w:r>
      <w:r>
        <w:t>Affordable Homes</w:t>
      </w:r>
      <w:r>
        <w:rPr>
          <w:spacing w:val="-8"/>
        </w:rPr>
        <w:t xml:space="preserve"> </w:t>
      </w:r>
      <w:r>
        <w:t xml:space="preserve">Act builds on these investments with a record </w:t>
      </w:r>
      <w:r>
        <w:rPr>
          <w:b/>
        </w:rPr>
        <w:t xml:space="preserve">$1.83 billion </w:t>
      </w:r>
      <w:r>
        <w:t>in bond authorization to help drive housing production and preservation in Massachusetts.</w:t>
      </w:r>
      <w:r>
        <w:rPr>
          <w:spacing w:val="40"/>
        </w:rPr>
        <w:t xml:space="preserve"> </w:t>
      </w:r>
      <w:r>
        <w:t>The bill also supports the</w:t>
      </w:r>
      <w:r>
        <w:rPr>
          <w:spacing w:val="-12"/>
        </w:rPr>
        <w:t xml:space="preserve"> </w:t>
      </w:r>
      <w:r>
        <w:t>Administration’s “whole of government” approach to meeting state climate goals</w:t>
      </w:r>
      <w:r>
        <w:rPr>
          <w:spacing w:val="-7"/>
        </w:rPr>
        <w:t xml:space="preserve"> </w:t>
      </w:r>
      <w:r>
        <w:t>by</w:t>
      </w:r>
      <w:r>
        <w:rPr>
          <w:spacing w:val="-3"/>
        </w:rPr>
        <w:t xml:space="preserve"> </w:t>
      </w:r>
      <w:r>
        <w:t>prioritizing</w:t>
      </w:r>
      <w:r>
        <w:rPr>
          <w:spacing w:val="-5"/>
        </w:rPr>
        <w:t xml:space="preserve"> </w:t>
      </w:r>
      <w:r>
        <w:t>housing</w:t>
      </w:r>
      <w:r>
        <w:rPr>
          <w:spacing w:val="-1"/>
        </w:rPr>
        <w:t xml:space="preserve"> </w:t>
      </w:r>
      <w:r>
        <w:t>investments</w:t>
      </w:r>
      <w:r>
        <w:rPr>
          <w:spacing w:val="-3"/>
        </w:rPr>
        <w:t xml:space="preserve"> </w:t>
      </w:r>
      <w:r>
        <w:t>that</w:t>
      </w:r>
      <w:r>
        <w:rPr>
          <w:spacing w:val="-6"/>
        </w:rPr>
        <w:t xml:space="preserve"> </w:t>
      </w:r>
      <w:r>
        <w:t>comply</w:t>
      </w:r>
      <w:r>
        <w:rPr>
          <w:spacing w:val="-4"/>
        </w:rPr>
        <w:t xml:space="preserve"> </w:t>
      </w:r>
      <w:r>
        <w:t>with</w:t>
      </w:r>
      <w:r>
        <w:rPr>
          <w:spacing w:val="-3"/>
        </w:rPr>
        <w:t xml:space="preserve"> </w:t>
      </w:r>
      <w:r>
        <w:t>decarbonization</w:t>
      </w:r>
      <w:r>
        <w:rPr>
          <w:spacing w:val="-6"/>
        </w:rPr>
        <w:t xml:space="preserve"> </w:t>
      </w:r>
      <w:r>
        <w:t>and</w:t>
      </w:r>
      <w:r>
        <w:rPr>
          <w:spacing w:val="-6"/>
        </w:rPr>
        <w:t xml:space="preserve"> </w:t>
      </w:r>
      <w:r>
        <w:t>sustainability standards, to the maximum extent feasible.</w:t>
      </w:r>
    </w:p>
    <w:p w14:paraId="0A7D512D" w14:textId="77777777" w:rsidR="00933BDA" w:rsidRDefault="00933BDA">
      <w:pPr>
        <w:pStyle w:val="BodyText"/>
      </w:pPr>
    </w:p>
    <w:p w14:paraId="049FD3E3" w14:textId="77777777" w:rsidR="00933BDA" w:rsidRDefault="00933BDA">
      <w:pPr>
        <w:pStyle w:val="BodyText"/>
        <w:spacing w:before="84"/>
      </w:pPr>
    </w:p>
    <w:p w14:paraId="02906936" w14:textId="77777777" w:rsidR="00933BDA" w:rsidRDefault="00000000">
      <w:pPr>
        <w:pStyle w:val="Heading3"/>
      </w:pPr>
      <w:r>
        <w:t>Expanding</w:t>
      </w:r>
      <w:r>
        <w:rPr>
          <w:spacing w:val="-8"/>
        </w:rPr>
        <w:t xml:space="preserve"> </w:t>
      </w:r>
      <w:r>
        <w:t>HousingWorks</w:t>
      </w:r>
      <w:r>
        <w:rPr>
          <w:spacing w:val="-7"/>
        </w:rPr>
        <w:t xml:space="preserve"> </w:t>
      </w:r>
      <w:r>
        <w:rPr>
          <w:spacing w:val="-2"/>
        </w:rPr>
        <w:t>Supports</w:t>
      </w:r>
    </w:p>
    <w:p w14:paraId="7920E380" w14:textId="77777777" w:rsidR="00933BDA" w:rsidRDefault="00933BDA">
      <w:pPr>
        <w:pStyle w:val="BodyText"/>
        <w:spacing w:before="7"/>
        <w:rPr>
          <w:b/>
        </w:rPr>
      </w:pPr>
    </w:p>
    <w:p w14:paraId="7DC4B01E" w14:textId="77777777" w:rsidR="00933BDA" w:rsidRDefault="00000000">
      <w:pPr>
        <w:pStyle w:val="BodyText"/>
        <w:spacing w:line="276" w:lineRule="auto"/>
        <w:ind w:right="430"/>
      </w:pPr>
      <w:r>
        <w:t>In its FY24-FY28 Capital Investment Plan, the Healey-Driscoll</w:t>
      </w:r>
      <w:r>
        <w:rPr>
          <w:spacing w:val="-4"/>
        </w:rPr>
        <w:t xml:space="preserve"> </w:t>
      </w:r>
      <w:r>
        <w:t>Administration launched Housing Works, a new program designed to increase the supply of affordable housing by providing direct subsidy for affordable housing production, providing inventive payments to municipalities who meet zoning best practices, and funding local infrastructure. Based on the successful</w:t>
      </w:r>
      <w:r>
        <w:rPr>
          <w:spacing w:val="-4"/>
        </w:rPr>
        <w:t xml:space="preserve"> </w:t>
      </w:r>
      <w:proofErr w:type="spellStart"/>
      <w:r>
        <w:t>MassWorks</w:t>
      </w:r>
      <w:proofErr w:type="spellEnd"/>
      <w:r>
        <w:rPr>
          <w:spacing w:val="-7"/>
        </w:rPr>
        <w:t xml:space="preserve"> </w:t>
      </w:r>
      <w:r>
        <w:t>Infrastructure</w:t>
      </w:r>
      <w:r>
        <w:rPr>
          <w:spacing w:val="-6"/>
        </w:rPr>
        <w:t xml:space="preserve"> </w:t>
      </w:r>
      <w:r>
        <w:t>grant</w:t>
      </w:r>
      <w:r>
        <w:rPr>
          <w:spacing w:val="-6"/>
        </w:rPr>
        <w:t xml:space="preserve"> </w:t>
      </w:r>
      <w:r>
        <w:t>program,</w:t>
      </w:r>
      <w:r>
        <w:rPr>
          <w:spacing w:val="-4"/>
        </w:rPr>
        <w:t xml:space="preserve"> </w:t>
      </w:r>
      <w:r>
        <w:t>HousingWorks</w:t>
      </w:r>
      <w:r>
        <w:rPr>
          <w:spacing w:val="-7"/>
        </w:rPr>
        <w:t xml:space="preserve"> </w:t>
      </w:r>
      <w:r>
        <w:t>serves</w:t>
      </w:r>
      <w:r>
        <w:rPr>
          <w:spacing w:val="-4"/>
        </w:rPr>
        <w:t xml:space="preserve"> </w:t>
      </w:r>
      <w:r>
        <w:t>as</w:t>
      </w:r>
      <w:r>
        <w:rPr>
          <w:spacing w:val="-6"/>
        </w:rPr>
        <w:t xml:space="preserve"> </w:t>
      </w:r>
      <w:r>
        <w:t>a</w:t>
      </w:r>
      <w:r>
        <w:rPr>
          <w:spacing w:val="-4"/>
        </w:rPr>
        <w:t xml:space="preserve"> </w:t>
      </w:r>
      <w:r>
        <w:t>flexible</w:t>
      </w:r>
      <w:r>
        <w:rPr>
          <w:spacing w:val="-4"/>
        </w:rPr>
        <w:t xml:space="preserve"> </w:t>
      </w:r>
      <w:r>
        <w:t>tool</w:t>
      </w:r>
      <w:r>
        <w:rPr>
          <w:spacing w:val="-4"/>
        </w:rPr>
        <w:t xml:space="preserve"> </w:t>
      </w:r>
      <w:r>
        <w:t>to support housing development, preservation and rehabilitation, including projects focused on transit-oriented housing.</w:t>
      </w:r>
    </w:p>
    <w:p w14:paraId="7DA56129" w14:textId="77777777" w:rsidR="00933BDA" w:rsidRDefault="00000000">
      <w:pPr>
        <w:pStyle w:val="BodyText"/>
        <w:spacing w:before="239"/>
      </w:pPr>
      <w:r>
        <w:t>The</w:t>
      </w:r>
      <w:r>
        <w:rPr>
          <w:spacing w:val="-19"/>
        </w:rPr>
        <w:t xml:space="preserve"> </w:t>
      </w:r>
      <w:r>
        <w:t>Affordable</w:t>
      </w:r>
      <w:r>
        <w:rPr>
          <w:spacing w:val="-9"/>
        </w:rPr>
        <w:t xml:space="preserve"> </w:t>
      </w:r>
      <w:r>
        <w:t>Homes</w:t>
      </w:r>
      <w:r>
        <w:rPr>
          <w:spacing w:val="-16"/>
        </w:rPr>
        <w:t xml:space="preserve"> </w:t>
      </w:r>
      <w:r>
        <w:t>Act</w:t>
      </w:r>
      <w:r>
        <w:rPr>
          <w:spacing w:val="-3"/>
        </w:rPr>
        <w:t xml:space="preserve"> </w:t>
      </w:r>
      <w:r>
        <w:t>infuses</w:t>
      </w:r>
      <w:r>
        <w:rPr>
          <w:spacing w:val="-4"/>
        </w:rPr>
        <w:t xml:space="preserve"> </w:t>
      </w:r>
      <w:r>
        <w:t>HousingWorks</w:t>
      </w:r>
      <w:r>
        <w:rPr>
          <w:spacing w:val="-5"/>
        </w:rPr>
        <w:t xml:space="preserve"> </w:t>
      </w:r>
      <w:r>
        <w:t>with</w:t>
      </w:r>
      <w:r>
        <w:rPr>
          <w:spacing w:val="-5"/>
        </w:rPr>
        <w:t xml:space="preserve"> </w:t>
      </w:r>
      <w:r>
        <w:t>additional</w:t>
      </w:r>
      <w:r>
        <w:rPr>
          <w:spacing w:val="-5"/>
        </w:rPr>
        <w:t xml:space="preserve"> </w:t>
      </w:r>
      <w:r>
        <w:t>critical</w:t>
      </w:r>
      <w:r>
        <w:rPr>
          <w:spacing w:val="-5"/>
        </w:rPr>
        <w:t xml:space="preserve"> </w:t>
      </w:r>
      <w:r>
        <w:t>resources</w:t>
      </w:r>
      <w:r>
        <w:rPr>
          <w:spacing w:val="-4"/>
        </w:rPr>
        <w:t xml:space="preserve"> </w:t>
      </w:r>
      <w:r>
        <w:rPr>
          <w:spacing w:val="-2"/>
        </w:rPr>
        <w:t>including:</w:t>
      </w:r>
    </w:p>
    <w:p w14:paraId="4C8D623F" w14:textId="77777777" w:rsidR="00933BDA" w:rsidRDefault="00933BDA">
      <w:pPr>
        <w:pStyle w:val="BodyText"/>
        <w:spacing w:before="5"/>
      </w:pPr>
    </w:p>
    <w:p w14:paraId="66FEEA91" w14:textId="77777777" w:rsidR="00933BDA" w:rsidRDefault="00000000">
      <w:pPr>
        <w:pStyle w:val="Heading3"/>
        <w:numPr>
          <w:ilvl w:val="0"/>
          <w:numId w:val="1"/>
        </w:numPr>
        <w:tabs>
          <w:tab w:val="left" w:pos="720"/>
        </w:tabs>
        <w:spacing w:before="1"/>
      </w:pPr>
      <w:r>
        <w:t>$425M</w:t>
      </w:r>
      <w:r>
        <w:rPr>
          <w:spacing w:val="-6"/>
        </w:rPr>
        <w:t xml:space="preserve"> </w:t>
      </w:r>
      <w:r>
        <w:t>for</w:t>
      </w:r>
      <w:r>
        <w:rPr>
          <w:spacing w:val="-3"/>
        </w:rPr>
        <w:t xml:space="preserve"> </w:t>
      </w:r>
      <w:r>
        <w:t>the</w:t>
      </w:r>
      <w:r>
        <w:rPr>
          <w:spacing w:val="-2"/>
        </w:rPr>
        <w:t xml:space="preserve"> </w:t>
      </w:r>
      <w:r>
        <w:t>HousingWorks</w:t>
      </w:r>
      <w:r>
        <w:rPr>
          <w:spacing w:val="-3"/>
        </w:rPr>
        <w:t xml:space="preserve"> </w:t>
      </w:r>
      <w:r>
        <w:t>Housing</w:t>
      </w:r>
      <w:r>
        <w:rPr>
          <w:spacing w:val="-6"/>
        </w:rPr>
        <w:t xml:space="preserve"> </w:t>
      </w:r>
      <w:r>
        <w:t>Stabilization</w:t>
      </w:r>
      <w:r>
        <w:rPr>
          <w:spacing w:val="-3"/>
        </w:rPr>
        <w:t xml:space="preserve"> </w:t>
      </w:r>
      <w:r>
        <w:t>and</w:t>
      </w:r>
      <w:r>
        <w:rPr>
          <w:spacing w:val="-5"/>
        </w:rPr>
        <w:t xml:space="preserve"> </w:t>
      </w:r>
      <w:r>
        <w:t>Investment</w:t>
      </w:r>
      <w:r>
        <w:rPr>
          <w:spacing w:val="-3"/>
        </w:rPr>
        <w:t xml:space="preserve"> </w:t>
      </w:r>
      <w:r>
        <w:rPr>
          <w:spacing w:val="-2"/>
        </w:rPr>
        <w:t>Fund:</w:t>
      </w:r>
    </w:p>
    <w:p w14:paraId="5C79BB27" w14:textId="77777777" w:rsidR="00933BDA" w:rsidRDefault="00000000">
      <w:pPr>
        <w:pStyle w:val="BodyText"/>
        <w:spacing w:before="39"/>
        <w:ind w:left="720"/>
      </w:pPr>
      <w:r>
        <w:t>Consolidates</w:t>
      </w:r>
      <w:r>
        <w:rPr>
          <w:spacing w:val="-6"/>
        </w:rPr>
        <w:t xml:space="preserve"> </w:t>
      </w:r>
      <w:r>
        <w:t>the</w:t>
      </w:r>
      <w:r>
        <w:rPr>
          <w:spacing w:val="-4"/>
        </w:rPr>
        <w:t xml:space="preserve"> </w:t>
      </w:r>
      <w:r>
        <w:t>Housing</w:t>
      </w:r>
      <w:r>
        <w:rPr>
          <w:spacing w:val="-3"/>
        </w:rPr>
        <w:t xml:space="preserve"> </w:t>
      </w:r>
      <w:r>
        <w:t>Stabilization</w:t>
      </w:r>
      <w:r>
        <w:rPr>
          <w:spacing w:val="-4"/>
        </w:rPr>
        <w:t xml:space="preserve"> </w:t>
      </w:r>
      <w:r>
        <w:t>Fund</w:t>
      </w:r>
      <w:r>
        <w:rPr>
          <w:spacing w:val="-6"/>
        </w:rPr>
        <w:t xml:space="preserve"> </w:t>
      </w:r>
      <w:r>
        <w:t>and</w:t>
      </w:r>
      <w:r>
        <w:rPr>
          <w:spacing w:val="-6"/>
        </w:rPr>
        <w:t xml:space="preserve"> </w:t>
      </w:r>
      <w:r>
        <w:t>the Capital</w:t>
      </w:r>
      <w:r>
        <w:rPr>
          <w:spacing w:val="-7"/>
        </w:rPr>
        <w:t xml:space="preserve"> </w:t>
      </w:r>
      <w:r>
        <w:t>Improvement</w:t>
      </w:r>
      <w:r>
        <w:rPr>
          <w:spacing w:val="-3"/>
        </w:rPr>
        <w:t xml:space="preserve"> </w:t>
      </w:r>
      <w:r>
        <w:rPr>
          <w:spacing w:val="-5"/>
        </w:rPr>
        <w:t>and</w:t>
      </w:r>
    </w:p>
    <w:p w14:paraId="450DB862" w14:textId="77777777" w:rsidR="00933BDA" w:rsidRDefault="00000000">
      <w:pPr>
        <w:pStyle w:val="BodyText"/>
        <w:spacing w:before="43"/>
        <w:ind w:left="720"/>
      </w:pPr>
      <w:r>
        <w:t>Preservation</w:t>
      </w:r>
      <w:r>
        <w:rPr>
          <w:spacing w:val="-6"/>
        </w:rPr>
        <w:t xml:space="preserve"> </w:t>
      </w:r>
      <w:r>
        <w:t>Fund</w:t>
      </w:r>
      <w:r>
        <w:rPr>
          <w:spacing w:val="-3"/>
        </w:rPr>
        <w:t xml:space="preserve"> </w:t>
      </w:r>
      <w:r>
        <w:t>to</w:t>
      </w:r>
      <w:r>
        <w:rPr>
          <w:spacing w:val="-3"/>
        </w:rPr>
        <w:t xml:space="preserve"> </w:t>
      </w:r>
      <w:r>
        <w:t>support</w:t>
      </w:r>
      <w:r>
        <w:rPr>
          <w:spacing w:val="-5"/>
        </w:rPr>
        <w:t xml:space="preserve"> </w:t>
      </w:r>
      <w:r>
        <w:t>preservation,</w:t>
      </w:r>
      <w:r>
        <w:rPr>
          <w:spacing w:val="-5"/>
        </w:rPr>
        <w:t xml:space="preserve"> </w:t>
      </w:r>
      <w:r>
        <w:t>new</w:t>
      </w:r>
      <w:r>
        <w:rPr>
          <w:spacing w:val="-5"/>
        </w:rPr>
        <w:t xml:space="preserve"> </w:t>
      </w:r>
      <w:r>
        <w:t>construction,</w:t>
      </w:r>
      <w:r>
        <w:rPr>
          <w:spacing w:val="-7"/>
        </w:rPr>
        <w:t xml:space="preserve"> </w:t>
      </w:r>
      <w:r>
        <w:t>and</w:t>
      </w:r>
      <w:r>
        <w:rPr>
          <w:spacing w:val="-6"/>
        </w:rPr>
        <w:t xml:space="preserve"> </w:t>
      </w:r>
      <w:r>
        <w:t>rehabilitation</w:t>
      </w:r>
      <w:r>
        <w:rPr>
          <w:spacing w:val="-6"/>
        </w:rPr>
        <w:t xml:space="preserve"> </w:t>
      </w:r>
      <w:r>
        <w:rPr>
          <w:spacing w:val="-2"/>
        </w:rPr>
        <w:t>projects.</w:t>
      </w:r>
    </w:p>
    <w:p w14:paraId="3A67730D" w14:textId="77777777" w:rsidR="00933BDA" w:rsidRDefault="00933BDA">
      <w:pPr>
        <w:pStyle w:val="BodyText"/>
        <w:sectPr w:rsidR="00933BDA">
          <w:footerReference w:type="default" r:id="rId8"/>
          <w:type w:val="continuous"/>
          <w:pgSz w:w="12240" w:h="15840"/>
          <w:pgMar w:top="520" w:right="720" w:bottom="980" w:left="1080" w:header="0" w:footer="781" w:gutter="0"/>
          <w:pgNumType w:start="1"/>
          <w:cols w:space="720"/>
        </w:sectPr>
      </w:pPr>
    </w:p>
    <w:p w14:paraId="2DB57F55" w14:textId="77777777" w:rsidR="00933BDA" w:rsidRDefault="00000000">
      <w:pPr>
        <w:pStyle w:val="ListParagraph"/>
        <w:numPr>
          <w:ilvl w:val="0"/>
          <w:numId w:val="1"/>
        </w:numPr>
        <w:tabs>
          <w:tab w:val="left" w:pos="720"/>
        </w:tabs>
        <w:spacing w:before="162" w:line="273" w:lineRule="auto"/>
        <w:ind w:right="429"/>
        <w:rPr>
          <w:sz w:val="24"/>
        </w:rPr>
      </w:pPr>
      <w:r>
        <w:rPr>
          <w:b/>
          <w:sz w:val="24"/>
        </w:rPr>
        <w:lastRenderedPageBreak/>
        <w:t xml:space="preserve">$275M for the HousingWorks Sustainable and Green Housing Initiatives: </w:t>
      </w:r>
      <w:r>
        <w:rPr>
          <w:sz w:val="24"/>
        </w:rPr>
        <w:t>Consolidates the existing Transit Oriented Housing Program and the Climate Resilient Housing</w:t>
      </w:r>
      <w:r>
        <w:rPr>
          <w:spacing w:val="-5"/>
          <w:sz w:val="24"/>
        </w:rPr>
        <w:t xml:space="preserve"> </w:t>
      </w:r>
      <w:r>
        <w:rPr>
          <w:sz w:val="24"/>
        </w:rPr>
        <w:t>Program</w:t>
      </w:r>
      <w:r>
        <w:rPr>
          <w:spacing w:val="-4"/>
          <w:sz w:val="24"/>
        </w:rPr>
        <w:t xml:space="preserve"> </w:t>
      </w:r>
      <w:r>
        <w:rPr>
          <w:sz w:val="24"/>
        </w:rPr>
        <w:t>and</w:t>
      </w:r>
      <w:r>
        <w:rPr>
          <w:spacing w:val="-5"/>
          <w:sz w:val="24"/>
        </w:rPr>
        <w:t xml:space="preserve"> </w:t>
      </w:r>
      <w:r>
        <w:rPr>
          <w:sz w:val="24"/>
        </w:rPr>
        <w:t>adds</w:t>
      </w:r>
      <w:r>
        <w:rPr>
          <w:spacing w:val="-4"/>
          <w:sz w:val="24"/>
        </w:rPr>
        <w:t xml:space="preserve"> </w:t>
      </w:r>
      <w:r>
        <w:rPr>
          <w:sz w:val="24"/>
        </w:rPr>
        <w:t>language</w:t>
      </w:r>
      <w:r>
        <w:rPr>
          <w:spacing w:val="-4"/>
          <w:sz w:val="24"/>
        </w:rPr>
        <w:t xml:space="preserve"> </w:t>
      </w:r>
      <w:r>
        <w:rPr>
          <w:sz w:val="24"/>
        </w:rPr>
        <w:t>to</w:t>
      </w:r>
      <w:r>
        <w:rPr>
          <w:spacing w:val="-4"/>
          <w:sz w:val="24"/>
        </w:rPr>
        <w:t xml:space="preserve"> </w:t>
      </w:r>
      <w:r>
        <w:rPr>
          <w:sz w:val="24"/>
        </w:rPr>
        <w:t>create</w:t>
      </w:r>
      <w:r>
        <w:rPr>
          <w:spacing w:val="-4"/>
          <w:sz w:val="24"/>
        </w:rPr>
        <w:t xml:space="preserve"> </w:t>
      </w:r>
      <w:r>
        <w:rPr>
          <w:sz w:val="24"/>
        </w:rPr>
        <w:t>a</w:t>
      </w:r>
      <w:r>
        <w:rPr>
          <w:spacing w:val="-2"/>
          <w:sz w:val="24"/>
        </w:rPr>
        <w:t xml:space="preserve"> </w:t>
      </w:r>
      <w:r>
        <w:rPr>
          <w:sz w:val="24"/>
          <w:u w:val="single"/>
        </w:rPr>
        <w:t>new</w:t>
      </w:r>
      <w:r>
        <w:rPr>
          <w:sz w:val="24"/>
        </w:rPr>
        <w:t>,</w:t>
      </w:r>
      <w:r>
        <w:rPr>
          <w:spacing w:val="-6"/>
          <w:sz w:val="24"/>
        </w:rPr>
        <w:t xml:space="preserve"> </w:t>
      </w:r>
      <w:r>
        <w:rPr>
          <w:sz w:val="24"/>
        </w:rPr>
        <w:t>innovative</w:t>
      </w:r>
      <w:r>
        <w:rPr>
          <w:spacing w:val="-6"/>
          <w:sz w:val="24"/>
        </w:rPr>
        <w:t xml:space="preserve"> </w:t>
      </w:r>
      <w:r>
        <w:rPr>
          <w:sz w:val="24"/>
        </w:rPr>
        <w:t>program</w:t>
      </w:r>
      <w:r>
        <w:rPr>
          <w:spacing w:val="-4"/>
          <w:sz w:val="24"/>
        </w:rPr>
        <w:t xml:space="preserve"> </w:t>
      </w:r>
      <w:r>
        <w:rPr>
          <w:sz w:val="24"/>
        </w:rPr>
        <w:t>to</w:t>
      </w:r>
      <w:r>
        <w:rPr>
          <w:spacing w:val="-5"/>
          <w:sz w:val="24"/>
        </w:rPr>
        <w:t xml:space="preserve"> </w:t>
      </w:r>
      <w:r>
        <w:rPr>
          <w:sz w:val="24"/>
        </w:rPr>
        <w:t>accelerate and unlock new housing through, for example, office conversions and development of modular homes.</w:t>
      </w:r>
    </w:p>
    <w:p w14:paraId="26E2AFE7" w14:textId="77777777" w:rsidR="00933BDA" w:rsidRDefault="00000000">
      <w:pPr>
        <w:pStyle w:val="ListParagraph"/>
        <w:numPr>
          <w:ilvl w:val="0"/>
          <w:numId w:val="1"/>
        </w:numPr>
        <w:tabs>
          <w:tab w:val="left" w:pos="720"/>
        </w:tabs>
        <w:spacing w:before="249" w:line="273" w:lineRule="auto"/>
        <w:ind w:right="451"/>
        <w:rPr>
          <w:sz w:val="24"/>
        </w:rPr>
      </w:pPr>
      <w:r>
        <w:rPr>
          <w:b/>
          <w:sz w:val="24"/>
        </w:rPr>
        <w:t>$175M</w:t>
      </w:r>
      <w:r>
        <w:rPr>
          <w:b/>
          <w:spacing w:val="-6"/>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HousingWorks</w:t>
      </w:r>
      <w:r>
        <w:rPr>
          <w:b/>
          <w:spacing w:val="-7"/>
          <w:sz w:val="24"/>
        </w:rPr>
        <w:t xml:space="preserve"> </w:t>
      </w:r>
      <w:r>
        <w:rPr>
          <w:b/>
          <w:sz w:val="24"/>
        </w:rPr>
        <w:t>Infrastructure</w:t>
      </w:r>
      <w:r>
        <w:rPr>
          <w:b/>
          <w:spacing w:val="-5"/>
          <w:sz w:val="24"/>
        </w:rPr>
        <w:t xml:space="preserve"> </w:t>
      </w:r>
      <w:r>
        <w:rPr>
          <w:b/>
          <w:sz w:val="24"/>
        </w:rPr>
        <w:t>Program:</w:t>
      </w:r>
      <w:r>
        <w:rPr>
          <w:b/>
          <w:spacing w:val="-5"/>
          <w:sz w:val="24"/>
        </w:rPr>
        <w:t xml:space="preserve"> </w:t>
      </w:r>
      <w:r>
        <w:rPr>
          <w:sz w:val="24"/>
        </w:rPr>
        <w:t>Supports</w:t>
      </w:r>
      <w:r>
        <w:rPr>
          <w:spacing w:val="-5"/>
          <w:sz w:val="24"/>
        </w:rPr>
        <w:t xml:space="preserve"> </w:t>
      </w:r>
      <w:r>
        <w:rPr>
          <w:sz w:val="24"/>
        </w:rPr>
        <w:t>the</w:t>
      </w:r>
      <w:r>
        <w:rPr>
          <w:spacing w:val="-5"/>
          <w:sz w:val="24"/>
        </w:rPr>
        <w:t xml:space="preserve"> </w:t>
      </w:r>
      <w:r>
        <w:rPr>
          <w:sz w:val="24"/>
        </w:rPr>
        <w:t>recently</w:t>
      </w:r>
      <w:r>
        <w:rPr>
          <w:spacing w:val="-5"/>
          <w:sz w:val="24"/>
        </w:rPr>
        <w:t xml:space="preserve"> </w:t>
      </w:r>
      <w:r>
        <w:rPr>
          <w:sz w:val="24"/>
        </w:rPr>
        <w:t>created HousingWorks Infrastructure Program, which funds municipal infrastructure projects to encourage denser housing development.</w:t>
      </w:r>
    </w:p>
    <w:p w14:paraId="61830A75" w14:textId="77777777" w:rsidR="00933BDA" w:rsidRDefault="00000000">
      <w:pPr>
        <w:pStyle w:val="ListParagraph"/>
        <w:numPr>
          <w:ilvl w:val="0"/>
          <w:numId w:val="1"/>
        </w:numPr>
        <w:tabs>
          <w:tab w:val="left" w:pos="720"/>
        </w:tabs>
        <w:spacing w:before="244" w:line="271" w:lineRule="auto"/>
        <w:ind w:right="1811"/>
        <w:rPr>
          <w:sz w:val="24"/>
        </w:rPr>
      </w:pPr>
      <w:r>
        <w:rPr>
          <w:b/>
          <w:sz w:val="24"/>
        </w:rPr>
        <w:t>$25M</w:t>
      </w:r>
      <w:r>
        <w:rPr>
          <w:b/>
          <w:spacing w:val="-6"/>
          <w:sz w:val="24"/>
        </w:rPr>
        <w:t xml:space="preserve"> </w:t>
      </w:r>
      <w:r>
        <w:rPr>
          <w:b/>
          <w:sz w:val="24"/>
        </w:rPr>
        <w:t>for</w:t>
      </w:r>
      <w:r>
        <w:rPr>
          <w:b/>
          <w:spacing w:val="-4"/>
          <w:sz w:val="24"/>
        </w:rPr>
        <w:t xml:space="preserve"> </w:t>
      </w:r>
      <w:r>
        <w:rPr>
          <w:b/>
          <w:sz w:val="24"/>
        </w:rPr>
        <w:t>HousingWorks</w:t>
      </w:r>
      <w:r>
        <w:rPr>
          <w:b/>
          <w:spacing w:val="-3"/>
          <w:sz w:val="24"/>
        </w:rPr>
        <w:t xml:space="preserve"> </w:t>
      </w:r>
      <w:r>
        <w:rPr>
          <w:b/>
          <w:sz w:val="24"/>
        </w:rPr>
        <w:t>Community</w:t>
      </w:r>
      <w:r>
        <w:rPr>
          <w:b/>
          <w:spacing w:val="-7"/>
          <w:sz w:val="24"/>
        </w:rPr>
        <w:t xml:space="preserve"> </w:t>
      </w:r>
      <w:r>
        <w:rPr>
          <w:b/>
          <w:sz w:val="24"/>
        </w:rPr>
        <w:t>Planning</w:t>
      </w:r>
      <w:r>
        <w:rPr>
          <w:b/>
          <w:spacing w:val="-5"/>
          <w:sz w:val="24"/>
        </w:rPr>
        <w:t xml:space="preserve"> </w:t>
      </w:r>
      <w:r>
        <w:rPr>
          <w:b/>
          <w:sz w:val="24"/>
        </w:rPr>
        <w:t>Grants:</w:t>
      </w:r>
      <w:r>
        <w:rPr>
          <w:b/>
          <w:spacing w:val="-4"/>
          <w:sz w:val="24"/>
        </w:rPr>
        <w:t xml:space="preserve"> </w:t>
      </w:r>
      <w:r>
        <w:rPr>
          <w:sz w:val="24"/>
        </w:rPr>
        <w:t>Makes</w:t>
      </w:r>
      <w:r>
        <w:rPr>
          <w:spacing w:val="-7"/>
          <w:sz w:val="24"/>
        </w:rPr>
        <w:t xml:space="preserve"> </w:t>
      </w:r>
      <w:r>
        <w:rPr>
          <w:sz w:val="24"/>
        </w:rPr>
        <w:t>grants</w:t>
      </w:r>
      <w:r>
        <w:rPr>
          <w:spacing w:val="-5"/>
          <w:sz w:val="24"/>
        </w:rPr>
        <w:t xml:space="preserve"> </w:t>
      </w:r>
      <w:r>
        <w:rPr>
          <w:sz w:val="24"/>
        </w:rPr>
        <w:t>to municipalities for planning and zoning initiatives that support housing.</w:t>
      </w:r>
    </w:p>
    <w:p w14:paraId="7B3506AA" w14:textId="77777777" w:rsidR="00933BDA" w:rsidRDefault="00000000">
      <w:pPr>
        <w:pStyle w:val="ListParagraph"/>
        <w:numPr>
          <w:ilvl w:val="0"/>
          <w:numId w:val="1"/>
        </w:numPr>
        <w:tabs>
          <w:tab w:val="left" w:pos="720"/>
        </w:tabs>
        <w:spacing w:before="246" w:line="273" w:lineRule="auto"/>
        <w:ind w:right="436"/>
        <w:rPr>
          <w:sz w:val="24"/>
        </w:rPr>
      </w:pPr>
      <w:r>
        <w:rPr>
          <w:b/>
          <w:sz w:val="24"/>
        </w:rPr>
        <w:t>$35M</w:t>
      </w:r>
      <w:r>
        <w:rPr>
          <w:b/>
          <w:spacing w:val="-5"/>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HousingWorks</w:t>
      </w:r>
      <w:r>
        <w:rPr>
          <w:b/>
          <w:spacing w:val="-4"/>
          <w:sz w:val="24"/>
        </w:rPr>
        <w:t xml:space="preserve"> </w:t>
      </w:r>
      <w:r>
        <w:rPr>
          <w:b/>
          <w:sz w:val="24"/>
        </w:rPr>
        <w:t>Housing</w:t>
      </w:r>
      <w:r>
        <w:rPr>
          <w:b/>
          <w:spacing w:val="-4"/>
          <w:sz w:val="24"/>
        </w:rPr>
        <w:t xml:space="preserve"> </w:t>
      </w:r>
      <w:r>
        <w:rPr>
          <w:b/>
          <w:sz w:val="24"/>
        </w:rPr>
        <w:t>Choice</w:t>
      </w:r>
      <w:r>
        <w:rPr>
          <w:b/>
          <w:spacing w:val="-4"/>
          <w:sz w:val="24"/>
        </w:rPr>
        <w:t xml:space="preserve"> </w:t>
      </w:r>
      <w:r>
        <w:rPr>
          <w:b/>
          <w:sz w:val="24"/>
        </w:rPr>
        <w:t>Grant</w:t>
      </w:r>
      <w:r>
        <w:rPr>
          <w:b/>
          <w:spacing w:val="-5"/>
          <w:sz w:val="24"/>
        </w:rPr>
        <w:t xml:space="preserve"> </w:t>
      </w:r>
      <w:r>
        <w:rPr>
          <w:b/>
          <w:sz w:val="24"/>
        </w:rPr>
        <w:t>Program:</w:t>
      </w:r>
      <w:r>
        <w:rPr>
          <w:b/>
          <w:spacing w:val="-2"/>
          <w:sz w:val="24"/>
        </w:rPr>
        <w:t xml:space="preserve"> </w:t>
      </w:r>
      <w:r>
        <w:rPr>
          <w:sz w:val="24"/>
        </w:rPr>
        <w:t>Provides</w:t>
      </w:r>
      <w:r>
        <w:rPr>
          <w:spacing w:val="-6"/>
          <w:sz w:val="24"/>
        </w:rPr>
        <w:t xml:space="preserve"> </w:t>
      </w:r>
      <w:r>
        <w:rPr>
          <w:sz w:val="24"/>
        </w:rPr>
        <w:t>payments</w:t>
      </w:r>
      <w:r>
        <w:rPr>
          <w:spacing w:val="-4"/>
          <w:sz w:val="24"/>
        </w:rPr>
        <w:t xml:space="preserve"> </w:t>
      </w:r>
      <w:r>
        <w:rPr>
          <w:sz w:val="24"/>
        </w:rPr>
        <w:t>to municipalities that receive a Housing Choice designation through high housing production and/or demonstration of best practices.</w:t>
      </w:r>
    </w:p>
    <w:p w14:paraId="3C4D91A2" w14:textId="77777777" w:rsidR="00933BDA" w:rsidRDefault="00000000">
      <w:pPr>
        <w:pStyle w:val="ListParagraph"/>
        <w:numPr>
          <w:ilvl w:val="0"/>
          <w:numId w:val="1"/>
        </w:numPr>
        <w:tabs>
          <w:tab w:val="left" w:pos="720"/>
        </w:tabs>
        <w:spacing w:line="273" w:lineRule="auto"/>
        <w:ind w:right="794"/>
        <w:rPr>
          <w:sz w:val="24"/>
        </w:rPr>
      </w:pPr>
      <w:r>
        <w:rPr>
          <w:b/>
          <w:sz w:val="24"/>
        </w:rPr>
        <w:t xml:space="preserve">$20M for the HousingWorks Smart Growth / 40R Program: </w:t>
      </w:r>
      <w:r>
        <w:rPr>
          <w:sz w:val="24"/>
        </w:rPr>
        <w:t>Provides incentive payments</w:t>
      </w:r>
      <w:r>
        <w:rPr>
          <w:spacing w:val="-5"/>
          <w:sz w:val="24"/>
        </w:rPr>
        <w:t xml:space="preserve"> </w:t>
      </w:r>
      <w:r>
        <w:rPr>
          <w:sz w:val="24"/>
        </w:rPr>
        <w:t>to</w:t>
      </w:r>
      <w:r>
        <w:rPr>
          <w:spacing w:val="-4"/>
          <w:sz w:val="24"/>
        </w:rPr>
        <w:t xml:space="preserve"> </w:t>
      </w:r>
      <w:r>
        <w:rPr>
          <w:sz w:val="24"/>
        </w:rPr>
        <w:t>municipalities</w:t>
      </w:r>
      <w:r>
        <w:rPr>
          <w:spacing w:val="-1"/>
          <w:sz w:val="24"/>
        </w:rPr>
        <w:t xml:space="preserve"> </w:t>
      </w:r>
      <w:r>
        <w:rPr>
          <w:sz w:val="24"/>
        </w:rPr>
        <w:t>that</w:t>
      </w:r>
      <w:r>
        <w:rPr>
          <w:spacing w:val="-3"/>
          <w:sz w:val="24"/>
        </w:rPr>
        <w:t xml:space="preserve"> </w:t>
      </w:r>
      <w:r>
        <w:rPr>
          <w:sz w:val="24"/>
        </w:rPr>
        <w:t>adopt</w:t>
      </w:r>
      <w:r>
        <w:rPr>
          <w:spacing w:val="-4"/>
          <w:sz w:val="24"/>
        </w:rPr>
        <w:t xml:space="preserve"> </w:t>
      </w:r>
      <w:r>
        <w:rPr>
          <w:sz w:val="24"/>
        </w:rPr>
        <w:t>smart</w:t>
      </w:r>
      <w:r>
        <w:rPr>
          <w:spacing w:val="-6"/>
          <w:sz w:val="24"/>
        </w:rPr>
        <w:t xml:space="preserve"> </w:t>
      </w:r>
      <w:r>
        <w:rPr>
          <w:sz w:val="24"/>
        </w:rPr>
        <w:t>growth</w:t>
      </w:r>
      <w:r>
        <w:rPr>
          <w:spacing w:val="-4"/>
          <w:sz w:val="24"/>
        </w:rPr>
        <w:t xml:space="preserve"> </w:t>
      </w:r>
      <w:r>
        <w:rPr>
          <w:sz w:val="24"/>
        </w:rPr>
        <w:t>housing</w:t>
      </w:r>
      <w:r>
        <w:rPr>
          <w:spacing w:val="-4"/>
          <w:sz w:val="24"/>
        </w:rPr>
        <w:t xml:space="preserve"> </w:t>
      </w:r>
      <w:r>
        <w:rPr>
          <w:sz w:val="24"/>
        </w:rPr>
        <w:t>districts,</w:t>
      </w:r>
      <w:r>
        <w:rPr>
          <w:spacing w:val="-5"/>
          <w:sz w:val="24"/>
        </w:rPr>
        <w:t xml:space="preserve"> </w:t>
      </w:r>
      <w:r>
        <w:rPr>
          <w:sz w:val="24"/>
        </w:rPr>
        <w:t>as</w:t>
      </w:r>
      <w:r>
        <w:rPr>
          <w:spacing w:val="-4"/>
          <w:sz w:val="24"/>
        </w:rPr>
        <w:t xml:space="preserve"> </w:t>
      </w:r>
      <w:r>
        <w:rPr>
          <w:sz w:val="24"/>
        </w:rPr>
        <w:t>stipulated</w:t>
      </w:r>
      <w:r>
        <w:rPr>
          <w:spacing w:val="-5"/>
          <w:sz w:val="24"/>
        </w:rPr>
        <w:t xml:space="preserve"> </w:t>
      </w:r>
      <w:r>
        <w:rPr>
          <w:sz w:val="24"/>
        </w:rPr>
        <w:t>in MGL 40R.</w:t>
      </w:r>
    </w:p>
    <w:p w14:paraId="06D8C0A8" w14:textId="77777777" w:rsidR="00933BDA" w:rsidRDefault="00933BDA">
      <w:pPr>
        <w:pStyle w:val="BodyText"/>
      </w:pPr>
    </w:p>
    <w:p w14:paraId="4463A77A" w14:textId="77777777" w:rsidR="00933BDA" w:rsidRDefault="00933BDA">
      <w:pPr>
        <w:pStyle w:val="BodyText"/>
        <w:spacing w:before="7"/>
      </w:pPr>
    </w:p>
    <w:p w14:paraId="3E1CC0DF" w14:textId="77777777" w:rsidR="00933BDA" w:rsidRDefault="00000000">
      <w:pPr>
        <w:pStyle w:val="Heading3"/>
      </w:pPr>
      <w:r>
        <w:t>Driving</w:t>
      </w:r>
      <w:r>
        <w:rPr>
          <w:spacing w:val="-3"/>
        </w:rPr>
        <w:t xml:space="preserve"> </w:t>
      </w:r>
      <w:r>
        <w:rPr>
          <w:spacing w:val="-2"/>
        </w:rPr>
        <w:t>Development</w:t>
      </w:r>
    </w:p>
    <w:p w14:paraId="702004C6" w14:textId="77777777" w:rsidR="00933BDA" w:rsidRDefault="00933BDA">
      <w:pPr>
        <w:pStyle w:val="BodyText"/>
        <w:spacing w:before="48"/>
        <w:rPr>
          <w:b/>
        </w:rPr>
      </w:pPr>
    </w:p>
    <w:p w14:paraId="17641100" w14:textId="77777777" w:rsidR="00933BDA" w:rsidRDefault="00000000">
      <w:pPr>
        <w:pStyle w:val="BodyText"/>
      </w:pPr>
      <w:r>
        <w:t>The</w:t>
      </w:r>
      <w:r>
        <w:rPr>
          <w:spacing w:val="-18"/>
        </w:rPr>
        <w:t xml:space="preserve"> </w:t>
      </w:r>
      <w:r>
        <w:t>Affordable</w:t>
      </w:r>
      <w:r>
        <w:rPr>
          <w:spacing w:val="-5"/>
        </w:rPr>
        <w:t xml:space="preserve"> </w:t>
      </w:r>
      <w:r>
        <w:t>Homes</w:t>
      </w:r>
      <w:r>
        <w:rPr>
          <w:spacing w:val="-17"/>
        </w:rPr>
        <w:t xml:space="preserve"> </w:t>
      </w:r>
      <w:r>
        <w:t>Act</w:t>
      </w:r>
      <w:r>
        <w:rPr>
          <w:spacing w:val="-1"/>
        </w:rPr>
        <w:t xml:space="preserve"> </w:t>
      </w:r>
      <w:r>
        <w:t>also</w:t>
      </w:r>
      <w:r>
        <w:rPr>
          <w:spacing w:val="-4"/>
        </w:rPr>
        <w:t xml:space="preserve"> </w:t>
      </w:r>
      <w:r>
        <w:t>includes</w:t>
      </w:r>
      <w:r>
        <w:rPr>
          <w:spacing w:val="-3"/>
        </w:rPr>
        <w:t xml:space="preserve"> </w:t>
      </w:r>
      <w:r>
        <w:t>other</w:t>
      </w:r>
      <w:r>
        <w:rPr>
          <w:spacing w:val="-7"/>
        </w:rPr>
        <w:t xml:space="preserve"> </w:t>
      </w:r>
      <w:r>
        <w:t>tools</w:t>
      </w:r>
      <w:r>
        <w:rPr>
          <w:spacing w:val="-4"/>
        </w:rPr>
        <w:t xml:space="preserve"> </w:t>
      </w:r>
      <w:r>
        <w:t>for</w:t>
      </w:r>
      <w:r>
        <w:rPr>
          <w:spacing w:val="-3"/>
        </w:rPr>
        <w:t xml:space="preserve"> </w:t>
      </w:r>
      <w:r>
        <w:t>spurring</w:t>
      </w:r>
      <w:r>
        <w:rPr>
          <w:spacing w:val="-4"/>
        </w:rPr>
        <w:t xml:space="preserve"> </w:t>
      </w:r>
      <w:r>
        <w:t>additional</w:t>
      </w:r>
      <w:r>
        <w:rPr>
          <w:spacing w:val="-3"/>
        </w:rPr>
        <w:t xml:space="preserve"> </w:t>
      </w:r>
      <w:r>
        <w:rPr>
          <w:spacing w:val="-2"/>
        </w:rPr>
        <w:t>development.</w:t>
      </w:r>
    </w:p>
    <w:p w14:paraId="74ECE438" w14:textId="77777777" w:rsidR="00933BDA" w:rsidRDefault="00000000">
      <w:pPr>
        <w:pStyle w:val="BodyText"/>
        <w:spacing w:before="39" w:line="276" w:lineRule="auto"/>
        <w:ind w:right="454"/>
      </w:pPr>
      <w:r>
        <w:t xml:space="preserve">Notably, the bill includes </w:t>
      </w:r>
      <w:r>
        <w:rPr>
          <w:b/>
        </w:rPr>
        <w:t>$800M for the</w:t>
      </w:r>
      <w:r>
        <w:rPr>
          <w:b/>
          <w:spacing w:val="-3"/>
        </w:rPr>
        <w:t xml:space="preserve"> </w:t>
      </w:r>
      <w:r>
        <w:rPr>
          <w:b/>
        </w:rPr>
        <w:t>Affordable Housing Trust Fund</w:t>
      </w:r>
      <w:r>
        <w:t>, which provides flexible resources</w:t>
      </w:r>
      <w:r>
        <w:rPr>
          <w:spacing w:val="-2"/>
        </w:rPr>
        <w:t xml:space="preserve"> </w:t>
      </w:r>
      <w:r>
        <w:t>to</w:t>
      </w:r>
      <w:r>
        <w:rPr>
          <w:spacing w:val="-2"/>
        </w:rPr>
        <w:t xml:space="preserve"> </w:t>
      </w:r>
      <w:r>
        <w:t>create</w:t>
      </w:r>
      <w:r>
        <w:rPr>
          <w:spacing w:val="-3"/>
        </w:rPr>
        <w:t xml:space="preserve"> </w:t>
      </w:r>
      <w:r>
        <w:t>or</w:t>
      </w:r>
      <w:r>
        <w:rPr>
          <w:spacing w:val="-2"/>
        </w:rPr>
        <w:t xml:space="preserve"> </w:t>
      </w:r>
      <w:r>
        <w:t>preserve</w:t>
      </w:r>
      <w:r>
        <w:rPr>
          <w:spacing w:val="-2"/>
        </w:rPr>
        <w:t xml:space="preserve"> </w:t>
      </w:r>
      <w:r>
        <w:t>affordable</w:t>
      </w:r>
      <w:r>
        <w:rPr>
          <w:spacing w:val="-4"/>
        </w:rPr>
        <w:t xml:space="preserve"> </w:t>
      </w:r>
      <w:r>
        <w:t>housing</w:t>
      </w:r>
      <w:r>
        <w:rPr>
          <w:spacing w:val="-2"/>
        </w:rPr>
        <w:t xml:space="preserve"> </w:t>
      </w:r>
      <w:r>
        <w:t>for</w:t>
      </w:r>
      <w:r>
        <w:rPr>
          <w:spacing w:val="-2"/>
        </w:rPr>
        <w:t xml:space="preserve"> </w:t>
      </w:r>
      <w:r>
        <w:t>households</w:t>
      </w:r>
      <w:r>
        <w:rPr>
          <w:spacing w:val="-2"/>
        </w:rPr>
        <w:t xml:space="preserve"> </w:t>
      </w:r>
      <w:r>
        <w:t>whose</w:t>
      </w:r>
      <w:r>
        <w:rPr>
          <w:spacing w:val="-2"/>
        </w:rPr>
        <w:t xml:space="preserve"> </w:t>
      </w:r>
      <w:r>
        <w:t>incomes</w:t>
      </w:r>
      <w:r>
        <w:rPr>
          <w:spacing w:val="-4"/>
        </w:rPr>
        <w:t xml:space="preserve"> </w:t>
      </w:r>
      <w:r>
        <w:t xml:space="preserve">are not more than 110% of area median income. The bill also includes </w:t>
      </w:r>
      <w:r>
        <w:rPr>
          <w:b/>
        </w:rPr>
        <w:t xml:space="preserve">$100M </w:t>
      </w:r>
      <w:r>
        <w:t xml:space="preserve">in bond authorization to create a new permanent capital resource for </w:t>
      </w:r>
      <w:proofErr w:type="spellStart"/>
      <w:r>
        <w:rPr>
          <w:b/>
        </w:rPr>
        <w:t>CommonWealth</w:t>
      </w:r>
      <w:proofErr w:type="spellEnd"/>
      <w:r>
        <w:rPr>
          <w:b/>
        </w:rPr>
        <w:t xml:space="preserve"> Builder </w:t>
      </w:r>
      <w:r>
        <w:t>– a program initially launched with</w:t>
      </w:r>
      <w:r>
        <w:rPr>
          <w:spacing w:val="-7"/>
        </w:rPr>
        <w:t xml:space="preserve"> </w:t>
      </w:r>
      <w:r>
        <w:t>ARPA</w:t>
      </w:r>
      <w:r>
        <w:rPr>
          <w:spacing w:val="-7"/>
        </w:rPr>
        <w:t xml:space="preserve"> </w:t>
      </w:r>
      <w:r>
        <w:t xml:space="preserve">funding. This successful program spurs construction of affordable single-family homes in Gateway Cities and other similar markets. Other key investments include </w:t>
      </w:r>
      <w:r>
        <w:rPr>
          <w:b/>
        </w:rPr>
        <w:t xml:space="preserve">$50M </w:t>
      </w:r>
      <w:r>
        <w:t xml:space="preserve">for the </w:t>
      </w:r>
      <w:r>
        <w:rPr>
          <w:b/>
        </w:rPr>
        <w:t xml:space="preserve">Neighborhood Stabilization fund </w:t>
      </w:r>
      <w:r>
        <w:t>to support the acquisition,</w:t>
      </w:r>
      <w:r>
        <w:rPr>
          <w:spacing w:val="-4"/>
        </w:rPr>
        <w:t xml:space="preserve"> </w:t>
      </w:r>
      <w:r>
        <w:t>rehabilitation,</w:t>
      </w:r>
      <w:r>
        <w:rPr>
          <w:spacing w:val="-6"/>
        </w:rPr>
        <w:t xml:space="preserve"> </w:t>
      </w:r>
      <w:r>
        <w:t>and</w:t>
      </w:r>
      <w:r>
        <w:rPr>
          <w:spacing w:val="-6"/>
        </w:rPr>
        <w:t xml:space="preserve"> </w:t>
      </w:r>
      <w:r>
        <w:t>sale</w:t>
      </w:r>
      <w:r>
        <w:rPr>
          <w:spacing w:val="-6"/>
        </w:rPr>
        <w:t xml:space="preserve"> </w:t>
      </w:r>
      <w:r>
        <w:t>of</w:t>
      </w:r>
      <w:r>
        <w:rPr>
          <w:spacing w:val="-4"/>
        </w:rPr>
        <w:t xml:space="preserve"> </w:t>
      </w:r>
      <w:r>
        <w:t>distressed</w:t>
      </w:r>
      <w:r>
        <w:rPr>
          <w:spacing w:val="-4"/>
        </w:rPr>
        <w:t xml:space="preserve"> </w:t>
      </w:r>
      <w:r>
        <w:t>properties</w:t>
      </w:r>
      <w:r>
        <w:rPr>
          <w:spacing w:val="-6"/>
        </w:rPr>
        <w:t xml:space="preserve"> </w:t>
      </w:r>
      <w:r>
        <w:t xml:space="preserve">and </w:t>
      </w:r>
      <w:r>
        <w:rPr>
          <w:b/>
        </w:rPr>
        <w:t>$100M</w:t>
      </w:r>
      <w:r>
        <w:rPr>
          <w:b/>
          <w:spacing w:val="-4"/>
        </w:rPr>
        <w:t xml:space="preserve"> </w:t>
      </w:r>
      <w:r>
        <w:t>for</w:t>
      </w:r>
      <w:r>
        <w:rPr>
          <w:spacing w:val="-4"/>
        </w:rPr>
        <w:t xml:space="preserve"> </w:t>
      </w:r>
      <w:r>
        <w:t>the</w:t>
      </w:r>
      <w:r>
        <w:rPr>
          <w:spacing w:val="-3"/>
        </w:rPr>
        <w:t xml:space="preserve"> </w:t>
      </w:r>
      <w:proofErr w:type="gramStart"/>
      <w:r>
        <w:rPr>
          <w:b/>
        </w:rPr>
        <w:t>Middle</w:t>
      </w:r>
      <w:r>
        <w:rPr>
          <w:b/>
          <w:spacing w:val="-4"/>
        </w:rPr>
        <w:t xml:space="preserve"> </w:t>
      </w:r>
      <w:r>
        <w:rPr>
          <w:b/>
        </w:rPr>
        <w:t>Income</w:t>
      </w:r>
      <w:proofErr w:type="gramEnd"/>
      <w:r>
        <w:rPr>
          <w:b/>
        </w:rPr>
        <w:t xml:space="preserve"> Housing Fund </w:t>
      </w:r>
      <w:r>
        <w:t>to support middle-income housing production.</w:t>
      </w:r>
    </w:p>
    <w:p w14:paraId="3EFC3387" w14:textId="77777777" w:rsidR="00933BDA" w:rsidRDefault="00000000">
      <w:pPr>
        <w:pStyle w:val="BodyText"/>
        <w:spacing w:before="243" w:line="276" w:lineRule="auto"/>
        <w:ind w:right="468"/>
      </w:pPr>
      <w:r>
        <w:t xml:space="preserve">Additionally, the bill supports the creation of the </w:t>
      </w:r>
      <w:r>
        <w:rPr>
          <w:b/>
        </w:rPr>
        <w:t xml:space="preserve">Momentum Fund </w:t>
      </w:r>
      <w:r>
        <w:t>– a pioneering initiative designed to leverage state resources to support large scale, mixed-income multifamily development.</w:t>
      </w:r>
      <w:r>
        <w:rPr>
          <w:spacing w:val="40"/>
        </w:rPr>
        <w:t xml:space="preserve"> </w:t>
      </w:r>
      <w:r>
        <w:t>By pairing public investments with private capital, the Commonwealth aims to create a revolving fund used to fill financial gaps in large multifamily developments to sustain production momentum in a rising interest rate and construction cost environment.</w:t>
      </w:r>
      <w:r>
        <w:rPr>
          <w:spacing w:val="40"/>
        </w:rPr>
        <w:t xml:space="preserve"> </w:t>
      </w:r>
      <w:r>
        <w:t>The fund will</w:t>
      </w:r>
      <w:r>
        <w:rPr>
          <w:spacing w:val="-4"/>
        </w:rPr>
        <w:t xml:space="preserve"> </w:t>
      </w:r>
      <w:r>
        <w:t>help</w:t>
      </w:r>
      <w:r>
        <w:rPr>
          <w:spacing w:val="-4"/>
        </w:rPr>
        <w:t xml:space="preserve"> </w:t>
      </w:r>
      <w:r>
        <w:t>foster</w:t>
      </w:r>
      <w:r>
        <w:rPr>
          <w:spacing w:val="-4"/>
        </w:rPr>
        <w:t xml:space="preserve"> </w:t>
      </w:r>
      <w:r>
        <w:t>a</w:t>
      </w:r>
      <w:r>
        <w:rPr>
          <w:spacing w:val="-4"/>
        </w:rPr>
        <w:t xml:space="preserve"> </w:t>
      </w:r>
      <w:r>
        <w:t>faster,</w:t>
      </w:r>
      <w:r>
        <w:rPr>
          <w:spacing w:val="-6"/>
        </w:rPr>
        <w:t xml:space="preserve"> </w:t>
      </w:r>
      <w:r>
        <w:t>lower-cost</w:t>
      </w:r>
      <w:r>
        <w:rPr>
          <w:spacing w:val="-4"/>
        </w:rPr>
        <w:t xml:space="preserve"> </w:t>
      </w:r>
      <w:r>
        <w:t>marketplace</w:t>
      </w:r>
      <w:r>
        <w:rPr>
          <w:spacing w:val="-4"/>
        </w:rPr>
        <w:t xml:space="preserve"> </w:t>
      </w:r>
      <w:r>
        <w:t>for</w:t>
      </w:r>
      <w:r>
        <w:rPr>
          <w:spacing w:val="-4"/>
        </w:rPr>
        <w:t xml:space="preserve"> </w:t>
      </w:r>
      <w:r>
        <w:t>developers</w:t>
      </w:r>
      <w:r>
        <w:rPr>
          <w:spacing w:val="-4"/>
        </w:rPr>
        <w:t xml:space="preserve"> </w:t>
      </w:r>
      <w:r>
        <w:t>and</w:t>
      </w:r>
      <w:r>
        <w:rPr>
          <w:spacing w:val="-6"/>
        </w:rPr>
        <w:t xml:space="preserve"> </w:t>
      </w:r>
      <w:r>
        <w:t>private</w:t>
      </w:r>
      <w:r>
        <w:rPr>
          <w:spacing w:val="-4"/>
        </w:rPr>
        <w:t xml:space="preserve"> </w:t>
      </w:r>
      <w:r>
        <w:t>capital</w:t>
      </w:r>
      <w:r>
        <w:rPr>
          <w:spacing w:val="-4"/>
        </w:rPr>
        <w:t xml:space="preserve"> </w:t>
      </w:r>
      <w:r>
        <w:t>investors</w:t>
      </w:r>
      <w:r>
        <w:rPr>
          <w:spacing w:val="-2"/>
        </w:rPr>
        <w:t xml:space="preserve"> </w:t>
      </w:r>
      <w:r>
        <w:t>by</w:t>
      </w:r>
    </w:p>
    <w:p w14:paraId="6C518D32" w14:textId="77777777" w:rsidR="00933BDA" w:rsidRDefault="00933BDA">
      <w:pPr>
        <w:pStyle w:val="BodyText"/>
        <w:spacing w:line="276" w:lineRule="auto"/>
        <w:sectPr w:rsidR="00933BDA">
          <w:headerReference w:type="default" r:id="rId9"/>
          <w:footerReference w:type="default" r:id="rId10"/>
          <w:pgSz w:w="12240" w:h="15840"/>
          <w:pgMar w:top="1820" w:right="720" w:bottom="1020" w:left="1080" w:header="1504" w:footer="834" w:gutter="0"/>
          <w:cols w:space="720"/>
        </w:sectPr>
      </w:pPr>
    </w:p>
    <w:p w14:paraId="0FA29820" w14:textId="77777777" w:rsidR="00933BDA" w:rsidRDefault="00000000">
      <w:pPr>
        <w:pStyle w:val="BodyText"/>
        <w:spacing w:before="161" w:line="276" w:lineRule="auto"/>
      </w:pPr>
      <w:r>
        <w:lastRenderedPageBreak/>
        <w:t>creating an efficient platform to help infuse needed capital into housing projects and grow the Commonwealth’s</w:t>
      </w:r>
      <w:r>
        <w:rPr>
          <w:spacing w:val="-3"/>
        </w:rPr>
        <w:t xml:space="preserve"> </w:t>
      </w:r>
      <w:r>
        <w:t>multifamily</w:t>
      </w:r>
      <w:r>
        <w:rPr>
          <w:spacing w:val="-3"/>
        </w:rPr>
        <w:t xml:space="preserve"> </w:t>
      </w:r>
      <w:r>
        <w:t>housing</w:t>
      </w:r>
      <w:r>
        <w:rPr>
          <w:spacing w:val="-2"/>
        </w:rPr>
        <w:t xml:space="preserve"> </w:t>
      </w:r>
      <w:r>
        <w:t>stock.</w:t>
      </w:r>
      <w:r>
        <w:rPr>
          <w:spacing w:val="-8"/>
        </w:rPr>
        <w:t xml:space="preserve"> </w:t>
      </w:r>
      <w:r>
        <w:t>The</w:t>
      </w:r>
      <w:r>
        <w:rPr>
          <w:spacing w:val="-4"/>
        </w:rPr>
        <w:t xml:space="preserve"> </w:t>
      </w:r>
      <w:r>
        <w:t>bill</w:t>
      </w:r>
      <w:r>
        <w:rPr>
          <w:spacing w:val="-4"/>
        </w:rPr>
        <w:t xml:space="preserve"> </w:t>
      </w:r>
      <w:r>
        <w:t>includes</w:t>
      </w:r>
      <w:r>
        <w:rPr>
          <w:spacing w:val="-5"/>
        </w:rPr>
        <w:t xml:space="preserve"> </w:t>
      </w:r>
      <w:r>
        <w:rPr>
          <w:b/>
        </w:rPr>
        <w:t>$50M</w:t>
      </w:r>
      <w:r>
        <w:rPr>
          <w:b/>
          <w:spacing w:val="-5"/>
        </w:rPr>
        <w:t xml:space="preserve"> </w:t>
      </w:r>
      <w:r>
        <w:t>for</w:t>
      </w:r>
      <w:r>
        <w:rPr>
          <w:spacing w:val="-4"/>
        </w:rPr>
        <w:t xml:space="preserve"> </w:t>
      </w:r>
      <w:r>
        <w:t>this</w:t>
      </w:r>
      <w:r>
        <w:rPr>
          <w:spacing w:val="-4"/>
        </w:rPr>
        <w:t xml:space="preserve"> </w:t>
      </w:r>
      <w:r>
        <w:t>innovative</w:t>
      </w:r>
      <w:r>
        <w:rPr>
          <w:spacing w:val="-2"/>
        </w:rPr>
        <w:t xml:space="preserve"> </w:t>
      </w:r>
      <w:r>
        <w:t>program.</w:t>
      </w:r>
    </w:p>
    <w:p w14:paraId="6BB2B8E6" w14:textId="77777777" w:rsidR="00933BDA" w:rsidRDefault="00000000">
      <w:pPr>
        <w:pStyle w:val="Heading3"/>
        <w:spacing w:before="239"/>
      </w:pPr>
      <w:r>
        <w:t>Unlocking</w:t>
      </w:r>
      <w:r>
        <w:rPr>
          <w:spacing w:val="-2"/>
        </w:rPr>
        <w:t xml:space="preserve"> </w:t>
      </w:r>
      <w:r>
        <w:t>Housing</w:t>
      </w:r>
      <w:r>
        <w:rPr>
          <w:spacing w:val="-1"/>
        </w:rPr>
        <w:t xml:space="preserve"> </w:t>
      </w:r>
      <w:r>
        <w:t>Production</w:t>
      </w:r>
      <w:r>
        <w:rPr>
          <w:spacing w:val="-2"/>
        </w:rPr>
        <w:t xml:space="preserve"> Opportunities</w:t>
      </w:r>
    </w:p>
    <w:p w14:paraId="426C2F03" w14:textId="77777777" w:rsidR="00933BDA" w:rsidRDefault="00933BDA">
      <w:pPr>
        <w:pStyle w:val="BodyText"/>
        <w:spacing w:before="4"/>
        <w:rPr>
          <w:b/>
        </w:rPr>
      </w:pPr>
    </w:p>
    <w:p w14:paraId="4B546FD0" w14:textId="77777777" w:rsidR="00933BDA" w:rsidRDefault="00000000">
      <w:pPr>
        <w:pStyle w:val="BodyText"/>
        <w:spacing w:before="1" w:line="276" w:lineRule="auto"/>
        <w:ind w:right="454"/>
      </w:pPr>
      <w:r>
        <w:t>In</w:t>
      </w:r>
      <w:r>
        <w:rPr>
          <w:spacing w:val="-4"/>
        </w:rPr>
        <w:t xml:space="preserve"> </w:t>
      </w:r>
      <w:r>
        <w:t>addition</w:t>
      </w:r>
      <w:r>
        <w:rPr>
          <w:spacing w:val="-5"/>
        </w:rPr>
        <w:t xml:space="preserve"> </w:t>
      </w:r>
      <w:r>
        <w:t>to</w:t>
      </w:r>
      <w:r>
        <w:rPr>
          <w:spacing w:val="-6"/>
        </w:rPr>
        <w:t xml:space="preserve"> </w:t>
      </w:r>
      <w:r>
        <w:t>these</w:t>
      </w:r>
      <w:r>
        <w:rPr>
          <w:spacing w:val="-4"/>
        </w:rPr>
        <w:t xml:space="preserve"> </w:t>
      </w:r>
      <w:r>
        <w:t>investments,</w:t>
      </w:r>
      <w:r>
        <w:rPr>
          <w:spacing w:val="-6"/>
        </w:rPr>
        <w:t xml:space="preserve"> </w:t>
      </w:r>
      <w:r>
        <w:t>the</w:t>
      </w:r>
      <w:r>
        <w:rPr>
          <w:spacing w:val="-13"/>
        </w:rPr>
        <w:t xml:space="preserve"> </w:t>
      </w:r>
      <w:r>
        <w:t>Affordable</w:t>
      </w:r>
      <w:r>
        <w:rPr>
          <w:spacing w:val="-4"/>
        </w:rPr>
        <w:t xml:space="preserve"> </w:t>
      </w:r>
      <w:r>
        <w:t>Homes</w:t>
      </w:r>
      <w:r>
        <w:rPr>
          <w:spacing w:val="-17"/>
        </w:rPr>
        <w:t xml:space="preserve"> </w:t>
      </w:r>
      <w:r>
        <w:t>Act</w:t>
      </w:r>
      <w:r>
        <w:rPr>
          <w:spacing w:val="-1"/>
        </w:rPr>
        <w:t xml:space="preserve"> </w:t>
      </w:r>
      <w:r>
        <w:t>makes</w:t>
      </w:r>
      <w:r>
        <w:rPr>
          <w:spacing w:val="-4"/>
        </w:rPr>
        <w:t xml:space="preserve"> </w:t>
      </w:r>
      <w:r>
        <w:t>significant</w:t>
      </w:r>
      <w:r>
        <w:rPr>
          <w:spacing w:val="-4"/>
        </w:rPr>
        <w:t xml:space="preserve"> </w:t>
      </w:r>
      <w:r>
        <w:t>policy</w:t>
      </w:r>
      <w:r>
        <w:rPr>
          <w:spacing w:val="-4"/>
        </w:rPr>
        <w:t xml:space="preserve"> </w:t>
      </w:r>
      <w:r>
        <w:t>changes aimed</w:t>
      </w:r>
      <w:r>
        <w:rPr>
          <w:spacing w:val="-3"/>
        </w:rPr>
        <w:t xml:space="preserve"> </w:t>
      </w:r>
      <w:r>
        <w:t>at</w:t>
      </w:r>
      <w:r>
        <w:rPr>
          <w:spacing w:val="-5"/>
        </w:rPr>
        <w:t xml:space="preserve"> </w:t>
      </w:r>
      <w:r>
        <w:t>supporting</w:t>
      </w:r>
      <w:r>
        <w:rPr>
          <w:spacing w:val="-3"/>
        </w:rPr>
        <w:t xml:space="preserve"> </w:t>
      </w:r>
      <w:r>
        <w:t>purposeful</w:t>
      </w:r>
      <w:r>
        <w:rPr>
          <w:spacing w:val="-6"/>
        </w:rPr>
        <w:t xml:space="preserve"> </w:t>
      </w:r>
      <w:r>
        <w:t>planning</w:t>
      </w:r>
      <w:r>
        <w:rPr>
          <w:spacing w:val="-4"/>
        </w:rPr>
        <w:t xml:space="preserve"> </w:t>
      </w:r>
      <w:r>
        <w:t>and</w:t>
      </w:r>
      <w:r>
        <w:rPr>
          <w:spacing w:val="-4"/>
        </w:rPr>
        <w:t xml:space="preserve"> </w:t>
      </w:r>
      <w:r>
        <w:t>unlocking</w:t>
      </w:r>
      <w:r>
        <w:rPr>
          <w:spacing w:val="-3"/>
        </w:rPr>
        <w:t xml:space="preserve"> </w:t>
      </w:r>
      <w:r>
        <w:t>opportunities</w:t>
      </w:r>
      <w:r>
        <w:rPr>
          <w:spacing w:val="-4"/>
        </w:rPr>
        <w:t xml:space="preserve"> </w:t>
      </w:r>
      <w:r>
        <w:t>for</w:t>
      </w:r>
      <w:r>
        <w:rPr>
          <w:spacing w:val="-3"/>
        </w:rPr>
        <w:t xml:space="preserve"> </w:t>
      </w:r>
      <w:r>
        <w:t>housing</w:t>
      </w:r>
      <w:r>
        <w:rPr>
          <w:spacing w:val="-3"/>
        </w:rPr>
        <w:t xml:space="preserve"> </w:t>
      </w:r>
      <w:r>
        <w:t xml:space="preserve">production. For example, the bill requires the Executive Office of Housing and Livable Communities (EOHLC) to prepare a </w:t>
      </w:r>
      <w:r>
        <w:rPr>
          <w:b/>
        </w:rPr>
        <w:t xml:space="preserve">Statewide Housing Plan </w:t>
      </w:r>
      <w:r>
        <w:t>every 5 years based on regional outreach and robust data analysis.</w:t>
      </w:r>
    </w:p>
    <w:p w14:paraId="015263B8" w14:textId="77777777" w:rsidR="00933BDA" w:rsidRDefault="00000000">
      <w:pPr>
        <w:pStyle w:val="BodyText"/>
        <w:spacing w:before="242" w:line="276" w:lineRule="auto"/>
      </w:pPr>
      <w:r>
        <w:t>The</w:t>
      </w:r>
      <w:r>
        <w:rPr>
          <w:spacing w:val="-3"/>
        </w:rPr>
        <w:t xml:space="preserve"> </w:t>
      </w:r>
      <w:r>
        <w:t>bill</w:t>
      </w:r>
      <w:r>
        <w:rPr>
          <w:spacing w:val="-3"/>
        </w:rPr>
        <w:t xml:space="preserve"> </w:t>
      </w:r>
      <w:r>
        <w:t>also</w:t>
      </w:r>
      <w:r>
        <w:rPr>
          <w:spacing w:val="-5"/>
        </w:rPr>
        <w:t xml:space="preserve"> </w:t>
      </w:r>
      <w:r>
        <w:t>includes</w:t>
      </w:r>
      <w:r>
        <w:rPr>
          <w:spacing w:val="-3"/>
        </w:rPr>
        <w:t xml:space="preserve"> </w:t>
      </w:r>
      <w:r>
        <w:t>several</w:t>
      </w:r>
      <w:r>
        <w:rPr>
          <w:spacing w:val="-3"/>
        </w:rPr>
        <w:t xml:space="preserve"> </w:t>
      </w:r>
      <w:r>
        <w:t>policies</w:t>
      </w:r>
      <w:r>
        <w:rPr>
          <w:spacing w:val="-3"/>
        </w:rPr>
        <w:t xml:space="preserve"> </w:t>
      </w:r>
      <w:r>
        <w:t>designed</w:t>
      </w:r>
      <w:r>
        <w:rPr>
          <w:spacing w:val="-3"/>
        </w:rPr>
        <w:t xml:space="preserve"> </w:t>
      </w:r>
      <w:r>
        <w:t>to</w:t>
      </w:r>
      <w:r>
        <w:rPr>
          <w:spacing w:val="-2"/>
        </w:rPr>
        <w:t xml:space="preserve"> </w:t>
      </w:r>
      <w:r>
        <w:t>increase</w:t>
      </w:r>
      <w:r>
        <w:rPr>
          <w:spacing w:val="-3"/>
        </w:rPr>
        <w:t xml:space="preserve"> </w:t>
      </w:r>
      <w:r>
        <w:t>opportunities</w:t>
      </w:r>
      <w:r>
        <w:rPr>
          <w:spacing w:val="-3"/>
        </w:rPr>
        <w:t xml:space="preserve"> </w:t>
      </w:r>
      <w:r>
        <w:t>for</w:t>
      </w:r>
      <w:r>
        <w:rPr>
          <w:spacing w:val="-2"/>
        </w:rPr>
        <w:t xml:space="preserve"> </w:t>
      </w:r>
      <w:r>
        <w:t>production</w:t>
      </w:r>
      <w:r>
        <w:rPr>
          <w:spacing w:val="-5"/>
        </w:rPr>
        <w:t xml:space="preserve"> </w:t>
      </w:r>
      <w:r>
        <w:t>and preservation statewide:</w:t>
      </w:r>
    </w:p>
    <w:p w14:paraId="50C84590" w14:textId="77777777" w:rsidR="00933BDA" w:rsidRDefault="00000000">
      <w:pPr>
        <w:pStyle w:val="ListParagraph"/>
        <w:numPr>
          <w:ilvl w:val="0"/>
          <w:numId w:val="1"/>
        </w:numPr>
        <w:tabs>
          <w:tab w:val="left" w:pos="720"/>
        </w:tabs>
        <w:spacing w:before="240" w:line="271" w:lineRule="auto"/>
        <w:ind w:right="628"/>
        <w:rPr>
          <w:sz w:val="24"/>
        </w:rPr>
      </w:pPr>
      <w:r>
        <w:rPr>
          <w:b/>
          <w:sz w:val="24"/>
        </w:rPr>
        <w:t>Accessory</w:t>
      </w:r>
      <w:r>
        <w:rPr>
          <w:b/>
          <w:spacing w:val="-3"/>
          <w:sz w:val="24"/>
        </w:rPr>
        <w:t xml:space="preserve"> </w:t>
      </w:r>
      <w:r>
        <w:rPr>
          <w:b/>
          <w:sz w:val="24"/>
        </w:rPr>
        <w:t>Dwelling</w:t>
      </w:r>
      <w:r>
        <w:rPr>
          <w:b/>
          <w:spacing w:val="-5"/>
          <w:sz w:val="24"/>
        </w:rPr>
        <w:t xml:space="preserve"> </w:t>
      </w:r>
      <w:r>
        <w:rPr>
          <w:b/>
          <w:sz w:val="24"/>
        </w:rPr>
        <w:t>Units</w:t>
      </w:r>
      <w:r>
        <w:rPr>
          <w:b/>
          <w:spacing w:val="-3"/>
          <w:sz w:val="24"/>
        </w:rPr>
        <w:t xml:space="preserve"> </w:t>
      </w:r>
      <w:r>
        <w:rPr>
          <w:b/>
          <w:sz w:val="24"/>
        </w:rPr>
        <w:t>(ADUs)</w:t>
      </w:r>
      <w:r>
        <w:rPr>
          <w:b/>
          <w:spacing w:val="-13"/>
          <w:sz w:val="24"/>
        </w:rPr>
        <w:t xml:space="preserve"> </w:t>
      </w:r>
      <w:r>
        <w:rPr>
          <w:b/>
          <w:sz w:val="24"/>
        </w:rPr>
        <w:t>As-Of-Right:</w:t>
      </w:r>
      <w:r>
        <w:rPr>
          <w:b/>
          <w:spacing w:val="-4"/>
          <w:sz w:val="24"/>
        </w:rPr>
        <w:t xml:space="preserve"> </w:t>
      </w:r>
      <w:r>
        <w:rPr>
          <w:sz w:val="24"/>
        </w:rPr>
        <w:t>Permits</w:t>
      </w:r>
      <w:r>
        <w:rPr>
          <w:spacing w:val="-17"/>
          <w:sz w:val="24"/>
        </w:rPr>
        <w:t xml:space="preserve"> </w:t>
      </w:r>
      <w:r>
        <w:rPr>
          <w:sz w:val="24"/>
        </w:rPr>
        <w:t>ADUs</w:t>
      </w:r>
      <w:r>
        <w:rPr>
          <w:spacing w:val="-2"/>
          <w:sz w:val="24"/>
        </w:rPr>
        <w:t xml:space="preserve"> </w:t>
      </w:r>
      <w:r>
        <w:rPr>
          <w:sz w:val="24"/>
        </w:rPr>
        <w:t>equal</w:t>
      </w:r>
      <w:r>
        <w:rPr>
          <w:spacing w:val="-3"/>
          <w:sz w:val="24"/>
        </w:rPr>
        <w:t xml:space="preserve"> </w:t>
      </w:r>
      <w:r>
        <w:rPr>
          <w:sz w:val="24"/>
        </w:rPr>
        <w:t>to</w:t>
      </w:r>
      <w:r>
        <w:rPr>
          <w:spacing w:val="-4"/>
          <w:sz w:val="24"/>
        </w:rPr>
        <w:t xml:space="preserve"> </w:t>
      </w:r>
      <w:r>
        <w:rPr>
          <w:sz w:val="24"/>
        </w:rPr>
        <w:t>or</w:t>
      </w:r>
      <w:r>
        <w:rPr>
          <w:spacing w:val="-3"/>
          <w:sz w:val="24"/>
        </w:rPr>
        <w:t xml:space="preserve"> </w:t>
      </w:r>
      <w:r>
        <w:rPr>
          <w:sz w:val="24"/>
        </w:rPr>
        <w:t>less</w:t>
      </w:r>
      <w:r>
        <w:rPr>
          <w:spacing w:val="-3"/>
          <w:sz w:val="24"/>
        </w:rPr>
        <w:t xml:space="preserve"> </w:t>
      </w:r>
      <w:r>
        <w:rPr>
          <w:sz w:val="24"/>
        </w:rPr>
        <w:t>than 900 square feet to be built by-right in single family zoning districts in all communities.</w:t>
      </w:r>
    </w:p>
    <w:p w14:paraId="2E21763D" w14:textId="77777777" w:rsidR="00933BDA" w:rsidRDefault="00000000">
      <w:pPr>
        <w:pStyle w:val="ListParagraph"/>
        <w:numPr>
          <w:ilvl w:val="0"/>
          <w:numId w:val="1"/>
        </w:numPr>
        <w:tabs>
          <w:tab w:val="left" w:pos="720"/>
        </w:tabs>
        <w:spacing w:before="246" w:line="276" w:lineRule="auto"/>
        <w:ind w:right="648"/>
        <w:rPr>
          <w:sz w:val="24"/>
        </w:rPr>
      </w:pPr>
      <w:r>
        <w:rPr>
          <w:b/>
          <w:sz w:val="24"/>
        </w:rPr>
        <w:t>Local Option Transfer Fee:</w:t>
      </w:r>
      <w:r>
        <w:rPr>
          <w:b/>
          <w:spacing w:val="-4"/>
          <w:sz w:val="24"/>
        </w:rPr>
        <w:t xml:space="preserve"> </w:t>
      </w:r>
      <w:r>
        <w:rPr>
          <w:sz w:val="24"/>
        </w:rPr>
        <w:t>Allows municipalities and regional affordable housing commissions</w:t>
      </w:r>
      <w:r>
        <w:rPr>
          <w:spacing w:val="-3"/>
          <w:sz w:val="24"/>
        </w:rPr>
        <w:t xml:space="preserve"> </w:t>
      </w:r>
      <w:r>
        <w:rPr>
          <w:sz w:val="24"/>
        </w:rPr>
        <w:t>to</w:t>
      </w:r>
      <w:r>
        <w:rPr>
          <w:spacing w:val="-3"/>
          <w:sz w:val="24"/>
        </w:rPr>
        <w:t xml:space="preserve"> </w:t>
      </w:r>
      <w:r>
        <w:rPr>
          <w:sz w:val="24"/>
        </w:rPr>
        <w:t>adopt</w:t>
      </w:r>
      <w:r>
        <w:rPr>
          <w:spacing w:val="-5"/>
          <w:sz w:val="24"/>
        </w:rPr>
        <w:t xml:space="preserve"> </w:t>
      </w:r>
      <w:r>
        <w:rPr>
          <w:sz w:val="24"/>
        </w:rPr>
        <w:t>a</w:t>
      </w:r>
      <w:r>
        <w:rPr>
          <w:spacing w:val="-3"/>
          <w:sz w:val="24"/>
        </w:rPr>
        <w:t xml:space="preserve"> </w:t>
      </w:r>
      <w:r>
        <w:rPr>
          <w:sz w:val="24"/>
        </w:rPr>
        <w:t>transfer</w:t>
      </w:r>
      <w:r>
        <w:rPr>
          <w:spacing w:val="-3"/>
          <w:sz w:val="24"/>
        </w:rPr>
        <w:t xml:space="preserve"> </w:t>
      </w:r>
      <w:r>
        <w:rPr>
          <w:sz w:val="24"/>
        </w:rPr>
        <w:t>fee</w:t>
      </w:r>
      <w:r>
        <w:rPr>
          <w:spacing w:val="-3"/>
          <w:sz w:val="24"/>
        </w:rPr>
        <w:t xml:space="preserve"> </w:t>
      </w:r>
      <w:r>
        <w:rPr>
          <w:sz w:val="24"/>
        </w:rPr>
        <w:t>of</w:t>
      </w:r>
      <w:r>
        <w:rPr>
          <w:spacing w:val="-3"/>
          <w:sz w:val="24"/>
        </w:rPr>
        <w:t xml:space="preserve"> </w:t>
      </w:r>
      <w:r>
        <w:rPr>
          <w:sz w:val="24"/>
        </w:rPr>
        <w:t>0.5% -</w:t>
      </w:r>
      <w:r>
        <w:rPr>
          <w:spacing w:val="-5"/>
          <w:sz w:val="24"/>
        </w:rPr>
        <w:t xml:space="preserve"> </w:t>
      </w:r>
      <w:r>
        <w:rPr>
          <w:sz w:val="24"/>
        </w:rPr>
        <w:t>2.0%,</w:t>
      </w:r>
      <w:r>
        <w:rPr>
          <w:spacing w:val="-5"/>
          <w:sz w:val="24"/>
        </w:rPr>
        <w:t xml:space="preserve"> </w:t>
      </w:r>
      <w:r>
        <w:rPr>
          <w:sz w:val="24"/>
        </w:rPr>
        <w:t>paid</w:t>
      </w:r>
      <w:r>
        <w:rPr>
          <w:spacing w:val="-3"/>
          <w:sz w:val="24"/>
        </w:rPr>
        <w:t xml:space="preserve"> </w:t>
      </w:r>
      <w:r>
        <w:rPr>
          <w:sz w:val="24"/>
        </w:rPr>
        <w:t>by</w:t>
      </w:r>
      <w:r>
        <w:rPr>
          <w:spacing w:val="-5"/>
          <w:sz w:val="24"/>
        </w:rPr>
        <w:t xml:space="preserve"> </w:t>
      </w:r>
      <w:r>
        <w:rPr>
          <w:sz w:val="24"/>
        </w:rPr>
        <w:t>the</w:t>
      </w:r>
      <w:r>
        <w:rPr>
          <w:spacing w:val="-5"/>
          <w:sz w:val="24"/>
        </w:rPr>
        <w:t xml:space="preserve"> </w:t>
      </w:r>
      <w:r>
        <w:rPr>
          <w:sz w:val="24"/>
        </w:rPr>
        <w:t>seller</w:t>
      </w:r>
      <w:r>
        <w:rPr>
          <w:spacing w:val="-3"/>
          <w:sz w:val="24"/>
        </w:rPr>
        <w:t xml:space="preserve"> </w:t>
      </w:r>
      <w:r>
        <w:rPr>
          <w:sz w:val="24"/>
        </w:rPr>
        <w:t>of</w:t>
      </w:r>
      <w:r>
        <w:rPr>
          <w:spacing w:val="-3"/>
          <w:sz w:val="24"/>
        </w:rPr>
        <w:t xml:space="preserve"> </w:t>
      </w:r>
      <w:r>
        <w:rPr>
          <w:sz w:val="24"/>
        </w:rPr>
        <w:t>real</w:t>
      </w:r>
      <w:r>
        <w:rPr>
          <w:spacing w:val="-3"/>
          <w:sz w:val="24"/>
        </w:rPr>
        <w:t xml:space="preserve"> </w:t>
      </w:r>
      <w:r>
        <w:rPr>
          <w:sz w:val="24"/>
        </w:rPr>
        <w:t>property on the portion of sale proceeds over $1M or the county median home sales price, whichever is greater (adjusted for inflation). Revenue from this fee must be used for affordable housing purposes.</w:t>
      </w:r>
    </w:p>
    <w:p w14:paraId="54C1C7B1" w14:textId="77777777" w:rsidR="00933BDA" w:rsidRDefault="00000000">
      <w:pPr>
        <w:pStyle w:val="ListParagraph"/>
        <w:numPr>
          <w:ilvl w:val="0"/>
          <w:numId w:val="1"/>
        </w:numPr>
        <w:tabs>
          <w:tab w:val="left" w:pos="720"/>
        </w:tabs>
        <w:spacing w:before="236" w:line="273" w:lineRule="auto"/>
        <w:ind w:right="392"/>
        <w:rPr>
          <w:sz w:val="24"/>
        </w:rPr>
      </w:pPr>
      <w:r>
        <w:rPr>
          <w:b/>
          <w:sz w:val="24"/>
        </w:rPr>
        <w:t>Inclusionary</w:t>
      </w:r>
      <w:r>
        <w:rPr>
          <w:b/>
          <w:spacing w:val="-3"/>
          <w:sz w:val="24"/>
        </w:rPr>
        <w:t xml:space="preserve"> </w:t>
      </w:r>
      <w:r>
        <w:rPr>
          <w:b/>
          <w:sz w:val="24"/>
        </w:rPr>
        <w:t>Zoning</w:t>
      </w:r>
      <w:r>
        <w:rPr>
          <w:b/>
          <w:spacing w:val="-6"/>
          <w:sz w:val="24"/>
        </w:rPr>
        <w:t xml:space="preserve"> </w:t>
      </w:r>
      <w:r>
        <w:rPr>
          <w:b/>
          <w:sz w:val="24"/>
        </w:rPr>
        <w:t>by</w:t>
      </w:r>
      <w:r>
        <w:rPr>
          <w:b/>
          <w:spacing w:val="-3"/>
          <w:sz w:val="24"/>
        </w:rPr>
        <w:t xml:space="preserve"> </w:t>
      </w:r>
      <w:r>
        <w:rPr>
          <w:b/>
          <w:sz w:val="24"/>
        </w:rPr>
        <w:t>Simple</w:t>
      </w:r>
      <w:r>
        <w:rPr>
          <w:b/>
          <w:spacing w:val="-3"/>
          <w:sz w:val="24"/>
        </w:rPr>
        <w:t xml:space="preserve"> </w:t>
      </w:r>
      <w:r>
        <w:rPr>
          <w:b/>
          <w:sz w:val="24"/>
        </w:rPr>
        <w:t>Majority:</w:t>
      </w:r>
      <w:r>
        <w:rPr>
          <w:b/>
          <w:spacing w:val="-15"/>
          <w:sz w:val="24"/>
        </w:rPr>
        <w:t xml:space="preserve"> </w:t>
      </w:r>
      <w:r>
        <w:rPr>
          <w:sz w:val="24"/>
        </w:rPr>
        <w:t>Adds</w:t>
      </w:r>
      <w:r>
        <w:rPr>
          <w:spacing w:val="-3"/>
          <w:sz w:val="24"/>
        </w:rPr>
        <w:t xml:space="preserve"> </w:t>
      </w:r>
      <w:r>
        <w:rPr>
          <w:sz w:val="24"/>
        </w:rPr>
        <w:t>inclusionary</w:t>
      </w:r>
      <w:r>
        <w:rPr>
          <w:spacing w:val="-3"/>
          <w:sz w:val="24"/>
        </w:rPr>
        <w:t xml:space="preserve"> </w:t>
      </w:r>
      <w:proofErr w:type="gramStart"/>
      <w:r>
        <w:rPr>
          <w:sz w:val="24"/>
        </w:rPr>
        <w:t>zoning</w:t>
      </w:r>
      <w:proofErr w:type="gramEnd"/>
      <w:r>
        <w:rPr>
          <w:sz w:val="24"/>
        </w:rPr>
        <w:t xml:space="preserve"> to</w:t>
      </w:r>
      <w:r>
        <w:rPr>
          <w:spacing w:val="-4"/>
          <w:sz w:val="24"/>
        </w:rPr>
        <w:t xml:space="preserve"> </w:t>
      </w:r>
      <w:r>
        <w:rPr>
          <w:sz w:val="24"/>
        </w:rPr>
        <w:t>the</w:t>
      </w:r>
      <w:r>
        <w:rPr>
          <w:spacing w:val="-5"/>
          <w:sz w:val="24"/>
        </w:rPr>
        <w:t xml:space="preserve"> </w:t>
      </w:r>
      <w:r>
        <w:rPr>
          <w:sz w:val="24"/>
        </w:rPr>
        <w:t>list</w:t>
      </w:r>
      <w:r>
        <w:rPr>
          <w:spacing w:val="-3"/>
          <w:sz w:val="24"/>
        </w:rPr>
        <w:t xml:space="preserve"> </w:t>
      </w:r>
      <w:r>
        <w:rPr>
          <w:sz w:val="24"/>
        </w:rPr>
        <w:t>of</w:t>
      </w:r>
      <w:r>
        <w:rPr>
          <w:spacing w:val="-3"/>
          <w:sz w:val="24"/>
        </w:rPr>
        <w:t xml:space="preserve"> </w:t>
      </w:r>
      <w:r>
        <w:rPr>
          <w:sz w:val="24"/>
        </w:rPr>
        <w:t>zoning changes municipalities can pass by a simple majority instead of a 2/3 super majority vote of city/town legislative body.</w:t>
      </w:r>
    </w:p>
    <w:p w14:paraId="2916C0B9" w14:textId="77777777" w:rsidR="00933BDA" w:rsidRDefault="00000000">
      <w:pPr>
        <w:pStyle w:val="ListParagraph"/>
        <w:numPr>
          <w:ilvl w:val="0"/>
          <w:numId w:val="1"/>
        </w:numPr>
        <w:tabs>
          <w:tab w:val="left" w:pos="720"/>
        </w:tabs>
        <w:spacing w:line="276" w:lineRule="auto"/>
        <w:ind w:right="485"/>
        <w:rPr>
          <w:sz w:val="24"/>
        </w:rPr>
      </w:pPr>
      <w:r>
        <w:rPr>
          <w:b/>
          <w:sz w:val="24"/>
        </w:rPr>
        <w:t xml:space="preserve">Surplus Public Land Disposition Reforms: </w:t>
      </w:r>
      <w:r>
        <w:rPr>
          <w:sz w:val="24"/>
        </w:rPr>
        <w:t xml:space="preserve">Creates paths to streamlined disposition of land under the control of a state agency or quasi for housing purposes. These changes are supported by a </w:t>
      </w:r>
      <w:r>
        <w:rPr>
          <w:b/>
          <w:sz w:val="24"/>
        </w:rPr>
        <w:t xml:space="preserve">$30M State Surplus Property Disposition </w:t>
      </w:r>
      <w:r>
        <w:rPr>
          <w:sz w:val="24"/>
        </w:rPr>
        <w:t>authorization to help ready state surplus land for housing uses by covering the cost of demolition of existing, obsolete structures or necessary environmental remediation. This investment also</w:t>
      </w:r>
      <w:r>
        <w:rPr>
          <w:spacing w:val="-3"/>
          <w:sz w:val="24"/>
        </w:rPr>
        <w:t xml:space="preserve"> </w:t>
      </w:r>
      <w:r>
        <w:rPr>
          <w:sz w:val="24"/>
        </w:rPr>
        <w:t>complements</w:t>
      </w:r>
      <w:r>
        <w:rPr>
          <w:spacing w:val="-6"/>
          <w:sz w:val="24"/>
        </w:rPr>
        <w:t xml:space="preserve"> </w:t>
      </w:r>
      <w:r>
        <w:rPr>
          <w:sz w:val="24"/>
        </w:rPr>
        <w:t>an</w:t>
      </w:r>
      <w:r>
        <w:rPr>
          <w:spacing w:val="-5"/>
          <w:sz w:val="24"/>
        </w:rPr>
        <w:t xml:space="preserve"> </w:t>
      </w:r>
      <w:r>
        <w:rPr>
          <w:sz w:val="24"/>
        </w:rPr>
        <w:t>accompanying</w:t>
      </w:r>
      <w:r>
        <w:rPr>
          <w:spacing w:val="-4"/>
          <w:sz w:val="24"/>
        </w:rPr>
        <w:t xml:space="preserve"> </w:t>
      </w:r>
      <w:r>
        <w:rPr>
          <w:sz w:val="24"/>
        </w:rPr>
        <w:t>executive</w:t>
      </w:r>
      <w:r>
        <w:rPr>
          <w:spacing w:val="-4"/>
          <w:sz w:val="24"/>
        </w:rPr>
        <w:t xml:space="preserve"> </w:t>
      </w:r>
      <w:r>
        <w:rPr>
          <w:sz w:val="24"/>
        </w:rPr>
        <w:t>order</w:t>
      </w:r>
      <w:r>
        <w:rPr>
          <w:spacing w:val="-5"/>
          <w:sz w:val="24"/>
        </w:rPr>
        <w:t xml:space="preserve"> </w:t>
      </w:r>
      <w:r>
        <w:rPr>
          <w:sz w:val="24"/>
        </w:rPr>
        <w:t>that</w:t>
      </w:r>
      <w:r>
        <w:rPr>
          <w:spacing w:val="-3"/>
          <w:sz w:val="24"/>
        </w:rPr>
        <w:t xml:space="preserve"> </w:t>
      </w:r>
      <w:r>
        <w:rPr>
          <w:sz w:val="24"/>
        </w:rPr>
        <w:t>directs</w:t>
      </w:r>
      <w:r>
        <w:rPr>
          <w:spacing w:val="-6"/>
          <w:sz w:val="24"/>
        </w:rPr>
        <w:t xml:space="preserve"> </w:t>
      </w:r>
      <w:r>
        <w:rPr>
          <w:sz w:val="24"/>
        </w:rPr>
        <w:t>EOHLC</w:t>
      </w:r>
      <w:r>
        <w:rPr>
          <w:spacing w:val="-4"/>
          <w:sz w:val="24"/>
        </w:rPr>
        <w:t xml:space="preserve"> </w:t>
      </w:r>
      <w:r>
        <w:rPr>
          <w:sz w:val="24"/>
        </w:rPr>
        <w:t>and</w:t>
      </w:r>
      <w:r>
        <w:rPr>
          <w:spacing w:val="-4"/>
          <w:sz w:val="24"/>
        </w:rPr>
        <w:t xml:space="preserve"> </w:t>
      </w:r>
      <w:r>
        <w:rPr>
          <w:sz w:val="24"/>
        </w:rPr>
        <w:t>DCAMM, with guidance and direction from the Lieutenant Governor, to develop an expanded inventory of government-controlled property suitable for housing.</w:t>
      </w:r>
    </w:p>
    <w:p w14:paraId="68EC3080" w14:textId="77777777" w:rsidR="00933BDA" w:rsidRDefault="00933BDA">
      <w:pPr>
        <w:pStyle w:val="BodyText"/>
        <w:spacing w:before="35"/>
      </w:pPr>
    </w:p>
    <w:p w14:paraId="480DA0A6" w14:textId="77777777" w:rsidR="00933BDA" w:rsidRDefault="00000000">
      <w:pPr>
        <w:pStyle w:val="ListParagraph"/>
        <w:numPr>
          <w:ilvl w:val="0"/>
          <w:numId w:val="1"/>
        </w:numPr>
        <w:tabs>
          <w:tab w:val="left" w:pos="720"/>
        </w:tabs>
        <w:spacing w:before="0" w:line="276" w:lineRule="auto"/>
        <w:ind w:right="762"/>
        <w:rPr>
          <w:sz w:val="24"/>
        </w:rPr>
      </w:pPr>
      <w:r>
        <w:rPr>
          <w:b/>
          <w:sz w:val="24"/>
        </w:rPr>
        <w:t>Community</w:t>
      </w:r>
      <w:r>
        <w:rPr>
          <w:b/>
          <w:spacing w:val="-6"/>
          <w:sz w:val="24"/>
        </w:rPr>
        <w:t xml:space="preserve"> </w:t>
      </w:r>
      <w:r>
        <w:rPr>
          <w:b/>
          <w:sz w:val="24"/>
        </w:rPr>
        <w:t>Investment</w:t>
      </w:r>
      <w:r>
        <w:rPr>
          <w:b/>
          <w:spacing w:val="-7"/>
          <w:sz w:val="24"/>
        </w:rPr>
        <w:t xml:space="preserve"> </w:t>
      </w:r>
      <w:r>
        <w:rPr>
          <w:b/>
          <w:sz w:val="24"/>
        </w:rPr>
        <w:t>Tax</w:t>
      </w:r>
      <w:r>
        <w:rPr>
          <w:b/>
          <w:spacing w:val="-6"/>
          <w:sz w:val="24"/>
        </w:rPr>
        <w:t xml:space="preserve"> </w:t>
      </w:r>
      <w:r>
        <w:rPr>
          <w:b/>
          <w:sz w:val="24"/>
        </w:rPr>
        <w:t>Credit</w:t>
      </w:r>
      <w:r>
        <w:rPr>
          <w:b/>
          <w:spacing w:val="-6"/>
          <w:sz w:val="24"/>
        </w:rPr>
        <w:t xml:space="preserve"> </w:t>
      </w:r>
      <w:r>
        <w:rPr>
          <w:b/>
          <w:sz w:val="24"/>
        </w:rPr>
        <w:t>(CITC):</w:t>
      </w:r>
      <w:r>
        <w:rPr>
          <w:b/>
          <w:spacing w:val="-4"/>
          <w:sz w:val="24"/>
        </w:rPr>
        <w:t xml:space="preserve"> </w:t>
      </w:r>
      <w:r>
        <w:rPr>
          <w:sz w:val="24"/>
        </w:rPr>
        <w:t>Eliminates</w:t>
      </w:r>
      <w:r>
        <w:rPr>
          <w:spacing w:val="-5"/>
          <w:sz w:val="24"/>
        </w:rPr>
        <w:t xml:space="preserve"> </w:t>
      </w:r>
      <w:r>
        <w:rPr>
          <w:sz w:val="24"/>
        </w:rPr>
        <w:t>the</w:t>
      </w:r>
      <w:r>
        <w:rPr>
          <w:spacing w:val="-5"/>
          <w:sz w:val="24"/>
        </w:rPr>
        <w:t xml:space="preserve"> </w:t>
      </w:r>
      <w:r>
        <w:rPr>
          <w:sz w:val="24"/>
        </w:rPr>
        <w:t>CITC’s</w:t>
      </w:r>
      <w:r>
        <w:rPr>
          <w:spacing w:val="-8"/>
          <w:sz w:val="24"/>
        </w:rPr>
        <w:t xml:space="preserve"> </w:t>
      </w:r>
      <w:r>
        <w:rPr>
          <w:sz w:val="24"/>
        </w:rPr>
        <w:t>2025</w:t>
      </w:r>
      <w:r>
        <w:rPr>
          <w:spacing w:val="-6"/>
          <w:sz w:val="24"/>
        </w:rPr>
        <w:t xml:space="preserve"> </w:t>
      </w:r>
      <w:r>
        <w:rPr>
          <w:sz w:val="24"/>
        </w:rPr>
        <w:t>sunset</w:t>
      </w:r>
      <w:r>
        <w:rPr>
          <w:spacing w:val="-8"/>
          <w:sz w:val="24"/>
        </w:rPr>
        <w:t xml:space="preserve"> </w:t>
      </w:r>
      <w:r>
        <w:rPr>
          <w:sz w:val="24"/>
        </w:rPr>
        <w:t xml:space="preserve">and expands the statewide cap on donations from $12M to $15M; under the CITC, individuals donating $1,000 or more to </w:t>
      </w:r>
      <w:proofErr w:type="gramStart"/>
      <w:r>
        <w:rPr>
          <w:sz w:val="24"/>
        </w:rPr>
        <w:t>a CDCs</w:t>
      </w:r>
      <w:proofErr w:type="gramEnd"/>
      <w:r>
        <w:rPr>
          <w:sz w:val="24"/>
        </w:rPr>
        <w:t xml:space="preserve"> or nonprofit Community Support Organizations that have been awarded CITC receive a credit of 50% of their </w:t>
      </w:r>
      <w:r>
        <w:rPr>
          <w:spacing w:val="-2"/>
          <w:sz w:val="24"/>
        </w:rPr>
        <w:t>contribution.</w:t>
      </w:r>
    </w:p>
    <w:sectPr w:rsidR="00933BDA">
      <w:pgSz w:w="12240" w:h="15840"/>
      <w:pgMar w:top="1820" w:right="720" w:bottom="1020" w:left="1080" w:header="1504"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C9F9" w14:textId="77777777" w:rsidR="00135891" w:rsidRDefault="00135891">
      <w:r>
        <w:separator/>
      </w:r>
    </w:p>
  </w:endnote>
  <w:endnote w:type="continuationSeparator" w:id="0">
    <w:p w14:paraId="143F072E" w14:textId="77777777" w:rsidR="00135891" w:rsidRDefault="0013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69E7" w14:textId="77777777" w:rsidR="00933BDA" w:rsidRDefault="00000000">
    <w:pPr>
      <w:pStyle w:val="BodyText"/>
      <w:spacing w:line="14" w:lineRule="auto"/>
      <w:rPr>
        <w:sz w:val="20"/>
      </w:rPr>
    </w:pPr>
    <w:r>
      <w:rPr>
        <w:noProof/>
        <w:sz w:val="20"/>
      </w:rPr>
      <mc:AlternateContent>
        <mc:Choice Requires="wps">
          <w:drawing>
            <wp:anchor distT="0" distB="0" distL="0" distR="0" simplePos="0" relativeHeight="487535616" behindDoc="1" locked="0" layoutInCell="1" allowOverlap="1" wp14:anchorId="6EAF856E" wp14:editId="5E9EC452">
              <wp:simplePos x="0" y="0"/>
              <wp:positionH relativeFrom="page">
                <wp:posOffset>667512</wp:posOffset>
              </wp:positionH>
              <wp:positionV relativeFrom="page">
                <wp:posOffset>9384792</wp:posOffset>
              </wp:positionV>
              <wp:extent cx="643890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29764D3" id="Graphic 1" o:spid="_x0000_s1026" style="position:absolute;margin-left:52.55pt;margin-top:738.95pt;width:507pt;height:.5pt;z-index:-15780864;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" path="m6438645,l,,,6095r6438645,l6438645,xe" fillcolor="#d9d9d9" stroked="f">
              <v:path arrowok="t"/>
              <w10:wrap anchorx="page" anchory="page"/>
            </v:shape>
          </w:pict>
        </mc:Fallback>
      </mc:AlternateContent>
    </w:r>
    <w:r>
      <w:rPr>
        <w:noProof/>
        <w:sz w:val="20"/>
      </w:rPr>
      <mc:AlternateContent>
        <mc:Choice Requires="wps">
          <w:drawing>
            <wp:anchor distT="0" distB="0" distL="0" distR="0" simplePos="0" relativeHeight="487536128" behindDoc="1" locked="0" layoutInCell="1" allowOverlap="1" wp14:anchorId="0BDE6545" wp14:editId="6DDFB59F">
              <wp:simplePos x="0" y="0"/>
              <wp:positionH relativeFrom="page">
                <wp:posOffset>6964426</wp:posOffset>
              </wp:positionH>
              <wp:positionV relativeFrom="page">
                <wp:posOffset>9395672</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031C2A8" w14:textId="77777777" w:rsidR="00933BDA"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BDE6545" id="_x0000_t202" coordsize="21600,21600" o:spt="202" path="m,l,21600r21600,l21600,xe">
              <v:stroke joinstyle="miter"/>
              <v:path gradientshapeok="t" o:connecttype="rect"/>
            </v:shapetype>
            <v:shape id="Textbox 2" o:spid="_x0000_s1026" type="#_x0000_t202" style="position:absolute;margin-left:548.4pt;margin-top:739.8pt;width:13.7pt;height:15.4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" filled="f" stroked="f">
              <v:textbox inset="0,0,0,0">
                <w:txbxContent>
                  <w:p w14:paraId="1031C2A8" w14:textId="77777777" w:rsidR="00933BDA"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3179" w14:textId="77777777" w:rsidR="00933BDA" w:rsidRDefault="00000000">
    <w:pPr>
      <w:pStyle w:val="BodyText"/>
      <w:spacing w:line="14" w:lineRule="auto"/>
      <w:rPr>
        <w:sz w:val="20"/>
      </w:rPr>
    </w:pPr>
    <w:r>
      <w:rPr>
        <w:noProof/>
        <w:sz w:val="20"/>
      </w:rPr>
      <mc:AlternateContent>
        <mc:Choice Requires="wps">
          <w:drawing>
            <wp:anchor distT="0" distB="0" distL="0" distR="0" simplePos="0" relativeHeight="487537664" behindDoc="1" locked="0" layoutInCell="1" allowOverlap="1" wp14:anchorId="526E5348" wp14:editId="6D7DD3FC">
              <wp:simplePos x="0" y="0"/>
              <wp:positionH relativeFrom="page">
                <wp:posOffset>667512</wp:posOffset>
              </wp:positionH>
              <wp:positionV relativeFrom="page">
                <wp:posOffset>9401556</wp:posOffset>
              </wp:positionV>
              <wp:extent cx="643890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DCF186" id="Graphic 7" o:spid="_x0000_s1026" style="position:absolute;margin-left:52.55pt;margin-top:740.3pt;width:507pt;height:.5pt;z-index:-15778816;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" path="m6438645,l,,,6095r6438645,l6438645,xe" fillcolor="#d9d9d9" stroked="f">
              <v:path arrowok="t"/>
              <w10:wrap anchorx="page" anchory="page"/>
            </v:shape>
          </w:pict>
        </mc:Fallback>
      </mc:AlternateContent>
    </w:r>
    <w:r>
      <w:rPr>
        <w:noProof/>
        <w:sz w:val="20"/>
      </w:rPr>
      <mc:AlternateContent>
        <mc:Choice Requires="wps">
          <w:drawing>
            <wp:anchor distT="0" distB="0" distL="0" distR="0" simplePos="0" relativeHeight="487538176" behindDoc="1" locked="0" layoutInCell="1" allowOverlap="1" wp14:anchorId="0F3A5ACB" wp14:editId="4CB9D51E">
              <wp:simplePos x="0" y="0"/>
              <wp:positionH relativeFrom="page">
                <wp:posOffset>6964426</wp:posOffset>
              </wp:positionH>
              <wp:positionV relativeFrom="page">
                <wp:posOffset>9412436</wp:posOffset>
              </wp:positionV>
              <wp:extent cx="17399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D8C19E9" w14:textId="77777777" w:rsidR="00933BDA"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F3A5ACB" id="_x0000_t202" coordsize="21600,21600" o:spt="202" path="m,l,21600r21600,l21600,xe">
              <v:stroke joinstyle="miter"/>
              <v:path gradientshapeok="t" o:connecttype="rect"/>
            </v:shapetype>
            <v:shape id="Textbox 8" o:spid="_x0000_s1028" type="#_x0000_t202" style="position:absolute;margin-left:548.4pt;margin-top:741.15pt;width:13.7pt;height:15.4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r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" filled="f" stroked="f">
              <v:textbox inset="0,0,0,0">
                <w:txbxContent>
                  <w:p w14:paraId="3D8C19E9" w14:textId="77777777" w:rsidR="00933BDA"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27B3" w14:textId="77777777" w:rsidR="00135891" w:rsidRDefault="00135891">
      <w:r>
        <w:separator/>
      </w:r>
    </w:p>
  </w:footnote>
  <w:footnote w:type="continuationSeparator" w:id="0">
    <w:p w14:paraId="5E31142E" w14:textId="77777777" w:rsidR="00135891" w:rsidRDefault="0013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0007" w14:textId="77777777" w:rsidR="00933BDA" w:rsidRDefault="00000000">
    <w:pPr>
      <w:pStyle w:val="BodyText"/>
      <w:spacing w:line="14" w:lineRule="auto"/>
      <w:rPr>
        <w:sz w:val="20"/>
      </w:rPr>
    </w:pPr>
    <w:r>
      <w:rPr>
        <w:noProof/>
        <w:sz w:val="20"/>
      </w:rPr>
      <mc:AlternateContent>
        <mc:Choice Requires="wps">
          <w:drawing>
            <wp:anchor distT="0" distB="0" distL="0" distR="0" simplePos="0" relativeHeight="487536640" behindDoc="1" locked="0" layoutInCell="1" allowOverlap="1" wp14:anchorId="3A477F63" wp14:editId="63EEBEB9">
              <wp:simplePos x="0" y="0"/>
              <wp:positionH relativeFrom="page">
                <wp:posOffset>667512</wp:posOffset>
              </wp:positionH>
              <wp:positionV relativeFrom="page">
                <wp:posOffset>1152397</wp:posOffset>
              </wp:positionV>
              <wp:extent cx="643890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007D1A" id="Graphic 5" o:spid="_x0000_s1026" style="position:absolute;margin-left:52.55pt;margin-top:90.75pt;width:507pt;height:.5pt;z-index:-15779840;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" path="m6438645,l,,,6096r6438645,l6438645,xe" fillcolor="black" stroked="f">
              <v:path arrowok="t"/>
              <w10:wrap anchorx="page" anchory="page"/>
            </v:shape>
          </w:pict>
        </mc:Fallback>
      </mc:AlternateContent>
    </w:r>
    <w:r>
      <w:rPr>
        <w:noProof/>
        <w:sz w:val="20"/>
      </w:rPr>
      <mc:AlternateContent>
        <mc:Choice Requires="wps">
          <w:drawing>
            <wp:anchor distT="0" distB="0" distL="0" distR="0" simplePos="0" relativeHeight="487537152" behindDoc="1" locked="0" layoutInCell="1" allowOverlap="1" wp14:anchorId="59179D2A" wp14:editId="79F54BEA">
              <wp:simplePos x="0" y="0"/>
              <wp:positionH relativeFrom="page">
                <wp:posOffset>673100</wp:posOffset>
              </wp:positionH>
              <wp:positionV relativeFrom="page">
                <wp:posOffset>942298</wp:posOffset>
              </wp:positionV>
              <wp:extent cx="316865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0" cy="196215"/>
                      </a:xfrm>
                      <a:prstGeom prst="rect">
                        <a:avLst/>
                      </a:prstGeom>
                    </wps:spPr>
                    <wps:txbx>
                      <w:txbxContent>
                        <w:p w14:paraId="4ABE2442" w14:textId="77777777" w:rsidR="00933BDA" w:rsidRDefault="00000000">
                          <w:pPr>
                            <w:spacing w:before="12"/>
                            <w:ind w:left="20"/>
                            <w:rPr>
                              <w:b/>
                              <w:i/>
                              <w:sz w:val="24"/>
                            </w:rPr>
                          </w:pPr>
                          <w:r>
                            <w:rPr>
                              <w:b/>
                              <w:i/>
                              <w:sz w:val="24"/>
                            </w:rPr>
                            <w:t>Driving</w:t>
                          </w:r>
                          <w:r>
                            <w:rPr>
                              <w:b/>
                              <w:i/>
                              <w:spacing w:val="-2"/>
                              <w:sz w:val="24"/>
                            </w:rPr>
                            <w:t xml:space="preserve"> </w:t>
                          </w:r>
                          <w:r>
                            <w:rPr>
                              <w:b/>
                              <w:i/>
                              <w:sz w:val="24"/>
                            </w:rPr>
                            <w:t>Housing</w:t>
                          </w:r>
                          <w:r>
                            <w:rPr>
                              <w:b/>
                              <w:i/>
                              <w:spacing w:val="-1"/>
                              <w:sz w:val="24"/>
                            </w:rPr>
                            <w:t xml:space="preserve"> </w:t>
                          </w:r>
                          <w:r>
                            <w:rPr>
                              <w:b/>
                              <w:i/>
                              <w:sz w:val="24"/>
                            </w:rPr>
                            <w:t>Production</w:t>
                          </w:r>
                          <w:r>
                            <w:rPr>
                              <w:b/>
                              <w:i/>
                              <w:spacing w:val="-2"/>
                              <w:sz w:val="24"/>
                            </w:rPr>
                            <w:t xml:space="preserve"> </w:t>
                          </w:r>
                          <w:r>
                            <w:rPr>
                              <w:b/>
                              <w:i/>
                              <w:sz w:val="24"/>
                            </w:rPr>
                            <w:t>&amp;</w:t>
                          </w:r>
                          <w:r>
                            <w:rPr>
                              <w:b/>
                              <w:i/>
                              <w:spacing w:val="-1"/>
                              <w:sz w:val="24"/>
                            </w:rPr>
                            <w:t xml:space="preserve"> </w:t>
                          </w:r>
                          <w:r>
                            <w:rPr>
                              <w:b/>
                              <w:i/>
                              <w:spacing w:val="-2"/>
                              <w:sz w:val="24"/>
                            </w:rPr>
                            <w:t>Preservation</w:t>
                          </w:r>
                        </w:p>
                      </w:txbxContent>
                    </wps:txbx>
                    <wps:bodyPr wrap="square" lIns="0" tIns="0" rIns="0" bIns="0" rtlCol="0">
                      <a:noAutofit/>
                    </wps:bodyPr>
                  </wps:wsp>
                </a:graphicData>
              </a:graphic>
            </wp:anchor>
          </w:drawing>
        </mc:Choice>
        <mc:Fallback>
          <w:pict>
            <v:shapetype w14:anchorId="59179D2A" id="_x0000_t202" coordsize="21600,21600" o:spt="202" path="m,l,21600r21600,l21600,xe">
              <v:stroke joinstyle="miter"/>
              <v:path gradientshapeok="t" o:connecttype="rect"/>
            </v:shapetype>
            <v:shape id="Textbox 6" o:spid="_x0000_s1027" type="#_x0000_t202" style="position:absolute;margin-left:53pt;margin-top:74.2pt;width:249.5pt;height:15.4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" filled="f" stroked="f">
              <v:textbox inset="0,0,0,0">
                <w:txbxContent>
                  <w:p w14:paraId="4ABE2442" w14:textId="77777777" w:rsidR="00933BDA" w:rsidRDefault="00000000">
                    <w:pPr>
                      <w:spacing w:before="12"/>
                      <w:ind w:left="20"/>
                      <w:rPr>
                        <w:b/>
                        <w:i/>
                        <w:sz w:val="24"/>
                      </w:rPr>
                    </w:pPr>
                    <w:r>
                      <w:rPr>
                        <w:b/>
                        <w:i/>
                        <w:sz w:val="24"/>
                      </w:rPr>
                      <w:t>Driving</w:t>
                    </w:r>
                    <w:r>
                      <w:rPr>
                        <w:b/>
                        <w:i/>
                        <w:spacing w:val="-2"/>
                        <w:sz w:val="24"/>
                      </w:rPr>
                      <w:t xml:space="preserve"> </w:t>
                    </w:r>
                    <w:r>
                      <w:rPr>
                        <w:b/>
                        <w:i/>
                        <w:sz w:val="24"/>
                      </w:rPr>
                      <w:t>Housing</w:t>
                    </w:r>
                    <w:r>
                      <w:rPr>
                        <w:b/>
                        <w:i/>
                        <w:spacing w:val="-1"/>
                        <w:sz w:val="24"/>
                      </w:rPr>
                      <w:t xml:space="preserve"> </w:t>
                    </w:r>
                    <w:r>
                      <w:rPr>
                        <w:b/>
                        <w:i/>
                        <w:sz w:val="24"/>
                      </w:rPr>
                      <w:t>Production</w:t>
                    </w:r>
                    <w:r>
                      <w:rPr>
                        <w:b/>
                        <w:i/>
                        <w:spacing w:val="-2"/>
                        <w:sz w:val="24"/>
                      </w:rPr>
                      <w:t xml:space="preserve"> </w:t>
                    </w:r>
                    <w:r>
                      <w:rPr>
                        <w:b/>
                        <w:i/>
                        <w:sz w:val="24"/>
                      </w:rPr>
                      <w:t>&amp;</w:t>
                    </w:r>
                    <w:r>
                      <w:rPr>
                        <w:b/>
                        <w:i/>
                        <w:spacing w:val="-1"/>
                        <w:sz w:val="24"/>
                      </w:rPr>
                      <w:t xml:space="preserve"> </w:t>
                    </w:r>
                    <w:r>
                      <w:rPr>
                        <w:b/>
                        <w:i/>
                        <w:spacing w:val="-2"/>
                        <w:sz w:val="24"/>
                      </w:rPr>
                      <w:t>Preservation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CC9"/>
    <w:multiLevelType w:val="hybridMultilevel"/>
    <w:tmpl w:val="6EE01CEC"/>
    <w:lvl w:ilvl="0" w:tplc="0C8CD22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E20EEDAA">
      <w:numFmt w:val="bullet"/>
      <w:lvlText w:val="•"/>
      <w:lvlJc w:val="left"/>
      <w:pPr>
        <w:ind w:left="1692" w:hanging="360"/>
      </w:pPr>
      <w:rPr>
        <w:rFonts w:hint="default"/>
        <w:lang w:val="en-US" w:eastAsia="en-US" w:bidi="ar-SA"/>
      </w:rPr>
    </w:lvl>
    <w:lvl w:ilvl="2" w:tplc="1B7604B4">
      <w:numFmt w:val="bullet"/>
      <w:lvlText w:val="•"/>
      <w:lvlJc w:val="left"/>
      <w:pPr>
        <w:ind w:left="2664" w:hanging="360"/>
      </w:pPr>
      <w:rPr>
        <w:rFonts w:hint="default"/>
        <w:lang w:val="en-US" w:eastAsia="en-US" w:bidi="ar-SA"/>
      </w:rPr>
    </w:lvl>
    <w:lvl w:ilvl="3" w:tplc="BE381958">
      <w:numFmt w:val="bullet"/>
      <w:lvlText w:val="•"/>
      <w:lvlJc w:val="left"/>
      <w:pPr>
        <w:ind w:left="3636" w:hanging="360"/>
      </w:pPr>
      <w:rPr>
        <w:rFonts w:hint="default"/>
        <w:lang w:val="en-US" w:eastAsia="en-US" w:bidi="ar-SA"/>
      </w:rPr>
    </w:lvl>
    <w:lvl w:ilvl="4" w:tplc="BF34BBA2">
      <w:numFmt w:val="bullet"/>
      <w:lvlText w:val="•"/>
      <w:lvlJc w:val="left"/>
      <w:pPr>
        <w:ind w:left="4608" w:hanging="360"/>
      </w:pPr>
      <w:rPr>
        <w:rFonts w:hint="default"/>
        <w:lang w:val="en-US" w:eastAsia="en-US" w:bidi="ar-SA"/>
      </w:rPr>
    </w:lvl>
    <w:lvl w:ilvl="5" w:tplc="CAC8D4F6">
      <w:numFmt w:val="bullet"/>
      <w:lvlText w:val="•"/>
      <w:lvlJc w:val="left"/>
      <w:pPr>
        <w:ind w:left="5580" w:hanging="360"/>
      </w:pPr>
      <w:rPr>
        <w:rFonts w:hint="default"/>
        <w:lang w:val="en-US" w:eastAsia="en-US" w:bidi="ar-SA"/>
      </w:rPr>
    </w:lvl>
    <w:lvl w:ilvl="6" w:tplc="99AE3432">
      <w:numFmt w:val="bullet"/>
      <w:lvlText w:val="•"/>
      <w:lvlJc w:val="left"/>
      <w:pPr>
        <w:ind w:left="6552" w:hanging="360"/>
      </w:pPr>
      <w:rPr>
        <w:rFonts w:hint="default"/>
        <w:lang w:val="en-US" w:eastAsia="en-US" w:bidi="ar-SA"/>
      </w:rPr>
    </w:lvl>
    <w:lvl w:ilvl="7" w:tplc="E646972E">
      <w:numFmt w:val="bullet"/>
      <w:lvlText w:val="•"/>
      <w:lvlJc w:val="left"/>
      <w:pPr>
        <w:ind w:left="7524" w:hanging="360"/>
      </w:pPr>
      <w:rPr>
        <w:rFonts w:hint="default"/>
        <w:lang w:val="en-US" w:eastAsia="en-US" w:bidi="ar-SA"/>
      </w:rPr>
    </w:lvl>
    <w:lvl w:ilvl="8" w:tplc="38C67EAE">
      <w:numFmt w:val="bullet"/>
      <w:lvlText w:val="•"/>
      <w:lvlJc w:val="left"/>
      <w:pPr>
        <w:ind w:left="8496" w:hanging="360"/>
      </w:pPr>
      <w:rPr>
        <w:rFonts w:hint="default"/>
        <w:lang w:val="en-US" w:eastAsia="en-US" w:bidi="ar-SA"/>
      </w:rPr>
    </w:lvl>
  </w:abstractNum>
  <w:num w:numId="1" w16cid:durableId="1987079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3BDA"/>
    <w:rsid w:val="00135891"/>
    <w:rsid w:val="003E18F0"/>
    <w:rsid w:val="00933BDA"/>
    <w:rsid w:val="00966FB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47EB5"/>
  <w15:docId w15:val="{5B31A074-EBB6-49DD-8FEE-78139745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1"/>
      <w:ind w:left="1171"/>
      <w:outlineLvl w:val="0"/>
    </w:pPr>
    <w:rPr>
      <w:b/>
      <w:bCs/>
      <w:i/>
      <w:iCs/>
      <w:sz w:val="44"/>
      <w:szCs w:val="44"/>
    </w:rPr>
  </w:style>
  <w:style w:type="paragraph" w:styleId="Heading2">
    <w:name w:val="heading 2"/>
    <w:basedOn w:val="Normal"/>
    <w:uiPriority w:val="9"/>
    <w:unhideWhenUsed/>
    <w:qFormat/>
    <w:pPr>
      <w:spacing w:before="38"/>
      <w:ind w:left="1171"/>
      <w:outlineLvl w:val="1"/>
    </w:pPr>
    <w:rPr>
      <w:b/>
      <w:bCs/>
      <w:i/>
      <w:iCs/>
      <w:sz w:val="28"/>
      <w:szCs w:val="28"/>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5"/>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6FB4"/>
    <w:pPr>
      <w:tabs>
        <w:tab w:val="center" w:pos="4680"/>
        <w:tab w:val="right" w:pos="9360"/>
      </w:tabs>
    </w:pPr>
  </w:style>
  <w:style w:type="character" w:customStyle="1" w:styleId="HeaderChar">
    <w:name w:val="Header Char"/>
    <w:basedOn w:val="DefaultParagraphFont"/>
    <w:link w:val="Header"/>
    <w:uiPriority w:val="99"/>
    <w:rsid w:val="00966FB4"/>
    <w:rPr>
      <w:rFonts w:ascii="Arial" w:eastAsia="Arial" w:hAnsi="Arial" w:cs="Arial"/>
    </w:rPr>
  </w:style>
  <w:style w:type="paragraph" w:styleId="Footer">
    <w:name w:val="footer"/>
    <w:basedOn w:val="Normal"/>
    <w:link w:val="FooterChar"/>
    <w:uiPriority w:val="99"/>
    <w:unhideWhenUsed/>
    <w:rsid w:val="00966FB4"/>
    <w:pPr>
      <w:tabs>
        <w:tab w:val="center" w:pos="4680"/>
        <w:tab w:val="right" w:pos="9360"/>
      </w:tabs>
    </w:pPr>
  </w:style>
  <w:style w:type="character" w:customStyle="1" w:styleId="FooterChar">
    <w:name w:val="Footer Char"/>
    <w:basedOn w:val="DefaultParagraphFont"/>
    <w:link w:val="Footer"/>
    <w:uiPriority w:val="99"/>
    <w:rsid w:val="00966FB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6367</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Valerie Valliant</dc:creator>
  <cp:lastModifiedBy>Kelly, Lynne (A&amp;F)</cp:lastModifiedBy>
  <cp:revision>2</cp:revision>
  <dcterms:created xsi:type="dcterms:W3CDTF">2026-01-13T05:03:00Z</dcterms:created>
  <dcterms:modified xsi:type="dcterms:W3CDTF">2026-01-13T05:03:00Z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for Microsoft 365</vt:lpwstr>
  </property>
  <property fmtid="{D5CDD505-2E9C-101B-9397-08002B2CF9AE}" pid="4" name="LastSaved">
    <vt:filetime>2026-01-13T00:00:00Z</vt:filetime>
  </property>
  <property fmtid="{D5CDD505-2E9C-101B-9397-08002B2CF9AE}" pid="5" name="Producer">
    <vt:lpwstr>Microsoft® Word for Microsoft 365</vt:lpwstr>
  </property>
</Properties>
</file>