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2BC5" w14:textId="77777777" w:rsidR="00F928BF" w:rsidRDefault="00F928BF" w:rsidP="00953DC7">
      <w:pPr>
        <w:pStyle w:val="Heading1"/>
        <w:spacing w:line="276" w:lineRule="auto"/>
      </w:pPr>
    </w:p>
    <w:p w14:paraId="79B6D974" w14:textId="77777777" w:rsidR="005E4A3E" w:rsidRDefault="005E4A3E" w:rsidP="00953DC7">
      <w:pPr>
        <w:pStyle w:val="Heading1"/>
        <w:spacing w:before="0" w:line="276" w:lineRule="auto"/>
      </w:pPr>
    </w:p>
    <w:p w14:paraId="79F8A2AA" w14:textId="3BD07E88" w:rsidR="005E4A3E" w:rsidRDefault="00A0680E" w:rsidP="00953DC7">
      <w:pPr>
        <w:pStyle w:val="Heading1"/>
        <w:spacing w:before="0" w:line="276" w:lineRule="auto"/>
        <w:rPr>
          <w:spacing w:val="-1"/>
        </w:rPr>
      </w:pPr>
      <w:r>
        <w:t>Office</w:t>
      </w:r>
      <w:r>
        <w:rPr>
          <w:spacing w:val="-6"/>
        </w:rPr>
        <w:t xml:space="preserve"> </w:t>
      </w:r>
      <w:r>
        <w:t>for</w:t>
      </w:r>
      <w:r>
        <w:rPr>
          <w:spacing w:val="-2"/>
        </w:rPr>
        <w:t xml:space="preserve"> </w:t>
      </w:r>
      <w:r>
        <w:t>Refugees</w:t>
      </w:r>
      <w:r>
        <w:rPr>
          <w:spacing w:val="-3"/>
        </w:rPr>
        <w:t xml:space="preserve"> </w:t>
      </w:r>
      <w:r>
        <w:t>and</w:t>
      </w:r>
      <w:r>
        <w:rPr>
          <w:spacing w:val="-1"/>
        </w:rPr>
        <w:t xml:space="preserve"> </w:t>
      </w:r>
      <w:r>
        <w:t>Immigrants and</w:t>
      </w:r>
      <w:r>
        <w:rPr>
          <w:spacing w:val="-1"/>
        </w:rPr>
        <w:t xml:space="preserve"> </w:t>
      </w:r>
    </w:p>
    <w:p w14:paraId="42280965" w14:textId="390B1A31" w:rsidR="00F90435" w:rsidRDefault="00A0680E" w:rsidP="00953DC7">
      <w:pPr>
        <w:pStyle w:val="Heading1"/>
        <w:spacing w:before="0" w:line="276" w:lineRule="auto"/>
        <w:rPr>
          <w:b w:val="0"/>
        </w:rPr>
      </w:pPr>
      <w:r>
        <w:t>Office</w:t>
      </w:r>
      <w:r>
        <w:rPr>
          <w:spacing w:val="-3"/>
        </w:rPr>
        <w:t xml:space="preserve"> </w:t>
      </w:r>
      <w:r>
        <w:t>of</w:t>
      </w:r>
      <w:r>
        <w:rPr>
          <w:spacing w:val="-2"/>
        </w:rPr>
        <w:t xml:space="preserve"> </w:t>
      </w:r>
      <w:r>
        <w:t>the</w:t>
      </w:r>
      <w:r>
        <w:rPr>
          <w:spacing w:val="-2"/>
        </w:rPr>
        <w:t xml:space="preserve"> </w:t>
      </w:r>
      <w:r>
        <w:t>Attorney</w:t>
      </w:r>
      <w:r>
        <w:rPr>
          <w:spacing w:val="-1"/>
        </w:rPr>
        <w:t xml:space="preserve"> </w:t>
      </w:r>
      <w:r>
        <w:rPr>
          <w:spacing w:val="-2"/>
        </w:rPr>
        <w:t>General</w:t>
      </w:r>
    </w:p>
    <w:p w14:paraId="42280966" w14:textId="77777777" w:rsidR="00F90435" w:rsidRDefault="00F90435" w:rsidP="00953DC7">
      <w:pPr>
        <w:pStyle w:val="BodyText"/>
        <w:spacing w:line="276" w:lineRule="auto"/>
        <w:rPr>
          <w:b/>
        </w:rPr>
      </w:pPr>
    </w:p>
    <w:p w14:paraId="42280967" w14:textId="77777777" w:rsidR="00F90435" w:rsidRDefault="00F90435" w:rsidP="00953DC7">
      <w:pPr>
        <w:pStyle w:val="BodyText"/>
        <w:spacing w:before="89" w:line="276" w:lineRule="auto"/>
        <w:rPr>
          <w:b/>
        </w:rPr>
      </w:pPr>
    </w:p>
    <w:p w14:paraId="42280968" w14:textId="77777777" w:rsidR="00F90435" w:rsidRDefault="00A0680E" w:rsidP="00953DC7">
      <w:pPr>
        <w:pStyle w:val="Heading2"/>
        <w:spacing w:line="276" w:lineRule="auto"/>
        <w:rPr>
          <w:spacing w:val="40"/>
        </w:rPr>
      </w:pPr>
      <w:r w:rsidRPr="005E4A3E">
        <w:t>Guidance Regarding DHS’s Recent Policy on Unaccompanied Children Aging Out of ORR Custody</w:t>
      </w:r>
      <w:r w:rsidRPr="005E4A3E">
        <w:rPr>
          <w:spacing w:val="40"/>
        </w:rPr>
        <w:t xml:space="preserve"> </w:t>
      </w:r>
    </w:p>
    <w:p w14:paraId="333B6BC7" w14:textId="77777777" w:rsidR="00D357AA" w:rsidRPr="00D357AA" w:rsidRDefault="00D357AA" w:rsidP="00953DC7">
      <w:pPr>
        <w:spacing w:line="276" w:lineRule="auto"/>
      </w:pPr>
    </w:p>
    <w:p w14:paraId="42280969" w14:textId="77777777" w:rsidR="00F90435" w:rsidRDefault="00A0680E" w:rsidP="00953DC7">
      <w:pPr>
        <w:pStyle w:val="BodyText"/>
        <w:spacing w:line="276" w:lineRule="auto"/>
        <w:rPr>
          <w:spacing w:val="-2"/>
        </w:rPr>
      </w:pPr>
      <w:r>
        <w:t>This guidance is intended primarily for organizations that provide services to unaccompanied children. The information contained in this document is provided for informational purposes only and should not be construed as legal advice. For legal advice, unaccompanied</w:t>
      </w:r>
      <w:r>
        <w:rPr>
          <w:spacing w:val="-4"/>
        </w:rPr>
        <w:t xml:space="preserve"> </w:t>
      </w:r>
      <w:r>
        <w:t>children,</w:t>
      </w:r>
      <w:r>
        <w:rPr>
          <w:spacing w:val="-2"/>
        </w:rPr>
        <w:t xml:space="preserve"> </w:t>
      </w:r>
      <w:r>
        <w:t>and</w:t>
      </w:r>
      <w:r>
        <w:rPr>
          <w:spacing w:val="-4"/>
        </w:rPr>
        <w:t xml:space="preserve"> </w:t>
      </w:r>
      <w:r>
        <w:t>youth</w:t>
      </w:r>
      <w:r>
        <w:rPr>
          <w:spacing w:val="-4"/>
        </w:rPr>
        <w:t xml:space="preserve"> </w:t>
      </w:r>
      <w:r>
        <w:t>including</w:t>
      </w:r>
      <w:r>
        <w:rPr>
          <w:spacing w:val="-4"/>
        </w:rPr>
        <w:t xml:space="preserve"> </w:t>
      </w:r>
      <w:r>
        <w:t>those</w:t>
      </w:r>
      <w:r>
        <w:rPr>
          <w:spacing w:val="-5"/>
        </w:rPr>
        <w:t xml:space="preserve"> </w:t>
      </w:r>
      <w:r>
        <w:t>reaching</w:t>
      </w:r>
      <w:r>
        <w:rPr>
          <w:spacing w:val="-4"/>
        </w:rPr>
        <w:t xml:space="preserve"> </w:t>
      </w:r>
      <w:r>
        <w:t>the</w:t>
      </w:r>
      <w:r>
        <w:rPr>
          <w:spacing w:val="-5"/>
        </w:rPr>
        <w:t xml:space="preserve"> </w:t>
      </w:r>
      <w:r>
        <w:t>age</w:t>
      </w:r>
      <w:r>
        <w:rPr>
          <w:spacing w:val="-5"/>
        </w:rPr>
        <w:t xml:space="preserve"> </w:t>
      </w:r>
      <w:r>
        <w:t>of</w:t>
      </w:r>
      <w:r>
        <w:rPr>
          <w:spacing w:val="-4"/>
        </w:rPr>
        <w:t xml:space="preserve"> </w:t>
      </w:r>
      <w:r>
        <w:t>18,</w:t>
      </w:r>
      <w:r>
        <w:rPr>
          <w:spacing w:val="-2"/>
        </w:rPr>
        <w:t xml:space="preserve"> </w:t>
      </w:r>
      <w:r>
        <w:t>should</w:t>
      </w:r>
      <w:r>
        <w:rPr>
          <w:spacing w:val="-4"/>
        </w:rPr>
        <w:t xml:space="preserve"> </w:t>
      </w:r>
      <w:r>
        <w:t>contact</w:t>
      </w:r>
      <w:r>
        <w:rPr>
          <w:spacing w:val="-4"/>
        </w:rPr>
        <w:t xml:space="preserve"> </w:t>
      </w:r>
      <w:r>
        <w:t xml:space="preserve">a </w:t>
      </w:r>
      <w:r>
        <w:rPr>
          <w:spacing w:val="-2"/>
        </w:rPr>
        <w:t>lawyer.</w:t>
      </w:r>
    </w:p>
    <w:p w14:paraId="3905E873" w14:textId="77777777" w:rsidR="00D357AA" w:rsidRDefault="00D357AA" w:rsidP="00953DC7">
      <w:pPr>
        <w:pStyle w:val="BodyText"/>
        <w:spacing w:line="276" w:lineRule="auto"/>
      </w:pPr>
    </w:p>
    <w:p w14:paraId="4228096A" w14:textId="77777777" w:rsidR="00F90435" w:rsidRDefault="00A0680E" w:rsidP="00953DC7">
      <w:pPr>
        <w:pStyle w:val="BodyText"/>
        <w:spacing w:line="276" w:lineRule="auto"/>
        <w:jc w:val="center"/>
        <w:rPr>
          <w:b/>
          <w:spacing w:val="-5"/>
        </w:rPr>
      </w:pPr>
      <w:r w:rsidRPr="005E4A3E">
        <w:rPr>
          <w:b/>
          <w:spacing w:val="-5"/>
        </w:rPr>
        <w:t>***</w:t>
      </w:r>
    </w:p>
    <w:p w14:paraId="5F5B14CF" w14:textId="77777777" w:rsidR="008076C7" w:rsidRPr="005E4A3E" w:rsidRDefault="008076C7" w:rsidP="00953DC7">
      <w:pPr>
        <w:pStyle w:val="BodyText"/>
        <w:spacing w:line="276" w:lineRule="auto"/>
        <w:jc w:val="center"/>
        <w:rPr>
          <w:b/>
        </w:rPr>
      </w:pPr>
    </w:p>
    <w:p w14:paraId="4228096B" w14:textId="77777777" w:rsidR="00F90435" w:rsidRDefault="00A0680E" w:rsidP="00953DC7">
      <w:pPr>
        <w:pStyle w:val="BodyText"/>
        <w:spacing w:line="276" w:lineRule="auto"/>
      </w:pPr>
      <w:r>
        <w:t>Immigration and Customs Enforcement (ICE) has reportedly issued new interim field guidance subjecting unaccompanied children to detention on their 18th birthday when they age out of the federal Office of Refugee Resettlement (ORR) custody. It also has been reported that ICE</w:t>
      </w:r>
      <w:r>
        <w:rPr>
          <w:spacing w:val="-3"/>
        </w:rPr>
        <w:t xml:space="preserve"> </w:t>
      </w:r>
      <w:r>
        <w:t>may</w:t>
      </w:r>
      <w:r>
        <w:rPr>
          <w:spacing w:val="-3"/>
        </w:rPr>
        <w:t xml:space="preserve"> </w:t>
      </w:r>
      <w:r>
        <w:t>be</w:t>
      </w:r>
      <w:r>
        <w:rPr>
          <w:spacing w:val="-4"/>
        </w:rPr>
        <w:t xml:space="preserve"> </w:t>
      </w:r>
      <w:r>
        <w:t>issuing</w:t>
      </w:r>
      <w:r>
        <w:rPr>
          <w:spacing w:val="-3"/>
        </w:rPr>
        <w:t xml:space="preserve"> </w:t>
      </w:r>
      <w:r>
        <w:t>letters</w:t>
      </w:r>
      <w:r>
        <w:rPr>
          <w:spacing w:val="-3"/>
        </w:rPr>
        <w:t xml:space="preserve"> </w:t>
      </w:r>
      <w:r>
        <w:t>to</w:t>
      </w:r>
      <w:r>
        <w:rPr>
          <w:spacing w:val="-3"/>
        </w:rPr>
        <w:t xml:space="preserve"> </w:t>
      </w:r>
      <w:r>
        <w:t>unaccompanied</w:t>
      </w:r>
      <w:r>
        <w:rPr>
          <w:spacing w:val="-1"/>
        </w:rPr>
        <w:t xml:space="preserve"> </w:t>
      </w:r>
      <w:r>
        <w:t>children</w:t>
      </w:r>
      <w:r>
        <w:rPr>
          <w:spacing w:val="-3"/>
        </w:rPr>
        <w:t xml:space="preserve"> </w:t>
      </w:r>
      <w:r>
        <w:t>who</w:t>
      </w:r>
      <w:r>
        <w:rPr>
          <w:spacing w:val="-3"/>
        </w:rPr>
        <w:t xml:space="preserve"> </w:t>
      </w:r>
      <w:r>
        <w:t>are</w:t>
      </w:r>
      <w:r>
        <w:rPr>
          <w:spacing w:val="-5"/>
        </w:rPr>
        <w:t xml:space="preserve"> </w:t>
      </w:r>
      <w:r>
        <w:t>under</w:t>
      </w:r>
      <w:r>
        <w:rPr>
          <w:spacing w:val="-3"/>
        </w:rPr>
        <w:t xml:space="preserve"> </w:t>
      </w:r>
      <w:r>
        <w:t>18,</w:t>
      </w:r>
      <w:r>
        <w:rPr>
          <w:spacing w:val="-4"/>
        </w:rPr>
        <w:t xml:space="preserve"> </w:t>
      </w:r>
      <w:r>
        <w:t>describing</w:t>
      </w:r>
      <w:r>
        <w:rPr>
          <w:spacing w:val="-3"/>
        </w:rPr>
        <w:t xml:space="preserve"> </w:t>
      </w:r>
      <w:r>
        <w:t>the</w:t>
      </w:r>
      <w:r>
        <w:rPr>
          <w:spacing w:val="-4"/>
        </w:rPr>
        <w:t xml:space="preserve"> </w:t>
      </w:r>
      <w:r>
        <w:t>agency’s intention to detain children in accordance with this policy change, and offering the children funds to self-deport. As noted below, a federal court has temporarily stopped ICE from implementing this policy change; however, the need for guidance remains.</w:t>
      </w:r>
    </w:p>
    <w:p w14:paraId="4228096C" w14:textId="77777777" w:rsidR="00F90435" w:rsidRDefault="00A0680E" w:rsidP="00953DC7">
      <w:pPr>
        <w:pStyle w:val="BodyText"/>
        <w:spacing w:line="276" w:lineRule="auto"/>
      </w:pPr>
      <w:r>
        <w:t>Under the William Wilberforce Trafficking Victims Protection Reauthorization Act, as amended, unaccompanied children have significant legal protections.</w:t>
      </w:r>
      <w:hyperlink w:anchor="_bookmark0" w:history="1">
        <w:r w:rsidR="00F90435">
          <w:rPr>
            <w:vertAlign w:val="superscript"/>
          </w:rPr>
          <w:t>1</w:t>
        </w:r>
      </w:hyperlink>
      <w:r>
        <w:t xml:space="preserve"> As a result of this law, many unaccompanied children have a pathway to legal permanent residence through Special Immigrant Juvenile Visas (SIJ) and protections against restrictive placements</w:t>
      </w:r>
      <w:hyperlink w:anchor="_bookmark1" w:history="1">
        <w:r w:rsidR="00F90435">
          <w:t>.</w:t>
        </w:r>
        <w:r w:rsidR="00F90435">
          <w:rPr>
            <w:vertAlign w:val="superscript"/>
          </w:rPr>
          <w:t>2</w:t>
        </w:r>
      </w:hyperlink>
      <w:r>
        <w:t xml:space="preserve"> The following summary</w:t>
      </w:r>
      <w:r>
        <w:rPr>
          <w:spacing w:val="-4"/>
        </w:rPr>
        <w:t xml:space="preserve"> </w:t>
      </w:r>
      <w:r>
        <w:t>highlights</w:t>
      </w:r>
      <w:r>
        <w:rPr>
          <w:spacing w:val="-5"/>
        </w:rPr>
        <w:t xml:space="preserve"> </w:t>
      </w:r>
      <w:r>
        <w:t>protections</w:t>
      </w:r>
      <w:r>
        <w:rPr>
          <w:spacing w:val="-5"/>
        </w:rPr>
        <w:t xml:space="preserve"> </w:t>
      </w:r>
      <w:r>
        <w:t>that</w:t>
      </w:r>
      <w:r>
        <w:rPr>
          <w:spacing w:val="-4"/>
        </w:rPr>
        <w:t xml:space="preserve"> </w:t>
      </w:r>
      <w:r>
        <w:t>may</w:t>
      </w:r>
      <w:r>
        <w:rPr>
          <w:spacing w:val="-4"/>
        </w:rPr>
        <w:t xml:space="preserve"> </w:t>
      </w:r>
      <w:r>
        <w:t>apply</w:t>
      </w:r>
      <w:r>
        <w:rPr>
          <w:spacing w:val="-4"/>
        </w:rPr>
        <w:t xml:space="preserve"> </w:t>
      </w:r>
      <w:r>
        <w:t>to</w:t>
      </w:r>
      <w:r>
        <w:rPr>
          <w:spacing w:val="-4"/>
        </w:rPr>
        <w:t xml:space="preserve"> </w:t>
      </w:r>
      <w:r>
        <w:t>unaccompanied</w:t>
      </w:r>
      <w:r>
        <w:rPr>
          <w:spacing w:val="-2"/>
        </w:rPr>
        <w:t xml:space="preserve"> </w:t>
      </w:r>
      <w:r>
        <w:t>children.</w:t>
      </w:r>
      <w:r>
        <w:rPr>
          <w:spacing w:val="-4"/>
        </w:rPr>
        <w:t xml:space="preserve"> </w:t>
      </w:r>
      <w:r>
        <w:t>As</w:t>
      </w:r>
      <w:r>
        <w:rPr>
          <w:spacing w:val="-5"/>
        </w:rPr>
        <w:t xml:space="preserve"> </w:t>
      </w:r>
      <w:r>
        <w:t>mentioned</w:t>
      </w:r>
      <w:r>
        <w:rPr>
          <w:spacing w:val="-4"/>
        </w:rPr>
        <w:t xml:space="preserve"> </w:t>
      </w:r>
      <w:r>
        <w:t>above, please consult with an attorney if you believe you may be affected by this guidance.</w:t>
      </w:r>
    </w:p>
    <w:p w14:paraId="1D744C0C" w14:textId="77777777" w:rsidR="00953627" w:rsidRDefault="00953627" w:rsidP="00953DC7">
      <w:pPr>
        <w:pStyle w:val="BodyText"/>
        <w:spacing w:line="276" w:lineRule="auto"/>
      </w:pPr>
    </w:p>
    <w:p w14:paraId="6DB1DD9D" w14:textId="77777777" w:rsidR="00CB74C6" w:rsidRDefault="00CB74C6" w:rsidP="00953DC7">
      <w:pPr>
        <w:pStyle w:val="BodyText"/>
        <w:spacing w:line="276" w:lineRule="auto"/>
      </w:pPr>
    </w:p>
    <w:p w14:paraId="7EA2F91B" w14:textId="77777777" w:rsidR="004C0362" w:rsidRDefault="004C0362" w:rsidP="00953DC7">
      <w:pPr>
        <w:pStyle w:val="BodyText"/>
        <w:spacing w:line="276" w:lineRule="auto"/>
      </w:pPr>
    </w:p>
    <w:p w14:paraId="011007FA" w14:textId="77777777" w:rsidR="004C0362" w:rsidRDefault="004C0362" w:rsidP="00953DC7">
      <w:pPr>
        <w:pStyle w:val="BodyText"/>
        <w:spacing w:line="276" w:lineRule="auto"/>
      </w:pPr>
    </w:p>
    <w:p w14:paraId="507F2B1A" w14:textId="77777777" w:rsidR="004C0362" w:rsidRDefault="004C0362" w:rsidP="00953DC7">
      <w:pPr>
        <w:pStyle w:val="BodyText"/>
        <w:spacing w:line="276" w:lineRule="auto"/>
      </w:pPr>
    </w:p>
    <w:p w14:paraId="4228096D" w14:textId="77777777" w:rsidR="00F90435" w:rsidRDefault="00F90435" w:rsidP="00953DC7">
      <w:pPr>
        <w:pStyle w:val="BodyText"/>
        <w:spacing w:line="276" w:lineRule="auto"/>
      </w:pPr>
    </w:p>
    <w:p w14:paraId="4228096F" w14:textId="3435085D" w:rsidR="00F90435" w:rsidRDefault="00A0680E" w:rsidP="00953DC7">
      <w:pPr>
        <w:pStyle w:val="BodyText"/>
        <w:spacing w:line="276" w:lineRule="auto"/>
      </w:pPr>
      <w:r w:rsidRPr="00410C5F">
        <w:rPr>
          <w:rStyle w:val="Strong"/>
        </w:rPr>
        <w:t>Youth under 18, who entered the United States as an unaccompanied child without having been admitted:</w:t>
      </w:r>
      <w:r>
        <w:rPr>
          <w:b/>
        </w:rPr>
        <w:t xml:space="preserve"> </w:t>
      </w:r>
      <w:r>
        <w:t>The federal agency, ORR, is generally responsible for the care and placement of unaccompanied children before they turn 18.</w:t>
      </w:r>
      <w:hyperlink w:anchor="_bookmark2" w:history="1">
        <w:r w:rsidR="00F90435">
          <w:rPr>
            <w:vertAlign w:val="superscript"/>
          </w:rPr>
          <w:t>3</w:t>
        </w:r>
      </w:hyperlink>
      <w:r>
        <w:t xml:space="preserve"> Under federal law,</w:t>
      </w:r>
      <w:r w:rsidR="00CB74C6">
        <w:t xml:space="preserve"> </w:t>
      </w:r>
      <w:r>
        <w:t>unaccompanied</w:t>
      </w:r>
      <w:r>
        <w:rPr>
          <w:spacing w:val="-3"/>
        </w:rPr>
        <w:t xml:space="preserve"> </w:t>
      </w:r>
      <w:r>
        <w:t>children</w:t>
      </w:r>
      <w:r>
        <w:rPr>
          <w:spacing w:val="1"/>
        </w:rPr>
        <w:t xml:space="preserve"> </w:t>
      </w:r>
      <w:r>
        <w:t>under</w:t>
      </w:r>
      <w:r>
        <w:rPr>
          <w:spacing w:val="-1"/>
        </w:rPr>
        <w:t xml:space="preserve"> </w:t>
      </w:r>
      <w:r>
        <w:t>age</w:t>
      </w:r>
      <w:r>
        <w:rPr>
          <w:spacing w:val="-2"/>
        </w:rPr>
        <w:t xml:space="preserve"> </w:t>
      </w:r>
      <w:r>
        <w:t>18</w:t>
      </w:r>
      <w:r>
        <w:rPr>
          <w:spacing w:val="1"/>
        </w:rPr>
        <w:t xml:space="preserve"> </w:t>
      </w:r>
      <w:r>
        <w:t>are</w:t>
      </w:r>
      <w:r>
        <w:rPr>
          <w:spacing w:val="-2"/>
        </w:rPr>
        <w:t xml:space="preserve"> </w:t>
      </w:r>
      <w:r>
        <w:t>to</w:t>
      </w:r>
      <w:r>
        <w:rPr>
          <w:spacing w:val="-1"/>
        </w:rPr>
        <w:t xml:space="preserve"> </w:t>
      </w:r>
      <w:r>
        <w:t>be</w:t>
      </w:r>
      <w:r>
        <w:rPr>
          <w:spacing w:val="-1"/>
        </w:rPr>
        <w:t xml:space="preserve"> </w:t>
      </w:r>
      <w:r>
        <w:t>placed</w:t>
      </w:r>
      <w:r>
        <w:rPr>
          <w:spacing w:val="-1"/>
        </w:rPr>
        <w:t xml:space="preserve"> </w:t>
      </w:r>
      <w:r>
        <w:t>in</w:t>
      </w:r>
      <w:r>
        <w:rPr>
          <w:spacing w:val="-1"/>
        </w:rPr>
        <w:t xml:space="preserve"> </w:t>
      </w:r>
      <w:r>
        <w:t>the “least</w:t>
      </w:r>
      <w:r>
        <w:rPr>
          <w:spacing w:val="-1"/>
        </w:rPr>
        <w:t xml:space="preserve"> </w:t>
      </w:r>
      <w:r>
        <w:t>restrictive</w:t>
      </w:r>
      <w:r>
        <w:rPr>
          <w:spacing w:val="-1"/>
        </w:rPr>
        <w:t xml:space="preserve"> </w:t>
      </w:r>
      <w:r>
        <w:rPr>
          <w:spacing w:val="-2"/>
        </w:rPr>
        <w:t>setting</w:t>
      </w:r>
      <w:r w:rsidR="00CB74C6">
        <w:rPr>
          <w:spacing w:val="-2"/>
        </w:rPr>
        <w:t>.</w:t>
      </w:r>
      <w:r>
        <w:rPr>
          <w:spacing w:val="-2"/>
        </w:rPr>
        <w:t>”</w:t>
      </w:r>
    </w:p>
    <w:p w14:paraId="42280970" w14:textId="77777777" w:rsidR="00F90435" w:rsidRDefault="00F90435" w:rsidP="00953DC7">
      <w:pPr>
        <w:pStyle w:val="BodyText"/>
        <w:spacing w:line="276" w:lineRule="auto"/>
        <w:rPr>
          <w:sz w:val="20"/>
        </w:rPr>
      </w:pPr>
    </w:p>
    <w:p w14:paraId="42280971" w14:textId="77777777" w:rsidR="00F90435" w:rsidRDefault="00A0680E" w:rsidP="00953DC7">
      <w:pPr>
        <w:pStyle w:val="BodyText"/>
        <w:spacing w:before="62" w:line="276" w:lineRule="auto"/>
        <w:rPr>
          <w:sz w:val="20"/>
        </w:rPr>
      </w:pPr>
      <w:r>
        <w:rPr>
          <w:noProof/>
          <w:sz w:val="20"/>
        </w:rPr>
        <mc:AlternateContent>
          <mc:Choice Requires="wps">
            <w:drawing>
              <wp:anchor distT="0" distB="0" distL="0" distR="0" simplePos="0" relativeHeight="251657728" behindDoc="1" locked="0" layoutInCell="1" allowOverlap="1" wp14:anchorId="42280997" wp14:editId="42280998">
                <wp:simplePos x="0" y="0"/>
                <wp:positionH relativeFrom="page">
                  <wp:posOffset>914704</wp:posOffset>
                </wp:positionH>
                <wp:positionV relativeFrom="paragraph">
                  <wp:posOffset>200653</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9F407" id="Graphic 3" o:spid="_x0000_s1026" style="position:absolute;margin-left:1in;margin-top:15.8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" path="m1829054,l,,,9143r1829054,l1829054,xe" fillcolor="black" stroked="f">
                <v:path arrowok="t"/>
                <w10:wrap type="topAndBottom" anchorx="page"/>
              </v:shape>
            </w:pict>
          </mc:Fallback>
        </mc:AlternateContent>
      </w:r>
    </w:p>
    <w:p w14:paraId="42280972" w14:textId="77777777" w:rsidR="00F90435" w:rsidRDefault="00A0680E" w:rsidP="00953DC7">
      <w:pPr>
        <w:pStyle w:val="Footer"/>
        <w:spacing w:line="276" w:lineRule="auto"/>
      </w:pPr>
      <w:bookmarkStart w:id="0" w:name="_bookmark0"/>
      <w:bookmarkEnd w:id="0"/>
      <w:r>
        <w:rPr>
          <w:vertAlign w:val="superscript"/>
        </w:rPr>
        <w:t>1</w:t>
      </w:r>
      <w:r>
        <w:t xml:space="preserve"> An unaccompanied child, or an “unaccompanied alien child” as defined in statute, is a child who: (A) has no lawful</w:t>
      </w:r>
      <w:r>
        <w:rPr>
          <w:spacing w:val="-4"/>
        </w:rPr>
        <w:t xml:space="preserve"> </w:t>
      </w:r>
      <w:r>
        <w:t>immigration</w:t>
      </w:r>
      <w:r>
        <w:rPr>
          <w:spacing w:val="-2"/>
        </w:rPr>
        <w:t xml:space="preserve"> </w:t>
      </w:r>
      <w:r>
        <w:t>status</w:t>
      </w:r>
      <w:r>
        <w:rPr>
          <w:spacing w:val="-4"/>
        </w:rPr>
        <w:t xml:space="preserve"> </w:t>
      </w:r>
      <w:r>
        <w:t>in</w:t>
      </w:r>
      <w:r>
        <w:rPr>
          <w:spacing w:val="-2"/>
        </w:rPr>
        <w:t xml:space="preserve"> </w:t>
      </w:r>
      <w:r>
        <w:t>the</w:t>
      </w:r>
      <w:r>
        <w:rPr>
          <w:spacing w:val="-3"/>
        </w:rPr>
        <w:t xml:space="preserve"> </w:t>
      </w:r>
      <w:r>
        <w:t>United</w:t>
      </w:r>
      <w:r>
        <w:rPr>
          <w:spacing w:val="-2"/>
        </w:rPr>
        <w:t xml:space="preserve"> </w:t>
      </w:r>
      <w:r>
        <w:t>States;</w:t>
      </w:r>
      <w:r>
        <w:rPr>
          <w:spacing w:val="-4"/>
        </w:rPr>
        <w:t xml:space="preserve"> </w:t>
      </w:r>
      <w:r>
        <w:t>(B)</w:t>
      </w:r>
      <w:r>
        <w:rPr>
          <w:spacing w:val="-3"/>
        </w:rPr>
        <w:t xml:space="preserve"> </w:t>
      </w:r>
      <w:r>
        <w:t>has</w:t>
      </w:r>
      <w:r>
        <w:rPr>
          <w:spacing w:val="-4"/>
        </w:rPr>
        <w:t xml:space="preserve"> </w:t>
      </w:r>
      <w:r>
        <w:t>not</w:t>
      </w:r>
      <w:r>
        <w:rPr>
          <w:spacing w:val="-4"/>
        </w:rPr>
        <w:t xml:space="preserve"> </w:t>
      </w:r>
      <w:r>
        <w:t>attained</w:t>
      </w:r>
      <w:r>
        <w:rPr>
          <w:spacing w:val="-2"/>
        </w:rPr>
        <w:t xml:space="preserve"> </w:t>
      </w:r>
      <w:r>
        <w:t>18</w:t>
      </w:r>
      <w:r>
        <w:rPr>
          <w:spacing w:val="-4"/>
        </w:rPr>
        <w:t xml:space="preserve"> </w:t>
      </w:r>
      <w:r>
        <w:t>years</w:t>
      </w:r>
      <w:r>
        <w:rPr>
          <w:spacing w:val="-4"/>
        </w:rPr>
        <w:t xml:space="preserve"> </w:t>
      </w:r>
      <w:r>
        <w:t>of</w:t>
      </w:r>
      <w:r>
        <w:rPr>
          <w:spacing w:val="-3"/>
        </w:rPr>
        <w:t xml:space="preserve"> </w:t>
      </w:r>
      <w:r>
        <w:t>age;</w:t>
      </w:r>
      <w:r>
        <w:rPr>
          <w:spacing w:val="-3"/>
        </w:rPr>
        <w:t xml:space="preserve"> </w:t>
      </w:r>
      <w:r>
        <w:t>and</w:t>
      </w:r>
      <w:r>
        <w:rPr>
          <w:spacing w:val="-4"/>
        </w:rPr>
        <w:t xml:space="preserve"> </w:t>
      </w:r>
      <w:r>
        <w:t>(C)</w:t>
      </w:r>
      <w:r>
        <w:rPr>
          <w:spacing w:val="-3"/>
        </w:rPr>
        <w:t xml:space="preserve"> </w:t>
      </w:r>
      <w:r>
        <w:t>with</w:t>
      </w:r>
      <w:r>
        <w:rPr>
          <w:spacing w:val="-2"/>
        </w:rPr>
        <w:t xml:space="preserve"> </w:t>
      </w:r>
      <w:r>
        <w:t>respect</w:t>
      </w:r>
      <w:r>
        <w:rPr>
          <w:spacing w:val="-4"/>
        </w:rPr>
        <w:t xml:space="preserve"> </w:t>
      </w:r>
      <w:r>
        <w:t>to</w:t>
      </w:r>
      <w:r>
        <w:rPr>
          <w:spacing w:val="-2"/>
        </w:rPr>
        <w:t xml:space="preserve"> </w:t>
      </w:r>
      <w:r>
        <w:t>whom</w:t>
      </w:r>
    </w:p>
    <w:p w14:paraId="42280973" w14:textId="77777777" w:rsidR="00F90435" w:rsidRDefault="00A0680E" w:rsidP="00953DC7">
      <w:pPr>
        <w:pStyle w:val="Footer"/>
        <w:spacing w:line="276" w:lineRule="auto"/>
      </w:pPr>
      <w:r>
        <w:t>(i)</w:t>
      </w:r>
      <w:r>
        <w:rPr>
          <w:spacing w:val="-2"/>
        </w:rPr>
        <w:t xml:space="preserve"> </w:t>
      </w:r>
      <w:r>
        <w:t>there</w:t>
      </w:r>
      <w:r>
        <w:rPr>
          <w:spacing w:val="-2"/>
        </w:rPr>
        <w:t xml:space="preserve"> </w:t>
      </w:r>
      <w:r>
        <w:t>is</w:t>
      </w:r>
      <w:r>
        <w:rPr>
          <w:spacing w:val="-3"/>
        </w:rPr>
        <w:t xml:space="preserve"> </w:t>
      </w:r>
      <w:r>
        <w:t>no</w:t>
      </w:r>
      <w:r>
        <w:rPr>
          <w:spacing w:val="-3"/>
        </w:rPr>
        <w:t xml:space="preserve"> </w:t>
      </w:r>
      <w:r>
        <w:t>parent</w:t>
      </w:r>
      <w:r>
        <w:rPr>
          <w:spacing w:val="-5"/>
        </w:rPr>
        <w:t xml:space="preserve"> </w:t>
      </w:r>
      <w:r>
        <w:t>or</w:t>
      </w:r>
      <w:r>
        <w:rPr>
          <w:spacing w:val="-2"/>
        </w:rPr>
        <w:t xml:space="preserve"> </w:t>
      </w:r>
      <w:r>
        <w:t>legal</w:t>
      </w:r>
      <w:r>
        <w:rPr>
          <w:spacing w:val="-4"/>
        </w:rPr>
        <w:t xml:space="preserve"> </w:t>
      </w:r>
      <w:r>
        <w:t>guardian</w:t>
      </w:r>
      <w:r>
        <w:rPr>
          <w:spacing w:val="-1"/>
        </w:rPr>
        <w:t xml:space="preserve"> </w:t>
      </w:r>
      <w:r>
        <w:t>in</w:t>
      </w:r>
      <w:r>
        <w:rPr>
          <w:spacing w:val="-4"/>
        </w:rPr>
        <w:t xml:space="preserve"> </w:t>
      </w:r>
      <w:r>
        <w:t>the</w:t>
      </w:r>
      <w:r>
        <w:rPr>
          <w:spacing w:val="-2"/>
        </w:rPr>
        <w:t xml:space="preserve"> </w:t>
      </w:r>
      <w:r>
        <w:t>United</w:t>
      </w:r>
      <w:r>
        <w:rPr>
          <w:spacing w:val="-1"/>
        </w:rPr>
        <w:t xml:space="preserve"> </w:t>
      </w:r>
      <w:r>
        <w:t>States;</w:t>
      </w:r>
      <w:r>
        <w:rPr>
          <w:spacing w:val="-3"/>
        </w:rPr>
        <w:t xml:space="preserve"> </w:t>
      </w:r>
      <w:r>
        <w:t>or</w:t>
      </w:r>
      <w:r>
        <w:rPr>
          <w:spacing w:val="-2"/>
        </w:rPr>
        <w:t xml:space="preserve"> </w:t>
      </w:r>
      <w:r>
        <w:t>(ii)</w:t>
      </w:r>
      <w:r>
        <w:rPr>
          <w:spacing w:val="-2"/>
        </w:rPr>
        <w:t xml:space="preserve"> </w:t>
      </w:r>
      <w:r>
        <w:t>no</w:t>
      </w:r>
      <w:r>
        <w:rPr>
          <w:spacing w:val="-3"/>
        </w:rPr>
        <w:t xml:space="preserve"> </w:t>
      </w:r>
      <w:r>
        <w:t>parent</w:t>
      </w:r>
      <w:r>
        <w:rPr>
          <w:spacing w:val="-3"/>
        </w:rPr>
        <w:t xml:space="preserve"> </w:t>
      </w:r>
      <w:r>
        <w:t>or</w:t>
      </w:r>
      <w:r>
        <w:rPr>
          <w:spacing w:val="-2"/>
        </w:rPr>
        <w:t xml:space="preserve"> </w:t>
      </w:r>
      <w:r>
        <w:t>legal</w:t>
      </w:r>
      <w:r>
        <w:rPr>
          <w:spacing w:val="-4"/>
        </w:rPr>
        <w:t xml:space="preserve"> </w:t>
      </w:r>
      <w:r>
        <w:t>guardian</w:t>
      </w:r>
      <w:r>
        <w:rPr>
          <w:spacing w:val="-1"/>
        </w:rPr>
        <w:t xml:space="preserve"> </w:t>
      </w:r>
      <w:r>
        <w:t>in</w:t>
      </w:r>
      <w:r>
        <w:rPr>
          <w:spacing w:val="-1"/>
        </w:rPr>
        <w:t xml:space="preserve"> </w:t>
      </w:r>
      <w:r>
        <w:t>the</w:t>
      </w:r>
      <w:r>
        <w:rPr>
          <w:spacing w:val="-2"/>
        </w:rPr>
        <w:t xml:space="preserve"> </w:t>
      </w:r>
      <w:r>
        <w:t>United</w:t>
      </w:r>
      <w:r>
        <w:rPr>
          <w:spacing w:val="-3"/>
        </w:rPr>
        <w:t xml:space="preserve"> </w:t>
      </w:r>
      <w:r>
        <w:t>States</w:t>
      </w:r>
      <w:r>
        <w:rPr>
          <w:spacing w:val="-3"/>
        </w:rPr>
        <w:t xml:space="preserve"> </w:t>
      </w:r>
      <w:r>
        <w:t xml:space="preserve">is available to provide care and physical custody. </w:t>
      </w:r>
      <w:r>
        <w:rPr>
          <w:i/>
        </w:rPr>
        <w:t xml:space="preserve">See </w:t>
      </w:r>
      <w:r>
        <w:t>6 USC § 279(g)(2).</w:t>
      </w:r>
    </w:p>
    <w:p w14:paraId="42280974" w14:textId="77777777" w:rsidR="00F90435" w:rsidRDefault="00A0680E" w:rsidP="00953DC7">
      <w:pPr>
        <w:pStyle w:val="Footer"/>
        <w:spacing w:line="276" w:lineRule="auto"/>
      </w:pPr>
      <w:bookmarkStart w:id="1" w:name="_bookmark1"/>
      <w:bookmarkEnd w:id="1"/>
      <w:r>
        <w:rPr>
          <w:vertAlign w:val="superscript"/>
        </w:rPr>
        <w:t>2</w:t>
      </w:r>
      <w:r>
        <w:rPr>
          <w:spacing w:val="-3"/>
        </w:rPr>
        <w:t xml:space="preserve"> </w:t>
      </w:r>
      <w:r>
        <w:rPr>
          <w:i/>
        </w:rPr>
        <w:t>See</w:t>
      </w:r>
      <w:r>
        <w:rPr>
          <w:i/>
          <w:spacing w:val="-2"/>
        </w:rPr>
        <w:t xml:space="preserve"> </w:t>
      </w:r>
      <w:r>
        <w:rPr>
          <w:i/>
        </w:rPr>
        <w:t>generally</w:t>
      </w:r>
      <w:r>
        <w:rPr>
          <w:i/>
          <w:spacing w:val="-1"/>
        </w:rPr>
        <w:t xml:space="preserve"> </w:t>
      </w:r>
      <w:r>
        <w:t>8</w:t>
      </w:r>
      <w:r>
        <w:rPr>
          <w:spacing w:val="-4"/>
        </w:rPr>
        <w:t xml:space="preserve"> </w:t>
      </w:r>
      <w:r>
        <w:t>USC</w:t>
      </w:r>
      <w:r>
        <w:rPr>
          <w:spacing w:val="-3"/>
        </w:rPr>
        <w:t xml:space="preserve"> </w:t>
      </w:r>
      <w:r>
        <w:t>§</w:t>
      </w:r>
      <w:r>
        <w:rPr>
          <w:spacing w:val="-1"/>
        </w:rPr>
        <w:t xml:space="preserve"> </w:t>
      </w:r>
      <w:r>
        <w:rPr>
          <w:spacing w:val="-4"/>
        </w:rPr>
        <w:t>1232.</w:t>
      </w:r>
    </w:p>
    <w:p w14:paraId="42280975" w14:textId="77777777" w:rsidR="00F90435" w:rsidRDefault="00A0680E" w:rsidP="00953DC7">
      <w:pPr>
        <w:pStyle w:val="Footer"/>
        <w:spacing w:line="276" w:lineRule="auto"/>
      </w:pPr>
      <w:bookmarkStart w:id="2" w:name="_bookmark2"/>
      <w:bookmarkEnd w:id="2"/>
      <w:r>
        <w:rPr>
          <w:vertAlign w:val="superscript"/>
        </w:rPr>
        <w:t>3</w:t>
      </w:r>
      <w:r>
        <w:t xml:space="preserve"> </w:t>
      </w:r>
      <w:r>
        <w:rPr>
          <w:i/>
        </w:rPr>
        <w:t xml:space="preserve">See </w:t>
      </w:r>
      <w:r>
        <w:t>6 USC § 279. Note, children who are in the unaccompanied refugee minor (URM) program, with related immigration</w:t>
      </w:r>
      <w:r>
        <w:rPr>
          <w:spacing w:val="-2"/>
        </w:rPr>
        <w:t xml:space="preserve"> </w:t>
      </w:r>
      <w:r>
        <w:t>status,</w:t>
      </w:r>
      <w:r>
        <w:rPr>
          <w:spacing w:val="-3"/>
        </w:rPr>
        <w:t xml:space="preserve"> </w:t>
      </w:r>
      <w:r>
        <w:t>are</w:t>
      </w:r>
      <w:r>
        <w:rPr>
          <w:spacing w:val="-3"/>
        </w:rPr>
        <w:t xml:space="preserve"> </w:t>
      </w:r>
      <w:r>
        <w:t>not</w:t>
      </w:r>
      <w:r>
        <w:rPr>
          <w:spacing w:val="-4"/>
        </w:rPr>
        <w:t xml:space="preserve"> </w:t>
      </w:r>
      <w:r>
        <w:t>in</w:t>
      </w:r>
      <w:r>
        <w:rPr>
          <w:spacing w:val="-4"/>
        </w:rPr>
        <w:t xml:space="preserve"> </w:t>
      </w:r>
      <w:r>
        <w:t>ORR</w:t>
      </w:r>
      <w:r>
        <w:rPr>
          <w:spacing w:val="-4"/>
        </w:rPr>
        <w:t xml:space="preserve"> </w:t>
      </w:r>
      <w:r>
        <w:t>custody</w:t>
      </w:r>
      <w:r>
        <w:rPr>
          <w:spacing w:val="-2"/>
        </w:rPr>
        <w:t xml:space="preserve"> </w:t>
      </w:r>
      <w:r>
        <w:t>and</w:t>
      </w:r>
      <w:r>
        <w:rPr>
          <w:spacing w:val="-2"/>
        </w:rPr>
        <w:t xml:space="preserve"> </w:t>
      </w:r>
      <w:r>
        <w:t>instead</w:t>
      </w:r>
      <w:r>
        <w:rPr>
          <w:spacing w:val="-2"/>
        </w:rPr>
        <w:t xml:space="preserve"> </w:t>
      </w:r>
      <w:r>
        <w:t>are</w:t>
      </w:r>
      <w:r>
        <w:rPr>
          <w:spacing w:val="-3"/>
        </w:rPr>
        <w:t xml:space="preserve"> </w:t>
      </w:r>
      <w:r>
        <w:t>in</w:t>
      </w:r>
      <w:r>
        <w:rPr>
          <w:spacing w:val="-2"/>
        </w:rPr>
        <w:t xml:space="preserve"> </w:t>
      </w:r>
      <w:r>
        <w:t>the</w:t>
      </w:r>
      <w:r>
        <w:rPr>
          <w:spacing w:val="-3"/>
        </w:rPr>
        <w:t xml:space="preserve"> </w:t>
      </w:r>
      <w:r>
        <w:t>custody</w:t>
      </w:r>
      <w:r>
        <w:rPr>
          <w:spacing w:val="-2"/>
        </w:rPr>
        <w:t xml:space="preserve"> </w:t>
      </w:r>
      <w:r>
        <w:t>of</w:t>
      </w:r>
      <w:r>
        <w:rPr>
          <w:spacing w:val="-3"/>
        </w:rPr>
        <w:t xml:space="preserve"> </w:t>
      </w:r>
      <w:r>
        <w:t>the</w:t>
      </w:r>
      <w:r>
        <w:rPr>
          <w:spacing w:val="-3"/>
        </w:rPr>
        <w:t xml:space="preserve"> </w:t>
      </w:r>
      <w:r>
        <w:t>state</w:t>
      </w:r>
      <w:r>
        <w:rPr>
          <w:spacing w:val="-3"/>
        </w:rPr>
        <w:t xml:space="preserve"> </w:t>
      </w:r>
      <w:r>
        <w:t>in</w:t>
      </w:r>
      <w:r>
        <w:rPr>
          <w:spacing w:val="-2"/>
        </w:rPr>
        <w:t xml:space="preserve"> </w:t>
      </w:r>
      <w:r>
        <w:t>which</w:t>
      </w:r>
      <w:r>
        <w:rPr>
          <w:spacing w:val="-2"/>
        </w:rPr>
        <w:t xml:space="preserve"> </w:t>
      </w:r>
      <w:r>
        <w:t>they</w:t>
      </w:r>
      <w:r>
        <w:rPr>
          <w:spacing w:val="-2"/>
        </w:rPr>
        <w:t xml:space="preserve"> </w:t>
      </w:r>
      <w:r>
        <w:t>are</w:t>
      </w:r>
      <w:r>
        <w:rPr>
          <w:spacing w:val="-3"/>
        </w:rPr>
        <w:t xml:space="preserve"> </w:t>
      </w:r>
      <w:r>
        <w:t>placed</w:t>
      </w:r>
      <w:r>
        <w:rPr>
          <w:spacing w:val="-4"/>
        </w:rPr>
        <w:t xml:space="preserve"> </w:t>
      </w:r>
      <w:r>
        <w:t>under the URM program.</w:t>
      </w:r>
    </w:p>
    <w:p w14:paraId="153489CA" w14:textId="77777777" w:rsidR="005E30D8" w:rsidRDefault="005E30D8" w:rsidP="00953DC7">
      <w:pPr>
        <w:pStyle w:val="BodyText"/>
        <w:spacing w:before="194" w:line="276" w:lineRule="auto"/>
        <w:ind w:left="1080"/>
      </w:pPr>
    </w:p>
    <w:p w14:paraId="42280977" w14:textId="0BFA1CEE" w:rsidR="00F90435" w:rsidRDefault="00A0680E" w:rsidP="00953DC7">
      <w:pPr>
        <w:pStyle w:val="BodyText"/>
        <w:spacing w:line="276" w:lineRule="auto"/>
      </w:pPr>
      <w:r w:rsidRPr="00183454">
        <w:t>which generally means with their parents or sponsors, not in ORR or other restrictive custody.</w:t>
      </w:r>
      <w:hyperlink w:anchor="_bookmark3" w:history="1">
        <w:r w:rsidR="00F90435" w:rsidRPr="00183454">
          <w:t>4</w:t>
        </w:r>
      </w:hyperlink>
    </w:p>
    <w:p w14:paraId="6A5BCD05" w14:textId="77777777" w:rsidR="00555193" w:rsidRPr="00183454" w:rsidRDefault="00555193" w:rsidP="00953DC7">
      <w:pPr>
        <w:pStyle w:val="BodyText"/>
        <w:spacing w:line="276" w:lineRule="auto"/>
      </w:pPr>
    </w:p>
    <w:p w14:paraId="42280978" w14:textId="77777777" w:rsidR="00F90435" w:rsidRDefault="00A0680E" w:rsidP="00953DC7">
      <w:pPr>
        <w:pStyle w:val="BodyText"/>
        <w:spacing w:line="276" w:lineRule="auto"/>
      </w:pPr>
      <w:r w:rsidRPr="00D03F7E">
        <w:rPr>
          <w:rStyle w:val="Strong"/>
        </w:rPr>
        <w:t>Youth over 18, who entered the United States as an unaccompanied child and who do not yet have legal permanent residence status:</w:t>
      </w:r>
      <w:r>
        <w:t xml:space="preserve"> Youth who are over 18 and not yet legal permanent residents (i.e. green card holders) “age out” of ORR custody, into DHS oversight</w:t>
      </w:r>
      <w:r>
        <w:rPr>
          <w:spacing w:val="-3"/>
        </w:rPr>
        <w:t xml:space="preserve"> </w:t>
      </w:r>
      <w:r>
        <w:t>and</w:t>
      </w:r>
      <w:r>
        <w:rPr>
          <w:spacing w:val="-3"/>
        </w:rPr>
        <w:t xml:space="preserve"> </w:t>
      </w:r>
      <w:r>
        <w:t>custody.</w:t>
      </w:r>
      <w:hyperlink w:anchor="_bookmark4" w:history="1">
        <w:r w:rsidR="00F90435">
          <w:rPr>
            <w:vertAlign w:val="superscript"/>
          </w:rPr>
          <w:t>5</w:t>
        </w:r>
      </w:hyperlink>
      <w:r>
        <w:rPr>
          <w:spacing w:val="-2"/>
        </w:rPr>
        <w:t xml:space="preserve"> </w:t>
      </w:r>
      <w:r>
        <w:t>There</w:t>
      </w:r>
      <w:r>
        <w:rPr>
          <w:spacing w:val="-5"/>
        </w:rPr>
        <w:t xml:space="preserve"> </w:t>
      </w:r>
      <w:r>
        <w:t>have</w:t>
      </w:r>
      <w:r>
        <w:rPr>
          <w:spacing w:val="-4"/>
        </w:rPr>
        <w:t xml:space="preserve"> </w:t>
      </w:r>
      <w:r>
        <w:t>been</w:t>
      </w:r>
      <w:r>
        <w:rPr>
          <w:spacing w:val="-3"/>
        </w:rPr>
        <w:t xml:space="preserve"> </w:t>
      </w:r>
      <w:r>
        <w:t>recent</w:t>
      </w:r>
      <w:r>
        <w:rPr>
          <w:spacing w:val="-2"/>
        </w:rPr>
        <w:t xml:space="preserve"> </w:t>
      </w:r>
      <w:r>
        <w:t>instances</w:t>
      </w:r>
      <w:r>
        <w:rPr>
          <w:spacing w:val="-4"/>
        </w:rPr>
        <w:t xml:space="preserve"> </w:t>
      </w:r>
      <w:r>
        <w:t>of</w:t>
      </w:r>
      <w:r>
        <w:rPr>
          <w:spacing w:val="-3"/>
        </w:rPr>
        <w:t xml:space="preserve"> </w:t>
      </w:r>
      <w:r>
        <w:t>SIJ</w:t>
      </w:r>
      <w:r>
        <w:rPr>
          <w:spacing w:val="-4"/>
        </w:rPr>
        <w:t xml:space="preserve"> </w:t>
      </w:r>
      <w:r>
        <w:t>applicants,</w:t>
      </w:r>
      <w:r>
        <w:rPr>
          <w:spacing w:val="-3"/>
        </w:rPr>
        <w:t xml:space="preserve"> </w:t>
      </w:r>
      <w:r>
        <w:t>who</w:t>
      </w:r>
      <w:r>
        <w:rPr>
          <w:spacing w:val="-3"/>
        </w:rPr>
        <w:t xml:space="preserve"> </w:t>
      </w:r>
      <w:r>
        <w:t>are</w:t>
      </w:r>
      <w:r>
        <w:rPr>
          <w:spacing w:val="-5"/>
        </w:rPr>
        <w:t xml:space="preserve"> </w:t>
      </w:r>
      <w:r>
        <w:t>over 18, being detained and transferred outside of Massachusetts, and having a difficult time gaining release</w:t>
      </w:r>
      <w:r>
        <w:rPr>
          <w:spacing w:val="-1"/>
        </w:rPr>
        <w:t xml:space="preserve"> </w:t>
      </w:r>
      <w:r>
        <w:t>from immigration custody on bond. However, there are legal protections and defenses for youth over age 18 in this area. Under federal law, DHS must “consider</w:t>
      </w:r>
    </w:p>
    <w:p w14:paraId="42280979" w14:textId="77777777" w:rsidR="00F90435" w:rsidRDefault="00A0680E" w:rsidP="00953DC7">
      <w:pPr>
        <w:pStyle w:val="BodyText"/>
        <w:spacing w:line="276" w:lineRule="auto"/>
      </w:pPr>
      <w:r>
        <w:t>placement</w:t>
      </w:r>
      <w:r>
        <w:rPr>
          <w:spacing w:val="-3"/>
        </w:rPr>
        <w:t xml:space="preserve"> </w:t>
      </w:r>
      <w:r>
        <w:t>in</w:t>
      </w:r>
      <w:r>
        <w:rPr>
          <w:spacing w:val="-1"/>
        </w:rPr>
        <w:t xml:space="preserve"> </w:t>
      </w:r>
      <w:r>
        <w:t>the</w:t>
      </w:r>
      <w:r>
        <w:rPr>
          <w:spacing w:val="-1"/>
        </w:rPr>
        <w:t xml:space="preserve"> </w:t>
      </w:r>
      <w:r>
        <w:t>least</w:t>
      </w:r>
      <w:r>
        <w:rPr>
          <w:spacing w:val="-1"/>
        </w:rPr>
        <w:t xml:space="preserve"> </w:t>
      </w:r>
      <w:r>
        <w:t>restrictive</w:t>
      </w:r>
      <w:r>
        <w:rPr>
          <w:spacing w:val="-1"/>
        </w:rPr>
        <w:t xml:space="preserve"> </w:t>
      </w:r>
      <w:r>
        <w:t>setting</w:t>
      </w:r>
      <w:r>
        <w:rPr>
          <w:spacing w:val="-1"/>
        </w:rPr>
        <w:t xml:space="preserve"> </w:t>
      </w:r>
      <w:r>
        <w:t>available,”</w:t>
      </w:r>
      <w:r>
        <w:rPr>
          <w:spacing w:val="-1"/>
        </w:rPr>
        <w:t xml:space="preserve"> </w:t>
      </w:r>
      <w:r>
        <w:t>for</w:t>
      </w:r>
      <w:r>
        <w:rPr>
          <w:spacing w:val="-3"/>
        </w:rPr>
        <w:t xml:space="preserve"> </w:t>
      </w:r>
      <w:r>
        <w:t>unaccompanied children</w:t>
      </w:r>
      <w:r>
        <w:rPr>
          <w:spacing w:val="-1"/>
        </w:rPr>
        <w:t xml:space="preserve"> </w:t>
      </w:r>
      <w:r>
        <w:t xml:space="preserve">who </w:t>
      </w:r>
      <w:r>
        <w:rPr>
          <w:spacing w:val="-4"/>
        </w:rPr>
        <w:t>turn</w:t>
      </w:r>
    </w:p>
    <w:p w14:paraId="4228097A" w14:textId="77777777" w:rsidR="00F90435" w:rsidRDefault="00A0680E" w:rsidP="00953DC7">
      <w:pPr>
        <w:pStyle w:val="BodyText"/>
        <w:spacing w:line="276" w:lineRule="auto"/>
      </w:pPr>
      <w:r>
        <w:t>18</w:t>
      </w:r>
      <w:r>
        <w:rPr>
          <w:spacing w:val="-1"/>
        </w:rPr>
        <w:t xml:space="preserve"> </w:t>
      </w:r>
      <w:r>
        <w:t>taking</w:t>
      </w:r>
      <w:r>
        <w:rPr>
          <w:spacing w:val="-1"/>
        </w:rPr>
        <w:t xml:space="preserve"> </w:t>
      </w:r>
      <w:r>
        <w:t>into account</w:t>
      </w:r>
      <w:r>
        <w:rPr>
          <w:spacing w:val="-1"/>
        </w:rPr>
        <w:t xml:space="preserve"> </w:t>
      </w:r>
      <w:r>
        <w:t>certain statutory</w:t>
      </w:r>
      <w:r>
        <w:rPr>
          <w:spacing w:val="-1"/>
        </w:rPr>
        <w:t xml:space="preserve"> </w:t>
      </w:r>
      <w:r>
        <w:t>factors.</w:t>
      </w:r>
      <w:hyperlink w:anchor="_bookmark5" w:history="1">
        <w:r w:rsidR="00F90435">
          <w:rPr>
            <w:vertAlign w:val="superscript"/>
          </w:rPr>
          <w:t>6</w:t>
        </w:r>
      </w:hyperlink>
      <w:r>
        <w:t xml:space="preserve"> On October</w:t>
      </w:r>
      <w:r>
        <w:rPr>
          <w:spacing w:val="-3"/>
        </w:rPr>
        <w:t xml:space="preserve"> </w:t>
      </w:r>
      <w:r>
        <w:t>4, 2025,</w:t>
      </w:r>
      <w:r>
        <w:rPr>
          <w:spacing w:val="1"/>
        </w:rPr>
        <w:t xml:space="preserve"> </w:t>
      </w:r>
      <w:r>
        <w:t>a</w:t>
      </w:r>
      <w:r>
        <w:rPr>
          <w:spacing w:val="-2"/>
        </w:rPr>
        <w:t xml:space="preserve"> </w:t>
      </w:r>
      <w:r>
        <w:t>federal court</w:t>
      </w:r>
      <w:r>
        <w:rPr>
          <w:spacing w:val="-1"/>
        </w:rPr>
        <w:t xml:space="preserve"> </w:t>
      </w:r>
      <w:r>
        <w:rPr>
          <w:spacing w:val="-5"/>
        </w:rPr>
        <w:t>in</w:t>
      </w:r>
    </w:p>
    <w:p w14:paraId="4228097B" w14:textId="77777777" w:rsidR="00F90435" w:rsidRDefault="00A0680E" w:rsidP="00953DC7">
      <w:pPr>
        <w:pStyle w:val="BodyText"/>
        <w:spacing w:line="276" w:lineRule="auto"/>
        <w:rPr>
          <w:spacing w:val="-2"/>
        </w:rPr>
      </w:pPr>
      <w:r>
        <w:t xml:space="preserve">D.C. temporarily stopped ICE transferring unaccompanied children who turn 18 from ORR custody to ICE detention and required compliance with the court’s prior order to follow specific processes for placement in the “least restrictive setting.” </w:t>
      </w:r>
      <w:r>
        <w:rPr>
          <w:i/>
        </w:rPr>
        <w:t>See Garcia Ramirez et al. v. U.S. Immigration and Customs Enforcement et al</w:t>
      </w:r>
      <w:r>
        <w:t xml:space="preserve">, Case No: 1:18-cv-00508-RC (Dist. D.C.). Additionally, a federal court in California has ruled that it was illegal for DHS to randomly re-detain children unless DHS can show a change in circumstances of the original release. </w:t>
      </w:r>
      <w:r>
        <w:rPr>
          <w:i/>
        </w:rPr>
        <w:t>Saravia v. Barr</w:t>
      </w:r>
      <w:r>
        <w:t>, Case No. 3:17-cv-03615 (N.D. Cal.).</w:t>
      </w:r>
      <w:r>
        <w:rPr>
          <w:spacing w:val="-3"/>
        </w:rPr>
        <w:t xml:space="preserve"> </w:t>
      </w:r>
      <w:r>
        <w:t>For</w:t>
      </w:r>
      <w:r>
        <w:rPr>
          <w:spacing w:val="-3"/>
        </w:rPr>
        <w:t xml:space="preserve"> </w:t>
      </w:r>
      <w:r>
        <w:t>example,</w:t>
      </w:r>
      <w:r>
        <w:rPr>
          <w:spacing w:val="-3"/>
        </w:rPr>
        <w:t xml:space="preserve"> </w:t>
      </w:r>
      <w:r>
        <w:t>if</w:t>
      </w:r>
      <w:r>
        <w:rPr>
          <w:spacing w:val="-3"/>
        </w:rPr>
        <w:t xml:space="preserve"> </w:t>
      </w:r>
      <w:r>
        <w:t>an</w:t>
      </w:r>
      <w:r>
        <w:rPr>
          <w:spacing w:val="-2"/>
        </w:rPr>
        <w:t xml:space="preserve"> </w:t>
      </w:r>
      <w:r>
        <w:t>18–21-year-old</w:t>
      </w:r>
      <w:r>
        <w:rPr>
          <w:spacing w:val="-3"/>
        </w:rPr>
        <w:t xml:space="preserve"> </w:t>
      </w:r>
      <w:r>
        <w:t>were</w:t>
      </w:r>
      <w:r>
        <w:rPr>
          <w:spacing w:val="-4"/>
        </w:rPr>
        <w:t xml:space="preserve"> </w:t>
      </w:r>
      <w:r>
        <w:t>arrested</w:t>
      </w:r>
      <w:r>
        <w:rPr>
          <w:spacing w:val="-3"/>
        </w:rPr>
        <w:t xml:space="preserve"> </w:t>
      </w:r>
      <w:r>
        <w:t>on</w:t>
      </w:r>
      <w:r>
        <w:rPr>
          <w:spacing w:val="-3"/>
        </w:rPr>
        <w:t xml:space="preserve"> </w:t>
      </w:r>
      <w:r>
        <w:t>a</w:t>
      </w:r>
      <w:r>
        <w:rPr>
          <w:spacing w:val="-5"/>
        </w:rPr>
        <w:t xml:space="preserve"> </w:t>
      </w:r>
      <w:r>
        <w:t>criminal</w:t>
      </w:r>
      <w:r>
        <w:rPr>
          <w:spacing w:val="-3"/>
        </w:rPr>
        <w:t xml:space="preserve"> </w:t>
      </w:r>
      <w:r>
        <w:t>charge,</w:t>
      </w:r>
      <w:r>
        <w:rPr>
          <w:spacing w:val="-3"/>
        </w:rPr>
        <w:t xml:space="preserve"> </w:t>
      </w:r>
      <w:r>
        <w:t>that</w:t>
      </w:r>
      <w:r>
        <w:rPr>
          <w:spacing w:val="-3"/>
        </w:rPr>
        <w:t xml:space="preserve"> </w:t>
      </w:r>
      <w:r>
        <w:t>would likely constitute a change in circumstances. Overall, the courts have been reluctant to accept random detention and re-detention of people who entered the United States as unaccompanied children.</w:t>
      </w:r>
      <w:r>
        <w:rPr>
          <w:spacing w:val="40"/>
        </w:rPr>
        <w:t xml:space="preserve"> </w:t>
      </w:r>
      <w:r>
        <w:t xml:space="preserve">Please be aware that these protections will likely be argued extensively in upcoming litigation, including in Habeas Corpus petitions in Federal </w:t>
      </w:r>
      <w:r>
        <w:rPr>
          <w:spacing w:val="-2"/>
        </w:rPr>
        <w:t>Court.</w:t>
      </w:r>
    </w:p>
    <w:p w14:paraId="3C89A576" w14:textId="77777777" w:rsidR="00786EC5" w:rsidRDefault="00786EC5" w:rsidP="00953DC7">
      <w:pPr>
        <w:pStyle w:val="BodyText"/>
        <w:spacing w:line="276" w:lineRule="auto"/>
      </w:pPr>
    </w:p>
    <w:p w14:paraId="4228097C" w14:textId="77777777" w:rsidR="00F90435" w:rsidRDefault="00F90435" w:rsidP="00953DC7">
      <w:pPr>
        <w:pStyle w:val="BodyText"/>
        <w:spacing w:line="276" w:lineRule="auto"/>
      </w:pPr>
    </w:p>
    <w:p w14:paraId="7CD5BDB1" w14:textId="77777777" w:rsidR="008F600F" w:rsidRDefault="00A0680E" w:rsidP="00953DC7">
      <w:pPr>
        <w:pStyle w:val="BodyText"/>
        <w:spacing w:line="276" w:lineRule="auto"/>
      </w:pPr>
      <w:r>
        <w:t>Important considerations for youth who entered the United States as an unaccompanied</w:t>
      </w:r>
      <w:r>
        <w:rPr>
          <w:spacing w:val="-2"/>
        </w:rPr>
        <w:t xml:space="preserve"> </w:t>
      </w:r>
      <w:r>
        <w:t>child</w:t>
      </w:r>
      <w:r>
        <w:rPr>
          <w:spacing w:val="-3"/>
        </w:rPr>
        <w:t xml:space="preserve"> </w:t>
      </w:r>
      <w:r>
        <w:t>and</w:t>
      </w:r>
      <w:r>
        <w:rPr>
          <w:spacing w:val="-4"/>
        </w:rPr>
        <w:t xml:space="preserve"> </w:t>
      </w:r>
      <w:r>
        <w:t>who</w:t>
      </w:r>
      <w:r>
        <w:rPr>
          <w:spacing w:val="-4"/>
        </w:rPr>
        <w:t xml:space="preserve"> </w:t>
      </w:r>
      <w:r>
        <w:t>are</w:t>
      </w:r>
      <w:r>
        <w:rPr>
          <w:spacing w:val="-6"/>
        </w:rPr>
        <w:t xml:space="preserve"> </w:t>
      </w:r>
      <w:r>
        <w:t>on</w:t>
      </w:r>
      <w:r>
        <w:rPr>
          <w:spacing w:val="-4"/>
        </w:rPr>
        <w:t xml:space="preserve"> </w:t>
      </w:r>
      <w:r>
        <w:t>a</w:t>
      </w:r>
      <w:r>
        <w:rPr>
          <w:spacing w:val="-4"/>
        </w:rPr>
        <w:t xml:space="preserve"> </w:t>
      </w:r>
      <w:r>
        <w:t>path</w:t>
      </w:r>
      <w:r>
        <w:rPr>
          <w:spacing w:val="-5"/>
        </w:rPr>
        <w:t xml:space="preserve"> </w:t>
      </w:r>
      <w:r>
        <w:t>toward</w:t>
      </w:r>
      <w:r>
        <w:rPr>
          <w:spacing w:val="-4"/>
        </w:rPr>
        <w:t xml:space="preserve"> </w:t>
      </w:r>
      <w:r>
        <w:t>legal</w:t>
      </w:r>
      <w:r>
        <w:rPr>
          <w:spacing w:val="-4"/>
        </w:rPr>
        <w:t xml:space="preserve"> </w:t>
      </w:r>
      <w:r>
        <w:t>permanent</w:t>
      </w:r>
      <w:r>
        <w:rPr>
          <w:spacing w:val="-4"/>
        </w:rPr>
        <w:t xml:space="preserve"> </w:t>
      </w:r>
      <w:r>
        <w:t>residency:</w:t>
      </w:r>
      <w:r>
        <w:rPr>
          <w:spacing w:val="-2"/>
        </w:rPr>
        <w:t xml:space="preserve"> </w:t>
      </w:r>
      <w:r>
        <w:t>For those who came to the United States as an unaccompanied child, who are now over 18, and who are on a path towards obtaining legal permanent residency (i.e. a green card), it is important to know that - absent any criminal charges - ICE cannot detain individuals once</w:t>
      </w:r>
      <w:r>
        <w:rPr>
          <w:spacing w:val="-1"/>
        </w:rPr>
        <w:t xml:space="preserve"> </w:t>
      </w:r>
      <w:r>
        <w:t>they have</w:t>
      </w:r>
      <w:r>
        <w:rPr>
          <w:spacing w:val="-1"/>
        </w:rPr>
        <w:t xml:space="preserve"> </w:t>
      </w:r>
      <w:r>
        <w:t xml:space="preserve">obtained legal </w:t>
      </w:r>
    </w:p>
    <w:p w14:paraId="276FD3FF" w14:textId="77777777" w:rsidR="008F600F" w:rsidRDefault="008F600F" w:rsidP="00953DC7">
      <w:pPr>
        <w:pStyle w:val="BodyText"/>
        <w:spacing w:line="276" w:lineRule="auto"/>
      </w:pPr>
    </w:p>
    <w:p w14:paraId="7E5B71A4" w14:textId="77777777" w:rsidR="008F600F" w:rsidRDefault="008F600F" w:rsidP="00953DC7">
      <w:pPr>
        <w:pStyle w:val="BodyText"/>
        <w:spacing w:line="276" w:lineRule="auto"/>
      </w:pPr>
    </w:p>
    <w:p w14:paraId="4228097D" w14:textId="08249457" w:rsidR="00F90435" w:rsidRDefault="00A0680E" w:rsidP="00953DC7">
      <w:pPr>
        <w:pStyle w:val="BodyText"/>
        <w:spacing w:line="276" w:lineRule="auto"/>
      </w:pPr>
      <w:r>
        <w:t>permanent resident status. We</w:t>
      </w:r>
      <w:r>
        <w:rPr>
          <w:spacing w:val="-1"/>
        </w:rPr>
        <w:t xml:space="preserve"> </w:t>
      </w:r>
      <w:r>
        <w:t>encourage</w:t>
      </w:r>
      <w:r>
        <w:rPr>
          <w:spacing w:val="-1"/>
        </w:rPr>
        <w:t xml:space="preserve"> </w:t>
      </w:r>
      <w:r>
        <w:t>individuals</w:t>
      </w:r>
      <w:r>
        <w:rPr>
          <w:spacing w:val="-1"/>
        </w:rPr>
        <w:t xml:space="preserve"> </w:t>
      </w:r>
      <w:r>
        <w:t>to be aware of their priority date in the SIJ process – which can be checked by the date on which</w:t>
      </w:r>
      <w:r>
        <w:rPr>
          <w:spacing w:val="-3"/>
        </w:rPr>
        <w:t xml:space="preserve"> </w:t>
      </w:r>
      <w:r>
        <w:t>petition</w:t>
      </w:r>
      <w:r>
        <w:rPr>
          <w:spacing w:val="-3"/>
        </w:rPr>
        <w:t xml:space="preserve"> </w:t>
      </w:r>
      <w:r>
        <w:t>for</w:t>
      </w:r>
      <w:r>
        <w:rPr>
          <w:spacing w:val="-3"/>
        </w:rPr>
        <w:t xml:space="preserve"> </w:t>
      </w:r>
      <w:r>
        <w:t>a</w:t>
      </w:r>
      <w:r>
        <w:rPr>
          <w:spacing w:val="-5"/>
        </w:rPr>
        <w:t xml:space="preserve"> </w:t>
      </w:r>
      <w:r>
        <w:t>green</w:t>
      </w:r>
      <w:r>
        <w:rPr>
          <w:spacing w:val="-3"/>
        </w:rPr>
        <w:t xml:space="preserve"> </w:t>
      </w:r>
      <w:r>
        <w:t>card</w:t>
      </w:r>
      <w:r>
        <w:rPr>
          <w:spacing w:val="-3"/>
        </w:rPr>
        <w:t xml:space="preserve"> </w:t>
      </w:r>
      <w:r>
        <w:t>was</w:t>
      </w:r>
      <w:r>
        <w:rPr>
          <w:spacing w:val="-4"/>
        </w:rPr>
        <w:t xml:space="preserve"> </w:t>
      </w:r>
      <w:r>
        <w:t>filed.</w:t>
      </w:r>
      <w:r>
        <w:rPr>
          <w:spacing w:val="-3"/>
        </w:rPr>
        <w:t xml:space="preserve"> </w:t>
      </w:r>
      <w:r>
        <w:t>Special</w:t>
      </w:r>
      <w:r>
        <w:rPr>
          <w:spacing w:val="-1"/>
        </w:rPr>
        <w:t xml:space="preserve"> </w:t>
      </w:r>
      <w:r>
        <w:t>Immigrant</w:t>
      </w:r>
      <w:r>
        <w:rPr>
          <w:spacing w:val="-3"/>
        </w:rPr>
        <w:t xml:space="preserve"> </w:t>
      </w:r>
      <w:r>
        <w:t>Juvenile</w:t>
      </w:r>
      <w:r>
        <w:rPr>
          <w:spacing w:val="-4"/>
        </w:rPr>
        <w:t xml:space="preserve"> </w:t>
      </w:r>
      <w:r>
        <w:t>Priority</w:t>
      </w:r>
      <w:r>
        <w:rPr>
          <w:spacing w:val="-3"/>
        </w:rPr>
        <w:t xml:space="preserve"> </w:t>
      </w:r>
      <w:r>
        <w:t>Processing dates are listed under “Final Action Dates For employment-based preference Cases” in</w:t>
      </w:r>
    </w:p>
    <w:p w14:paraId="4228097E" w14:textId="77777777" w:rsidR="00F90435" w:rsidRDefault="00F90435" w:rsidP="00953DC7">
      <w:pPr>
        <w:pStyle w:val="BodyText"/>
        <w:spacing w:line="276" w:lineRule="auto"/>
        <w:rPr>
          <w:sz w:val="20"/>
        </w:rPr>
      </w:pPr>
    </w:p>
    <w:p w14:paraId="4228097F" w14:textId="77777777" w:rsidR="00F90435" w:rsidRDefault="00A0680E" w:rsidP="00953DC7">
      <w:pPr>
        <w:pStyle w:val="Footer"/>
        <w:spacing w:line="276" w:lineRule="auto"/>
      </w:pPr>
      <w:r>
        <w:rPr>
          <w:noProof/>
        </w:rPr>
        <mc:AlternateContent>
          <mc:Choice Requires="wps">
            <w:drawing>
              <wp:anchor distT="0" distB="0" distL="0" distR="0" simplePos="0" relativeHeight="251659776" behindDoc="1" locked="0" layoutInCell="1" allowOverlap="1" wp14:anchorId="42280999" wp14:editId="4228099A">
                <wp:simplePos x="0" y="0"/>
                <wp:positionH relativeFrom="page">
                  <wp:posOffset>914704</wp:posOffset>
                </wp:positionH>
                <wp:positionV relativeFrom="paragraph">
                  <wp:posOffset>256144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1B28C" id="Graphic 4" o:spid="_x0000_s1026" style="position:absolute;margin-left:1in;margin-top:20.15pt;width:144.05pt;height:.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" path="m1829054,l,,,9144r1829054,l1829054,xe" fillcolor="black" stroked="f">
                <v:path arrowok="t"/>
                <w10:wrap type="topAndBottom" anchorx="page"/>
              </v:shape>
            </w:pict>
          </mc:Fallback>
        </mc:AlternateContent>
      </w:r>
    </w:p>
    <w:p w14:paraId="42280980" w14:textId="77777777" w:rsidR="00F90435" w:rsidRDefault="00A0680E" w:rsidP="00953DC7">
      <w:pPr>
        <w:pStyle w:val="Footer"/>
        <w:spacing w:line="276" w:lineRule="auto"/>
      </w:pPr>
      <w:bookmarkStart w:id="3" w:name="_bookmark3"/>
      <w:bookmarkEnd w:id="3"/>
      <w:r>
        <w:rPr>
          <w:vertAlign w:val="superscript"/>
        </w:rPr>
        <w:t>4</w:t>
      </w:r>
      <w:r>
        <w:rPr>
          <w:spacing w:val="-4"/>
        </w:rPr>
        <w:t xml:space="preserve"> </w:t>
      </w:r>
      <w:r>
        <w:rPr>
          <w:i/>
        </w:rPr>
        <w:t>See</w:t>
      </w:r>
      <w:r>
        <w:rPr>
          <w:i/>
          <w:spacing w:val="-3"/>
        </w:rPr>
        <w:t xml:space="preserve"> </w:t>
      </w:r>
      <w:r>
        <w:t>8</w:t>
      </w:r>
      <w:r>
        <w:rPr>
          <w:spacing w:val="-3"/>
        </w:rPr>
        <w:t xml:space="preserve"> </w:t>
      </w:r>
      <w:r>
        <w:t>USC</w:t>
      </w:r>
      <w:r>
        <w:rPr>
          <w:spacing w:val="-4"/>
        </w:rPr>
        <w:t xml:space="preserve"> </w:t>
      </w:r>
      <w:r>
        <w:t>§</w:t>
      </w:r>
      <w:r>
        <w:rPr>
          <w:spacing w:val="-3"/>
        </w:rPr>
        <w:t xml:space="preserve"> </w:t>
      </w:r>
      <w:r>
        <w:t>1232(c)(2)(A);</w:t>
      </w:r>
      <w:r>
        <w:rPr>
          <w:spacing w:val="-5"/>
        </w:rPr>
        <w:t xml:space="preserve"> </w:t>
      </w:r>
      <w:r>
        <w:t>45</w:t>
      </w:r>
      <w:r>
        <w:rPr>
          <w:spacing w:val="-2"/>
        </w:rPr>
        <w:t xml:space="preserve"> </w:t>
      </w:r>
      <w:r>
        <w:t>CFR</w:t>
      </w:r>
      <w:r>
        <w:rPr>
          <w:spacing w:val="-5"/>
        </w:rPr>
        <w:t xml:space="preserve"> </w:t>
      </w:r>
      <w:r>
        <w:t>Part</w:t>
      </w:r>
      <w:r>
        <w:rPr>
          <w:spacing w:val="-5"/>
        </w:rPr>
        <w:t xml:space="preserve"> </w:t>
      </w:r>
      <w:r>
        <w:rPr>
          <w:spacing w:val="-4"/>
        </w:rPr>
        <w:t>410.</w:t>
      </w:r>
    </w:p>
    <w:p w14:paraId="42280981" w14:textId="77777777" w:rsidR="00F90435" w:rsidRDefault="00A0680E" w:rsidP="00953DC7">
      <w:pPr>
        <w:pStyle w:val="Footer"/>
        <w:spacing w:line="276" w:lineRule="auto"/>
      </w:pPr>
      <w:bookmarkStart w:id="4" w:name="_bookmark4"/>
      <w:bookmarkEnd w:id="4"/>
      <w:r>
        <w:rPr>
          <w:vertAlign w:val="superscript"/>
        </w:rPr>
        <w:t>5</w:t>
      </w:r>
      <w:r>
        <w:rPr>
          <w:spacing w:val="-2"/>
        </w:rPr>
        <w:t xml:space="preserve"> </w:t>
      </w:r>
      <w:r>
        <w:rPr>
          <w:i/>
        </w:rPr>
        <w:t>See</w:t>
      </w:r>
      <w:r>
        <w:rPr>
          <w:i/>
          <w:spacing w:val="-1"/>
        </w:rPr>
        <w:t xml:space="preserve"> </w:t>
      </w:r>
      <w:r>
        <w:t>8</w:t>
      </w:r>
      <w:r>
        <w:rPr>
          <w:spacing w:val="-1"/>
        </w:rPr>
        <w:t xml:space="preserve"> </w:t>
      </w:r>
      <w:r>
        <w:t>USC</w:t>
      </w:r>
      <w:r>
        <w:rPr>
          <w:spacing w:val="-2"/>
        </w:rPr>
        <w:t xml:space="preserve"> </w:t>
      </w:r>
      <w:r>
        <w:t>§</w:t>
      </w:r>
      <w:r>
        <w:rPr>
          <w:spacing w:val="-1"/>
        </w:rPr>
        <w:t xml:space="preserve"> </w:t>
      </w:r>
      <w:r>
        <w:rPr>
          <w:spacing w:val="-2"/>
        </w:rPr>
        <w:t>1232(c)(2)(B).</w:t>
      </w:r>
    </w:p>
    <w:p w14:paraId="42280982" w14:textId="77777777" w:rsidR="00F90435" w:rsidRDefault="00A0680E" w:rsidP="00953DC7">
      <w:pPr>
        <w:pStyle w:val="Footer"/>
        <w:spacing w:line="276" w:lineRule="auto"/>
        <w:rPr>
          <w:i/>
        </w:rPr>
      </w:pPr>
      <w:bookmarkStart w:id="5" w:name="_bookmark5"/>
      <w:bookmarkEnd w:id="5"/>
      <w:r>
        <w:rPr>
          <w:vertAlign w:val="superscript"/>
        </w:rPr>
        <w:t>6</w:t>
      </w:r>
      <w:r>
        <w:rPr>
          <w:spacing w:val="-1"/>
        </w:rPr>
        <w:t xml:space="preserve"> </w:t>
      </w:r>
      <w:r>
        <w:rPr>
          <w:i/>
          <w:spacing w:val="-5"/>
        </w:rPr>
        <w:t>Id.</w:t>
      </w:r>
    </w:p>
    <w:p w14:paraId="42280983" w14:textId="77777777" w:rsidR="00F90435" w:rsidRDefault="00F90435" w:rsidP="00953DC7">
      <w:pPr>
        <w:spacing w:line="276" w:lineRule="auto"/>
        <w:rPr>
          <w:i/>
          <w:sz w:val="20"/>
        </w:rPr>
        <w:sectPr w:rsidR="00F90435">
          <w:headerReference w:type="even" r:id="rId8"/>
          <w:headerReference w:type="default" r:id="rId9"/>
          <w:footerReference w:type="even" r:id="rId10"/>
          <w:footerReference w:type="default" r:id="rId11"/>
          <w:headerReference w:type="first" r:id="rId12"/>
          <w:footerReference w:type="first" r:id="rId13"/>
          <w:pgSz w:w="12240" w:h="15840"/>
          <w:pgMar w:top="2320" w:right="1440" w:bottom="280" w:left="1080" w:header="915" w:footer="0" w:gutter="0"/>
          <w:cols w:space="720"/>
        </w:sectPr>
      </w:pPr>
    </w:p>
    <w:p w14:paraId="52079408" w14:textId="77777777" w:rsidR="001C690C" w:rsidRDefault="001C690C" w:rsidP="00953DC7">
      <w:pPr>
        <w:spacing w:before="194" w:line="276" w:lineRule="auto"/>
        <w:ind w:left="1440" w:hanging="360"/>
      </w:pPr>
    </w:p>
    <w:p w14:paraId="42280984" w14:textId="11BE52E4" w:rsidR="00F90435" w:rsidRPr="00E765F1" w:rsidRDefault="007A7BB2" w:rsidP="00953DC7">
      <w:pPr>
        <w:spacing w:before="194" w:line="276" w:lineRule="auto"/>
        <w:ind w:left="1080"/>
        <w:rPr>
          <w:rStyle w:val="Strong"/>
        </w:rPr>
      </w:pPr>
      <w:hyperlink r:id="rId14" w:history="1">
        <w:r w:rsidRPr="007A7BB2">
          <w:rPr>
            <w:rStyle w:val="Hyperlink"/>
            <w:rFonts w:ascii="Arial" w:hAnsi="Arial"/>
            <w:sz w:val="24"/>
          </w:rPr>
          <w:t>The Visa Bulletin</w:t>
        </w:r>
      </w:hyperlink>
      <w:r>
        <w:rPr>
          <w:b/>
          <w:color w:val="0462C1"/>
          <w:spacing w:val="-12"/>
          <w:sz w:val="24"/>
        </w:rPr>
        <w:t xml:space="preserve"> </w:t>
      </w:r>
      <w:r w:rsidRPr="00E765F1">
        <w:rPr>
          <w:rStyle w:val="Strong"/>
        </w:rPr>
        <w:t>(Please note: Special Immigrant Juveniles are considered</w:t>
      </w:r>
    </w:p>
    <w:p w14:paraId="42280985" w14:textId="73AFE51F" w:rsidR="00F90435" w:rsidRDefault="00A0680E" w:rsidP="00953DC7">
      <w:pPr>
        <w:spacing w:before="22" w:line="276" w:lineRule="auto"/>
        <w:ind w:left="1080"/>
        <w:rPr>
          <w:rStyle w:val="Strong"/>
        </w:rPr>
      </w:pPr>
      <w:r w:rsidRPr="00E765F1">
        <w:rPr>
          <w:rStyle w:val="Strong"/>
        </w:rPr>
        <w:t xml:space="preserve">“Fourth” preference in the </w:t>
      </w:r>
      <w:r w:rsidR="001C690C" w:rsidRPr="00E765F1">
        <w:rPr>
          <w:rStyle w:val="Strong"/>
        </w:rPr>
        <w:t>Employment-based</w:t>
      </w:r>
      <w:r w:rsidRPr="00E765F1">
        <w:rPr>
          <w:rStyle w:val="Strong"/>
        </w:rPr>
        <w:t xml:space="preserve"> category.)</w:t>
      </w:r>
    </w:p>
    <w:p w14:paraId="41C0A3D5" w14:textId="77777777" w:rsidR="00285F65" w:rsidRDefault="00285F65" w:rsidP="00953DC7">
      <w:pPr>
        <w:spacing w:before="22" w:line="276" w:lineRule="auto"/>
        <w:ind w:left="1080"/>
        <w:rPr>
          <w:rStyle w:val="Strong"/>
        </w:rPr>
      </w:pPr>
    </w:p>
    <w:p w14:paraId="40C6A5BE" w14:textId="77777777" w:rsidR="00285F65" w:rsidRDefault="00285F65" w:rsidP="00444C72">
      <w:pPr>
        <w:pStyle w:val="Heading3"/>
      </w:pPr>
      <w:r>
        <w:t xml:space="preserve">Resources </w:t>
      </w:r>
    </w:p>
    <w:p w14:paraId="3B057CDF" w14:textId="77777777" w:rsidR="00285F65" w:rsidRDefault="00285F65" w:rsidP="00953DC7">
      <w:pPr>
        <w:pStyle w:val="BodyText"/>
        <w:spacing w:line="276" w:lineRule="auto"/>
      </w:pPr>
    </w:p>
    <w:p w14:paraId="42280987" w14:textId="1FD149B6" w:rsidR="00F90435" w:rsidRDefault="00A0680E" w:rsidP="00953DC7">
      <w:pPr>
        <w:pStyle w:val="BodyText"/>
        <w:spacing w:line="276" w:lineRule="auto"/>
      </w:pPr>
      <w:r>
        <w:t>Many community organizations and resettlement agencies are available to support unaccompanied</w:t>
      </w:r>
      <w:r>
        <w:rPr>
          <w:spacing w:val="-5"/>
        </w:rPr>
        <w:t xml:space="preserve"> </w:t>
      </w:r>
      <w:r>
        <w:t>children</w:t>
      </w:r>
      <w:r>
        <w:rPr>
          <w:spacing w:val="-3"/>
        </w:rPr>
        <w:t xml:space="preserve"> </w:t>
      </w:r>
      <w:r>
        <w:t>in</w:t>
      </w:r>
      <w:r>
        <w:rPr>
          <w:spacing w:val="-5"/>
        </w:rPr>
        <w:t xml:space="preserve"> </w:t>
      </w:r>
      <w:r>
        <w:t>Massachusetts.</w:t>
      </w:r>
      <w:r>
        <w:rPr>
          <w:spacing w:val="-5"/>
        </w:rPr>
        <w:t xml:space="preserve"> </w:t>
      </w:r>
      <w:r>
        <w:t>For</w:t>
      </w:r>
      <w:r>
        <w:rPr>
          <w:spacing w:val="-5"/>
        </w:rPr>
        <w:t xml:space="preserve"> </w:t>
      </w:r>
      <w:r>
        <w:t>individuals</w:t>
      </w:r>
      <w:r>
        <w:rPr>
          <w:spacing w:val="-6"/>
        </w:rPr>
        <w:t xml:space="preserve"> </w:t>
      </w:r>
      <w:r>
        <w:t>who</w:t>
      </w:r>
      <w:r>
        <w:rPr>
          <w:spacing w:val="-5"/>
        </w:rPr>
        <w:t xml:space="preserve"> </w:t>
      </w:r>
      <w:r>
        <w:t>need</w:t>
      </w:r>
      <w:r>
        <w:rPr>
          <w:spacing w:val="-5"/>
        </w:rPr>
        <w:t xml:space="preserve"> </w:t>
      </w:r>
      <w:r>
        <w:t>additional</w:t>
      </w:r>
      <w:r>
        <w:rPr>
          <w:spacing w:val="-5"/>
        </w:rPr>
        <w:t xml:space="preserve"> </w:t>
      </w:r>
      <w:r>
        <w:t>information</w:t>
      </w:r>
      <w:r>
        <w:rPr>
          <w:spacing w:val="-5"/>
        </w:rPr>
        <w:t xml:space="preserve"> </w:t>
      </w:r>
      <w:r>
        <w:t xml:space="preserve">or resources to support unaccompanied children or youth turning 18, please contact the Massachusetts Office for Refugees and Immigrants, </w:t>
      </w:r>
      <w:r w:rsidR="00FF46A2">
        <w:t xml:space="preserve">at </w:t>
      </w:r>
      <w:hyperlink r:id="rId15" w:history="1">
        <w:r w:rsidR="00FF46A2" w:rsidRPr="00F61887">
          <w:rPr>
            <w:rStyle w:val="Hyperlink"/>
          </w:rPr>
          <w:t>ORI.inbox@mass.gov</w:t>
        </w:r>
      </w:hyperlink>
      <w:r>
        <w:t>, for referrals and additional resources.</w:t>
      </w:r>
    </w:p>
    <w:p w14:paraId="42280988" w14:textId="17EA62B3" w:rsidR="00F90435" w:rsidRDefault="00A0680E" w:rsidP="00953DC7">
      <w:pPr>
        <w:pStyle w:val="BodyText"/>
        <w:spacing w:line="276" w:lineRule="auto"/>
      </w:pPr>
      <w:r>
        <w:t>Unaccompanied children, including those turning 18 or older, and SIJ visa applicants should</w:t>
      </w:r>
      <w:r>
        <w:rPr>
          <w:spacing w:val="-4"/>
        </w:rPr>
        <w:t xml:space="preserve"> </w:t>
      </w:r>
      <w:r>
        <w:t>consider</w:t>
      </w:r>
      <w:r>
        <w:rPr>
          <w:spacing w:val="-4"/>
        </w:rPr>
        <w:t xml:space="preserve"> </w:t>
      </w:r>
      <w:r>
        <w:t>consulting</w:t>
      </w:r>
      <w:r>
        <w:rPr>
          <w:spacing w:val="-4"/>
        </w:rPr>
        <w:t xml:space="preserve"> </w:t>
      </w:r>
      <w:r>
        <w:t>an</w:t>
      </w:r>
      <w:r>
        <w:rPr>
          <w:spacing w:val="-4"/>
        </w:rPr>
        <w:t xml:space="preserve"> </w:t>
      </w:r>
      <w:r>
        <w:t>attorney</w:t>
      </w:r>
      <w:r>
        <w:rPr>
          <w:spacing w:val="-4"/>
        </w:rPr>
        <w:t xml:space="preserve"> </w:t>
      </w:r>
      <w:r>
        <w:t>about</w:t>
      </w:r>
      <w:r>
        <w:rPr>
          <w:spacing w:val="-4"/>
        </w:rPr>
        <w:t xml:space="preserve"> </w:t>
      </w:r>
      <w:r>
        <w:t>their</w:t>
      </w:r>
      <w:r>
        <w:rPr>
          <w:spacing w:val="-3"/>
        </w:rPr>
        <w:t xml:space="preserve"> </w:t>
      </w:r>
      <w:r>
        <w:t>individual</w:t>
      </w:r>
      <w:r>
        <w:rPr>
          <w:spacing w:val="-4"/>
        </w:rPr>
        <w:t xml:space="preserve"> </w:t>
      </w:r>
      <w:r>
        <w:t>circumstances.</w:t>
      </w:r>
      <w:r>
        <w:rPr>
          <w:spacing w:val="-2"/>
        </w:rPr>
        <w:t xml:space="preserve"> </w:t>
      </w:r>
      <w:r>
        <w:t>For</w:t>
      </w:r>
      <w:r>
        <w:rPr>
          <w:spacing w:val="-4"/>
        </w:rPr>
        <w:t xml:space="preserve"> </w:t>
      </w:r>
      <w:r>
        <w:t>youth</w:t>
      </w:r>
      <w:r>
        <w:rPr>
          <w:spacing w:val="-4"/>
        </w:rPr>
        <w:t xml:space="preserve"> </w:t>
      </w:r>
      <w:r>
        <w:t>in</w:t>
      </w:r>
      <w:r>
        <w:rPr>
          <w:spacing w:val="-4"/>
        </w:rPr>
        <w:t xml:space="preserve"> </w:t>
      </w:r>
      <w:r>
        <w:t>need</w:t>
      </w:r>
      <w:r>
        <w:rPr>
          <w:spacing w:val="-4"/>
        </w:rPr>
        <w:t xml:space="preserve"> </w:t>
      </w:r>
      <w:r>
        <w:t xml:space="preserve">of legal counsel, please see </w:t>
      </w:r>
      <w:r w:rsidR="009778B9">
        <w:t xml:space="preserve">the </w:t>
      </w:r>
      <w:r>
        <w:t>resources below.</w:t>
      </w:r>
    </w:p>
    <w:p w14:paraId="3ADBD502" w14:textId="56D0A92D" w:rsidR="00953DC7" w:rsidRPr="00592F1D" w:rsidRDefault="00592F1D" w:rsidP="00953DC7">
      <w:pPr>
        <w:pStyle w:val="BodyText"/>
        <w:spacing w:line="276" w:lineRule="auto"/>
        <w:rPr>
          <w:rStyle w:val="Hyperlink"/>
        </w:rPr>
      </w:pPr>
      <w:r>
        <w:rPr>
          <w:rStyle w:val="Strong"/>
        </w:rPr>
        <w:fldChar w:fldCharType="begin"/>
      </w:r>
      <w:r>
        <w:rPr>
          <w:rStyle w:val="Strong"/>
        </w:rPr>
        <w:instrText>HYPERLINK "https://masslrf.org/en/home"</w:instrText>
      </w:r>
      <w:r>
        <w:rPr>
          <w:rStyle w:val="Strong"/>
        </w:rPr>
      </w:r>
      <w:r>
        <w:rPr>
          <w:rStyle w:val="Strong"/>
        </w:rPr>
        <w:fldChar w:fldCharType="separate"/>
      </w:r>
    </w:p>
    <w:p w14:paraId="42280989" w14:textId="4DA7BA38" w:rsidR="00F90435" w:rsidRPr="00786EC5" w:rsidRDefault="00A0680E" w:rsidP="00953DC7">
      <w:pPr>
        <w:pStyle w:val="BodyText"/>
        <w:spacing w:line="276" w:lineRule="auto"/>
        <w:rPr>
          <w:rStyle w:val="Strong"/>
        </w:rPr>
      </w:pPr>
      <w:r w:rsidRPr="00592F1D">
        <w:rPr>
          <w:rStyle w:val="Hyperlink"/>
        </w:rPr>
        <w:t>Massachusetts Legal Resource Finder</w:t>
      </w:r>
      <w:r w:rsidR="00592F1D">
        <w:rPr>
          <w:rStyle w:val="Strong"/>
        </w:rPr>
        <w:fldChar w:fldCharType="end"/>
      </w:r>
    </w:p>
    <w:p w14:paraId="4228098A" w14:textId="04AD6F2F" w:rsidR="00F90435" w:rsidRDefault="00F90435" w:rsidP="00953DC7">
      <w:pPr>
        <w:pStyle w:val="BodyText"/>
        <w:spacing w:line="276" w:lineRule="auto"/>
      </w:pPr>
    </w:p>
    <w:p w14:paraId="4228098D" w14:textId="610436A4" w:rsidR="00F90435" w:rsidRPr="00786EC5" w:rsidRDefault="00BF39F8" w:rsidP="00953DC7">
      <w:pPr>
        <w:pStyle w:val="BodyText"/>
        <w:spacing w:line="276" w:lineRule="auto"/>
        <w:rPr>
          <w:rStyle w:val="Strong"/>
        </w:rPr>
      </w:pPr>
      <w:hyperlink r:id="rId16" w:history="1">
        <w:r w:rsidRPr="00BF39F8">
          <w:rPr>
            <w:rStyle w:val="Hyperlink"/>
          </w:rPr>
          <w:t xml:space="preserve">City of Boston </w:t>
        </w:r>
        <w:r w:rsidR="00EE54FA" w:rsidRPr="00BF39F8">
          <w:rPr>
            <w:rStyle w:val="Hyperlink"/>
          </w:rPr>
          <w:t>F</w:t>
        </w:r>
        <w:r w:rsidRPr="00BF39F8">
          <w:rPr>
            <w:rStyle w:val="Hyperlink"/>
          </w:rPr>
          <w:t xml:space="preserve">ree </w:t>
        </w:r>
        <w:r w:rsidR="00EE54FA" w:rsidRPr="00BF39F8">
          <w:rPr>
            <w:rStyle w:val="Hyperlink"/>
          </w:rPr>
          <w:t>C</w:t>
        </w:r>
        <w:r w:rsidRPr="00BF39F8">
          <w:rPr>
            <w:rStyle w:val="Hyperlink"/>
          </w:rPr>
          <w:t>onsultations</w:t>
        </w:r>
      </w:hyperlink>
    </w:p>
    <w:p w14:paraId="1C792D13" w14:textId="77777777" w:rsidR="00953DC7" w:rsidRDefault="00953DC7" w:rsidP="00953DC7">
      <w:pPr>
        <w:pStyle w:val="BodyText"/>
        <w:spacing w:line="276" w:lineRule="auto"/>
      </w:pPr>
    </w:p>
    <w:p w14:paraId="4228098F" w14:textId="3E2F00C6" w:rsidR="00F90435" w:rsidRPr="00786EC5" w:rsidRDefault="007E192B" w:rsidP="00953DC7">
      <w:pPr>
        <w:pStyle w:val="BodyText"/>
        <w:spacing w:line="276" w:lineRule="auto"/>
        <w:rPr>
          <w:rStyle w:val="Strong"/>
        </w:rPr>
      </w:pPr>
      <w:hyperlink r:id="rId17" w:history="1">
        <w:r w:rsidRPr="007E192B">
          <w:rPr>
            <w:rStyle w:val="Hyperlink"/>
          </w:rPr>
          <w:t xml:space="preserve">MIRA </w:t>
        </w:r>
        <w:r w:rsidR="00EE54FA" w:rsidRPr="007E192B">
          <w:rPr>
            <w:rStyle w:val="Hyperlink"/>
          </w:rPr>
          <w:t>I</w:t>
        </w:r>
        <w:r w:rsidRPr="007E192B">
          <w:rPr>
            <w:rStyle w:val="Hyperlink"/>
          </w:rPr>
          <w:t xml:space="preserve">mmigration </w:t>
        </w:r>
        <w:r w:rsidR="00EE54FA" w:rsidRPr="007E192B">
          <w:rPr>
            <w:rStyle w:val="Hyperlink"/>
          </w:rPr>
          <w:t>H</w:t>
        </w:r>
        <w:r w:rsidRPr="007E192B">
          <w:rPr>
            <w:rStyle w:val="Hyperlink"/>
          </w:rPr>
          <w:t>elpline</w:t>
        </w:r>
      </w:hyperlink>
    </w:p>
    <w:p w14:paraId="42280991" w14:textId="77777777" w:rsidR="00F90435" w:rsidRDefault="00F90435" w:rsidP="00953DC7">
      <w:pPr>
        <w:pStyle w:val="BodyText"/>
        <w:spacing w:line="276" w:lineRule="auto"/>
      </w:pPr>
    </w:p>
    <w:p w14:paraId="42280992" w14:textId="77777777" w:rsidR="00F90435" w:rsidRDefault="00A0680E" w:rsidP="00953DC7">
      <w:pPr>
        <w:pStyle w:val="BodyText"/>
        <w:spacing w:line="276" w:lineRule="auto"/>
      </w:pPr>
      <w:r>
        <w:t>In</w:t>
      </w:r>
      <w:r>
        <w:rPr>
          <w:spacing w:val="-2"/>
        </w:rPr>
        <w:t xml:space="preserve"> </w:t>
      </w:r>
      <w:r>
        <w:t>addition,</w:t>
      </w:r>
      <w:r>
        <w:rPr>
          <w:spacing w:val="-4"/>
        </w:rPr>
        <w:t xml:space="preserve"> </w:t>
      </w:r>
      <w:r>
        <w:t>individuals</w:t>
      </w:r>
      <w:r>
        <w:rPr>
          <w:spacing w:val="-5"/>
        </w:rPr>
        <w:t xml:space="preserve"> </w:t>
      </w:r>
      <w:r>
        <w:t>who</w:t>
      </w:r>
      <w:r>
        <w:rPr>
          <w:spacing w:val="-4"/>
        </w:rPr>
        <w:t xml:space="preserve"> </w:t>
      </w:r>
      <w:r>
        <w:t>are</w:t>
      </w:r>
      <w:r>
        <w:rPr>
          <w:spacing w:val="-4"/>
        </w:rPr>
        <w:t xml:space="preserve"> </w:t>
      </w:r>
      <w:r>
        <w:t>currently</w:t>
      </w:r>
      <w:r>
        <w:rPr>
          <w:spacing w:val="-3"/>
        </w:rPr>
        <w:t xml:space="preserve"> </w:t>
      </w:r>
      <w:r>
        <w:t>detained</w:t>
      </w:r>
      <w:r>
        <w:rPr>
          <w:spacing w:val="-4"/>
        </w:rPr>
        <w:t xml:space="preserve"> </w:t>
      </w:r>
      <w:r>
        <w:t>may</w:t>
      </w:r>
      <w:r>
        <w:rPr>
          <w:spacing w:val="-4"/>
        </w:rPr>
        <w:t xml:space="preserve"> </w:t>
      </w:r>
      <w:r>
        <w:t>reach</w:t>
      </w:r>
      <w:r>
        <w:rPr>
          <w:spacing w:val="-4"/>
        </w:rPr>
        <w:t xml:space="preserve"> </w:t>
      </w:r>
      <w:r>
        <w:t>out</w:t>
      </w:r>
      <w:r>
        <w:rPr>
          <w:spacing w:val="-4"/>
        </w:rPr>
        <w:t xml:space="preserve"> </w:t>
      </w:r>
      <w:r>
        <w:t>to</w:t>
      </w:r>
      <w:r>
        <w:rPr>
          <w:spacing w:val="-4"/>
        </w:rPr>
        <w:t xml:space="preserve"> </w:t>
      </w:r>
      <w:r>
        <w:t>the</w:t>
      </w:r>
      <w:r>
        <w:rPr>
          <w:spacing w:val="-4"/>
        </w:rPr>
        <w:t xml:space="preserve"> </w:t>
      </w:r>
      <w:r>
        <w:t>Legal Representation fund:</w:t>
      </w:r>
    </w:p>
    <w:p w14:paraId="24733A11" w14:textId="77777777" w:rsidR="00953DC7" w:rsidRDefault="00953DC7" w:rsidP="00953DC7">
      <w:pPr>
        <w:pStyle w:val="BodyText"/>
        <w:spacing w:line="276" w:lineRule="auto"/>
      </w:pPr>
    </w:p>
    <w:p w14:paraId="42280993" w14:textId="77777777" w:rsidR="00F90435" w:rsidRPr="00953DC7" w:rsidRDefault="00A0680E" w:rsidP="00953DC7">
      <w:pPr>
        <w:pStyle w:val="BodyText"/>
        <w:spacing w:line="276" w:lineRule="auto"/>
        <w:rPr>
          <w:rStyle w:val="Strong"/>
        </w:rPr>
      </w:pPr>
      <w:r w:rsidRPr="00953DC7">
        <w:rPr>
          <w:rStyle w:val="Strong"/>
        </w:rPr>
        <w:t>Detained Hotline: (617) 637-8195</w:t>
      </w:r>
    </w:p>
    <w:p w14:paraId="42280994" w14:textId="77777777" w:rsidR="00F90435" w:rsidRDefault="00A0680E" w:rsidP="00953DC7">
      <w:pPr>
        <w:pStyle w:val="BodyText"/>
        <w:spacing w:line="276" w:lineRule="auto"/>
        <w:rPr>
          <w:rStyle w:val="Strong"/>
        </w:rPr>
      </w:pPr>
      <w:r w:rsidRPr="00953DC7">
        <w:rPr>
          <w:rStyle w:val="Strong"/>
        </w:rPr>
        <w:t>Family &amp; Friends Hotline: (617) 396-7143</w:t>
      </w:r>
    </w:p>
    <w:p w14:paraId="1314956D" w14:textId="77777777" w:rsidR="00F743D7" w:rsidRDefault="00F743D7" w:rsidP="00953DC7">
      <w:pPr>
        <w:pStyle w:val="BodyText"/>
        <w:spacing w:line="276" w:lineRule="auto"/>
        <w:rPr>
          <w:rStyle w:val="Strong"/>
        </w:rPr>
      </w:pPr>
    </w:p>
    <w:p w14:paraId="70C39797" w14:textId="77777777" w:rsidR="00D105AC" w:rsidRDefault="00D105AC" w:rsidP="00D105AC">
      <w:pPr>
        <w:pStyle w:val="Footer"/>
      </w:pPr>
    </w:p>
    <w:p w14:paraId="55A34EDB" w14:textId="77777777" w:rsidR="00D105AC" w:rsidRDefault="00D105AC" w:rsidP="00D105AC">
      <w:pPr>
        <w:pStyle w:val="Footer"/>
      </w:pPr>
    </w:p>
    <w:p w14:paraId="444D7BEC" w14:textId="77777777" w:rsidR="00D105AC" w:rsidRDefault="00D105AC" w:rsidP="00D105AC">
      <w:pPr>
        <w:pStyle w:val="Footer"/>
      </w:pPr>
    </w:p>
    <w:p w14:paraId="3CDA2E0F" w14:textId="77777777" w:rsidR="00D105AC" w:rsidRDefault="00D105AC" w:rsidP="00D105AC">
      <w:pPr>
        <w:pStyle w:val="Footer"/>
      </w:pPr>
    </w:p>
    <w:p w14:paraId="5957A985" w14:textId="77777777" w:rsidR="00D105AC" w:rsidRDefault="00D105AC" w:rsidP="00D105AC">
      <w:pPr>
        <w:pStyle w:val="Footer"/>
      </w:pPr>
    </w:p>
    <w:p w14:paraId="4BA84225" w14:textId="77777777" w:rsidR="00D105AC" w:rsidRDefault="00D105AC" w:rsidP="00D105AC">
      <w:pPr>
        <w:pStyle w:val="Footer"/>
      </w:pPr>
    </w:p>
    <w:p w14:paraId="0CBEFA9F" w14:textId="77777777" w:rsidR="00D105AC" w:rsidRDefault="00D105AC" w:rsidP="00D105AC">
      <w:pPr>
        <w:pStyle w:val="Footer"/>
      </w:pPr>
    </w:p>
    <w:p w14:paraId="696510C7" w14:textId="77777777" w:rsidR="00D105AC" w:rsidRDefault="00D105AC" w:rsidP="00D105AC">
      <w:pPr>
        <w:pStyle w:val="Footer"/>
      </w:pPr>
    </w:p>
    <w:p w14:paraId="219C3877" w14:textId="77777777" w:rsidR="00D105AC" w:rsidRDefault="00D105AC" w:rsidP="00D105AC">
      <w:pPr>
        <w:pStyle w:val="Footer"/>
      </w:pPr>
    </w:p>
    <w:p w14:paraId="035A58C9" w14:textId="77777777" w:rsidR="00D105AC" w:rsidRDefault="00D105AC" w:rsidP="00D105AC">
      <w:pPr>
        <w:pStyle w:val="Footer"/>
      </w:pPr>
    </w:p>
    <w:p w14:paraId="51654B71" w14:textId="77777777" w:rsidR="00D105AC" w:rsidRDefault="00D105AC" w:rsidP="00D105AC">
      <w:pPr>
        <w:pStyle w:val="Footer"/>
      </w:pPr>
    </w:p>
    <w:p w14:paraId="0A185F27" w14:textId="77777777" w:rsidR="00D105AC" w:rsidRDefault="00D105AC" w:rsidP="00D105AC">
      <w:pPr>
        <w:pStyle w:val="Footer"/>
      </w:pPr>
    </w:p>
    <w:p w14:paraId="00814252" w14:textId="77777777" w:rsidR="00D105AC" w:rsidRDefault="00D105AC" w:rsidP="00D105AC">
      <w:pPr>
        <w:pStyle w:val="Footer"/>
      </w:pPr>
    </w:p>
    <w:p w14:paraId="39E43DE5" w14:textId="77777777" w:rsidR="00D105AC" w:rsidRDefault="00D105AC" w:rsidP="00D105AC">
      <w:pPr>
        <w:pStyle w:val="Footer"/>
      </w:pPr>
    </w:p>
    <w:p w14:paraId="72319B33" w14:textId="77777777" w:rsidR="00D105AC" w:rsidRDefault="00D105AC" w:rsidP="00D105AC">
      <w:pPr>
        <w:pStyle w:val="Footer"/>
      </w:pPr>
    </w:p>
    <w:p w14:paraId="6BB80AF5" w14:textId="741BDEE6" w:rsidR="00D105AC" w:rsidRPr="00D105AC" w:rsidRDefault="00D105AC" w:rsidP="00D105AC">
      <w:pPr>
        <w:pStyle w:val="Footer"/>
      </w:pPr>
      <w:r w:rsidRPr="00D105AC">
        <w:t>Note: The format of this document has been modified to comply with digital accessibility requirements.</w:t>
      </w:r>
    </w:p>
    <w:p w14:paraId="1F91503F" w14:textId="77777777" w:rsidR="00F743D7" w:rsidRPr="00953DC7" w:rsidRDefault="00F743D7" w:rsidP="00953DC7">
      <w:pPr>
        <w:pStyle w:val="BodyText"/>
        <w:spacing w:line="276" w:lineRule="auto"/>
        <w:rPr>
          <w:rStyle w:val="Strong"/>
        </w:rPr>
      </w:pPr>
    </w:p>
    <w:sectPr w:rsidR="00F743D7" w:rsidRPr="00953DC7">
      <w:pgSz w:w="12240" w:h="15840"/>
      <w:pgMar w:top="2320" w:right="1440" w:bottom="280" w:left="1080" w:header="9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5CDE" w14:textId="77777777" w:rsidR="00CB0043" w:rsidRDefault="00CB0043">
      <w:r>
        <w:separator/>
      </w:r>
    </w:p>
  </w:endnote>
  <w:endnote w:type="continuationSeparator" w:id="0">
    <w:p w14:paraId="0FAEDC9C" w14:textId="77777777" w:rsidR="00CB0043" w:rsidRDefault="00CB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F28E" w14:textId="77777777" w:rsidR="00D105AC" w:rsidRDefault="00D1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A5B2" w14:textId="77777777" w:rsidR="00D105AC" w:rsidRDefault="00D10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12A6" w14:textId="77777777" w:rsidR="00D105AC" w:rsidRDefault="00D1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0903" w14:textId="77777777" w:rsidR="00CB0043" w:rsidRDefault="00CB0043">
      <w:r>
        <w:separator/>
      </w:r>
    </w:p>
  </w:footnote>
  <w:footnote w:type="continuationSeparator" w:id="0">
    <w:p w14:paraId="369D9B11" w14:textId="77777777" w:rsidR="00CB0043" w:rsidRDefault="00CB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D699" w14:textId="77777777" w:rsidR="00D105AC" w:rsidRDefault="00D10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9B" w14:textId="77777777" w:rsidR="00F90435" w:rsidRDefault="00A0680E">
    <w:pPr>
      <w:pStyle w:val="BodyText"/>
      <w:spacing w:line="14" w:lineRule="auto"/>
      <w:rPr>
        <w:sz w:val="20"/>
      </w:rPr>
    </w:pPr>
    <w:r>
      <w:rPr>
        <w:noProof/>
        <w:sz w:val="20"/>
      </w:rPr>
      <w:drawing>
        <wp:anchor distT="0" distB="0" distL="0" distR="0" simplePos="0" relativeHeight="251657216" behindDoc="1" locked="0" layoutInCell="1" allowOverlap="1" wp14:anchorId="4228099C" wp14:editId="75461EFE">
          <wp:simplePos x="0" y="0"/>
          <wp:positionH relativeFrom="page">
            <wp:posOffset>1111147</wp:posOffset>
          </wp:positionH>
          <wp:positionV relativeFrom="page">
            <wp:posOffset>580973</wp:posOffset>
          </wp:positionV>
          <wp:extent cx="5550105" cy="898501"/>
          <wp:effectExtent l="0" t="0" r="0" b="0"/>
          <wp:wrapNone/>
          <wp:docPr id="1" name="Image 1" descr="Header with Massachusetts Seal and the description: From The Offices of Governor Maura T. Healey and Attorney General Andrea Joy Campbe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eader with Massachusetts Seal and the description: From The Offices of Governor Maura T. Healey and Attorney General Andrea Joy Campbell"/>
                  <pic:cNvPicPr/>
                </pic:nvPicPr>
                <pic:blipFill>
                  <a:blip r:embed="rId1" cstate="print"/>
                  <a:stretch>
                    <a:fillRect/>
                  </a:stretch>
                </pic:blipFill>
                <pic:spPr>
                  <a:xfrm>
                    <a:off x="0" y="0"/>
                    <a:ext cx="5550105" cy="8985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7B76" w14:textId="77777777" w:rsidR="00D105AC" w:rsidRDefault="00D10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4FBF"/>
    <w:multiLevelType w:val="hybridMultilevel"/>
    <w:tmpl w:val="108405DA"/>
    <w:lvl w:ilvl="0" w:tplc="BFA0FD0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3243DB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3ABE158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3" w:tplc="3F945D3C">
      <w:numFmt w:val="bullet"/>
      <w:lvlText w:val="•"/>
      <w:lvlJc w:val="left"/>
      <w:pPr>
        <w:ind w:left="3105" w:hanging="360"/>
      </w:pPr>
      <w:rPr>
        <w:rFonts w:hint="default"/>
        <w:lang w:val="en-US" w:eastAsia="en-US" w:bidi="ar-SA"/>
      </w:rPr>
    </w:lvl>
    <w:lvl w:ilvl="4" w:tplc="26A88944">
      <w:numFmt w:val="bullet"/>
      <w:lvlText w:val="•"/>
      <w:lvlJc w:val="left"/>
      <w:pPr>
        <w:ind w:left="4050" w:hanging="360"/>
      </w:pPr>
      <w:rPr>
        <w:rFonts w:hint="default"/>
        <w:lang w:val="en-US" w:eastAsia="en-US" w:bidi="ar-SA"/>
      </w:rPr>
    </w:lvl>
    <w:lvl w:ilvl="5" w:tplc="69F6860E">
      <w:numFmt w:val="bullet"/>
      <w:lvlText w:val="•"/>
      <w:lvlJc w:val="left"/>
      <w:pPr>
        <w:ind w:left="4995" w:hanging="360"/>
      </w:pPr>
      <w:rPr>
        <w:rFonts w:hint="default"/>
        <w:lang w:val="en-US" w:eastAsia="en-US" w:bidi="ar-SA"/>
      </w:rPr>
    </w:lvl>
    <w:lvl w:ilvl="6" w:tplc="5B10027E">
      <w:numFmt w:val="bullet"/>
      <w:lvlText w:val="•"/>
      <w:lvlJc w:val="left"/>
      <w:pPr>
        <w:ind w:left="5940" w:hanging="360"/>
      </w:pPr>
      <w:rPr>
        <w:rFonts w:hint="default"/>
        <w:lang w:val="en-US" w:eastAsia="en-US" w:bidi="ar-SA"/>
      </w:rPr>
    </w:lvl>
    <w:lvl w:ilvl="7" w:tplc="E1D40C3C">
      <w:numFmt w:val="bullet"/>
      <w:lvlText w:val="•"/>
      <w:lvlJc w:val="left"/>
      <w:pPr>
        <w:ind w:left="6885" w:hanging="360"/>
      </w:pPr>
      <w:rPr>
        <w:rFonts w:hint="default"/>
        <w:lang w:val="en-US" w:eastAsia="en-US" w:bidi="ar-SA"/>
      </w:rPr>
    </w:lvl>
    <w:lvl w:ilvl="8" w:tplc="9894CF5E">
      <w:numFmt w:val="bullet"/>
      <w:lvlText w:val="•"/>
      <w:lvlJc w:val="left"/>
      <w:pPr>
        <w:ind w:left="7830" w:hanging="360"/>
      </w:pPr>
      <w:rPr>
        <w:rFonts w:hint="default"/>
        <w:lang w:val="en-US" w:eastAsia="en-US" w:bidi="ar-SA"/>
      </w:rPr>
    </w:lvl>
  </w:abstractNum>
  <w:num w:numId="1" w16cid:durableId="192498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35"/>
    <w:rsid w:val="00101BD9"/>
    <w:rsid w:val="00183454"/>
    <w:rsid w:val="00190048"/>
    <w:rsid w:val="001C690C"/>
    <w:rsid w:val="00260CA6"/>
    <w:rsid w:val="00285F65"/>
    <w:rsid w:val="00406EB7"/>
    <w:rsid w:val="00410C5F"/>
    <w:rsid w:val="00444C72"/>
    <w:rsid w:val="004C0362"/>
    <w:rsid w:val="004F5574"/>
    <w:rsid w:val="00555193"/>
    <w:rsid w:val="00592F1D"/>
    <w:rsid w:val="005A6D94"/>
    <w:rsid w:val="005E30D8"/>
    <w:rsid w:val="005E4A3E"/>
    <w:rsid w:val="005E7F84"/>
    <w:rsid w:val="006243F7"/>
    <w:rsid w:val="007307DD"/>
    <w:rsid w:val="00786EC5"/>
    <w:rsid w:val="007A7BB2"/>
    <w:rsid w:val="007E192B"/>
    <w:rsid w:val="008076C7"/>
    <w:rsid w:val="008455B5"/>
    <w:rsid w:val="008E663B"/>
    <w:rsid w:val="008F600F"/>
    <w:rsid w:val="0090621F"/>
    <w:rsid w:val="00953627"/>
    <w:rsid w:val="00953DC7"/>
    <w:rsid w:val="009778B9"/>
    <w:rsid w:val="00A0680E"/>
    <w:rsid w:val="00A248C5"/>
    <w:rsid w:val="00A77BE2"/>
    <w:rsid w:val="00BF39F8"/>
    <w:rsid w:val="00C869DF"/>
    <w:rsid w:val="00C92DBE"/>
    <w:rsid w:val="00CB0043"/>
    <w:rsid w:val="00CB74C6"/>
    <w:rsid w:val="00CD25D6"/>
    <w:rsid w:val="00D03F7E"/>
    <w:rsid w:val="00D105AC"/>
    <w:rsid w:val="00D357AA"/>
    <w:rsid w:val="00D56EDE"/>
    <w:rsid w:val="00DE5AEB"/>
    <w:rsid w:val="00E765F1"/>
    <w:rsid w:val="00EE54FA"/>
    <w:rsid w:val="00F6169D"/>
    <w:rsid w:val="00F71CAF"/>
    <w:rsid w:val="00F743D7"/>
    <w:rsid w:val="00F90435"/>
    <w:rsid w:val="00F928BF"/>
    <w:rsid w:val="00FC68F0"/>
    <w:rsid w:val="00FF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965"/>
  <w15:docId w15:val="{5509C8B4-D07F-4DD2-AF9D-64E8FB07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E4A3E"/>
    <w:pPr>
      <w:keepNext/>
      <w:keepLines/>
      <w:spacing w:before="240"/>
      <w:jc w:val="center"/>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5E4A3E"/>
    <w:pPr>
      <w:keepNext/>
      <w:keepLines/>
      <w:spacing w:before="40"/>
      <w:jc w:val="center"/>
      <w:outlineLvl w:val="1"/>
    </w:pPr>
    <w:rPr>
      <w:rFonts w:ascii="Arial" w:eastAsiaTheme="majorEastAsia" w:hAnsi="Arial" w:cstheme="majorBidi"/>
      <w:sz w:val="36"/>
      <w:szCs w:val="26"/>
    </w:rPr>
  </w:style>
  <w:style w:type="paragraph" w:styleId="Heading3">
    <w:name w:val="heading 3"/>
    <w:basedOn w:val="Normal"/>
    <w:next w:val="Normal"/>
    <w:link w:val="Heading3Char"/>
    <w:autoRedefine/>
    <w:uiPriority w:val="9"/>
    <w:unhideWhenUsed/>
    <w:qFormat/>
    <w:rsid w:val="00444C72"/>
    <w:pPr>
      <w:keepNext/>
      <w:keepLines/>
      <w:spacing w:before="40"/>
      <w:jc w:val="center"/>
      <w:outlineLvl w:val="2"/>
    </w:pPr>
    <w:rPr>
      <w:rFonts w:ascii="Arial" w:eastAsiaTheme="majorEastAsia" w:hAnsi="Arial" w:cstheme="majorBidi"/>
      <w:b/>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5574"/>
    <w:rPr>
      <w:rFonts w:ascii="Arial" w:hAnsi="Arial"/>
      <w:sz w:val="24"/>
      <w:szCs w:val="24"/>
    </w:rPr>
  </w:style>
  <w:style w:type="paragraph" w:styleId="ListParagraph">
    <w:name w:val="List Paragraph"/>
    <w:basedOn w:val="Normal"/>
    <w:uiPriority w:val="1"/>
    <w:qFormat/>
    <w:pPr>
      <w:spacing w:before="19"/>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3F7"/>
    <w:pPr>
      <w:tabs>
        <w:tab w:val="center" w:pos="4680"/>
        <w:tab w:val="right" w:pos="9360"/>
      </w:tabs>
    </w:pPr>
  </w:style>
  <w:style w:type="character" w:customStyle="1" w:styleId="HeaderChar">
    <w:name w:val="Header Char"/>
    <w:basedOn w:val="DefaultParagraphFont"/>
    <w:link w:val="Header"/>
    <w:uiPriority w:val="99"/>
    <w:rsid w:val="006243F7"/>
    <w:rPr>
      <w:rFonts w:ascii="Times New Roman" w:eastAsia="Times New Roman" w:hAnsi="Times New Roman" w:cs="Times New Roman"/>
    </w:rPr>
  </w:style>
  <w:style w:type="paragraph" w:styleId="Footer">
    <w:name w:val="footer"/>
    <w:basedOn w:val="Normal"/>
    <w:link w:val="FooterChar"/>
    <w:uiPriority w:val="99"/>
    <w:unhideWhenUsed/>
    <w:rsid w:val="007307DD"/>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7307DD"/>
    <w:rPr>
      <w:rFonts w:ascii="Arial" w:eastAsia="Times New Roman" w:hAnsi="Arial" w:cs="Times New Roman"/>
      <w:sz w:val="20"/>
    </w:rPr>
  </w:style>
  <w:style w:type="character" w:customStyle="1" w:styleId="Heading1Char">
    <w:name w:val="Heading 1 Char"/>
    <w:basedOn w:val="DefaultParagraphFont"/>
    <w:link w:val="Heading1"/>
    <w:uiPriority w:val="9"/>
    <w:rsid w:val="005E4A3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E4A3E"/>
    <w:rPr>
      <w:rFonts w:ascii="Arial" w:eastAsiaTheme="majorEastAsia" w:hAnsi="Arial" w:cstheme="majorBidi"/>
      <w:sz w:val="36"/>
      <w:szCs w:val="26"/>
    </w:rPr>
  </w:style>
  <w:style w:type="character" w:styleId="Strong">
    <w:name w:val="Strong"/>
    <w:basedOn w:val="DefaultParagraphFont"/>
    <w:uiPriority w:val="22"/>
    <w:qFormat/>
    <w:rsid w:val="00D03F7E"/>
    <w:rPr>
      <w:rFonts w:ascii="Arial" w:hAnsi="Arial"/>
      <w:b/>
      <w:bCs/>
      <w:sz w:val="24"/>
    </w:rPr>
  </w:style>
  <w:style w:type="character" w:styleId="Hyperlink">
    <w:name w:val="Hyperlink"/>
    <w:basedOn w:val="DefaultParagraphFont"/>
    <w:uiPriority w:val="99"/>
    <w:unhideWhenUsed/>
    <w:rsid w:val="007A7BB2"/>
    <w:rPr>
      <w:color w:val="0000FF" w:themeColor="hyperlink"/>
      <w:u w:val="single"/>
    </w:rPr>
  </w:style>
  <w:style w:type="character" w:styleId="UnresolvedMention">
    <w:name w:val="Unresolved Mention"/>
    <w:basedOn w:val="DefaultParagraphFont"/>
    <w:uiPriority w:val="99"/>
    <w:semiHidden/>
    <w:unhideWhenUsed/>
    <w:rsid w:val="007A7BB2"/>
    <w:rPr>
      <w:color w:val="605E5C"/>
      <w:shd w:val="clear" w:color="auto" w:fill="E1DFDD"/>
    </w:rPr>
  </w:style>
  <w:style w:type="character" w:customStyle="1" w:styleId="Heading3Char">
    <w:name w:val="Heading 3 Char"/>
    <w:basedOn w:val="DefaultParagraphFont"/>
    <w:link w:val="Heading3"/>
    <w:uiPriority w:val="9"/>
    <w:rsid w:val="00444C72"/>
    <w:rPr>
      <w:rFonts w:ascii="Arial" w:eastAsiaTheme="majorEastAsia" w:hAnsi="Arial" w:cstheme="majorBidi"/>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iracoalition.org/news/immigration-helpline/" TargetMode="External"/><Relationship Id="rId2" Type="http://schemas.openxmlformats.org/officeDocument/2006/relationships/numbering" Target="numbering.xml"/><Relationship Id="rId16" Type="http://schemas.openxmlformats.org/officeDocument/2006/relationships/hyperlink" Target="https://www.boston.gov/departments/immigrant-advancement/free-immigration-consult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RI.inbox@mass.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avel.state.gov/content/travel/en/legal/visa-law0/visa-bulleti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507A-AF29-4B6C-B6D8-AE06AADD785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Susan (ORI)</dc:creator>
  <cp:lastModifiedBy>Angelo, Fabiano F (ORI)</cp:lastModifiedBy>
  <cp:revision>16</cp:revision>
  <dcterms:created xsi:type="dcterms:W3CDTF">2026-02-12T20:08:00Z</dcterms:created>
  <dcterms:modified xsi:type="dcterms:W3CDTF">2026-04-02T19:48:00Z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y fmtid="{D5CDD505-2E9C-101B-9397-08002B2CF9AE}" pid="6" name="GrammarlyDocumentId">
    <vt:lpwstr>a418d78c-da81-4654-8598-e142596106ed</vt:lpwstr>
  </property>
</Properties>
</file>