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57" w:rsidRPr="00D5411A" w:rsidRDefault="00713057" w:rsidP="00713057">
      <w:pPr>
        <w:widowControl w:val="0"/>
        <w:tabs>
          <w:tab w:val="left" w:pos="2400"/>
        </w:tabs>
        <w:autoSpaceDE w:val="0"/>
        <w:autoSpaceDN w:val="0"/>
        <w:adjustRightInd w:val="0"/>
        <w:jc w:val="center"/>
        <w:rPr>
          <w:vanish/>
          <w:color w:val="000000"/>
          <w:specVanish/>
        </w:rPr>
      </w:pPr>
      <w:bookmarkStart w:id="0" w:name="_GoBack"/>
      <w:bookmarkEnd w:id="0"/>
      <w:r w:rsidRPr="000F115D">
        <w:rPr>
          <w:color w:val="000000"/>
        </w:rPr>
        <w:t>COMMONWEALTH OF MASSACHUSETTS</w:t>
      </w:r>
    </w:p>
    <w:p w:rsidR="00713057" w:rsidRPr="000F115D" w:rsidRDefault="00713057" w:rsidP="00713057">
      <w:pPr>
        <w:widowControl w:val="0"/>
        <w:tabs>
          <w:tab w:val="left" w:pos="2400"/>
        </w:tabs>
        <w:autoSpaceDE w:val="0"/>
        <w:autoSpaceDN w:val="0"/>
        <w:adjustRightInd w:val="0"/>
        <w:jc w:val="center"/>
        <w:rPr>
          <w:color w:val="000000"/>
        </w:rPr>
      </w:pPr>
      <w:r>
        <w:rPr>
          <w:color w:val="000000"/>
        </w:rPr>
        <w:t xml:space="preserve"> </w:t>
      </w:r>
    </w:p>
    <w:p w:rsidR="00713057" w:rsidRPr="000F115D" w:rsidRDefault="00713057" w:rsidP="00F63EDE">
      <w:pPr>
        <w:widowControl w:val="0"/>
        <w:tabs>
          <w:tab w:val="left" w:pos="90"/>
          <w:tab w:val="left" w:pos="4680"/>
        </w:tabs>
        <w:autoSpaceDE w:val="0"/>
        <w:autoSpaceDN w:val="0"/>
        <w:adjustRightInd w:val="0"/>
        <w:rPr>
          <w:color w:val="000000"/>
        </w:rPr>
      </w:pPr>
      <w:r w:rsidRPr="000F115D">
        <w:rPr>
          <w:color w:val="000000"/>
        </w:rPr>
        <w:t>Suffolk, ss</w:t>
      </w:r>
      <w:r w:rsidR="00F63EDE">
        <w:rPr>
          <w:color w:val="000000"/>
        </w:rPr>
        <w:t>.</w:t>
      </w:r>
      <w:r w:rsidR="00F63EDE">
        <w:rPr>
          <w:color w:val="000000"/>
        </w:rPr>
        <w:tab/>
      </w:r>
      <w:r w:rsidRPr="000F115D">
        <w:rPr>
          <w:color w:val="000000"/>
        </w:rPr>
        <w:t>Division of Administrative Law Appeals</w:t>
      </w:r>
    </w:p>
    <w:p w:rsidR="00713057" w:rsidRPr="000F115D" w:rsidRDefault="00713057" w:rsidP="00F63EDE">
      <w:pPr>
        <w:widowControl w:val="0"/>
        <w:tabs>
          <w:tab w:val="left" w:pos="4680"/>
        </w:tabs>
        <w:autoSpaceDE w:val="0"/>
        <w:autoSpaceDN w:val="0"/>
        <w:adjustRightInd w:val="0"/>
        <w:rPr>
          <w:color w:val="000000"/>
        </w:rPr>
      </w:pPr>
      <w:r w:rsidRPr="000F115D">
        <w:tab/>
      </w:r>
      <w:r w:rsidRPr="000F115D">
        <w:rPr>
          <w:color w:val="000000"/>
        </w:rPr>
        <w:t>One Congress Street, 11th Floor</w:t>
      </w:r>
    </w:p>
    <w:p w:rsidR="00713057" w:rsidRPr="000F115D" w:rsidRDefault="00713057" w:rsidP="00F63EDE">
      <w:pPr>
        <w:widowControl w:val="0"/>
        <w:tabs>
          <w:tab w:val="left" w:pos="4680"/>
        </w:tabs>
        <w:autoSpaceDE w:val="0"/>
        <w:autoSpaceDN w:val="0"/>
        <w:adjustRightInd w:val="0"/>
        <w:rPr>
          <w:color w:val="000000"/>
        </w:rPr>
      </w:pPr>
      <w:r w:rsidRPr="000F115D">
        <w:tab/>
      </w:r>
      <w:r w:rsidRPr="000F115D">
        <w:rPr>
          <w:color w:val="000000"/>
        </w:rPr>
        <w:t>Boston, MA 02114</w:t>
      </w:r>
    </w:p>
    <w:p w:rsidR="00713057" w:rsidRPr="000F115D" w:rsidRDefault="00713057" w:rsidP="00F63EDE">
      <w:pPr>
        <w:widowControl w:val="0"/>
        <w:tabs>
          <w:tab w:val="left" w:pos="4680"/>
        </w:tabs>
        <w:autoSpaceDE w:val="0"/>
        <w:autoSpaceDN w:val="0"/>
        <w:adjustRightInd w:val="0"/>
        <w:rPr>
          <w:color w:val="000000"/>
        </w:rPr>
      </w:pPr>
      <w:r w:rsidRPr="000F115D">
        <w:tab/>
      </w:r>
      <w:r w:rsidRPr="000F115D">
        <w:rPr>
          <w:color w:val="000000"/>
        </w:rPr>
        <w:t>(617) 626-7200</w:t>
      </w:r>
    </w:p>
    <w:p w:rsidR="00713057" w:rsidRPr="000F115D" w:rsidRDefault="00713057" w:rsidP="00F63EDE">
      <w:pPr>
        <w:widowControl w:val="0"/>
        <w:tabs>
          <w:tab w:val="left" w:pos="360"/>
          <w:tab w:val="left" w:pos="4680"/>
        </w:tabs>
        <w:autoSpaceDE w:val="0"/>
        <w:autoSpaceDN w:val="0"/>
        <w:adjustRightInd w:val="0"/>
        <w:rPr>
          <w:color w:val="000000"/>
        </w:rPr>
      </w:pPr>
      <w:r w:rsidRPr="000F115D">
        <w:rPr>
          <w:i/>
          <w:color w:val="000000"/>
        </w:rPr>
        <w:tab/>
      </w:r>
      <w:r w:rsidRPr="000F115D">
        <w:tab/>
      </w:r>
      <w:r w:rsidRPr="000F115D">
        <w:rPr>
          <w:color w:val="000000"/>
        </w:rPr>
        <w:t>Fax: (617) 626-7220</w:t>
      </w:r>
    </w:p>
    <w:p w:rsidR="00542558" w:rsidRDefault="00F63EDE" w:rsidP="00F63EDE">
      <w:pPr>
        <w:widowControl w:val="0"/>
        <w:tabs>
          <w:tab w:val="left" w:pos="360"/>
          <w:tab w:val="left" w:pos="4680"/>
        </w:tabs>
        <w:autoSpaceDE w:val="0"/>
        <w:autoSpaceDN w:val="0"/>
        <w:adjustRightInd w:val="0"/>
        <w:rPr>
          <w:i/>
          <w:color w:val="000000"/>
        </w:rPr>
      </w:pPr>
      <w:r>
        <w:rPr>
          <w:b/>
          <w:color w:val="000000"/>
        </w:rPr>
        <w:t>CHARLES ALIANO</w:t>
      </w:r>
      <w:r w:rsidRPr="000F115D">
        <w:rPr>
          <w:color w:val="000000"/>
        </w:rPr>
        <w:t>,</w:t>
      </w:r>
      <w:r>
        <w:tab/>
      </w:r>
      <w:r w:rsidR="00713057" w:rsidRPr="000F115D">
        <w:rPr>
          <w:color w:val="000000"/>
        </w:rPr>
        <w:t>Docket No:</w:t>
      </w:r>
      <w:r w:rsidR="00713057">
        <w:t xml:space="preserve"> </w:t>
      </w:r>
      <w:r w:rsidR="00713057" w:rsidRPr="000F115D">
        <w:rPr>
          <w:color w:val="000000"/>
        </w:rPr>
        <w:t>CR-</w:t>
      </w:r>
      <w:r w:rsidR="00713057">
        <w:rPr>
          <w:color w:val="000000"/>
        </w:rPr>
        <w:t>13-284</w:t>
      </w:r>
      <w:r w:rsidR="00212BBF">
        <w:tab/>
      </w:r>
      <w:r w:rsidR="00212BBF">
        <w:tab/>
      </w:r>
      <w:r w:rsidR="00212BBF">
        <w:tab/>
      </w:r>
      <w:r w:rsidR="00212BBF">
        <w:tab/>
      </w:r>
      <w:r w:rsidRPr="000F115D">
        <w:rPr>
          <w:i/>
          <w:color w:val="000000"/>
        </w:rPr>
        <w:t>Petitioner</w:t>
      </w:r>
      <w:r w:rsidR="000E2E2D">
        <w:rPr>
          <w:i/>
          <w:color w:val="000000"/>
        </w:rPr>
        <w:tab/>
      </w:r>
    </w:p>
    <w:p w:rsidR="000E2E2D" w:rsidRPr="000E2E2D" w:rsidRDefault="000E2E2D" w:rsidP="00F63EDE">
      <w:pPr>
        <w:widowControl w:val="0"/>
        <w:tabs>
          <w:tab w:val="left" w:pos="360"/>
          <w:tab w:val="left" w:pos="4680"/>
        </w:tabs>
        <w:autoSpaceDE w:val="0"/>
        <w:autoSpaceDN w:val="0"/>
        <w:adjustRightInd w:val="0"/>
        <w:rPr>
          <w:i/>
          <w:color w:val="000000"/>
        </w:rPr>
      </w:pPr>
      <w:r>
        <w:rPr>
          <w:i/>
          <w:color w:val="000000"/>
        </w:rPr>
        <w:tab/>
      </w:r>
      <w:r>
        <w:rPr>
          <w:i/>
          <w:color w:val="000000"/>
        </w:rPr>
        <w:tab/>
      </w:r>
      <w:r>
        <w:t xml:space="preserve">Date Issued: </w:t>
      </w:r>
      <w:r w:rsidR="006F17A8">
        <w:t xml:space="preserve">July </w:t>
      </w:r>
      <w:r w:rsidR="00E60DC0">
        <w:t>13</w:t>
      </w:r>
      <w:r w:rsidRPr="00715120">
        <w:t>, 2018</w:t>
      </w:r>
    </w:p>
    <w:p w:rsidR="00F63EDE" w:rsidRDefault="00F63EDE" w:rsidP="000E2E2D">
      <w:pPr>
        <w:tabs>
          <w:tab w:val="left" w:pos="720"/>
          <w:tab w:val="left" w:pos="4680"/>
        </w:tabs>
        <w:rPr>
          <w:b/>
        </w:rPr>
      </w:pPr>
      <w:r>
        <w:rPr>
          <w:b/>
        </w:rPr>
        <w:tab/>
      </w:r>
      <w:r w:rsidRPr="000F115D">
        <w:rPr>
          <w:i/>
          <w:color w:val="000000"/>
        </w:rPr>
        <w:t>v.</w:t>
      </w:r>
      <w:r w:rsidR="000E2E2D">
        <w:rPr>
          <w:i/>
          <w:color w:val="000000"/>
        </w:rPr>
        <w:tab/>
      </w:r>
      <w:r w:rsidR="000E2E2D">
        <w:rPr>
          <w:i/>
          <w:color w:val="000000"/>
        </w:rPr>
        <w:tab/>
      </w:r>
      <w:r w:rsidR="000E2E2D">
        <w:rPr>
          <w:i/>
          <w:color w:val="000000"/>
        </w:rPr>
        <w:tab/>
      </w:r>
      <w:r w:rsidR="000E2E2D">
        <w:rPr>
          <w:i/>
          <w:color w:val="000000"/>
        </w:rPr>
        <w:tab/>
      </w:r>
      <w:r w:rsidR="000E2E2D">
        <w:rPr>
          <w:i/>
          <w:color w:val="000000"/>
        </w:rPr>
        <w:tab/>
      </w:r>
      <w:r w:rsidR="000E2E2D">
        <w:rPr>
          <w:i/>
          <w:color w:val="000000"/>
        </w:rPr>
        <w:tab/>
      </w:r>
      <w:r w:rsidR="000E2E2D">
        <w:rPr>
          <w:i/>
          <w:color w:val="000000"/>
        </w:rPr>
        <w:tab/>
      </w:r>
      <w:r w:rsidR="000E2E2D">
        <w:rPr>
          <w:i/>
          <w:color w:val="000000"/>
        </w:rPr>
        <w:tab/>
      </w:r>
    </w:p>
    <w:p w:rsidR="00F63EDE" w:rsidRDefault="00F63EDE" w:rsidP="00901CDF">
      <w:pPr>
        <w:rPr>
          <w:b/>
        </w:rPr>
      </w:pPr>
    </w:p>
    <w:p w:rsidR="00901CDF" w:rsidRPr="000D4ACD" w:rsidRDefault="00713057" w:rsidP="00901CDF">
      <w:pPr>
        <w:rPr>
          <w:b/>
        </w:rPr>
      </w:pPr>
      <w:r>
        <w:rPr>
          <w:b/>
        </w:rPr>
        <w:t xml:space="preserve">SOMERVILLE RETIREMENT </w:t>
      </w:r>
      <w:r w:rsidR="00044FF7">
        <w:rPr>
          <w:b/>
        </w:rPr>
        <w:t>BOARD</w:t>
      </w:r>
      <w:r w:rsidR="00901CDF">
        <w:t>,</w:t>
      </w:r>
    </w:p>
    <w:p w:rsidR="00901CDF" w:rsidRPr="00713057" w:rsidRDefault="00901CDF" w:rsidP="00713057">
      <w:pPr>
        <w:tabs>
          <w:tab w:val="left" w:pos="360"/>
        </w:tabs>
        <w:rPr>
          <w:i/>
        </w:rPr>
      </w:pPr>
      <w:r>
        <w:tab/>
      </w:r>
      <w:r w:rsidRPr="00713057">
        <w:rPr>
          <w:i/>
        </w:rPr>
        <w:t>Respondent</w:t>
      </w:r>
    </w:p>
    <w:p w:rsidR="000C395F" w:rsidRDefault="000C395F" w:rsidP="00901CDF">
      <w:pPr>
        <w:rPr>
          <w:b/>
        </w:rPr>
      </w:pPr>
    </w:p>
    <w:p w:rsidR="00901CDF" w:rsidRPr="005C47AD" w:rsidRDefault="00901CDF" w:rsidP="00901CDF">
      <w:pPr>
        <w:rPr>
          <w:b/>
        </w:rPr>
      </w:pPr>
      <w:r w:rsidRPr="005C47AD">
        <w:rPr>
          <w:b/>
        </w:rPr>
        <w:t>Appearance for Petitioner:</w:t>
      </w:r>
      <w:r w:rsidRPr="005C47AD">
        <w:rPr>
          <w:b/>
        </w:rPr>
        <w:tab/>
      </w:r>
      <w:r w:rsidRPr="005C47AD">
        <w:rPr>
          <w:b/>
        </w:rPr>
        <w:tab/>
      </w:r>
      <w:r w:rsidRPr="005C47AD">
        <w:rPr>
          <w:b/>
        </w:rPr>
        <w:tab/>
      </w:r>
    </w:p>
    <w:p w:rsidR="00901CDF" w:rsidRDefault="00901CDF" w:rsidP="00901CDF"/>
    <w:p w:rsidR="0031031C" w:rsidRDefault="00CE4BEF" w:rsidP="00713057">
      <w:pPr>
        <w:ind w:firstLine="360"/>
      </w:pPr>
      <w:r>
        <w:t>Ron St. Pierre</w:t>
      </w:r>
      <w:r w:rsidR="00797D52">
        <w:t>, Esq.</w:t>
      </w:r>
    </w:p>
    <w:p w:rsidR="00797D52" w:rsidRDefault="00CE4BEF" w:rsidP="00713057">
      <w:pPr>
        <w:ind w:firstLine="360"/>
      </w:pPr>
      <w:r>
        <w:t>1</w:t>
      </w:r>
      <w:r w:rsidR="007E3DAA">
        <w:t xml:space="preserve"> </w:t>
      </w:r>
      <w:r>
        <w:t>Merrimac</w:t>
      </w:r>
      <w:r w:rsidR="00415C44">
        <w:t xml:space="preserve"> Street</w:t>
      </w:r>
      <w:r w:rsidR="007E3DAA">
        <w:t xml:space="preserve">, </w:t>
      </w:r>
      <w:r>
        <w:t>Suite 20</w:t>
      </w:r>
    </w:p>
    <w:p w:rsidR="007E3DAA" w:rsidRPr="00797D52" w:rsidRDefault="00CE4BEF" w:rsidP="00713057">
      <w:pPr>
        <w:ind w:firstLine="360"/>
        <w:rPr>
          <w:highlight w:val="yellow"/>
        </w:rPr>
      </w:pPr>
      <w:r>
        <w:t>Newburyport</w:t>
      </w:r>
      <w:r w:rsidR="00386226">
        <w:t>, MA 0</w:t>
      </w:r>
      <w:r>
        <w:t>195</w:t>
      </w:r>
      <w:r w:rsidR="00415C44">
        <w:t>0</w:t>
      </w:r>
    </w:p>
    <w:p w:rsidR="00901CDF" w:rsidRDefault="00014B75" w:rsidP="00713057">
      <w:pPr>
        <w:tabs>
          <w:tab w:val="left" w:pos="2025"/>
        </w:tabs>
        <w:ind w:firstLine="360"/>
      </w:pPr>
      <w:r>
        <w:tab/>
      </w:r>
    </w:p>
    <w:p w:rsidR="00901CDF" w:rsidRPr="005C47AD" w:rsidRDefault="00901CDF" w:rsidP="00901CDF">
      <w:pPr>
        <w:rPr>
          <w:b/>
        </w:rPr>
      </w:pPr>
      <w:r w:rsidRPr="005C47AD">
        <w:rPr>
          <w:b/>
        </w:rPr>
        <w:t>Appearance for Respondent:</w:t>
      </w:r>
      <w:r w:rsidRPr="005C47AD">
        <w:rPr>
          <w:b/>
        </w:rPr>
        <w:tab/>
      </w:r>
      <w:r w:rsidRPr="005C47AD">
        <w:rPr>
          <w:b/>
        </w:rPr>
        <w:tab/>
      </w:r>
      <w:r w:rsidRPr="005C47AD">
        <w:rPr>
          <w:b/>
        </w:rPr>
        <w:tab/>
      </w:r>
    </w:p>
    <w:p w:rsidR="00901CDF" w:rsidRDefault="00901CDF" w:rsidP="00901CDF"/>
    <w:p w:rsidR="0031031C" w:rsidRDefault="00713057" w:rsidP="00713057">
      <w:pPr>
        <w:ind w:firstLine="360"/>
      </w:pPr>
      <w:r>
        <w:t>Franci</w:t>
      </w:r>
      <w:r w:rsidR="00407122">
        <w:t>s</w:t>
      </w:r>
      <w:r>
        <w:t xml:space="preserve"> X. Wright, Jr.</w:t>
      </w:r>
    </w:p>
    <w:p w:rsidR="00713057" w:rsidRDefault="00713057" w:rsidP="00713057">
      <w:pPr>
        <w:ind w:firstLine="360"/>
      </w:pPr>
      <w:r>
        <w:t>City Solicitor</w:t>
      </w:r>
    </w:p>
    <w:p w:rsidR="00CE4BEF" w:rsidRDefault="00CE4BEF" w:rsidP="00713057">
      <w:pPr>
        <w:ind w:firstLine="360"/>
      </w:pPr>
      <w:r>
        <w:t>City of Somerville</w:t>
      </w:r>
    </w:p>
    <w:p w:rsidR="00797D52" w:rsidRDefault="00CE4BEF" w:rsidP="00713057">
      <w:pPr>
        <w:ind w:firstLine="360"/>
      </w:pPr>
      <w:r>
        <w:t>93 Highland Avenue</w:t>
      </w:r>
    </w:p>
    <w:p w:rsidR="00797D52" w:rsidRDefault="00CE4BEF" w:rsidP="00713057">
      <w:pPr>
        <w:ind w:firstLine="360"/>
      </w:pPr>
      <w:r>
        <w:t>Somerville</w:t>
      </w:r>
      <w:r w:rsidR="00415C44">
        <w:t>, MA 0</w:t>
      </w:r>
      <w:r>
        <w:t>2143</w:t>
      </w:r>
    </w:p>
    <w:p w:rsidR="009F2DE7" w:rsidRPr="00014B75" w:rsidRDefault="009F2DE7" w:rsidP="00901CDF">
      <w:pPr>
        <w:ind w:firstLine="720"/>
      </w:pPr>
    </w:p>
    <w:p w:rsidR="00901CDF" w:rsidRPr="005C47AD" w:rsidRDefault="00901CDF" w:rsidP="00901CDF">
      <w:pPr>
        <w:rPr>
          <w:b/>
        </w:rPr>
      </w:pPr>
      <w:r w:rsidRPr="005C47AD">
        <w:rPr>
          <w:b/>
        </w:rPr>
        <w:t>Administrative Magistrate:</w:t>
      </w:r>
      <w:r w:rsidRPr="005C47AD">
        <w:rPr>
          <w:b/>
        </w:rPr>
        <w:tab/>
      </w:r>
      <w:r w:rsidRPr="005C47AD">
        <w:rPr>
          <w:b/>
        </w:rPr>
        <w:tab/>
      </w:r>
      <w:r w:rsidR="00D03ABD">
        <w:rPr>
          <w:b/>
        </w:rPr>
        <w:t xml:space="preserve"> </w:t>
      </w:r>
      <w:r w:rsidRPr="005C47AD">
        <w:rPr>
          <w:b/>
        </w:rPr>
        <w:tab/>
      </w:r>
    </w:p>
    <w:p w:rsidR="00901CDF" w:rsidRDefault="00901CDF" w:rsidP="00901CDF"/>
    <w:p w:rsidR="00901CDF" w:rsidRDefault="00CE4BEF" w:rsidP="00713057">
      <w:pPr>
        <w:ind w:firstLine="360"/>
      </w:pPr>
      <w:r>
        <w:t>Angela McConney Scheepers</w:t>
      </w:r>
      <w:r w:rsidR="00901CDF" w:rsidRPr="00C44DAC">
        <w:t>, Esq.</w:t>
      </w:r>
    </w:p>
    <w:p w:rsidR="000E2F86" w:rsidRDefault="000E2F86" w:rsidP="00901CDF"/>
    <w:p w:rsidR="00901CDF" w:rsidRPr="005C47AD" w:rsidRDefault="00901CDF" w:rsidP="00901CDF">
      <w:pPr>
        <w:jc w:val="center"/>
        <w:rPr>
          <w:b/>
        </w:rPr>
      </w:pPr>
      <w:r w:rsidRPr="005C47AD">
        <w:rPr>
          <w:b/>
        </w:rPr>
        <w:t>S</w:t>
      </w:r>
      <w:r w:rsidR="009361BE">
        <w:rPr>
          <w:b/>
        </w:rPr>
        <w:t>UMMARY</w:t>
      </w:r>
    </w:p>
    <w:p w:rsidR="000D4ACD" w:rsidRDefault="000D4ACD" w:rsidP="000D4ACD">
      <w:pPr>
        <w:jc w:val="center"/>
      </w:pPr>
    </w:p>
    <w:p w:rsidR="002A7804" w:rsidRPr="00FD052A" w:rsidRDefault="002A7804" w:rsidP="002A7804">
      <w:pPr>
        <w:ind w:firstLine="720"/>
        <w:rPr>
          <w:color w:val="000000"/>
          <w:lang w:val="en"/>
        </w:rPr>
      </w:pPr>
      <w:r>
        <w:rPr>
          <w:lang w:val="en"/>
        </w:rPr>
        <w:t>The medical panel</w:t>
      </w:r>
      <w:r w:rsidRPr="003962E1">
        <w:rPr>
          <w:lang w:val="en"/>
        </w:rPr>
        <w:t xml:space="preserve"> neither lacked pertinent facts nor employed an erroneous standard </w:t>
      </w:r>
      <w:r>
        <w:rPr>
          <w:lang w:val="en"/>
        </w:rPr>
        <w:t>in issuing the negative certificate</w:t>
      </w:r>
      <w:r w:rsidRPr="003962E1">
        <w:rPr>
          <w:lang w:val="en"/>
        </w:rPr>
        <w:t>.</w:t>
      </w:r>
      <w:r>
        <w:rPr>
          <w:lang w:val="en"/>
        </w:rPr>
        <w:t xml:space="preserve"> The Somerville Retirement Board’s decision to deny Charles </w:t>
      </w:r>
      <w:proofErr w:type="spellStart"/>
      <w:r>
        <w:rPr>
          <w:lang w:val="en"/>
        </w:rPr>
        <w:t>Aliano’s</w:t>
      </w:r>
      <w:proofErr w:type="spellEnd"/>
      <w:r>
        <w:rPr>
          <w:lang w:val="en"/>
        </w:rPr>
        <w:t xml:space="preserve"> application for accidental disability retirement benefits is affirmed.</w:t>
      </w:r>
    </w:p>
    <w:p w:rsidR="00713057" w:rsidRPr="00FD052A" w:rsidRDefault="00713057" w:rsidP="00713057">
      <w:pPr>
        <w:rPr>
          <w:color w:val="000000"/>
          <w:lang w:val="en"/>
        </w:rPr>
      </w:pPr>
    </w:p>
    <w:p w:rsidR="005E05D3" w:rsidRPr="000E2F86" w:rsidRDefault="005E05D3" w:rsidP="004D73AE">
      <w:pPr>
        <w:jc w:val="center"/>
        <w:rPr>
          <w:b/>
        </w:rPr>
      </w:pPr>
      <w:r w:rsidRPr="000E2F86">
        <w:rPr>
          <w:b/>
        </w:rPr>
        <w:t>DECISION</w:t>
      </w:r>
    </w:p>
    <w:p w:rsidR="005E05D3" w:rsidRDefault="005E05D3" w:rsidP="005E05D3">
      <w:pPr>
        <w:jc w:val="center"/>
      </w:pPr>
    </w:p>
    <w:p w:rsidR="008D2BD4" w:rsidRDefault="00713057" w:rsidP="008D2BD4">
      <w:pPr>
        <w:shd w:val="clear" w:color="auto" w:fill="FFFFFF"/>
        <w:spacing w:after="20" w:line="480" w:lineRule="auto"/>
        <w:ind w:firstLine="720"/>
        <w:rPr>
          <w:lang w:val="en"/>
        </w:rPr>
      </w:pPr>
      <w:r w:rsidRPr="00C42070">
        <w:rPr>
          <w:lang w:val="en"/>
        </w:rPr>
        <w:t xml:space="preserve">Pursuant to G.L. c. 32, </w:t>
      </w:r>
      <w:r w:rsidR="009312D9">
        <w:rPr>
          <w:lang w:val="en"/>
        </w:rPr>
        <w:t>§</w:t>
      </w:r>
      <w:r w:rsidRPr="00C42070">
        <w:rPr>
          <w:lang w:val="en"/>
        </w:rPr>
        <w:t xml:space="preserve"> 16(4), Petitioner, </w:t>
      </w:r>
      <w:r>
        <w:rPr>
          <w:lang w:val="en"/>
        </w:rPr>
        <w:t xml:space="preserve">Charles </w:t>
      </w:r>
      <w:proofErr w:type="spellStart"/>
      <w:r>
        <w:rPr>
          <w:lang w:val="en"/>
        </w:rPr>
        <w:t>Aliano</w:t>
      </w:r>
      <w:proofErr w:type="spellEnd"/>
      <w:r w:rsidRPr="00C42070">
        <w:rPr>
          <w:lang w:val="en"/>
        </w:rPr>
        <w:t xml:space="preserve">, </w:t>
      </w:r>
      <w:r w:rsidRPr="0044469C">
        <w:rPr>
          <w:lang w:val="en"/>
        </w:rPr>
        <w:t xml:space="preserve">appealed the </w:t>
      </w:r>
      <w:r w:rsidR="00EA07B0">
        <w:rPr>
          <w:lang w:val="en"/>
        </w:rPr>
        <w:t>April 25</w:t>
      </w:r>
      <w:r>
        <w:rPr>
          <w:lang w:val="en"/>
        </w:rPr>
        <w:t xml:space="preserve">, 2013 </w:t>
      </w:r>
      <w:r w:rsidRPr="0044469C">
        <w:rPr>
          <w:lang w:val="en"/>
        </w:rPr>
        <w:t xml:space="preserve">decision of the </w:t>
      </w:r>
      <w:r>
        <w:rPr>
          <w:lang w:val="en"/>
        </w:rPr>
        <w:t>Somerville Retirement Board (Board)</w:t>
      </w:r>
      <w:r w:rsidR="002A7804">
        <w:rPr>
          <w:lang w:val="en"/>
        </w:rPr>
        <w:t>,</w:t>
      </w:r>
      <w:r>
        <w:rPr>
          <w:lang w:val="en"/>
        </w:rPr>
        <w:t xml:space="preserve"> </w:t>
      </w:r>
      <w:r w:rsidRPr="0044469C">
        <w:rPr>
          <w:lang w:val="en"/>
        </w:rPr>
        <w:t>denying h</w:t>
      </w:r>
      <w:r>
        <w:rPr>
          <w:lang w:val="en"/>
        </w:rPr>
        <w:t>is</w:t>
      </w:r>
      <w:r w:rsidRPr="0044469C">
        <w:rPr>
          <w:lang w:val="en"/>
        </w:rPr>
        <w:t xml:space="preserve"> application for </w:t>
      </w:r>
      <w:r>
        <w:rPr>
          <w:lang w:val="en"/>
        </w:rPr>
        <w:t xml:space="preserve">accidental </w:t>
      </w:r>
      <w:r w:rsidRPr="0044469C">
        <w:rPr>
          <w:lang w:val="en"/>
        </w:rPr>
        <w:t xml:space="preserve">disability </w:t>
      </w:r>
      <w:r>
        <w:rPr>
          <w:lang w:val="en"/>
        </w:rPr>
        <w:t xml:space="preserve">retirement </w:t>
      </w:r>
      <w:r w:rsidRPr="0044469C">
        <w:rPr>
          <w:lang w:val="en"/>
        </w:rPr>
        <w:t xml:space="preserve">benefits.  </w:t>
      </w:r>
      <w:r w:rsidR="008D2BD4">
        <w:rPr>
          <w:lang w:val="en"/>
        </w:rPr>
        <w:t xml:space="preserve">Mr. </w:t>
      </w:r>
      <w:proofErr w:type="spellStart"/>
      <w:r w:rsidR="008D2BD4">
        <w:rPr>
          <w:lang w:val="en"/>
        </w:rPr>
        <w:t>Aliano’s</w:t>
      </w:r>
      <w:proofErr w:type="spellEnd"/>
      <w:r w:rsidR="008D2BD4">
        <w:rPr>
          <w:lang w:val="en"/>
        </w:rPr>
        <w:t xml:space="preserve"> appeal was timely.</w:t>
      </w:r>
    </w:p>
    <w:p w:rsidR="00D4201D" w:rsidRDefault="008D2BD4" w:rsidP="002F197C">
      <w:pPr>
        <w:spacing w:line="480" w:lineRule="auto"/>
        <w:ind w:firstLine="720"/>
      </w:pPr>
      <w:r>
        <w:rPr>
          <w:lang w:val="en"/>
        </w:rPr>
        <w:lastRenderedPageBreak/>
        <w:t xml:space="preserve">On July 23, 2014, Mr. </w:t>
      </w:r>
      <w:proofErr w:type="spellStart"/>
      <w:r>
        <w:rPr>
          <w:lang w:val="en"/>
        </w:rPr>
        <w:t>Aliano</w:t>
      </w:r>
      <w:proofErr w:type="spellEnd"/>
      <w:r>
        <w:rPr>
          <w:lang w:val="en"/>
        </w:rPr>
        <w:t xml:space="preserve"> filed a motion to expedite hearing. On July 23, 2014, the Division of Administrative Law Appeal (DALA) allowed the motion, and issued a First Pre-Hearing Order, </w:t>
      </w:r>
      <w:r>
        <w:t xml:space="preserve">directing that </w:t>
      </w:r>
      <w:r w:rsidR="00CA06C4">
        <w:t xml:space="preserve">Mr. </w:t>
      </w:r>
      <w:proofErr w:type="spellStart"/>
      <w:r w:rsidR="00CA06C4">
        <w:t>Aliano</w:t>
      </w:r>
      <w:proofErr w:type="spellEnd"/>
      <w:r>
        <w:t xml:space="preserve"> file a Pre-Hearing Memorandum containing a statement of relevant facts, witness list, exhibits and a summary of legal issues by </w:t>
      </w:r>
      <w:r w:rsidR="00EC5503">
        <w:t>August 23, 2014</w:t>
      </w:r>
      <w:r>
        <w:t xml:space="preserve">. The Order also directed that the </w:t>
      </w:r>
      <w:r w:rsidR="00EC5503">
        <w:t>Board</w:t>
      </w:r>
      <w:r>
        <w:t xml:space="preserve"> submit a Pre-Hearing Memorandum in response to </w:t>
      </w:r>
      <w:r w:rsidR="00EC5503">
        <w:t xml:space="preserve">Mr. </w:t>
      </w:r>
      <w:proofErr w:type="spellStart"/>
      <w:r w:rsidR="00EC5503">
        <w:t>Aliano’s</w:t>
      </w:r>
      <w:proofErr w:type="spellEnd"/>
      <w:r>
        <w:t xml:space="preserve"> statement, a witness list, exhibits and a summary of the legal issues by </w:t>
      </w:r>
      <w:r w:rsidR="00EC5503">
        <w:t>September 23, 2014</w:t>
      </w:r>
      <w:r>
        <w:t xml:space="preserve">. </w:t>
      </w:r>
    </w:p>
    <w:p w:rsidR="007C3B77" w:rsidRDefault="0095634C" w:rsidP="00E77F6E">
      <w:pPr>
        <w:spacing w:line="480" w:lineRule="auto"/>
        <w:ind w:firstLine="720"/>
      </w:pPr>
      <w:r>
        <w:t xml:space="preserve">On March 10, 2015, the parties informed the administrative magistrate that they had agreed to jointly request that a new medical panel be convened. The administrative magistrate ordered the parties to submit a joint status report by July 10, 2015, informing DALA of the convening of the panel and the withdrawal of the appeal. On July 8, 2015, the parties informed the administrative magistrate that </w:t>
      </w:r>
      <w:r w:rsidR="007C3B77">
        <w:t>they were unable to agree to all of the terms of requesting a new medical panel</w:t>
      </w:r>
      <w:r w:rsidR="00044FF7">
        <w:t>, and requested a hearing date</w:t>
      </w:r>
      <w:r w:rsidR="007C3B77">
        <w:t xml:space="preserve">. </w:t>
      </w:r>
    </w:p>
    <w:p w:rsidR="00E77F6E" w:rsidRDefault="00B77A67" w:rsidP="00E77F6E">
      <w:pPr>
        <w:spacing w:line="480" w:lineRule="auto"/>
        <w:ind w:firstLine="720"/>
      </w:pPr>
      <w:r>
        <w:t xml:space="preserve"> </w:t>
      </w:r>
      <w:r w:rsidR="00D036D5">
        <w:t xml:space="preserve">DALA scheduled a hearing for November 9, 2016. The parties </w:t>
      </w:r>
      <w:r w:rsidR="00044FF7">
        <w:t xml:space="preserve">then </w:t>
      </w:r>
      <w:r w:rsidR="00D036D5">
        <w:t>informed th</w:t>
      </w:r>
      <w:r w:rsidR="00044FF7">
        <w:t>is</w:t>
      </w:r>
      <w:r w:rsidR="00D036D5">
        <w:t xml:space="preserve"> administrative magistrate that they wished to submit their respective cases on the documents and waived the hearing. </w:t>
      </w:r>
      <w:r w:rsidR="00E77F6E">
        <w:t>801 C</w:t>
      </w:r>
      <w:r w:rsidR="00D036D5">
        <w:t>.</w:t>
      </w:r>
      <w:r w:rsidR="00E77F6E">
        <w:t>M</w:t>
      </w:r>
      <w:r w:rsidR="00D036D5">
        <w:t>.</w:t>
      </w:r>
      <w:r w:rsidR="00E77F6E">
        <w:t>R</w:t>
      </w:r>
      <w:r w:rsidR="00D036D5">
        <w:t>.</w:t>
      </w:r>
      <w:r w:rsidR="00E77F6E">
        <w:t xml:space="preserve"> 1.01(10)(c). </w:t>
      </w:r>
    </w:p>
    <w:p w:rsidR="002F197C" w:rsidRDefault="002F197C" w:rsidP="002F197C">
      <w:pPr>
        <w:spacing w:line="480" w:lineRule="auto"/>
        <w:ind w:firstLine="720"/>
      </w:pPr>
      <w:r>
        <w:t xml:space="preserve">On November 9, 2016, Mr. </w:t>
      </w:r>
      <w:proofErr w:type="spellStart"/>
      <w:r>
        <w:t>Aliano</w:t>
      </w:r>
      <w:proofErr w:type="spellEnd"/>
      <w:r>
        <w:t xml:space="preserve"> submitted a supplemental Pre-Hearing Memorandum, in which he asserted that the Board had erred by relying on the medical panel’s erroneous certificate. He proposed the following findings of fact:</w:t>
      </w:r>
    </w:p>
    <w:p w:rsidR="002F197C" w:rsidRDefault="002F197C" w:rsidP="002F197C">
      <w:pPr>
        <w:pStyle w:val="ListParagraph"/>
        <w:numPr>
          <w:ilvl w:val="0"/>
          <w:numId w:val="15"/>
        </w:numPr>
        <w:ind w:right="720"/>
      </w:pPr>
      <w:r>
        <w:t>The Petitioner sustained a neck and back injury when he fell down stairs at work on 10/5/1999 which led to increasing pain and neurological issues.</w:t>
      </w:r>
    </w:p>
    <w:p w:rsidR="002F197C" w:rsidRDefault="002F197C" w:rsidP="002F197C">
      <w:pPr>
        <w:pStyle w:val="ListParagraph"/>
        <w:numPr>
          <w:ilvl w:val="0"/>
          <w:numId w:val="15"/>
        </w:numPr>
        <w:ind w:right="720"/>
      </w:pPr>
      <w:r>
        <w:t>As a result of the pain and neurological issues, the Petitioner has been unable to perform the essential duties of his job since 10/3/2011.</w:t>
      </w:r>
    </w:p>
    <w:p w:rsidR="002F197C" w:rsidRDefault="002F197C" w:rsidP="002F197C">
      <w:pPr>
        <w:pStyle w:val="ListParagraph"/>
        <w:numPr>
          <w:ilvl w:val="0"/>
          <w:numId w:val="15"/>
        </w:numPr>
        <w:ind w:right="720"/>
      </w:pPr>
      <w:r>
        <w:t>The opinions of the medical panel examiners are inadequate, as the examiners misstated several key facts.</w:t>
      </w:r>
    </w:p>
    <w:p w:rsidR="009312D9" w:rsidRDefault="002F197C" w:rsidP="00044FF7">
      <w:pPr>
        <w:pStyle w:val="ListParagraph"/>
        <w:numPr>
          <w:ilvl w:val="0"/>
          <w:numId w:val="15"/>
        </w:numPr>
        <w:ind w:right="720"/>
      </w:pPr>
      <w:r>
        <w:t xml:space="preserve">The matter should be remanded for the petitioner to be examined by a new medical panel to cure the inadequacies in the current medical panel opinions. </w:t>
      </w:r>
    </w:p>
    <w:p w:rsidR="00D4201D" w:rsidRDefault="00713057" w:rsidP="00713057">
      <w:pPr>
        <w:shd w:val="clear" w:color="auto" w:fill="FFFFFF"/>
        <w:spacing w:after="20" w:line="480" w:lineRule="auto"/>
        <w:ind w:firstLine="720"/>
        <w:rPr>
          <w:lang w:val="en"/>
        </w:rPr>
      </w:pPr>
      <w:r w:rsidRPr="009C77B6">
        <w:rPr>
          <w:lang w:val="en"/>
        </w:rPr>
        <w:lastRenderedPageBreak/>
        <w:t xml:space="preserve">I marked </w:t>
      </w:r>
      <w:r>
        <w:rPr>
          <w:lang w:val="en"/>
        </w:rPr>
        <w:t xml:space="preserve">Mr. </w:t>
      </w:r>
      <w:proofErr w:type="spellStart"/>
      <w:r>
        <w:rPr>
          <w:lang w:val="en"/>
        </w:rPr>
        <w:t>Aliano’s</w:t>
      </w:r>
      <w:proofErr w:type="spellEnd"/>
      <w:r>
        <w:rPr>
          <w:lang w:val="en"/>
        </w:rPr>
        <w:t xml:space="preserve"> Pre-Hearing Memorandum and supplemental memorandum “A” for identification.  </w:t>
      </w:r>
      <w:r w:rsidR="00E77F6E">
        <w:rPr>
          <w:lang w:val="en"/>
        </w:rPr>
        <w:t>I marked the Board’s Pre-Hearing Memorandum “B” for identification.</w:t>
      </w:r>
    </w:p>
    <w:p w:rsidR="00713057" w:rsidRPr="009C77B6" w:rsidRDefault="00887502" w:rsidP="00713057">
      <w:pPr>
        <w:shd w:val="clear" w:color="auto" w:fill="FFFFFF"/>
        <w:spacing w:after="20" w:line="480" w:lineRule="auto"/>
        <w:ind w:firstLine="720"/>
        <w:rPr>
          <w:lang w:val="en"/>
        </w:rPr>
      </w:pPr>
      <w:r>
        <w:rPr>
          <w:lang w:val="en"/>
        </w:rPr>
        <w:t>Both parties</w:t>
      </w:r>
      <w:r w:rsidR="00713057">
        <w:rPr>
          <w:lang w:val="en"/>
        </w:rPr>
        <w:t xml:space="preserve"> submitted Post-Hearing Brief</w:t>
      </w:r>
      <w:r>
        <w:rPr>
          <w:lang w:val="en"/>
        </w:rPr>
        <w:t>s</w:t>
      </w:r>
      <w:r w:rsidR="00713057" w:rsidRPr="009C77B6">
        <w:rPr>
          <w:lang w:val="en"/>
        </w:rPr>
        <w:t xml:space="preserve"> </w:t>
      </w:r>
      <w:r w:rsidR="00713057">
        <w:rPr>
          <w:lang w:val="en"/>
        </w:rPr>
        <w:t xml:space="preserve">on </w:t>
      </w:r>
      <w:r w:rsidR="00C4204D">
        <w:rPr>
          <w:lang w:val="en"/>
        </w:rPr>
        <w:t>December 19, 2016</w:t>
      </w:r>
      <w:r>
        <w:rPr>
          <w:lang w:val="en"/>
        </w:rPr>
        <w:t xml:space="preserve">. Mr. </w:t>
      </w:r>
      <w:proofErr w:type="spellStart"/>
      <w:r>
        <w:rPr>
          <w:lang w:val="en"/>
        </w:rPr>
        <w:t>Aliano</w:t>
      </w:r>
      <w:proofErr w:type="spellEnd"/>
      <w:r>
        <w:rPr>
          <w:lang w:val="en"/>
        </w:rPr>
        <w:t xml:space="preserve"> faxed DALA on June 5, 2018, inquiring about the status of his matter</w:t>
      </w:r>
      <w:r w:rsidR="00713057">
        <w:rPr>
          <w:lang w:val="en"/>
        </w:rPr>
        <w:t>, whereupon the administrative record closed.</w:t>
      </w:r>
    </w:p>
    <w:p w:rsidR="00D331D0" w:rsidRPr="00B80A1E" w:rsidRDefault="00D331D0" w:rsidP="00D331D0">
      <w:pPr>
        <w:spacing w:line="480" w:lineRule="auto"/>
        <w:ind w:firstLine="720"/>
        <w:rPr>
          <w:color w:val="000000"/>
        </w:rPr>
      </w:pPr>
      <w:r w:rsidRPr="00B80A1E">
        <w:rPr>
          <w:color w:val="000000"/>
        </w:rPr>
        <w:t>I enter</w:t>
      </w:r>
      <w:r w:rsidR="00887502">
        <w:rPr>
          <w:color w:val="000000"/>
        </w:rPr>
        <w:t>ed</w:t>
      </w:r>
      <w:r w:rsidRPr="00B80A1E">
        <w:rPr>
          <w:color w:val="000000"/>
        </w:rPr>
        <w:t xml:space="preserve"> the following exhibits into evidence:</w:t>
      </w:r>
    </w:p>
    <w:p w:rsidR="00B54C91" w:rsidRDefault="00B54C91" w:rsidP="007720CB">
      <w:pPr>
        <w:ind w:left="1260" w:hanging="1260"/>
      </w:pPr>
      <w:r>
        <w:t xml:space="preserve">Exhibit 1: </w:t>
      </w:r>
      <w:r>
        <w:tab/>
      </w:r>
      <w:r w:rsidR="0019522F">
        <w:t>Operative Note regarding Petitioner’s Cervical Laminectomy at St. Elizabeth’s Medical Center</w:t>
      </w:r>
      <w:r w:rsidR="006E070B">
        <w:t>,</w:t>
      </w:r>
      <w:r w:rsidR="0019522F">
        <w:t xml:space="preserve"> </w:t>
      </w:r>
      <w:r>
        <w:t>6/17/1998;</w:t>
      </w:r>
    </w:p>
    <w:p w:rsidR="00995393" w:rsidRDefault="00B54C91" w:rsidP="007720CB">
      <w:pPr>
        <w:ind w:left="1260" w:hanging="1260"/>
      </w:pPr>
      <w:r>
        <w:t xml:space="preserve">Exhibit 2: </w:t>
      </w:r>
      <w:r>
        <w:tab/>
      </w:r>
      <w:r w:rsidR="00995393">
        <w:t xml:space="preserve">Occupational Injury Report, </w:t>
      </w:r>
      <w:r>
        <w:t>10/5/1999;</w:t>
      </w:r>
    </w:p>
    <w:p w:rsidR="00C4232E" w:rsidRDefault="00B54C91" w:rsidP="007720CB">
      <w:pPr>
        <w:tabs>
          <w:tab w:val="left" w:pos="1080"/>
        </w:tabs>
        <w:ind w:left="1260" w:hanging="1260"/>
      </w:pPr>
      <w:r>
        <w:t>Exhibit 3:</w:t>
      </w:r>
      <w:r>
        <w:tab/>
      </w:r>
      <w:r w:rsidR="00F63EDE">
        <w:tab/>
      </w:r>
      <w:r w:rsidR="009560FC">
        <w:t>Letters by Dr. David Weinberg</w:t>
      </w:r>
      <w:r>
        <w:t>, 11/3/1999, 4/5/2000; 6/8/2000, 5/22/2012, 10/31/2012, 4/5/2013, 8/2/2013, 8/7/2014;</w:t>
      </w:r>
    </w:p>
    <w:p w:rsidR="006B78F7" w:rsidRDefault="00B54C91" w:rsidP="007720CB">
      <w:pPr>
        <w:tabs>
          <w:tab w:val="left" w:pos="1080"/>
        </w:tabs>
        <w:ind w:left="1260" w:hanging="1260"/>
      </w:pPr>
      <w:r>
        <w:t xml:space="preserve">Exhibit 4: </w:t>
      </w:r>
      <w:r>
        <w:tab/>
      </w:r>
      <w:r w:rsidR="00F63EDE">
        <w:tab/>
      </w:r>
      <w:r w:rsidR="006B78F7">
        <w:t>MRI Report</w:t>
      </w:r>
      <w:r w:rsidR="006E070B">
        <w:t>,</w:t>
      </w:r>
      <w:r w:rsidR="006B78F7">
        <w:t xml:space="preserve"> </w:t>
      </w:r>
      <w:r>
        <w:t>3/ 28/2000;</w:t>
      </w:r>
    </w:p>
    <w:p w:rsidR="00C4232E" w:rsidRDefault="00B54C91" w:rsidP="007720CB">
      <w:pPr>
        <w:ind w:left="1260" w:hanging="1260"/>
      </w:pPr>
      <w:r>
        <w:t xml:space="preserve">Exhibit 5:  </w:t>
      </w:r>
      <w:r w:rsidR="00F63EDE">
        <w:tab/>
      </w:r>
      <w:r>
        <w:t>O</w:t>
      </w:r>
      <w:r w:rsidR="00C4232E">
        <w:t xml:space="preserve">perative Note regarding Petitioner’s Lumbar Decompression, </w:t>
      </w:r>
      <w:r>
        <w:t>10/3/2011;</w:t>
      </w:r>
    </w:p>
    <w:p w:rsidR="00E0106C" w:rsidRDefault="00B54C91" w:rsidP="007720CB">
      <w:pPr>
        <w:ind w:left="1260" w:hanging="1260"/>
      </w:pPr>
      <w:r>
        <w:t xml:space="preserve">Exhibit 6:  </w:t>
      </w:r>
      <w:r w:rsidR="00F63EDE">
        <w:tab/>
      </w:r>
      <w:r w:rsidR="00E0106C">
        <w:t>Medical Report by Dr. Weinberg</w:t>
      </w:r>
      <w:r w:rsidR="00AC46D7">
        <w:t xml:space="preserve">, </w:t>
      </w:r>
      <w:r>
        <w:t>12/12/</w:t>
      </w:r>
      <w:r w:rsidR="00E0106C">
        <w:t>2011.</w:t>
      </w:r>
    </w:p>
    <w:p w:rsidR="00EB7E5E" w:rsidRDefault="00B54C91" w:rsidP="007720CB">
      <w:pPr>
        <w:ind w:left="1260" w:hanging="1260"/>
      </w:pPr>
      <w:r>
        <w:t xml:space="preserve">Exhibit 7:  </w:t>
      </w:r>
      <w:r w:rsidR="00F63EDE">
        <w:tab/>
      </w:r>
      <w:r>
        <w:t>Letters by Dr. Epstein, 3/13/2012 and 7/11/2012;</w:t>
      </w:r>
    </w:p>
    <w:p w:rsidR="00B54C91" w:rsidRDefault="00B54C91" w:rsidP="007720CB">
      <w:pPr>
        <w:ind w:left="1260" w:hanging="1260"/>
      </w:pPr>
      <w:r>
        <w:t xml:space="preserve">Exhibit 8:  </w:t>
      </w:r>
      <w:r w:rsidR="00F63EDE">
        <w:tab/>
      </w:r>
      <w:r w:rsidR="00EB7E5E">
        <w:t>Disability Report by Dr. Weinberg</w:t>
      </w:r>
      <w:r w:rsidR="006E070B">
        <w:t>,</w:t>
      </w:r>
      <w:r w:rsidR="00EB7E5E">
        <w:t xml:space="preserve"> </w:t>
      </w:r>
      <w:r>
        <w:t>3/5/2012;</w:t>
      </w:r>
    </w:p>
    <w:p w:rsidR="0076294F" w:rsidRDefault="00B54C91" w:rsidP="007720CB">
      <w:pPr>
        <w:ind w:left="1260" w:hanging="1260"/>
      </w:pPr>
      <w:r>
        <w:t xml:space="preserve">Exhibit 9:  </w:t>
      </w:r>
      <w:r w:rsidR="00F63EDE">
        <w:tab/>
      </w:r>
      <w:r w:rsidR="0076294F">
        <w:t>Fitness for Duty evaluation by Dr. Stefanos Kales at Cambridge Health Alliance</w:t>
      </w:r>
      <w:r>
        <w:t>, 6/</w:t>
      </w:r>
      <w:r w:rsidR="00B468FD">
        <w:t>19</w:t>
      </w:r>
      <w:r>
        <w:t>/2012;</w:t>
      </w:r>
    </w:p>
    <w:p w:rsidR="00D331D0" w:rsidRDefault="007720CB" w:rsidP="007720CB">
      <w:pPr>
        <w:ind w:left="1260" w:hanging="1260"/>
      </w:pPr>
      <w:r>
        <w:t>Exhibit 1</w:t>
      </w:r>
      <w:r w:rsidR="00E0106C">
        <w:t>0</w:t>
      </w:r>
      <w:r w:rsidR="00995393">
        <w:t>:</w:t>
      </w:r>
      <w:r w:rsidR="00995393">
        <w:tab/>
      </w:r>
      <w:r w:rsidR="00C86B9E">
        <w:t>Involuntary Retirement Application for Ordinary D</w:t>
      </w:r>
      <w:r w:rsidR="00995393">
        <w:t>isability Retirement</w:t>
      </w:r>
      <w:r w:rsidR="00402E08">
        <w:t>, with Description of Petitioner’s job duties</w:t>
      </w:r>
      <w:r>
        <w:t xml:space="preserve">, </w:t>
      </w:r>
      <w:r w:rsidR="00F63EDE">
        <w:t>8/</w:t>
      </w:r>
      <w:r>
        <w:t>15</w:t>
      </w:r>
      <w:r w:rsidR="00F63EDE">
        <w:t>/</w:t>
      </w:r>
      <w:r>
        <w:t>2012</w:t>
      </w:r>
      <w:r w:rsidR="00F63EDE">
        <w:t>;</w:t>
      </w:r>
    </w:p>
    <w:p w:rsidR="003C59FA" w:rsidRDefault="003C59FA" w:rsidP="007720CB">
      <w:pPr>
        <w:ind w:left="1260" w:hanging="1260"/>
      </w:pPr>
      <w:r>
        <w:t>E</w:t>
      </w:r>
      <w:r w:rsidR="00F63EDE">
        <w:t>xhibit</w:t>
      </w:r>
      <w:r>
        <w:t xml:space="preserve"> </w:t>
      </w:r>
      <w:r w:rsidR="00E0106C">
        <w:t>11</w:t>
      </w:r>
      <w:r>
        <w:t>:</w:t>
      </w:r>
      <w:r>
        <w:tab/>
        <w:t xml:space="preserve">Order of Payment §34 and §35, </w:t>
      </w:r>
      <w:r w:rsidR="00F63EDE">
        <w:t>9/13/</w:t>
      </w:r>
      <w:r>
        <w:t>2012</w:t>
      </w:r>
      <w:r w:rsidR="00F63EDE">
        <w:t>;</w:t>
      </w:r>
      <w:r>
        <w:t xml:space="preserve"> </w:t>
      </w:r>
    </w:p>
    <w:p w:rsidR="00995393" w:rsidRDefault="00995393" w:rsidP="007720CB">
      <w:pPr>
        <w:ind w:left="1260" w:hanging="1260"/>
      </w:pPr>
      <w:r>
        <w:t>Ex</w:t>
      </w:r>
      <w:r w:rsidR="00F63EDE">
        <w:t>hibit 12</w:t>
      </w:r>
      <w:r>
        <w:t>:</w:t>
      </w:r>
      <w:r>
        <w:tab/>
        <w:t>Treating Physician’s</w:t>
      </w:r>
      <w:r w:rsidR="006E070B">
        <w:t xml:space="preserve"> Statement by Dr. David Epstein,</w:t>
      </w:r>
      <w:r>
        <w:t xml:space="preserve"> </w:t>
      </w:r>
      <w:r w:rsidR="00F63EDE">
        <w:t>12/3/</w:t>
      </w:r>
      <w:r>
        <w:t>2012</w:t>
      </w:r>
      <w:r w:rsidR="00F63EDE">
        <w:t>;</w:t>
      </w:r>
    </w:p>
    <w:p w:rsidR="00C86B9E" w:rsidRDefault="00F63EDE" w:rsidP="007720CB">
      <w:pPr>
        <w:ind w:left="1260" w:hanging="1260"/>
      </w:pPr>
      <w:r>
        <w:t xml:space="preserve">Exhibit </w:t>
      </w:r>
      <w:r w:rsidR="0076294F">
        <w:t>1</w:t>
      </w:r>
      <w:r w:rsidR="00E0106C">
        <w:t>3</w:t>
      </w:r>
      <w:r w:rsidR="00C86B9E">
        <w:t>:</w:t>
      </w:r>
      <w:r w:rsidR="00C86B9E">
        <w:tab/>
        <w:t>PERAC Medical Panel evaluation</w:t>
      </w:r>
      <w:r w:rsidR="006E070B">
        <w:t>,</w:t>
      </w:r>
      <w:r w:rsidR="00C86B9E">
        <w:t xml:space="preserve"> </w:t>
      </w:r>
      <w:r>
        <w:t>3/</w:t>
      </w:r>
      <w:r w:rsidR="00C86B9E">
        <w:t>5</w:t>
      </w:r>
      <w:r>
        <w:t>/2013;</w:t>
      </w:r>
      <w:r w:rsidR="00C86B9E">
        <w:t xml:space="preserve"> </w:t>
      </w:r>
    </w:p>
    <w:p w:rsidR="001D2808" w:rsidRDefault="00F63EDE" w:rsidP="007720CB">
      <w:pPr>
        <w:ind w:left="1260" w:hanging="1260"/>
      </w:pPr>
      <w:r>
        <w:t xml:space="preserve">Exhibit </w:t>
      </w:r>
      <w:r w:rsidR="00377D07">
        <w:t>1</w:t>
      </w:r>
      <w:r w:rsidR="00E0106C">
        <w:t>4</w:t>
      </w:r>
      <w:r w:rsidR="001D2808">
        <w:t>:</w:t>
      </w:r>
      <w:r w:rsidR="001D2808">
        <w:tab/>
        <w:t xml:space="preserve">Letter from Petitioner’s then counsel to Respondent addressing perceived inadequacies present in the Medical Panel’s report, </w:t>
      </w:r>
      <w:r>
        <w:t>4/5/</w:t>
      </w:r>
      <w:r w:rsidR="001D2808">
        <w:t>2013</w:t>
      </w:r>
      <w:r>
        <w:t>;</w:t>
      </w:r>
    </w:p>
    <w:p w:rsidR="005F4D7C" w:rsidRDefault="005F4D7C" w:rsidP="007720CB">
      <w:pPr>
        <w:ind w:left="1260" w:hanging="1260"/>
      </w:pPr>
      <w:r>
        <w:t>Ex</w:t>
      </w:r>
      <w:r w:rsidR="00F63EDE">
        <w:t>hibit 15</w:t>
      </w:r>
      <w:r w:rsidR="00377D07">
        <w:t>:</w:t>
      </w:r>
      <w:r>
        <w:tab/>
        <w:t xml:space="preserve">Notice of Retirement Board Action on Disability Retirement Application, </w:t>
      </w:r>
      <w:r w:rsidR="00F63EDE">
        <w:t>5/ 8/2013;</w:t>
      </w:r>
    </w:p>
    <w:p w:rsidR="00C86B9E" w:rsidRDefault="00995393" w:rsidP="007720CB">
      <w:pPr>
        <w:ind w:left="1260" w:hanging="1260"/>
      </w:pPr>
      <w:r>
        <w:t>Ex</w:t>
      </w:r>
      <w:r w:rsidR="00F63EDE">
        <w:t>hibit</w:t>
      </w:r>
      <w:r>
        <w:t xml:space="preserve"> </w:t>
      </w:r>
      <w:r w:rsidR="0076294F">
        <w:t>1</w:t>
      </w:r>
      <w:r w:rsidR="00E0106C">
        <w:t>6</w:t>
      </w:r>
      <w:r w:rsidR="00C86B9E">
        <w:t>:</w:t>
      </w:r>
      <w:r w:rsidR="00C86B9E">
        <w:tab/>
        <w:t>Letter from PERAC approving Respondent’s actions</w:t>
      </w:r>
      <w:r w:rsidR="006E070B">
        <w:t>,</w:t>
      </w:r>
      <w:r w:rsidR="00C86B9E">
        <w:t xml:space="preserve"> </w:t>
      </w:r>
      <w:r w:rsidR="00F63EDE">
        <w:t>6/</w:t>
      </w:r>
      <w:r w:rsidR="00C86B9E">
        <w:t xml:space="preserve"> 26</w:t>
      </w:r>
      <w:r w:rsidR="00F63EDE">
        <w:t>/</w:t>
      </w:r>
      <w:r w:rsidR="00C86B9E">
        <w:t>2013</w:t>
      </w:r>
      <w:r w:rsidR="00F63EDE">
        <w:t>;</w:t>
      </w:r>
    </w:p>
    <w:p w:rsidR="003C59FA" w:rsidRDefault="003C59FA" w:rsidP="007720CB">
      <w:pPr>
        <w:ind w:left="1260" w:hanging="1260"/>
      </w:pPr>
      <w:r>
        <w:t>Ex</w:t>
      </w:r>
      <w:r w:rsidR="00F63EDE">
        <w:t>hibit</w:t>
      </w:r>
      <w:r>
        <w:t xml:space="preserve"> </w:t>
      </w:r>
      <w:r w:rsidR="0076294F">
        <w:t>1</w:t>
      </w:r>
      <w:r w:rsidR="00E0106C">
        <w:t>7</w:t>
      </w:r>
      <w:r>
        <w:t>:</w:t>
      </w:r>
      <w:r>
        <w:tab/>
        <w:t>Dr. Weinberg</w:t>
      </w:r>
      <w:r w:rsidR="00F63EDE">
        <w:t xml:space="preserve"> medical report</w:t>
      </w:r>
      <w:r w:rsidR="006E070B">
        <w:t>,</w:t>
      </w:r>
      <w:r>
        <w:t xml:space="preserve"> </w:t>
      </w:r>
      <w:r w:rsidR="00F63EDE">
        <w:t>8/</w:t>
      </w:r>
      <w:r>
        <w:t xml:space="preserve"> 2</w:t>
      </w:r>
      <w:r w:rsidR="00F63EDE">
        <w:t>/</w:t>
      </w:r>
      <w:r>
        <w:t>2013</w:t>
      </w:r>
      <w:r w:rsidR="00F63EDE">
        <w:t>;</w:t>
      </w:r>
    </w:p>
    <w:p w:rsidR="00C4232E" w:rsidRDefault="00C4232E" w:rsidP="007720CB">
      <w:pPr>
        <w:ind w:left="1260" w:hanging="1260"/>
      </w:pPr>
      <w:r>
        <w:t>Ex</w:t>
      </w:r>
      <w:r w:rsidR="00F63EDE">
        <w:t>hibit</w:t>
      </w:r>
      <w:r>
        <w:t xml:space="preserve"> </w:t>
      </w:r>
      <w:r w:rsidR="0076294F">
        <w:t>1</w:t>
      </w:r>
      <w:r w:rsidR="00E0106C">
        <w:t>8</w:t>
      </w:r>
      <w:r>
        <w:t>:</w:t>
      </w:r>
      <w:r>
        <w:tab/>
        <w:t>Agreement for Redeeming Liability by Lump Sum</w:t>
      </w:r>
      <w:r w:rsidR="006E070B">
        <w:t>,</w:t>
      </w:r>
      <w:r>
        <w:t xml:space="preserve"> </w:t>
      </w:r>
      <w:r w:rsidR="00F63EDE">
        <w:t>5/ 27/2014;</w:t>
      </w:r>
    </w:p>
    <w:p w:rsidR="00F672F2" w:rsidRDefault="000E534B" w:rsidP="007720CB">
      <w:pPr>
        <w:ind w:left="1260" w:hanging="1260"/>
      </w:pPr>
      <w:r>
        <w:t>Ex</w:t>
      </w:r>
      <w:r w:rsidR="00F63EDE">
        <w:t>hibit</w:t>
      </w:r>
      <w:r>
        <w:t xml:space="preserve"> </w:t>
      </w:r>
      <w:r w:rsidR="0076294F">
        <w:t>1</w:t>
      </w:r>
      <w:r w:rsidR="00E0106C">
        <w:t>9</w:t>
      </w:r>
      <w:r>
        <w:t>:</w:t>
      </w:r>
      <w:r>
        <w:tab/>
        <w:t xml:space="preserve">Dr. Epstein </w:t>
      </w:r>
      <w:r w:rsidR="00F63EDE">
        <w:t>progress notes, 7/17/</w:t>
      </w:r>
      <w:r>
        <w:t>2014</w:t>
      </w:r>
      <w:r w:rsidR="001D2808">
        <w:t xml:space="preserve">, updated </w:t>
      </w:r>
      <w:r w:rsidR="00F63EDE">
        <w:t>7/</w:t>
      </w:r>
      <w:r w:rsidR="001D2808">
        <w:t xml:space="preserve"> 23</w:t>
      </w:r>
      <w:r w:rsidR="00F63EDE">
        <w:t>/</w:t>
      </w:r>
      <w:r w:rsidR="001D2808">
        <w:t>2014</w:t>
      </w:r>
      <w:r w:rsidR="00F672F2">
        <w:t>; and</w:t>
      </w:r>
    </w:p>
    <w:p w:rsidR="000E534B" w:rsidRDefault="00F672F2" w:rsidP="007720CB">
      <w:pPr>
        <w:ind w:left="1260" w:hanging="1260"/>
      </w:pPr>
      <w:r>
        <w:t xml:space="preserve">Exhibit 20: </w:t>
      </w:r>
      <w:r>
        <w:tab/>
        <w:t xml:space="preserve">Mr. </w:t>
      </w:r>
      <w:proofErr w:type="spellStart"/>
      <w:r>
        <w:t>Aliano’s</w:t>
      </w:r>
      <w:proofErr w:type="spellEnd"/>
      <w:r>
        <w:t xml:space="preserve"> appeal to DALA, 5/21/2013</w:t>
      </w:r>
      <w:r w:rsidR="001D2808">
        <w:t>.</w:t>
      </w:r>
    </w:p>
    <w:p w:rsidR="00F63EDE" w:rsidRPr="00DF3F0E" w:rsidRDefault="00F63EDE" w:rsidP="007720CB">
      <w:pPr>
        <w:ind w:left="1260" w:hanging="1260"/>
      </w:pPr>
    </w:p>
    <w:p w:rsidR="009E7FD2" w:rsidRPr="00F63EDE" w:rsidRDefault="009E7FD2" w:rsidP="009E7FD2">
      <w:pPr>
        <w:spacing w:line="480" w:lineRule="auto"/>
        <w:jc w:val="center"/>
        <w:rPr>
          <w:b/>
        </w:rPr>
      </w:pPr>
      <w:r w:rsidRPr="00F63EDE">
        <w:rPr>
          <w:b/>
        </w:rPr>
        <w:t>F</w:t>
      </w:r>
      <w:r w:rsidR="009361BE" w:rsidRPr="00F63EDE">
        <w:rPr>
          <w:b/>
        </w:rPr>
        <w:t>INDINGS OF FACT</w:t>
      </w:r>
    </w:p>
    <w:p w:rsidR="00887502" w:rsidRPr="000D1C85" w:rsidRDefault="00887502" w:rsidP="00887502">
      <w:pPr>
        <w:spacing w:line="480" w:lineRule="auto"/>
        <w:ind w:firstLine="720"/>
      </w:pPr>
      <w:r w:rsidRPr="000D1C85">
        <w:t>Based on the evidence, I make the following findings of fact:</w:t>
      </w:r>
    </w:p>
    <w:p w:rsidR="00935360" w:rsidRDefault="00B04809" w:rsidP="009327DA">
      <w:pPr>
        <w:pStyle w:val="ListParagraph"/>
        <w:numPr>
          <w:ilvl w:val="0"/>
          <w:numId w:val="11"/>
        </w:numPr>
        <w:spacing w:line="480" w:lineRule="auto"/>
        <w:ind w:left="0" w:firstLine="720"/>
      </w:pPr>
      <w:r>
        <w:lastRenderedPageBreak/>
        <w:t xml:space="preserve">Petitioner, Charles </w:t>
      </w:r>
      <w:proofErr w:type="spellStart"/>
      <w:r>
        <w:t>Aliano</w:t>
      </w:r>
      <w:proofErr w:type="spellEnd"/>
      <w:r w:rsidR="002A7804">
        <w:t xml:space="preserve"> </w:t>
      </w:r>
      <w:r w:rsidR="009312D9">
        <w:t>was born in 1955, and</w:t>
      </w:r>
      <w:r>
        <w:t xml:space="preserve"> was h</w:t>
      </w:r>
      <w:r w:rsidR="00626C78">
        <w:t xml:space="preserve">ired by the City of Somerville </w:t>
      </w:r>
      <w:r w:rsidR="009327DA">
        <w:t xml:space="preserve">(City) </w:t>
      </w:r>
      <w:r w:rsidR="009F3FB6">
        <w:t xml:space="preserve">on November 17, </w:t>
      </w:r>
      <w:r>
        <w:t>1980.</w:t>
      </w:r>
      <w:r w:rsidR="009327DA">
        <w:t xml:space="preserve"> </w:t>
      </w:r>
      <w:r w:rsidR="00A629B8">
        <w:t>He served as</w:t>
      </w:r>
      <w:r w:rsidR="00935360">
        <w:t xml:space="preserve"> </w:t>
      </w:r>
      <w:r w:rsidR="009F3FB6">
        <w:t xml:space="preserve">the </w:t>
      </w:r>
      <w:r w:rsidR="00FB7EDC">
        <w:t xml:space="preserve">full-time </w:t>
      </w:r>
      <w:r w:rsidR="00935360">
        <w:t>supervisor of custodians and heating plants, Grade V, Building and Grounds Division.  (Exhibit</w:t>
      </w:r>
      <w:r w:rsidR="009327DA">
        <w:t>s 9 and</w:t>
      </w:r>
      <w:r w:rsidR="00935360">
        <w:t xml:space="preserve"> 10.)</w:t>
      </w:r>
    </w:p>
    <w:p w:rsidR="00A629B8" w:rsidRDefault="00935360" w:rsidP="00DC6065">
      <w:pPr>
        <w:pStyle w:val="ListParagraph"/>
        <w:numPr>
          <w:ilvl w:val="0"/>
          <w:numId w:val="11"/>
        </w:numPr>
        <w:spacing w:line="480" w:lineRule="auto"/>
        <w:ind w:left="0" w:firstLine="720"/>
      </w:pPr>
      <w:r>
        <w:t>The essential duties of the inc</w:t>
      </w:r>
      <w:r w:rsidR="00A629B8">
        <w:t>umbent of the position included the following:</w:t>
      </w:r>
    </w:p>
    <w:p w:rsidR="00A629B8" w:rsidRDefault="00A629B8" w:rsidP="00A629B8">
      <w:pPr>
        <w:pStyle w:val="ListParagraph"/>
        <w:numPr>
          <w:ilvl w:val="0"/>
          <w:numId w:val="17"/>
        </w:numPr>
        <w:ind w:left="1080"/>
      </w:pPr>
      <w:r>
        <w:t>Supervising, assigning, scheduling and inspecting the work of custodians and some senior custodians;</w:t>
      </w:r>
    </w:p>
    <w:p w:rsidR="00A629B8" w:rsidRDefault="00A629B8" w:rsidP="00A629B8">
      <w:pPr>
        <w:pStyle w:val="ListParagraph"/>
        <w:numPr>
          <w:ilvl w:val="0"/>
          <w:numId w:val="17"/>
        </w:numPr>
        <w:ind w:left="1080"/>
      </w:pPr>
      <w:r>
        <w:t>Inspecting buildings and/or grounds for safety, security cleanliness, and fire hazards in order to determine need for repair;</w:t>
      </w:r>
    </w:p>
    <w:p w:rsidR="00A629B8" w:rsidRDefault="00A629B8" w:rsidP="00A629B8">
      <w:pPr>
        <w:pStyle w:val="ListParagraph"/>
        <w:numPr>
          <w:ilvl w:val="0"/>
          <w:numId w:val="17"/>
        </w:numPr>
        <w:ind w:left="1080"/>
      </w:pPr>
      <w:r>
        <w:t>Maintaining, adjusting and performing preventive maintenance on the heating, ventilating and grounds;</w:t>
      </w:r>
    </w:p>
    <w:p w:rsidR="00A629B8" w:rsidRDefault="00A629B8" w:rsidP="00A629B8">
      <w:pPr>
        <w:pStyle w:val="ListParagraph"/>
        <w:numPr>
          <w:ilvl w:val="0"/>
          <w:numId w:val="17"/>
        </w:numPr>
        <w:ind w:left="1080"/>
      </w:pPr>
      <w:r>
        <w:t>Opening and securing buildings;</w:t>
      </w:r>
    </w:p>
    <w:p w:rsidR="00A629B8" w:rsidRDefault="00A629B8" w:rsidP="00A629B8">
      <w:pPr>
        <w:pStyle w:val="ListParagraph"/>
        <w:numPr>
          <w:ilvl w:val="0"/>
          <w:numId w:val="17"/>
        </w:numPr>
        <w:ind w:left="1080"/>
      </w:pPr>
      <w:r>
        <w:t>Setting up furniture and equipment;</w:t>
      </w:r>
    </w:p>
    <w:p w:rsidR="00A629B8" w:rsidRDefault="00A629B8" w:rsidP="00A629B8">
      <w:pPr>
        <w:pStyle w:val="ListParagraph"/>
        <w:numPr>
          <w:ilvl w:val="0"/>
          <w:numId w:val="17"/>
        </w:numPr>
        <w:ind w:left="1080"/>
      </w:pPr>
      <w:r>
        <w:t>Replenishing restroom supplies, collecting and disposing of building trash;</w:t>
      </w:r>
    </w:p>
    <w:p w:rsidR="00A629B8" w:rsidRDefault="00A629B8" w:rsidP="00A629B8">
      <w:pPr>
        <w:pStyle w:val="ListParagraph"/>
        <w:numPr>
          <w:ilvl w:val="0"/>
          <w:numId w:val="17"/>
        </w:numPr>
        <w:ind w:left="1080"/>
      </w:pPr>
      <w:r>
        <w:t>Sweeping, mopping, waxing and sealing floors;</w:t>
      </w:r>
    </w:p>
    <w:p w:rsidR="00A629B8" w:rsidRDefault="00A629B8" w:rsidP="00A629B8">
      <w:pPr>
        <w:pStyle w:val="ListParagraph"/>
        <w:numPr>
          <w:ilvl w:val="0"/>
          <w:numId w:val="17"/>
        </w:numPr>
        <w:ind w:left="1080"/>
      </w:pPr>
      <w:r>
        <w:t>Maintain</w:t>
      </w:r>
      <w:r w:rsidR="00AD3CB6">
        <w:t>in</w:t>
      </w:r>
      <w:r>
        <w:t>g carpet</w:t>
      </w:r>
      <w:r w:rsidR="00AD3CB6">
        <w:t>, washing walls, furniture and equipment;</w:t>
      </w:r>
    </w:p>
    <w:p w:rsidR="00AD3CB6" w:rsidRDefault="00AD3CB6" w:rsidP="00A629B8">
      <w:pPr>
        <w:pStyle w:val="ListParagraph"/>
        <w:numPr>
          <w:ilvl w:val="0"/>
          <w:numId w:val="17"/>
        </w:numPr>
        <w:ind w:left="1080"/>
      </w:pPr>
      <w:r>
        <w:t>Cutting grass, raking leaves, shoveling snow and/or sand, salting building grounds, catch basins, overpasses, etc.;</w:t>
      </w:r>
    </w:p>
    <w:p w:rsidR="00AD3CB6" w:rsidRDefault="00AD3CB6" w:rsidP="00A629B8">
      <w:pPr>
        <w:pStyle w:val="ListParagraph"/>
        <w:numPr>
          <w:ilvl w:val="0"/>
          <w:numId w:val="17"/>
        </w:numPr>
        <w:ind w:left="1080"/>
      </w:pPr>
      <w:r>
        <w:t>Operating or using hand tools and cleaning equipment;</w:t>
      </w:r>
    </w:p>
    <w:p w:rsidR="00AD3CB6" w:rsidRDefault="00AD3CB6" w:rsidP="00A629B8">
      <w:pPr>
        <w:pStyle w:val="ListParagraph"/>
        <w:numPr>
          <w:ilvl w:val="0"/>
          <w:numId w:val="17"/>
        </w:numPr>
        <w:ind w:left="1080"/>
      </w:pPr>
      <w:r>
        <w:t>Supervising directly or indirectly one or more custodians, handymen, maintenance workers or laborers;</w:t>
      </w:r>
    </w:p>
    <w:p w:rsidR="00AD3CB6" w:rsidRDefault="00AD3CB6" w:rsidP="00A629B8">
      <w:pPr>
        <w:pStyle w:val="ListParagraph"/>
        <w:numPr>
          <w:ilvl w:val="0"/>
          <w:numId w:val="17"/>
        </w:numPr>
        <w:ind w:left="1080"/>
      </w:pPr>
      <w:r>
        <w:t>Preparing work schedules and assigning work;</w:t>
      </w:r>
    </w:p>
    <w:p w:rsidR="00AD3CB6" w:rsidRDefault="00AD3CB6" w:rsidP="00A629B8">
      <w:pPr>
        <w:pStyle w:val="ListParagraph"/>
        <w:numPr>
          <w:ilvl w:val="0"/>
          <w:numId w:val="17"/>
        </w:numPr>
        <w:ind w:left="1080"/>
      </w:pPr>
      <w:r>
        <w:t>Providing in-service training and training of personnel in operations of duties;</w:t>
      </w:r>
    </w:p>
    <w:p w:rsidR="00AD3CB6" w:rsidRDefault="00AD3CB6" w:rsidP="00A629B8">
      <w:pPr>
        <w:pStyle w:val="ListParagraph"/>
        <w:numPr>
          <w:ilvl w:val="0"/>
          <w:numId w:val="17"/>
        </w:numPr>
        <w:ind w:left="1080"/>
      </w:pPr>
      <w:r>
        <w:t>Inspecting work and directing corrective action if needed;</w:t>
      </w:r>
    </w:p>
    <w:p w:rsidR="00AD3CB6" w:rsidRDefault="00AD3CB6" w:rsidP="00A629B8">
      <w:pPr>
        <w:pStyle w:val="ListParagraph"/>
        <w:numPr>
          <w:ilvl w:val="0"/>
          <w:numId w:val="17"/>
        </w:numPr>
        <w:ind w:left="1080"/>
      </w:pPr>
      <w:r>
        <w:t>Disciplining building custodians;</w:t>
      </w:r>
    </w:p>
    <w:p w:rsidR="00AD3CB6" w:rsidRDefault="00AD3CB6" w:rsidP="00A629B8">
      <w:pPr>
        <w:pStyle w:val="ListParagraph"/>
        <w:numPr>
          <w:ilvl w:val="0"/>
          <w:numId w:val="17"/>
        </w:numPr>
        <w:ind w:left="1080"/>
      </w:pPr>
      <w:r>
        <w:t>Regulating feed water treatment, oil conditions and specifications, boiler conditions and recommended repairs;</w:t>
      </w:r>
    </w:p>
    <w:p w:rsidR="00AD3CB6" w:rsidRDefault="00AD3CB6" w:rsidP="00A629B8">
      <w:pPr>
        <w:pStyle w:val="ListParagraph"/>
        <w:numPr>
          <w:ilvl w:val="0"/>
          <w:numId w:val="17"/>
        </w:numPr>
        <w:ind w:left="1080"/>
      </w:pPr>
      <w:r>
        <w:t>Monitoring low water cut-off and safety valves;</w:t>
      </w:r>
    </w:p>
    <w:p w:rsidR="00AD3CB6" w:rsidRDefault="00AD3CB6" w:rsidP="00A629B8">
      <w:pPr>
        <w:pStyle w:val="ListParagraph"/>
        <w:numPr>
          <w:ilvl w:val="0"/>
          <w:numId w:val="17"/>
        </w:numPr>
        <w:ind w:left="1080"/>
      </w:pPr>
      <w:r>
        <w:t xml:space="preserve">Submitting reports and operating data per boiler; heating system including </w:t>
      </w:r>
      <w:proofErr w:type="gramStart"/>
      <w:r>
        <w:t>piping  and</w:t>
      </w:r>
      <w:proofErr w:type="gramEnd"/>
      <w:r>
        <w:t xml:space="preserve"> heaters.</w:t>
      </w:r>
    </w:p>
    <w:p w:rsidR="00357CC1" w:rsidRDefault="00357CC1" w:rsidP="00357CC1">
      <w:pPr>
        <w:pStyle w:val="ListParagraph"/>
        <w:ind w:left="1080"/>
      </w:pPr>
    </w:p>
    <w:p w:rsidR="00935360" w:rsidRDefault="00935360" w:rsidP="00A629B8">
      <w:pPr>
        <w:spacing w:line="480" w:lineRule="auto"/>
      </w:pPr>
      <w:r>
        <w:t>(Exhibit 10.)</w:t>
      </w:r>
    </w:p>
    <w:p w:rsidR="00302375" w:rsidRDefault="00B04809" w:rsidP="00B04809">
      <w:pPr>
        <w:pStyle w:val="ListParagraph"/>
        <w:numPr>
          <w:ilvl w:val="0"/>
          <w:numId w:val="11"/>
        </w:numPr>
        <w:spacing w:line="480" w:lineRule="auto"/>
        <w:ind w:left="0" w:firstLine="720"/>
      </w:pPr>
      <w:r>
        <w:t xml:space="preserve">On </w:t>
      </w:r>
      <w:r w:rsidR="00854CB6">
        <w:t xml:space="preserve">May 11, 1998, Mr. </w:t>
      </w:r>
      <w:proofErr w:type="spellStart"/>
      <w:r w:rsidR="00854CB6">
        <w:t>Aliano</w:t>
      </w:r>
      <w:proofErr w:type="spellEnd"/>
      <w:r w:rsidR="00854CB6">
        <w:t xml:space="preserve"> began treating with </w:t>
      </w:r>
      <w:r w:rsidR="006F17A8">
        <w:t xml:space="preserve">neurologist </w:t>
      </w:r>
      <w:r w:rsidR="00854CB6">
        <w:t>David H. Weinberg</w:t>
      </w:r>
      <w:r w:rsidR="009312D9">
        <w:t>, M.D.</w:t>
      </w:r>
      <w:r w:rsidR="00854CB6">
        <w:t xml:space="preserve"> for cervical spine dysfunction secondary to </w:t>
      </w:r>
      <w:r w:rsidR="006F17A8">
        <w:t xml:space="preserve">significant </w:t>
      </w:r>
      <w:r w:rsidR="00854CB6">
        <w:t xml:space="preserve">degenerative cervical </w:t>
      </w:r>
      <w:r w:rsidR="00854CB6">
        <w:lastRenderedPageBreak/>
        <w:t>spondylosis.</w:t>
      </w:r>
      <w:r w:rsidR="00B82312">
        <w:rPr>
          <w:rStyle w:val="FootnoteReference"/>
        </w:rPr>
        <w:footnoteReference w:id="1"/>
      </w:r>
      <w:r w:rsidR="00854CB6">
        <w:t xml:space="preserve"> On </w:t>
      </w:r>
      <w:r>
        <w:t xml:space="preserve">June </w:t>
      </w:r>
      <w:r w:rsidR="009F3FB6">
        <w:t xml:space="preserve">17, 1998, Mr. </w:t>
      </w:r>
      <w:proofErr w:type="spellStart"/>
      <w:r w:rsidR="009F3FB6">
        <w:t>Aliano</w:t>
      </w:r>
      <w:proofErr w:type="spellEnd"/>
      <w:r>
        <w:t xml:space="preserve"> underwent cervical decompression </w:t>
      </w:r>
      <w:r w:rsidR="00854CB6">
        <w:t xml:space="preserve">surgery, and gradually returned to normal activities. </w:t>
      </w:r>
      <w:r w:rsidR="00302375">
        <w:t xml:space="preserve"> </w:t>
      </w:r>
      <w:r>
        <w:t xml:space="preserve"> </w:t>
      </w:r>
      <w:r w:rsidR="00302375">
        <w:t>(Exhibits 1, 6, 9 and 17.)</w:t>
      </w:r>
    </w:p>
    <w:p w:rsidR="00B04809" w:rsidRDefault="00302375" w:rsidP="00B04809">
      <w:pPr>
        <w:pStyle w:val="ListParagraph"/>
        <w:numPr>
          <w:ilvl w:val="0"/>
          <w:numId w:val="11"/>
        </w:numPr>
        <w:spacing w:line="480" w:lineRule="auto"/>
        <w:ind w:left="0" w:firstLine="720"/>
      </w:pPr>
      <w:r>
        <w:t xml:space="preserve">Mr. </w:t>
      </w:r>
      <w:proofErr w:type="spellStart"/>
      <w:r>
        <w:t>Aliano’s</w:t>
      </w:r>
      <w:proofErr w:type="spellEnd"/>
      <w:r>
        <w:t xml:space="preserve"> returned to work with restrictions as imposed by Dr. Weinberg. His recovery was incomplete and still continuing on October 5, 1999. </w:t>
      </w:r>
      <w:r w:rsidR="0001194B">
        <w:t xml:space="preserve">Mr. </w:t>
      </w:r>
      <w:proofErr w:type="spellStart"/>
      <w:r w:rsidR="0001194B">
        <w:t>Aliano</w:t>
      </w:r>
      <w:proofErr w:type="spellEnd"/>
      <w:r w:rsidR="0001194B">
        <w:t xml:space="preserve"> performed limited duty until his last day of work. </w:t>
      </w:r>
      <w:r>
        <w:t xml:space="preserve"> </w:t>
      </w:r>
      <w:r w:rsidR="00E0106C">
        <w:t>(</w:t>
      </w:r>
      <w:r w:rsidR="00F672F2">
        <w:t>Exhibits</w:t>
      </w:r>
      <w:r w:rsidR="00E0106C">
        <w:t xml:space="preserve"> 1</w:t>
      </w:r>
      <w:r w:rsidR="00AA0E01">
        <w:t xml:space="preserve">, </w:t>
      </w:r>
      <w:r w:rsidR="00F96E5D">
        <w:t>6</w:t>
      </w:r>
      <w:r w:rsidR="00F672F2">
        <w:t xml:space="preserve"> and</w:t>
      </w:r>
      <w:r w:rsidR="00F96E5D">
        <w:t xml:space="preserve"> </w:t>
      </w:r>
      <w:r w:rsidR="00AA0E01">
        <w:t>9</w:t>
      </w:r>
      <w:r w:rsidR="00F96E5D">
        <w:t>.)</w:t>
      </w:r>
    </w:p>
    <w:p w:rsidR="00B04809" w:rsidRDefault="009F3FB6" w:rsidP="00B04809">
      <w:pPr>
        <w:pStyle w:val="ListParagraph"/>
        <w:numPr>
          <w:ilvl w:val="0"/>
          <w:numId w:val="11"/>
        </w:numPr>
        <w:spacing w:line="480" w:lineRule="auto"/>
        <w:ind w:left="0" w:firstLine="720"/>
      </w:pPr>
      <w:r>
        <w:t xml:space="preserve">On </w:t>
      </w:r>
      <w:r w:rsidR="0001194B">
        <w:t>October 5, 1999</w:t>
      </w:r>
      <w:r w:rsidR="00302375">
        <w:t>,</w:t>
      </w:r>
      <w:r>
        <w:t xml:space="preserve"> Mr. </w:t>
      </w:r>
      <w:proofErr w:type="spellStart"/>
      <w:r>
        <w:t>Aliano</w:t>
      </w:r>
      <w:proofErr w:type="spellEnd"/>
      <w:r>
        <w:t xml:space="preserve"> was performing heating work in the attic of </w:t>
      </w:r>
      <w:r w:rsidR="00302375">
        <w:t xml:space="preserve">City Hall, </w:t>
      </w:r>
      <w:r w:rsidR="006F17A8">
        <w:t>when</w:t>
      </w:r>
      <w:r>
        <w:t xml:space="preserve"> he stepped on debris on the staircase</w:t>
      </w:r>
      <w:r w:rsidR="00302375">
        <w:t xml:space="preserve">. Mr. </w:t>
      </w:r>
      <w:proofErr w:type="spellStart"/>
      <w:r w:rsidR="00302375">
        <w:t>Aliano</w:t>
      </w:r>
      <w:proofErr w:type="spellEnd"/>
      <w:r w:rsidR="00B04809">
        <w:t xml:space="preserve"> </w:t>
      </w:r>
      <w:r w:rsidR="006F17A8">
        <w:t>slipped sideways and backwards</w:t>
      </w:r>
      <w:r>
        <w:t xml:space="preserve"> </w:t>
      </w:r>
      <w:r w:rsidR="00B04809">
        <w:t xml:space="preserve">down three </w:t>
      </w:r>
      <w:r>
        <w:t>steps</w:t>
      </w:r>
      <w:r w:rsidR="00302375">
        <w:t xml:space="preserve">, </w:t>
      </w:r>
      <w:r w:rsidR="006F17A8">
        <w:t>and landed on his buttocks, low back and mid-back.</w:t>
      </w:r>
      <w:r>
        <w:t xml:space="preserve"> </w:t>
      </w:r>
      <w:r w:rsidR="008E47D8">
        <w:t xml:space="preserve"> </w:t>
      </w:r>
      <w:r w:rsidR="00175EEB">
        <w:t>(</w:t>
      </w:r>
      <w:r w:rsidR="00F672F2">
        <w:t>Exhibit</w:t>
      </w:r>
      <w:r w:rsidR="00302375">
        <w:t>s</w:t>
      </w:r>
      <w:r w:rsidR="00175EEB">
        <w:t xml:space="preserve"> 2</w:t>
      </w:r>
      <w:r w:rsidR="00302375">
        <w:t xml:space="preserve"> and 17</w:t>
      </w:r>
      <w:r w:rsidR="00175EEB">
        <w:t>.)</w:t>
      </w:r>
    </w:p>
    <w:p w:rsidR="00B04809" w:rsidRDefault="009F3FB6" w:rsidP="00B04809">
      <w:pPr>
        <w:pStyle w:val="ListParagraph"/>
        <w:numPr>
          <w:ilvl w:val="0"/>
          <w:numId w:val="11"/>
        </w:numPr>
        <w:spacing w:line="480" w:lineRule="auto"/>
        <w:ind w:left="0" w:firstLine="720"/>
      </w:pPr>
      <w:r>
        <w:t xml:space="preserve">Mr. </w:t>
      </w:r>
      <w:proofErr w:type="spellStart"/>
      <w:r>
        <w:t>Aliano</w:t>
      </w:r>
      <w:proofErr w:type="spellEnd"/>
      <w:r w:rsidR="00B04809">
        <w:t xml:space="preserve"> filed </w:t>
      </w:r>
      <w:r>
        <w:t>a Report of Occupational Injury</w:t>
      </w:r>
      <w:r w:rsidR="00B04809">
        <w:t xml:space="preserve"> </w:t>
      </w:r>
      <w:r w:rsidR="00302375">
        <w:t>on October 5, 1999</w:t>
      </w:r>
      <w:r>
        <w:t xml:space="preserve">, </w:t>
      </w:r>
      <w:r w:rsidR="00B04809">
        <w:t xml:space="preserve">noting </w:t>
      </w:r>
      <w:r>
        <w:t>that he had sustained</w:t>
      </w:r>
      <w:r w:rsidR="00B04809">
        <w:t xml:space="preserve"> injury to his back, as well as </w:t>
      </w:r>
      <w:r>
        <w:t>his arms and legs</w:t>
      </w:r>
      <w:r w:rsidR="00B04809">
        <w:t xml:space="preserve">. </w:t>
      </w:r>
      <w:r w:rsidR="006F17A8">
        <w:t xml:space="preserve">Mr. </w:t>
      </w:r>
      <w:proofErr w:type="spellStart"/>
      <w:r w:rsidR="006F17A8">
        <w:t>Aliano</w:t>
      </w:r>
      <w:proofErr w:type="spellEnd"/>
      <w:r w:rsidR="006F17A8">
        <w:t xml:space="preserve"> returned to work on limited duty. </w:t>
      </w:r>
      <w:r w:rsidR="00175EEB">
        <w:t xml:space="preserve"> (</w:t>
      </w:r>
      <w:r w:rsidR="00F672F2">
        <w:t>Exhibit</w:t>
      </w:r>
      <w:r w:rsidR="00175EEB">
        <w:t xml:space="preserve"> 2.)</w:t>
      </w:r>
    </w:p>
    <w:p w:rsidR="007B4538" w:rsidRDefault="00B04809" w:rsidP="00B04809">
      <w:pPr>
        <w:pStyle w:val="ListParagraph"/>
        <w:numPr>
          <w:ilvl w:val="0"/>
          <w:numId w:val="11"/>
        </w:numPr>
        <w:spacing w:line="480" w:lineRule="auto"/>
        <w:ind w:left="0" w:firstLine="720"/>
      </w:pPr>
      <w:r>
        <w:t xml:space="preserve">On November 3, 1999, </w:t>
      </w:r>
      <w:r w:rsidR="00302375">
        <w:t xml:space="preserve">Dr. Weinberg examined Mr. </w:t>
      </w:r>
      <w:proofErr w:type="spellStart"/>
      <w:r w:rsidR="00302375">
        <w:t>Aliano</w:t>
      </w:r>
      <w:proofErr w:type="spellEnd"/>
      <w:r w:rsidR="00302375">
        <w:t xml:space="preserve">, who complained of </w:t>
      </w:r>
      <w:r w:rsidR="00175EEB">
        <w:t>significant pain in the low back and right hip region</w:t>
      </w:r>
      <w:r w:rsidR="00302375">
        <w:t xml:space="preserve"> and an</w:t>
      </w:r>
      <w:r w:rsidR="00175EEB">
        <w:t xml:space="preserve"> increase in neck pain.  </w:t>
      </w:r>
      <w:r w:rsidR="007B4538">
        <w:t>Dr. Weinberg notes that, “[c]</w:t>
      </w:r>
      <w:proofErr w:type="spellStart"/>
      <w:r w:rsidR="007B4538">
        <w:t>ervical</w:t>
      </w:r>
      <w:proofErr w:type="spellEnd"/>
      <w:r w:rsidR="007B4538">
        <w:t xml:space="preserve"> spine and lumbar spine appearance is unchanged with a reduction in mobility in both, similar to previous exams.”  </w:t>
      </w:r>
      <w:r w:rsidR="00175EEB">
        <w:t>Under “Impression</w:t>
      </w:r>
      <w:r w:rsidR="00B2678C">
        <w:t>,</w:t>
      </w:r>
      <w:r w:rsidR="00175EEB">
        <w:t>” Dr. Weinberg notes that</w:t>
      </w:r>
      <w:r w:rsidR="007B4538">
        <w:t>:</w:t>
      </w:r>
      <w:r w:rsidR="00175EEB">
        <w:t xml:space="preserve"> </w:t>
      </w:r>
    </w:p>
    <w:p w:rsidR="007B4538" w:rsidRDefault="007B4538" w:rsidP="00F672F2">
      <w:pPr>
        <w:pStyle w:val="ListParagraph"/>
        <w:ind w:right="720"/>
      </w:pPr>
      <w:r>
        <w:t xml:space="preserve">Mr. </w:t>
      </w:r>
      <w:proofErr w:type="spellStart"/>
      <w:r>
        <w:t>Aliano</w:t>
      </w:r>
      <w:proofErr w:type="spellEnd"/>
      <w:r>
        <w:t xml:space="preserve"> presents with a complicated situation due to his significant cervical spine disease, his postoperative status and his lumbar spinal stenosis that has not been treated and I believe has been predominantly asymptomatic.  He </w:t>
      </w:r>
      <w:r w:rsidR="00175EEB">
        <w:t>is clearly wors</w:t>
      </w:r>
      <w:r w:rsidR="009312D9">
        <w:t>e</w:t>
      </w:r>
      <w:r w:rsidR="00175EEB">
        <w:t xml:space="preserve"> following his traumatic injury, </w:t>
      </w:r>
      <w:r w:rsidR="00175EEB" w:rsidRPr="00150488">
        <w:rPr>
          <w:i/>
        </w:rPr>
        <w:t>but most of the abnormalities are consistent with prior deficits (before surgical decompression)</w:t>
      </w:r>
      <w:r w:rsidR="000E37CD">
        <w:t>.</w:t>
      </w:r>
      <w:r w:rsidR="0062172B">
        <w:t xml:space="preserve"> </w:t>
      </w:r>
      <w:r w:rsidR="002C3551">
        <w:t xml:space="preserve"> </w:t>
      </w:r>
      <w:r w:rsidR="0062172B">
        <w:t>I believe all the worsening is myelopathic and t</w:t>
      </w:r>
      <w:r w:rsidR="007B4702">
        <w:t>he fact that it is slowl</w:t>
      </w:r>
      <w:r w:rsidR="0062172B">
        <w:t>y improving and that it involves predominantly sensory function supports a conservative, observational approach</w:t>
      </w:r>
      <w:r w:rsidR="00150488">
        <w:t xml:space="preserve">.  </w:t>
      </w:r>
    </w:p>
    <w:p w:rsidR="00B04809" w:rsidRDefault="00F672F2" w:rsidP="007B4538">
      <w:pPr>
        <w:spacing w:before="240" w:line="480" w:lineRule="auto"/>
      </w:pPr>
      <w:r>
        <w:t>(Exhibit</w:t>
      </w:r>
      <w:r w:rsidR="00175EEB">
        <w:t xml:space="preserve"> 3.)</w:t>
      </w:r>
      <w:r>
        <w:t xml:space="preserve"> (Emphasis added.)</w:t>
      </w:r>
    </w:p>
    <w:p w:rsidR="000E3C26" w:rsidRDefault="000E3C26" w:rsidP="00B04809">
      <w:pPr>
        <w:pStyle w:val="ListParagraph"/>
        <w:numPr>
          <w:ilvl w:val="0"/>
          <w:numId w:val="11"/>
        </w:numPr>
        <w:spacing w:line="480" w:lineRule="auto"/>
        <w:ind w:left="0" w:firstLine="720"/>
      </w:pPr>
      <w:r>
        <w:t xml:space="preserve">On March 28, 2000, Petitioner underwent a cervical </w:t>
      </w:r>
      <w:r w:rsidR="00302375">
        <w:t>magnetic resonance imaging study (MRI)</w:t>
      </w:r>
      <w:r>
        <w:t xml:space="preserve">.  </w:t>
      </w:r>
      <w:r w:rsidR="008E47D8">
        <w:t>Dr. Weinberg</w:t>
      </w:r>
      <w:r w:rsidR="00302375">
        <w:t xml:space="preserve"> reviewed t</w:t>
      </w:r>
      <w:r>
        <w:t xml:space="preserve">he MRI, </w:t>
      </w:r>
      <w:r w:rsidR="00302375">
        <w:t>and observed</w:t>
      </w:r>
      <w:r w:rsidR="00F440DF">
        <w:t xml:space="preserve"> mode</w:t>
      </w:r>
      <w:r w:rsidR="00B2678C">
        <w:t>rate spinal stenosis</w:t>
      </w:r>
      <w:r w:rsidR="00721FF4">
        <w:rPr>
          <w:rStyle w:val="FootnoteReference"/>
        </w:rPr>
        <w:footnoteReference w:id="2"/>
      </w:r>
      <w:r w:rsidR="00B2678C">
        <w:t xml:space="preserve"> below </w:t>
      </w:r>
      <w:r w:rsidR="00B2678C">
        <w:lastRenderedPageBreak/>
        <w:t>the s</w:t>
      </w:r>
      <w:r w:rsidR="00F440DF">
        <w:t>ite of the cervical decompression surgery, with a disc herniation as a component and</w:t>
      </w:r>
      <w:r>
        <w:t xml:space="preserve"> a </w:t>
      </w:r>
      <w:r w:rsidRPr="00F440DF">
        <w:t>mild left C7 root compression</w:t>
      </w:r>
      <w:r>
        <w:t>.</w:t>
      </w:r>
      <w:r w:rsidR="00E63249">
        <w:t xml:space="preserve">  </w:t>
      </w:r>
      <w:r w:rsidR="00F440DF">
        <w:t>(</w:t>
      </w:r>
      <w:r w:rsidR="00F672F2">
        <w:t>Exhibits</w:t>
      </w:r>
      <w:r w:rsidR="00F440DF">
        <w:t xml:space="preserve"> </w:t>
      </w:r>
      <w:r w:rsidR="00175EEB">
        <w:t>3</w:t>
      </w:r>
      <w:r w:rsidR="00F672F2">
        <w:t xml:space="preserve"> and</w:t>
      </w:r>
      <w:r w:rsidR="00175EEB">
        <w:t xml:space="preserve"> 4.</w:t>
      </w:r>
      <w:r w:rsidR="00F440DF">
        <w:t>)</w:t>
      </w:r>
    </w:p>
    <w:p w:rsidR="0016187A" w:rsidRDefault="0016187A" w:rsidP="00B04809">
      <w:pPr>
        <w:pStyle w:val="ListParagraph"/>
        <w:numPr>
          <w:ilvl w:val="0"/>
          <w:numId w:val="11"/>
        </w:numPr>
        <w:spacing w:line="480" w:lineRule="auto"/>
        <w:ind w:left="0" w:firstLine="720"/>
      </w:pPr>
      <w:r>
        <w:t xml:space="preserve">On June 8, 2000, Dr. Weinberg </w:t>
      </w:r>
      <w:r w:rsidR="000F22CC">
        <w:t xml:space="preserve">noted </w:t>
      </w:r>
      <w:r>
        <w:t xml:space="preserve">significant improvement in </w:t>
      </w:r>
      <w:r w:rsidR="00302375">
        <w:t xml:space="preserve">Mr. </w:t>
      </w:r>
      <w:proofErr w:type="spellStart"/>
      <w:r w:rsidR="00302375">
        <w:t>Aliano’s</w:t>
      </w:r>
      <w:proofErr w:type="spellEnd"/>
      <w:r>
        <w:t xml:space="preserve"> neck and left arm</w:t>
      </w:r>
      <w:r w:rsidR="006F17A8">
        <w:t xml:space="preserve"> due to physical therapy</w:t>
      </w:r>
      <w:r>
        <w:t xml:space="preserve">. However, </w:t>
      </w:r>
      <w:r w:rsidR="00302375">
        <w:t>the patient</w:t>
      </w:r>
      <w:r>
        <w:t xml:space="preserve"> was not back to his original baseline </w:t>
      </w:r>
      <w:r w:rsidR="000F22CC">
        <w:t>pre</w:t>
      </w:r>
      <w:r w:rsidR="00302375">
        <w:t>ceding</w:t>
      </w:r>
      <w:r>
        <w:t xml:space="preserve"> the October </w:t>
      </w:r>
      <w:r w:rsidR="006F17A8">
        <w:t>5, 1999 work-related incident</w:t>
      </w:r>
      <w:r>
        <w:t xml:space="preserve">. </w:t>
      </w:r>
      <w:r w:rsidR="000502CC">
        <w:t xml:space="preserve">Later, Mr. </w:t>
      </w:r>
      <w:proofErr w:type="spellStart"/>
      <w:r w:rsidR="00FB7EDC">
        <w:t>Aliano</w:t>
      </w:r>
      <w:proofErr w:type="spellEnd"/>
      <w:r w:rsidR="00FB7EDC">
        <w:t xml:space="preserve"> self-discontinued the prescribed physical therapy regimen because of the rising costs of co-payments and because he believed that he had reached a plateau in his recovery.</w:t>
      </w:r>
      <w:r>
        <w:t xml:space="preserve"> </w:t>
      </w:r>
      <w:r w:rsidR="00D5441A">
        <w:t xml:space="preserve"> </w:t>
      </w:r>
      <w:r>
        <w:t>(</w:t>
      </w:r>
      <w:r w:rsidR="00F672F2">
        <w:t>Exhibit</w:t>
      </w:r>
      <w:r w:rsidR="00D5441A">
        <w:t>s</w:t>
      </w:r>
      <w:r w:rsidR="00F672F2">
        <w:t xml:space="preserve"> </w:t>
      </w:r>
      <w:r>
        <w:t>3</w:t>
      </w:r>
      <w:r w:rsidR="00D5441A">
        <w:t xml:space="preserve"> and 9</w:t>
      </w:r>
      <w:r>
        <w:t>.)</w:t>
      </w:r>
    </w:p>
    <w:p w:rsidR="000E3C26" w:rsidRDefault="000E3C26" w:rsidP="00B04809">
      <w:pPr>
        <w:pStyle w:val="ListParagraph"/>
        <w:numPr>
          <w:ilvl w:val="0"/>
          <w:numId w:val="11"/>
        </w:numPr>
        <w:spacing w:line="480" w:lineRule="auto"/>
        <w:ind w:left="0" w:firstLine="720"/>
      </w:pPr>
      <w:r>
        <w:t>On October 3, 2011 the Petitioner underwent a lumbar laminectomy</w:t>
      </w:r>
      <w:r w:rsidR="00721FF4">
        <w:rPr>
          <w:rStyle w:val="FootnoteReference"/>
        </w:rPr>
        <w:footnoteReference w:id="3"/>
      </w:r>
      <w:r>
        <w:t xml:space="preserve"> </w:t>
      </w:r>
      <w:r w:rsidR="007A44C9">
        <w:t>due to L2-L3 progressive stenosis and neurogenic claudication,</w:t>
      </w:r>
      <w:r w:rsidR="000F22CC">
        <w:rPr>
          <w:rStyle w:val="FootnoteReference"/>
        </w:rPr>
        <w:footnoteReference w:id="4"/>
      </w:r>
      <w:r w:rsidR="007A44C9">
        <w:t xml:space="preserve"> and stayed in the hospital until October 6, 2011.</w:t>
      </w:r>
      <w:r w:rsidR="00B97427">
        <w:t xml:space="preserve"> </w:t>
      </w:r>
      <w:r w:rsidR="000502CC">
        <w:t xml:space="preserve">After the operation, Mr. </w:t>
      </w:r>
      <w:proofErr w:type="spellStart"/>
      <w:r w:rsidR="000502CC">
        <w:t>Aliano</w:t>
      </w:r>
      <w:proofErr w:type="spellEnd"/>
      <w:r w:rsidR="000502CC">
        <w:t xml:space="preserve"> never returned to work.</w:t>
      </w:r>
      <w:r w:rsidR="000502CC">
        <w:rPr>
          <w:rStyle w:val="FootnoteReference"/>
        </w:rPr>
        <w:footnoteReference w:id="5"/>
      </w:r>
      <w:r w:rsidR="000502CC">
        <w:t xml:space="preserve"> </w:t>
      </w:r>
      <w:r w:rsidR="00B97427">
        <w:t xml:space="preserve"> </w:t>
      </w:r>
      <w:r w:rsidR="00AA0E01">
        <w:t>(</w:t>
      </w:r>
      <w:r w:rsidR="00F672F2">
        <w:t>Exhibits</w:t>
      </w:r>
      <w:r w:rsidR="00AA0E01">
        <w:t xml:space="preserve"> </w:t>
      </w:r>
      <w:r w:rsidR="00B97427">
        <w:t xml:space="preserve">3, </w:t>
      </w:r>
      <w:r w:rsidR="00AA0E01">
        <w:t xml:space="preserve">5, </w:t>
      </w:r>
      <w:r w:rsidR="00F96E5D">
        <w:t>7-9.)</w:t>
      </w:r>
    </w:p>
    <w:p w:rsidR="000C7C31" w:rsidRDefault="000C7C31" w:rsidP="00B04809">
      <w:pPr>
        <w:pStyle w:val="ListParagraph"/>
        <w:numPr>
          <w:ilvl w:val="0"/>
          <w:numId w:val="11"/>
        </w:numPr>
        <w:spacing w:line="480" w:lineRule="auto"/>
        <w:ind w:left="0" w:firstLine="720"/>
      </w:pPr>
      <w:r>
        <w:t xml:space="preserve">On December 12, 2011, Dr. Weinberg wrote a medical report regarding Petitioner’s injuries, stating that: </w:t>
      </w:r>
    </w:p>
    <w:p w:rsidR="000C7C31" w:rsidRDefault="000C7C31" w:rsidP="00F672F2">
      <w:pPr>
        <w:pStyle w:val="ListParagraph"/>
        <w:ind w:right="720"/>
      </w:pPr>
      <w:r>
        <w:t xml:space="preserve">Mr. </w:t>
      </w:r>
      <w:proofErr w:type="spellStart"/>
      <w:r>
        <w:t>Aliano</w:t>
      </w:r>
      <w:proofErr w:type="spellEnd"/>
      <w:r>
        <w:t xml:space="preserve"> reported to me on May 11, 1998 for problems relating to cervical spine dysfunction secondary to degenerative cervical spondylosis.  He was markedly improved following decompressive surgery in June of 1998.  He gradually returned . . . to work and many normal activities.  His improvement was incomplete but still continuing when he had an industrial accident on October 5, 1999 resulting in a fall that caused direct trauma to his back and neck.  This injury was predominantly responsible for the patient’s significant subsequent deterioration and disability with severe cervical myelopathy.  The industrial accident on October 5, 1999 is therefore responsible for the patient’s major exacerbation of his pre-existing cervical spine disease.  It is more likely than not responsible for the major portion of his current neurologic disability.</w:t>
      </w:r>
    </w:p>
    <w:p w:rsidR="001A2E1C" w:rsidRDefault="000C7C31" w:rsidP="000C7C31">
      <w:pPr>
        <w:spacing w:before="240" w:line="480" w:lineRule="auto"/>
        <w:ind w:right="720"/>
        <w:jc w:val="both"/>
      </w:pPr>
      <w:r>
        <w:lastRenderedPageBreak/>
        <w:t>(</w:t>
      </w:r>
      <w:r w:rsidR="00F672F2">
        <w:t>Exhibit</w:t>
      </w:r>
      <w:r>
        <w:t xml:space="preserve"> 6.)</w:t>
      </w:r>
    </w:p>
    <w:p w:rsidR="00AA3532" w:rsidRDefault="00AA3532" w:rsidP="009E1614">
      <w:pPr>
        <w:pStyle w:val="ListParagraph"/>
        <w:numPr>
          <w:ilvl w:val="0"/>
          <w:numId w:val="11"/>
        </w:numPr>
        <w:spacing w:line="480" w:lineRule="auto"/>
        <w:ind w:left="0" w:firstLine="720"/>
      </w:pPr>
      <w:r>
        <w:t xml:space="preserve">On March 5, 2012, Dr. Weinberg wrote a disability report stating that: </w:t>
      </w:r>
    </w:p>
    <w:p w:rsidR="00C23895" w:rsidRDefault="00AA3532" w:rsidP="00F672F2">
      <w:pPr>
        <w:pStyle w:val="ListParagraph"/>
        <w:spacing w:after="240"/>
        <w:ind w:right="720"/>
      </w:pPr>
      <w:r>
        <w:t xml:space="preserve">Mr. </w:t>
      </w:r>
      <w:proofErr w:type="spellStart"/>
      <w:r>
        <w:t>Aliano</w:t>
      </w:r>
      <w:proofErr w:type="spellEnd"/>
      <w:r>
        <w:t xml:space="preserve"> has a severe and permanent disability from his cervical spinal cord injury.  Because of it, he is unable to return to work as a Department of Public Works supervisor.  The industrial accident on October 5, 1999 was the major event responsible for the spinal cord injury and the subsequent permanent disability.</w:t>
      </w:r>
    </w:p>
    <w:p w:rsidR="006F17A8" w:rsidRDefault="00AA3532" w:rsidP="006F17A8">
      <w:pPr>
        <w:spacing w:line="480" w:lineRule="auto"/>
      </w:pPr>
      <w:r>
        <w:t>(</w:t>
      </w:r>
      <w:r w:rsidR="00F672F2">
        <w:t>Exhibit</w:t>
      </w:r>
      <w:r>
        <w:t xml:space="preserve"> 8.)</w:t>
      </w:r>
    </w:p>
    <w:p w:rsidR="001A2E1C" w:rsidRDefault="001A2E1C" w:rsidP="009E1614">
      <w:pPr>
        <w:pStyle w:val="ListParagraph"/>
        <w:numPr>
          <w:ilvl w:val="0"/>
          <w:numId w:val="11"/>
        </w:numPr>
        <w:spacing w:line="480" w:lineRule="auto"/>
        <w:ind w:left="0" w:firstLine="720"/>
      </w:pPr>
      <w:r>
        <w:t>On March 13, 2012</w:t>
      </w:r>
      <w:r w:rsidR="007A44C9">
        <w:t xml:space="preserve"> and July 11, 2012</w:t>
      </w:r>
      <w:r>
        <w:t xml:space="preserve">, </w:t>
      </w:r>
      <w:r w:rsidR="007A44C9">
        <w:t xml:space="preserve">David </w:t>
      </w:r>
      <w:r>
        <w:t>Epstein</w:t>
      </w:r>
      <w:r w:rsidR="000F22CC">
        <w:t>, M.D.</w:t>
      </w:r>
      <w:r>
        <w:t xml:space="preserve"> </w:t>
      </w:r>
      <w:r w:rsidR="007A44C9">
        <w:t xml:space="preserve">wrote letters for Mr. </w:t>
      </w:r>
      <w:proofErr w:type="spellStart"/>
      <w:r w:rsidR="007A44C9">
        <w:t>Aliano</w:t>
      </w:r>
      <w:proofErr w:type="spellEnd"/>
      <w:r w:rsidR="007A44C9">
        <w:t xml:space="preserve"> excusing him from work due to the October 5, 1999 injury and the ensuing inability to work.  Dr. Epstein noted that </w:t>
      </w:r>
      <w:r>
        <w:t xml:space="preserve">upon </w:t>
      </w:r>
      <w:r w:rsidR="007A44C9">
        <w:t xml:space="preserve">a </w:t>
      </w:r>
      <w:r>
        <w:t xml:space="preserve">detailed review of </w:t>
      </w:r>
      <w:r w:rsidR="007A44C9">
        <w:t xml:space="preserve">Mr. </w:t>
      </w:r>
      <w:proofErr w:type="spellStart"/>
      <w:r w:rsidR="007A44C9">
        <w:t>Aliano’s</w:t>
      </w:r>
      <w:proofErr w:type="spellEnd"/>
      <w:r w:rsidR="007A44C9">
        <w:t xml:space="preserve"> </w:t>
      </w:r>
      <w:r>
        <w:t xml:space="preserve">medical records </w:t>
      </w:r>
      <w:r w:rsidR="007A44C9">
        <w:t xml:space="preserve">“dating </w:t>
      </w:r>
      <w:r>
        <w:t xml:space="preserve">back to 1998, the work injury that occurred in October 1999 is a major cause of his current disability and inability to work.” </w:t>
      </w:r>
      <w:r w:rsidR="00D5441A">
        <w:t>Mr.</w:t>
      </w:r>
      <w:r w:rsidR="0001194B">
        <w:t xml:space="preserve"> </w:t>
      </w:r>
      <w:proofErr w:type="spellStart"/>
      <w:r w:rsidR="0001194B">
        <w:t>Aliano</w:t>
      </w:r>
      <w:proofErr w:type="spellEnd"/>
      <w:r w:rsidR="0001194B">
        <w:t xml:space="preserve"> never returned to work.  </w:t>
      </w:r>
      <w:r w:rsidR="007A44C9">
        <w:t>(</w:t>
      </w:r>
      <w:r w:rsidR="00F672F2">
        <w:t>Exhibit</w:t>
      </w:r>
      <w:r>
        <w:t xml:space="preserve"> 7.)</w:t>
      </w:r>
    </w:p>
    <w:p w:rsidR="006F17A8" w:rsidRDefault="006F17A8" w:rsidP="009E1614">
      <w:pPr>
        <w:pStyle w:val="ListParagraph"/>
        <w:numPr>
          <w:ilvl w:val="0"/>
          <w:numId w:val="11"/>
        </w:numPr>
        <w:spacing w:line="480" w:lineRule="auto"/>
        <w:ind w:left="0" w:firstLine="720"/>
      </w:pPr>
      <w:r>
        <w:t xml:space="preserve">Dr. Weinberg noted on May 22, 2012, that </w:t>
      </w:r>
      <w:r w:rsidR="00EA25B8">
        <w:t xml:space="preserve">Mr. </w:t>
      </w:r>
      <w:proofErr w:type="spellStart"/>
      <w:r w:rsidR="00EA25B8">
        <w:t>Aliano</w:t>
      </w:r>
      <w:proofErr w:type="spellEnd"/>
      <w:r>
        <w:t xml:space="preserve"> </w:t>
      </w:r>
      <w:r w:rsidR="00EA25B8">
        <w:t>had</w:t>
      </w:r>
      <w:r>
        <w:t xml:space="preserve"> significant functional impairments persist</w:t>
      </w:r>
      <w:r w:rsidR="00EA25B8">
        <w:t>ing</w:t>
      </w:r>
      <w:r>
        <w:t xml:space="preserve"> from both the cervical myelopathy and in the right L5 nerve root injury, but that “the combination of surgical decompression reducing pain, improvements in the right foot strength and his reduced weight have improved his walking.” </w:t>
      </w:r>
      <w:r w:rsidR="00EA25B8">
        <w:t xml:space="preserve">Dr. Weinberg encouraged Mr. </w:t>
      </w:r>
      <w:proofErr w:type="spellStart"/>
      <w:r w:rsidR="00EA25B8">
        <w:t>Aliano</w:t>
      </w:r>
      <w:proofErr w:type="spellEnd"/>
      <w:r w:rsidR="00EA25B8">
        <w:t xml:space="preserve"> to increase his exercise level and lose more weight, but to be careful of excessive activities and “to be particularly careful climbing stairs, crossing curbs or walking on uneven ground. He should not consider stepping onto a stool or ladder or other activities that would put him</w:t>
      </w:r>
      <w:r w:rsidR="0001194B">
        <w:t xml:space="preserve"> at risk for falling injuries.”  </w:t>
      </w:r>
      <w:r>
        <w:t>(Exhibit 3.)</w:t>
      </w:r>
    </w:p>
    <w:p w:rsidR="00D5441A" w:rsidRDefault="00745C16" w:rsidP="009E1614">
      <w:pPr>
        <w:pStyle w:val="ListParagraph"/>
        <w:numPr>
          <w:ilvl w:val="0"/>
          <w:numId w:val="11"/>
        </w:numPr>
        <w:spacing w:line="480" w:lineRule="auto"/>
        <w:ind w:left="0" w:firstLine="720"/>
      </w:pPr>
      <w:r>
        <w:t xml:space="preserve">On June 12, 2012, </w:t>
      </w:r>
      <w:r w:rsidR="00FB7EDC">
        <w:t xml:space="preserve">Stefanos N. </w:t>
      </w:r>
      <w:r>
        <w:t>Kales</w:t>
      </w:r>
      <w:r w:rsidR="000F22CC">
        <w:t>, M.D.</w:t>
      </w:r>
      <w:r w:rsidR="00FB7EDC">
        <w:t xml:space="preserve"> of Cambridge Health Alliance Division of Occupational and Environmental Medicine (CHA),</w:t>
      </w:r>
      <w:r>
        <w:t xml:space="preserve"> </w:t>
      </w:r>
      <w:r w:rsidR="00FB7EDC">
        <w:t xml:space="preserve">evaluated Mr. </w:t>
      </w:r>
      <w:proofErr w:type="spellStart"/>
      <w:r w:rsidR="00FB7EDC">
        <w:t>Aliano</w:t>
      </w:r>
      <w:proofErr w:type="spellEnd"/>
      <w:r w:rsidR="00FB7EDC">
        <w:t xml:space="preserve"> for </w:t>
      </w:r>
      <w:r w:rsidR="00D5441A">
        <w:t>a</w:t>
      </w:r>
      <w:r w:rsidR="00FB7EDC">
        <w:t xml:space="preserve"> </w:t>
      </w:r>
      <w:r>
        <w:t>fitness for duty evaluation</w:t>
      </w:r>
      <w:r w:rsidR="00FB7EDC">
        <w:t xml:space="preserve">. Mr. </w:t>
      </w:r>
      <w:proofErr w:type="spellStart"/>
      <w:r w:rsidR="00FB7EDC">
        <w:t>Aliano</w:t>
      </w:r>
      <w:proofErr w:type="spellEnd"/>
      <w:r w:rsidR="00FB7EDC">
        <w:t xml:space="preserve"> did not bring his medical records to the examination, and declined to sign a medical release form so that CHA could receive them directly. </w:t>
      </w:r>
      <w:r w:rsidR="00D5441A">
        <w:t xml:space="preserve">Mr. </w:t>
      </w:r>
      <w:proofErr w:type="spellStart"/>
      <w:r w:rsidR="00D5441A">
        <w:t>Aliano</w:t>
      </w:r>
      <w:proofErr w:type="spellEnd"/>
      <w:r w:rsidR="00D5441A">
        <w:t xml:space="preserve"> narrated that he was unsteady on uneven ground, and admitted that he had fallen just the day </w:t>
      </w:r>
      <w:r w:rsidR="00D5441A">
        <w:lastRenderedPageBreak/>
        <w:t xml:space="preserve">before. Due to the lack of medical records, Dr. Kales was unable to </w:t>
      </w:r>
      <w:r>
        <w:t xml:space="preserve">verify </w:t>
      </w:r>
      <w:r w:rsidR="00D5441A">
        <w:t xml:space="preserve">Mr. </w:t>
      </w:r>
      <w:proofErr w:type="spellStart"/>
      <w:r w:rsidR="00D5441A">
        <w:t>Aliano’s</w:t>
      </w:r>
      <w:proofErr w:type="spellEnd"/>
      <w:r w:rsidR="00D5441A">
        <w:t xml:space="preserve"> self-</w:t>
      </w:r>
      <w:r>
        <w:t xml:space="preserve">reported medical diagnosis and treatment.  </w:t>
      </w:r>
      <w:r w:rsidR="00D5441A">
        <w:t xml:space="preserve">However, he found that he was morbidly obese and was in no apparent distress. </w:t>
      </w:r>
      <w:r>
        <w:t>Based on the information provided and the physical</w:t>
      </w:r>
      <w:r w:rsidR="00D5441A">
        <w:t xml:space="preserve"> exam, Dr. Kales concludes that:</w:t>
      </w:r>
    </w:p>
    <w:p w:rsidR="00D5441A" w:rsidRDefault="00D5441A" w:rsidP="00D5441A">
      <w:pPr>
        <w:pStyle w:val="ListParagraph"/>
        <w:ind w:right="720"/>
      </w:pPr>
      <w:r>
        <w:t>E</w:t>
      </w:r>
      <w:r w:rsidR="00745C16">
        <w:t xml:space="preserve">ven with the limited information we were able to obtain during the evaluation, there are several concerns regarding Mr. </w:t>
      </w:r>
      <w:proofErr w:type="spellStart"/>
      <w:r w:rsidR="00745C16">
        <w:t>Aliano’s</w:t>
      </w:r>
      <w:proofErr w:type="spellEnd"/>
      <w:r w:rsidR="00745C16">
        <w:t xml:space="preserve"> current fitness to perform all the tasks de</w:t>
      </w:r>
      <w:r>
        <w:t>scribed in his job description. ...</w:t>
      </w:r>
    </w:p>
    <w:p w:rsidR="00D5441A" w:rsidRDefault="00D5441A" w:rsidP="00D5441A">
      <w:pPr>
        <w:pStyle w:val="ListParagraph"/>
        <w:ind w:right="720"/>
      </w:pPr>
      <w:r>
        <w:t xml:space="preserve">Certainly based on limited mobility and morbid obesity, he is unable to safely climb ladders and unlikely to be able to safely perform tasks requiring greater than mild exertion. Additionally, based on his physical examination that revealed morbid obesity and increased neck circumference, Mr. </w:t>
      </w:r>
      <w:proofErr w:type="spellStart"/>
      <w:r>
        <w:t>Aliano</w:t>
      </w:r>
      <w:proofErr w:type="spellEnd"/>
      <w:r>
        <w:t xml:space="preserve"> is at high risk of having untreated sleep apnea, which places him at increased risk of a driving accident. </w:t>
      </w:r>
    </w:p>
    <w:p w:rsidR="00D5441A" w:rsidRDefault="00D5441A" w:rsidP="00D5441A">
      <w:pPr>
        <w:pStyle w:val="ListParagraph"/>
        <w:ind w:right="720"/>
      </w:pPr>
    </w:p>
    <w:p w:rsidR="00745C16" w:rsidRDefault="00745C16" w:rsidP="00D5441A">
      <w:pPr>
        <w:spacing w:line="480" w:lineRule="auto"/>
      </w:pPr>
      <w:r>
        <w:t>(</w:t>
      </w:r>
      <w:r w:rsidR="00F672F2">
        <w:t>Exhibit</w:t>
      </w:r>
      <w:r>
        <w:t xml:space="preserve"> 9.)</w:t>
      </w:r>
    </w:p>
    <w:p w:rsidR="00935360" w:rsidRDefault="00A36B57" w:rsidP="00935360">
      <w:pPr>
        <w:pStyle w:val="ListParagraph"/>
        <w:numPr>
          <w:ilvl w:val="0"/>
          <w:numId w:val="11"/>
        </w:numPr>
        <w:spacing w:line="480" w:lineRule="auto"/>
        <w:ind w:left="0" w:firstLine="720"/>
      </w:pPr>
      <w:r>
        <w:t>The City filed an Involuntary Ordinary Disability application</w:t>
      </w:r>
      <w:r w:rsidR="000502CC">
        <w:rPr>
          <w:rStyle w:val="FootnoteReference"/>
        </w:rPr>
        <w:footnoteReference w:id="6"/>
      </w:r>
      <w:r>
        <w:t xml:space="preserve"> </w:t>
      </w:r>
      <w:r w:rsidR="00935360">
        <w:t xml:space="preserve">on behalf of Mr. </w:t>
      </w:r>
      <w:proofErr w:type="spellStart"/>
      <w:r w:rsidR="00935360">
        <w:t>Aliano</w:t>
      </w:r>
      <w:proofErr w:type="spellEnd"/>
      <w:r>
        <w:t xml:space="preserve"> on August 15, 2012</w:t>
      </w:r>
      <w:r w:rsidR="00935360">
        <w:t xml:space="preserve">, stating, “Mr. </w:t>
      </w:r>
      <w:proofErr w:type="spellStart"/>
      <w:r w:rsidR="00935360">
        <w:t>Aliano</w:t>
      </w:r>
      <w:proofErr w:type="spellEnd"/>
      <w:r w:rsidR="00935360">
        <w:t xml:space="preserve"> presently cannot be certified to return to work in a functioning capacity. There is no indication if he can return at all</w:t>
      </w:r>
      <w:r>
        <w:t>.</w:t>
      </w:r>
      <w:r w:rsidR="00935360">
        <w:t>”</w:t>
      </w:r>
      <w:r>
        <w:t xml:space="preserve"> </w:t>
      </w:r>
      <w:r w:rsidR="008D6E8E">
        <w:t xml:space="preserve"> </w:t>
      </w:r>
      <w:r w:rsidR="006B6226">
        <w:t>(</w:t>
      </w:r>
      <w:r w:rsidR="00F672F2">
        <w:t>Exhibit</w:t>
      </w:r>
      <w:r w:rsidR="006B6226">
        <w:t xml:space="preserve"> 10.)</w:t>
      </w:r>
    </w:p>
    <w:p w:rsidR="008D6E8E" w:rsidRDefault="00935360" w:rsidP="00935360">
      <w:pPr>
        <w:pStyle w:val="ListParagraph"/>
        <w:numPr>
          <w:ilvl w:val="0"/>
          <w:numId w:val="11"/>
        </w:numPr>
        <w:spacing w:line="480" w:lineRule="auto"/>
        <w:ind w:left="0" w:firstLine="720"/>
      </w:pPr>
      <w:r w:rsidRPr="00935360">
        <w:rPr>
          <w:lang w:val="en"/>
        </w:rPr>
        <w:t xml:space="preserve">Pursuant to G.L. c. 32, § 6(3), PERAC convened a </w:t>
      </w:r>
      <w:r w:rsidR="00EA25B8">
        <w:rPr>
          <w:lang w:val="en"/>
        </w:rPr>
        <w:t xml:space="preserve">regional </w:t>
      </w:r>
      <w:r w:rsidRPr="00935360">
        <w:rPr>
          <w:lang w:val="en"/>
        </w:rPr>
        <w:t>medical panel comprised of</w:t>
      </w:r>
      <w:r>
        <w:rPr>
          <w:lang w:val="en"/>
        </w:rPr>
        <w:t xml:space="preserve"> </w:t>
      </w:r>
      <w:r w:rsidR="003213AC">
        <w:t xml:space="preserve">Mark S. </w:t>
      </w:r>
      <w:proofErr w:type="spellStart"/>
      <w:r w:rsidR="003213AC">
        <w:t>Lebovits</w:t>
      </w:r>
      <w:proofErr w:type="spellEnd"/>
      <w:r w:rsidR="003213AC">
        <w:t xml:space="preserve">, </w:t>
      </w:r>
      <w:r w:rsidR="008E1521">
        <w:t xml:space="preserve">M.D., </w:t>
      </w:r>
      <w:r w:rsidR="003213AC">
        <w:t>a pain management specialist</w:t>
      </w:r>
      <w:r w:rsidR="003213AC">
        <w:rPr>
          <w:lang w:val="en"/>
        </w:rPr>
        <w:t xml:space="preserve">; and </w:t>
      </w:r>
      <w:r>
        <w:rPr>
          <w:lang w:val="en"/>
        </w:rPr>
        <w:t xml:space="preserve">neurologists </w:t>
      </w:r>
      <w:r>
        <w:t>Judy Fine-Edelstein</w:t>
      </w:r>
      <w:r w:rsidR="008E1521">
        <w:t>, M.D.</w:t>
      </w:r>
      <w:r>
        <w:t xml:space="preserve"> and Arthur P. Safran</w:t>
      </w:r>
      <w:r w:rsidR="008E1521">
        <w:t>, M.D</w:t>
      </w:r>
      <w:r w:rsidR="008D6E8E">
        <w:t xml:space="preserve">.  </w:t>
      </w:r>
      <w:r w:rsidR="005E3B68">
        <w:t>(</w:t>
      </w:r>
      <w:r w:rsidR="00F672F2">
        <w:t>Exhibit</w:t>
      </w:r>
      <w:r w:rsidR="005E3B68">
        <w:t xml:space="preserve"> 13.)</w:t>
      </w:r>
    </w:p>
    <w:p w:rsidR="003213AC" w:rsidRDefault="00935360" w:rsidP="003213AC">
      <w:pPr>
        <w:pStyle w:val="ListParagraph"/>
        <w:numPr>
          <w:ilvl w:val="0"/>
          <w:numId w:val="11"/>
        </w:numPr>
        <w:spacing w:line="480" w:lineRule="auto"/>
        <w:ind w:left="0" w:firstLine="720"/>
      </w:pPr>
      <w:r w:rsidRPr="007A1F81">
        <w:rPr>
          <w:lang w:val="en"/>
        </w:rPr>
        <w:t xml:space="preserve">The panel physicians reviewed </w:t>
      </w:r>
      <w:r>
        <w:rPr>
          <w:lang w:val="en"/>
        </w:rPr>
        <w:t xml:space="preserve">Mr. </w:t>
      </w:r>
      <w:proofErr w:type="spellStart"/>
      <w:r>
        <w:rPr>
          <w:lang w:val="en"/>
        </w:rPr>
        <w:t>Aliano’s</w:t>
      </w:r>
      <w:proofErr w:type="spellEnd"/>
      <w:r w:rsidRPr="007A1F81">
        <w:rPr>
          <w:lang w:val="en"/>
        </w:rPr>
        <w:t xml:space="preserve"> job description and medical records</w:t>
      </w:r>
      <w:r w:rsidR="003213AC">
        <w:rPr>
          <w:lang w:val="en"/>
        </w:rPr>
        <w:t xml:space="preserve"> from St. Elizabeth Medical Center, the Cambridge Health Alliance, clinical summaries and progress notes from Dr. Weinberg and Dr. Novak, previous IMEs</w:t>
      </w:r>
      <w:r w:rsidR="008E1521">
        <w:rPr>
          <w:lang w:val="en"/>
        </w:rPr>
        <w:t>,</w:t>
      </w:r>
      <w:r w:rsidR="003213AC">
        <w:rPr>
          <w:lang w:val="en"/>
        </w:rPr>
        <w:t xml:space="preserve"> and correspondence from the Board</w:t>
      </w:r>
      <w:r>
        <w:rPr>
          <w:lang w:val="en"/>
        </w:rPr>
        <w:t>.</w:t>
      </w:r>
      <w:r w:rsidRPr="007A1F81">
        <w:rPr>
          <w:lang w:val="en"/>
        </w:rPr>
        <w:t xml:space="preserve"> </w:t>
      </w:r>
      <w:r>
        <w:rPr>
          <w:lang w:val="en"/>
        </w:rPr>
        <w:t xml:space="preserve">At the March 5, 2013 examination, </w:t>
      </w:r>
      <w:r>
        <w:t xml:space="preserve">Mr. </w:t>
      </w:r>
      <w:proofErr w:type="spellStart"/>
      <w:r>
        <w:t>Aliano</w:t>
      </w:r>
      <w:proofErr w:type="spellEnd"/>
      <w:r w:rsidR="0096438F">
        <w:t xml:space="preserve"> </w:t>
      </w:r>
      <w:r w:rsidR="003213AC">
        <w:t xml:space="preserve">complained of restriction due to the ongoing pain, and an unsteady gait with a right foot drop that is alleviated by use of a cane. </w:t>
      </w:r>
      <w:r w:rsidR="0096438F">
        <w:t xml:space="preserve"> (</w:t>
      </w:r>
      <w:r w:rsidR="00F672F2">
        <w:t>Exhibit</w:t>
      </w:r>
      <w:r w:rsidR="0096438F">
        <w:t xml:space="preserve"> 13.)</w:t>
      </w:r>
    </w:p>
    <w:p w:rsidR="009327DA" w:rsidRDefault="009327DA" w:rsidP="003213AC">
      <w:pPr>
        <w:pStyle w:val="ListParagraph"/>
        <w:numPr>
          <w:ilvl w:val="0"/>
          <w:numId w:val="11"/>
        </w:numPr>
        <w:spacing w:line="480" w:lineRule="auto"/>
        <w:ind w:left="0" w:firstLine="720"/>
      </w:pPr>
      <w:r>
        <w:lastRenderedPageBreak/>
        <w:t xml:space="preserve">The panel diagnosed Mr. </w:t>
      </w:r>
      <w:proofErr w:type="spellStart"/>
      <w:r>
        <w:t>Aliano</w:t>
      </w:r>
      <w:proofErr w:type="spellEnd"/>
      <w:r>
        <w:t xml:space="preserve"> with cervical and l</w:t>
      </w:r>
      <w:r w:rsidR="00457FDF">
        <w:t xml:space="preserve">umbar stenosis and spondylosis, confirmed by an MRI that showed extensive degenerative change throughout the lumbar spine. The panel </w:t>
      </w:r>
      <w:r>
        <w:t xml:space="preserve">found that Mr. </w:t>
      </w:r>
      <w:proofErr w:type="spellStart"/>
      <w:r>
        <w:t>Aliano</w:t>
      </w:r>
      <w:proofErr w:type="spellEnd"/>
      <w:r>
        <w:t xml:space="preserve"> had undergone:</w:t>
      </w:r>
    </w:p>
    <w:p w:rsidR="00457FDF" w:rsidRDefault="00457FDF" w:rsidP="00457FDF">
      <w:pPr>
        <w:ind w:left="720" w:right="720"/>
      </w:pPr>
      <w:r>
        <w:t xml:space="preserve">... </w:t>
      </w:r>
      <w:r w:rsidR="009327DA">
        <w:t>a series of falls down steps ... one just prior to a cervical laminectomy which was performed in 1999.</w:t>
      </w:r>
      <w:r>
        <w:t xml:space="preserve"> Following the laminectomy in question, he returned to work, had low back pain which both preceded and followed the surgical procedure, and he fell down the stairs again on October 5, 1999.</w:t>
      </w:r>
    </w:p>
    <w:p w:rsidR="00457FDF" w:rsidRDefault="00457FDF" w:rsidP="00457FDF">
      <w:pPr>
        <w:ind w:left="720" w:right="720"/>
      </w:pPr>
    </w:p>
    <w:p w:rsidR="009327DA" w:rsidRDefault="009327DA" w:rsidP="00457FDF">
      <w:pPr>
        <w:spacing w:line="480" w:lineRule="auto"/>
      </w:pPr>
      <w:r>
        <w:t>(Exhibit 13.)</w:t>
      </w:r>
    </w:p>
    <w:p w:rsidR="003213AC" w:rsidRPr="003213AC" w:rsidRDefault="003213AC" w:rsidP="003213AC">
      <w:pPr>
        <w:pStyle w:val="ListParagraph"/>
        <w:numPr>
          <w:ilvl w:val="0"/>
          <w:numId w:val="11"/>
        </w:numPr>
        <w:spacing w:line="480" w:lineRule="auto"/>
        <w:ind w:left="0" w:firstLine="720"/>
      </w:pPr>
      <w:r w:rsidRPr="003213AC">
        <w:rPr>
          <w:lang w:val="en"/>
        </w:rPr>
        <w:t xml:space="preserve">The panel </w:t>
      </w:r>
      <w:r>
        <w:rPr>
          <w:lang w:val="en"/>
        </w:rPr>
        <w:t xml:space="preserve">unanimously </w:t>
      </w:r>
      <w:r w:rsidRPr="003213AC">
        <w:rPr>
          <w:lang w:val="en"/>
        </w:rPr>
        <w:t xml:space="preserve">answered in the affirmative on questions 1 and 2, finding that </w:t>
      </w:r>
      <w:r>
        <w:rPr>
          <w:lang w:val="en"/>
        </w:rPr>
        <w:t xml:space="preserve">Mr. </w:t>
      </w:r>
      <w:proofErr w:type="spellStart"/>
      <w:r>
        <w:rPr>
          <w:lang w:val="en"/>
        </w:rPr>
        <w:t>Aliano</w:t>
      </w:r>
      <w:proofErr w:type="spellEnd"/>
      <w:r w:rsidRPr="003213AC">
        <w:rPr>
          <w:lang w:val="en"/>
        </w:rPr>
        <w:t xml:space="preserve"> was disabled and thus incapable of performing the essential duties of h</w:t>
      </w:r>
      <w:r>
        <w:rPr>
          <w:lang w:val="en"/>
        </w:rPr>
        <w:t xml:space="preserve">is </w:t>
      </w:r>
      <w:r w:rsidRPr="003213AC">
        <w:rPr>
          <w:lang w:val="en"/>
        </w:rPr>
        <w:t xml:space="preserve">job as described in the current job description. </w:t>
      </w:r>
      <w:r>
        <w:rPr>
          <w:lang w:val="en"/>
        </w:rPr>
        <w:t xml:space="preserve"> </w:t>
      </w:r>
      <w:r w:rsidRPr="003213AC">
        <w:rPr>
          <w:lang w:val="en"/>
        </w:rPr>
        <w:t>(Exhibit 1</w:t>
      </w:r>
      <w:r>
        <w:rPr>
          <w:lang w:val="en"/>
        </w:rPr>
        <w:t>3</w:t>
      </w:r>
      <w:r w:rsidRPr="003213AC">
        <w:rPr>
          <w:lang w:val="en"/>
        </w:rPr>
        <w:t>.)</w:t>
      </w:r>
    </w:p>
    <w:p w:rsidR="003213AC" w:rsidRPr="003213AC" w:rsidRDefault="003213AC" w:rsidP="003213AC">
      <w:pPr>
        <w:pStyle w:val="ListParagraph"/>
        <w:numPr>
          <w:ilvl w:val="0"/>
          <w:numId w:val="11"/>
        </w:numPr>
        <w:spacing w:line="480" w:lineRule="auto"/>
        <w:ind w:left="0" w:firstLine="720"/>
      </w:pPr>
      <w:r w:rsidRPr="003213AC">
        <w:rPr>
          <w:lang w:val="en"/>
        </w:rPr>
        <w:t xml:space="preserve">The panel </w:t>
      </w:r>
      <w:r w:rsidR="009327DA">
        <w:rPr>
          <w:lang w:val="en"/>
        </w:rPr>
        <w:t xml:space="preserve">found that there was substantial risk of re-injury, given Mr. </w:t>
      </w:r>
      <w:proofErr w:type="spellStart"/>
      <w:r w:rsidR="009327DA">
        <w:rPr>
          <w:lang w:val="en"/>
        </w:rPr>
        <w:t>Aliano’s</w:t>
      </w:r>
      <w:proofErr w:type="spellEnd"/>
      <w:r w:rsidR="009327DA">
        <w:rPr>
          <w:lang w:val="en"/>
        </w:rPr>
        <w:t xml:space="preserve"> unsteadiness. The panel </w:t>
      </w:r>
      <w:r>
        <w:rPr>
          <w:lang w:val="en"/>
        </w:rPr>
        <w:t>unanimously denied</w:t>
      </w:r>
      <w:r w:rsidRPr="003213AC">
        <w:rPr>
          <w:lang w:val="en"/>
        </w:rPr>
        <w:t xml:space="preserve"> causation by answering in the </w:t>
      </w:r>
      <w:r>
        <w:rPr>
          <w:lang w:val="en"/>
        </w:rPr>
        <w:t>negative</w:t>
      </w:r>
      <w:r w:rsidRPr="003213AC">
        <w:rPr>
          <w:lang w:val="en"/>
        </w:rPr>
        <w:t xml:space="preserve"> on question 3, finding that said incapacity was </w:t>
      </w:r>
      <w:r>
        <w:rPr>
          <w:lang w:val="en"/>
        </w:rPr>
        <w:t xml:space="preserve">not </w:t>
      </w:r>
      <w:r w:rsidRPr="003213AC">
        <w:rPr>
          <w:lang w:val="en"/>
        </w:rPr>
        <w:t>such as might be the natural and proximate result of the personal injury sustained or hazard undergone on account of which retirement is claimed.  (Exhibit 1</w:t>
      </w:r>
      <w:r>
        <w:rPr>
          <w:lang w:val="en"/>
        </w:rPr>
        <w:t>3</w:t>
      </w:r>
      <w:r w:rsidRPr="003213AC">
        <w:rPr>
          <w:lang w:val="en"/>
        </w:rPr>
        <w:t>.)</w:t>
      </w:r>
    </w:p>
    <w:p w:rsidR="00905521" w:rsidRDefault="00905521" w:rsidP="00B04809">
      <w:pPr>
        <w:pStyle w:val="ListParagraph"/>
        <w:numPr>
          <w:ilvl w:val="0"/>
          <w:numId w:val="11"/>
        </w:numPr>
        <w:spacing w:line="480" w:lineRule="auto"/>
        <w:ind w:left="0" w:firstLine="720"/>
      </w:pPr>
      <w:r>
        <w:t xml:space="preserve">The </w:t>
      </w:r>
      <w:r w:rsidR="00EA25B8">
        <w:t>m</w:t>
      </w:r>
      <w:r>
        <w:t xml:space="preserve">edical </w:t>
      </w:r>
      <w:r w:rsidR="00EA25B8">
        <w:t>p</w:t>
      </w:r>
      <w:r>
        <w:t xml:space="preserve">anel concluded, with regards to causation, that: </w:t>
      </w:r>
    </w:p>
    <w:p w:rsidR="00905521" w:rsidRDefault="00905521" w:rsidP="00F672F2">
      <w:pPr>
        <w:pStyle w:val="ListParagraph"/>
        <w:spacing w:after="240"/>
        <w:ind w:right="720"/>
      </w:pPr>
      <w:r>
        <w:t>The long duration of low back pain, the absence of definitive neurologic impairment prior to surgery, the known degenerative changes in the lumbar spine prior to the accident in question, and the previous trauma, are all reasonable precipitants of his low back syndrome.  While there is no question that there is impairment from this, the trauma of his later fall is not a percipient or cause.  He worked for many years after the fall, and continued to have back pain which both preceded and continued after the injury.  There is no evidence in the record that the fall worsened the underlying lumbar condition.</w:t>
      </w:r>
    </w:p>
    <w:p w:rsidR="002F1A8D" w:rsidRDefault="00905521" w:rsidP="00905521">
      <w:pPr>
        <w:spacing w:after="240"/>
        <w:ind w:right="720"/>
        <w:jc w:val="both"/>
      </w:pPr>
      <w:r>
        <w:t>(</w:t>
      </w:r>
      <w:r w:rsidR="00F672F2">
        <w:t>Exhibit</w:t>
      </w:r>
      <w:r>
        <w:t xml:space="preserve"> 13</w:t>
      </w:r>
      <w:r w:rsidR="003213AC">
        <w:t>.</w:t>
      </w:r>
      <w:r>
        <w:t>)</w:t>
      </w:r>
    </w:p>
    <w:p w:rsidR="002F1A8D" w:rsidRDefault="002F1A8D" w:rsidP="00DC6065">
      <w:pPr>
        <w:pStyle w:val="ListParagraph"/>
        <w:numPr>
          <w:ilvl w:val="0"/>
          <w:numId w:val="11"/>
        </w:numPr>
        <w:spacing w:line="480" w:lineRule="auto"/>
        <w:ind w:left="0" w:firstLine="720"/>
      </w:pPr>
      <w:r>
        <w:t>In a</w:t>
      </w:r>
      <w:r w:rsidR="00EA25B8">
        <w:t>n</w:t>
      </w:r>
      <w:r>
        <w:t xml:space="preserve"> </w:t>
      </w:r>
      <w:r w:rsidR="00EA25B8">
        <w:t xml:space="preserve">April 5, 2013 </w:t>
      </w:r>
      <w:r>
        <w:t xml:space="preserve">letter </w:t>
      </w:r>
      <w:r w:rsidR="00EA25B8">
        <w:t>to the Board</w:t>
      </w:r>
      <w:r>
        <w:t xml:space="preserve">, Mr. </w:t>
      </w:r>
      <w:proofErr w:type="spellStart"/>
      <w:r>
        <w:t>Aliano’s</w:t>
      </w:r>
      <w:proofErr w:type="spellEnd"/>
      <w:r>
        <w:t xml:space="preserve"> </w:t>
      </w:r>
      <w:r w:rsidR="006325D3">
        <w:t>then-</w:t>
      </w:r>
      <w:r>
        <w:t xml:space="preserve">counsel </w:t>
      </w:r>
      <w:r w:rsidR="00420189">
        <w:t xml:space="preserve">requested a new medical panel alleging that the panel physicians failed to adequately review the medical records, leading to a March 5, 2013 report containing numerous errors. </w:t>
      </w:r>
      <w:r>
        <w:t xml:space="preserve">Counsel noted that the report </w:t>
      </w:r>
      <w:r>
        <w:lastRenderedPageBreak/>
        <w:t xml:space="preserve">erroneously stated that Mr. </w:t>
      </w:r>
      <w:proofErr w:type="spellStart"/>
      <w:r>
        <w:t>Aliano</w:t>
      </w:r>
      <w:proofErr w:type="spellEnd"/>
      <w:r>
        <w:t xml:space="preserve"> suffered a fall before the 1999 cervical laminectomy, </w:t>
      </w:r>
      <w:r w:rsidR="00EA25B8">
        <w:t xml:space="preserve">and that he had </w:t>
      </w:r>
      <w:r>
        <w:t xml:space="preserve">instead fallen after a 1998 cervical laminectomy. Counsel asserted that Mr. </w:t>
      </w:r>
      <w:proofErr w:type="spellStart"/>
      <w:r>
        <w:t>Aliano</w:t>
      </w:r>
      <w:proofErr w:type="spellEnd"/>
      <w:r>
        <w:t xml:space="preserve"> was recovering well from the surgery when the fall </w:t>
      </w:r>
      <w:r w:rsidR="00420189">
        <w:t xml:space="preserve">worsened his condition.  Counsel also noted that the report stated that Mr. </w:t>
      </w:r>
      <w:proofErr w:type="spellStart"/>
      <w:r w:rsidR="00420189">
        <w:t>Aliano</w:t>
      </w:r>
      <w:proofErr w:type="spellEnd"/>
      <w:r w:rsidR="00420189">
        <w:t xml:space="preserve"> had begun using a cane following his 2011 lumbar surgery. In fact, he had been using a cane for four to five years before the surgery.  Counsel also noted that the report did not address Mr. </w:t>
      </w:r>
      <w:proofErr w:type="spellStart"/>
      <w:r w:rsidR="00420189">
        <w:t>Aliano’s</w:t>
      </w:r>
      <w:proofErr w:type="spellEnd"/>
      <w:r w:rsidR="00420189">
        <w:t xml:space="preserve"> cervical issues.  </w:t>
      </w:r>
      <w:r>
        <w:t>(Exhibit 14.)</w:t>
      </w:r>
    </w:p>
    <w:p w:rsidR="006325D3" w:rsidRDefault="006325D3" w:rsidP="00DC6065">
      <w:pPr>
        <w:pStyle w:val="ListParagraph"/>
        <w:numPr>
          <w:ilvl w:val="0"/>
          <w:numId w:val="11"/>
        </w:numPr>
        <w:spacing w:line="480" w:lineRule="auto"/>
        <w:ind w:left="0" w:firstLine="720"/>
      </w:pPr>
      <w:r>
        <w:t xml:space="preserve">Mr. </w:t>
      </w:r>
      <w:proofErr w:type="spellStart"/>
      <w:r>
        <w:t>Aliano</w:t>
      </w:r>
      <w:proofErr w:type="spellEnd"/>
      <w:r>
        <w:t xml:space="preserve"> and his then-counsel attended the March 27, 2013 meeting of the Board, requesting a new medical panel on the grounds that the report was inadequate.  (Exhibit 14.)</w:t>
      </w:r>
    </w:p>
    <w:p w:rsidR="002A7804" w:rsidRDefault="00EA07B0" w:rsidP="00DC6065">
      <w:pPr>
        <w:pStyle w:val="ListParagraph"/>
        <w:numPr>
          <w:ilvl w:val="0"/>
          <w:numId w:val="11"/>
        </w:numPr>
        <w:spacing w:line="480" w:lineRule="auto"/>
        <w:ind w:left="0" w:firstLine="720"/>
      </w:pPr>
      <w:r>
        <w:t xml:space="preserve">On April 25, 2013, the Board </w:t>
      </w:r>
      <w:r w:rsidR="00FB7EDC">
        <w:t>denied</w:t>
      </w:r>
      <w:r>
        <w:t xml:space="preserve"> Mr. </w:t>
      </w:r>
      <w:proofErr w:type="spellStart"/>
      <w:r>
        <w:t>Aliano’s</w:t>
      </w:r>
      <w:proofErr w:type="spellEnd"/>
      <w:r>
        <w:t xml:space="preserve"> application</w:t>
      </w:r>
      <w:r w:rsidR="00FB7EDC">
        <w:t xml:space="preserve"> for accidental disability retirement benefits</w:t>
      </w:r>
      <w:r>
        <w:t xml:space="preserve">. In a </w:t>
      </w:r>
      <w:r w:rsidR="00FB7EDC">
        <w:t>May 8, 2013</w:t>
      </w:r>
      <w:r w:rsidR="008E1521">
        <w:t xml:space="preserve"> </w:t>
      </w:r>
      <w:r>
        <w:t xml:space="preserve">Notice of Retirement Board Action, the Board </w:t>
      </w:r>
      <w:r w:rsidR="00FB7EDC">
        <w:t>stated</w:t>
      </w:r>
      <w:r>
        <w:t xml:space="preserve">, “Medical panel results; approved an ordinary disability; denied accidental.” </w:t>
      </w:r>
      <w:r w:rsidR="00854CB6">
        <w:t xml:space="preserve">PERAC approved the award of ordinary disability retirement benefits on June 26, 2013. </w:t>
      </w:r>
      <w:r>
        <w:t xml:space="preserve"> (Exhibit</w:t>
      </w:r>
      <w:r w:rsidR="00854CB6">
        <w:t>s</w:t>
      </w:r>
      <w:r w:rsidR="009327DA">
        <w:t xml:space="preserve"> 15</w:t>
      </w:r>
      <w:r w:rsidR="00854CB6">
        <w:t xml:space="preserve"> and 16</w:t>
      </w:r>
      <w:r>
        <w:t>.)</w:t>
      </w:r>
    </w:p>
    <w:p w:rsidR="00D132C5" w:rsidRDefault="00D132C5" w:rsidP="00DC6065">
      <w:pPr>
        <w:pStyle w:val="ListParagraph"/>
        <w:numPr>
          <w:ilvl w:val="0"/>
          <w:numId w:val="11"/>
        </w:numPr>
        <w:spacing w:line="480" w:lineRule="auto"/>
        <w:ind w:left="0" w:firstLine="720"/>
      </w:pPr>
      <w:r w:rsidRPr="007720CB">
        <w:t xml:space="preserve">On </w:t>
      </w:r>
      <w:r w:rsidR="000E3C26" w:rsidRPr="007720CB">
        <w:t>May</w:t>
      </w:r>
      <w:r w:rsidRPr="007720CB">
        <w:t xml:space="preserve"> </w:t>
      </w:r>
      <w:r w:rsidR="000E3C26" w:rsidRPr="007720CB">
        <w:t>21, 2013</w:t>
      </w:r>
      <w:r w:rsidRPr="007720CB">
        <w:t xml:space="preserve">, </w:t>
      </w:r>
      <w:r w:rsidR="00F672F2">
        <w:t xml:space="preserve">Mr. </w:t>
      </w:r>
      <w:proofErr w:type="spellStart"/>
      <w:r w:rsidR="00F672F2">
        <w:t>Aliano</w:t>
      </w:r>
      <w:proofErr w:type="spellEnd"/>
      <w:r w:rsidR="00F672F2">
        <w:t xml:space="preserve"> filed a timely appeal at DALA</w:t>
      </w:r>
      <w:r w:rsidR="000E3C26" w:rsidRPr="007720CB">
        <w:t>.  (</w:t>
      </w:r>
      <w:r w:rsidR="00F672F2">
        <w:t>Exhibit 20</w:t>
      </w:r>
      <w:r w:rsidRPr="007720CB">
        <w:t xml:space="preserve">.) </w:t>
      </w:r>
    </w:p>
    <w:p w:rsidR="009327DA" w:rsidRPr="009327DA" w:rsidRDefault="009327DA" w:rsidP="009327DA">
      <w:pPr>
        <w:spacing w:line="480" w:lineRule="auto"/>
        <w:rPr>
          <w:i/>
        </w:rPr>
      </w:pPr>
      <w:r w:rsidRPr="009327DA">
        <w:rPr>
          <w:i/>
        </w:rPr>
        <w:t>Workers’ Compensation Claim</w:t>
      </w:r>
    </w:p>
    <w:p w:rsidR="009327DA" w:rsidRPr="007720CB" w:rsidRDefault="009F3FB6" w:rsidP="009327DA">
      <w:pPr>
        <w:pStyle w:val="ListParagraph"/>
        <w:numPr>
          <w:ilvl w:val="0"/>
          <w:numId w:val="11"/>
        </w:numPr>
        <w:spacing w:line="480" w:lineRule="auto"/>
        <w:ind w:left="0" w:firstLine="720"/>
      </w:pPr>
      <w:r>
        <w:t xml:space="preserve">Mr. </w:t>
      </w:r>
      <w:proofErr w:type="spellStart"/>
      <w:r>
        <w:t>Aliano</w:t>
      </w:r>
      <w:proofErr w:type="spellEnd"/>
      <w:r w:rsidRPr="000602FD">
        <w:t xml:space="preserve"> applied for workers’ compensation disability benefits. In her </w:t>
      </w:r>
      <w:r>
        <w:t xml:space="preserve">September 13, 2012 </w:t>
      </w:r>
      <w:r w:rsidR="002F1A8D">
        <w:t>Order of Payment</w:t>
      </w:r>
      <w:r>
        <w:t xml:space="preserve">, </w:t>
      </w:r>
      <w:r w:rsidRPr="000602FD">
        <w:t xml:space="preserve">he received </w:t>
      </w:r>
      <w:r>
        <w:t>G.L. c. 152, §34 payments at the rate of $1,038.00 per week from October 3, 2011</w:t>
      </w:r>
      <w:r w:rsidR="002F1A8D">
        <w:t xml:space="preserve">. He also received G.L. c. 152, § </w:t>
      </w:r>
      <w:r w:rsidRPr="000602FD">
        <w:t>35</w:t>
      </w:r>
      <w:r>
        <w:t xml:space="preserve"> </w:t>
      </w:r>
      <w:r w:rsidRPr="000602FD">
        <w:t xml:space="preserve">payments from </w:t>
      </w:r>
      <w:r w:rsidR="002F1A8D">
        <w:t>September 12, 2012</w:t>
      </w:r>
      <w:r w:rsidRPr="000602FD">
        <w:t xml:space="preserve"> in the amount of $</w:t>
      </w:r>
      <w:r w:rsidR="002F1A8D">
        <w:t xml:space="preserve">778.50 per week, plus medical benefits under the provisions of G.L. c. 152, § 30. </w:t>
      </w:r>
      <w:r w:rsidR="008E47D8">
        <w:t xml:space="preserve">In </w:t>
      </w:r>
      <w:r w:rsidR="008E1521">
        <w:t xml:space="preserve">a </w:t>
      </w:r>
      <w:r w:rsidR="008E47D8">
        <w:t xml:space="preserve">May 27, 2014 Settlement Agreement, the </w:t>
      </w:r>
      <w:r w:rsidRPr="000602FD">
        <w:t xml:space="preserve">City </w:t>
      </w:r>
      <w:r w:rsidR="006A7006">
        <w:t xml:space="preserve">accepted </w:t>
      </w:r>
      <w:r w:rsidRPr="000602FD">
        <w:t xml:space="preserve">liability </w:t>
      </w:r>
      <w:r w:rsidR="006A7006">
        <w:t xml:space="preserve">limited to Mr. </w:t>
      </w:r>
      <w:proofErr w:type="spellStart"/>
      <w:r w:rsidR="006A7006">
        <w:t>Aliano’s</w:t>
      </w:r>
      <w:proofErr w:type="spellEnd"/>
      <w:r w:rsidR="006A7006">
        <w:t xml:space="preserve"> lumbar and cervical strain/sprains</w:t>
      </w:r>
      <w:r w:rsidR="009327DA">
        <w:t>.  (Exhibit</w:t>
      </w:r>
      <w:r w:rsidR="002F1A8D">
        <w:t>s 11 and</w:t>
      </w:r>
      <w:r w:rsidR="009327DA">
        <w:t xml:space="preserve"> 18.)</w:t>
      </w:r>
    </w:p>
    <w:p w:rsidR="00174D21" w:rsidRDefault="00174D21" w:rsidP="00652341">
      <w:pPr>
        <w:spacing w:line="480" w:lineRule="auto"/>
        <w:jc w:val="center"/>
        <w:rPr>
          <w:b/>
        </w:rPr>
      </w:pPr>
    </w:p>
    <w:p w:rsidR="00D053B6" w:rsidRPr="00F672F2" w:rsidRDefault="0038129B" w:rsidP="00652341">
      <w:pPr>
        <w:spacing w:line="480" w:lineRule="auto"/>
        <w:jc w:val="center"/>
        <w:rPr>
          <w:b/>
        </w:rPr>
      </w:pPr>
      <w:r w:rsidRPr="00F672F2">
        <w:rPr>
          <w:b/>
        </w:rPr>
        <w:lastRenderedPageBreak/>
        <w:t>CONCLUSION AND ORDER</w:t>
      </w:r>
    </w:p>
    <w:p w:rsidR="00EA07B0" w:rsidRDefault="00EA07B0" w:rsidP="00BA790C">
      <w:pPr>
        <w:spacing w:line="480" w:lineRule="auto"/>
        <w:ind w:firstLine="720"/>
        <w:rPr>
          <w:lang w:val="en"/>
        </w:rPr>
      </w:pPr>
      <w:r w:rsidRPr="00C02778">
        <w:rPr>
          <w:lang w:val="en"/>
        </w:rPr>
        <w:t xml:space="preserve">After reviewing the evidence presented in this case, I affirm the </w:t>
      </w:r>
      <w:r>
        <w:rPr>
          <w:lang w:val="en"/>
        </w:rPr>
        <w:t xml:space="preserve">Board’s </w:t>
      </w:r>
      <w:r w:rsidRPr="00C02778">
        <w:rPr>
          <w:lang w:val="en"/>
        </w:rPr>
        <w:t xml:space="preserve">denial of </w:t>
      </w:r>
      <w:r w:rsidR="008E1521">
        <w:rPr>
          <w:lang w:val="en"/>
        </w:rPr>
        <w:t xml:space="preserve">Mr. </w:t>
      </w:r>
      <w:proofErr w:type="spellStart"/>
      <w:r w:rsidR="008E1521">
        <w:rPr>
          <w:lang w:val="en"/>
        </w:rPr>
        <w:t>Aliano’s</w:t>
      </w:r>
      <w:proofErr w:type="spellEnd"/>
      <w:r w:rsidRPr="00C02778">
        <w:rPr>
          <w:lang w:val="en"/>
        </w:rPr>
        <w:t xml:space="preserve"> claim for accidental disability benefits. </w:t>
      </w:r>
    </w:p>
    <w:p w:rsidR="00EA07B0" w:rsidRDefault="00EA07B0" w:rsidP="005B081C">
      <w:pPr>
        <w:pStyle w:val="BodyText"/>
        <w:spacing w:after="0" w:line="480" w:lineRule="auto"/>
        <w:ind w:firstLine="720"/>
        <w:rPr>
          <w:lang w:val="en"/>
        </w:rPr>
      </w:pPr>
      <w:r w:rsidRPr="00824747">
        <w:t>G.L. c. 32, § 7(1) expressly provides that accidental disability benefits may be grante</w:t>
      </w:r>
      <w:r>
        <w:t>d only to an employee who is “</w:t>
      </w:r>
      <w:r w:rsidRPr="00824747">
        <w:t>unable to perform the essential duties of his job and that such inabili</w:t>
      </w:r>
      <w:r>
        <w:t xml:space="preserve">ty is likely to be permanent … </w:t>
      </w:r>
      <w:r w:rsidRPr="00824747">
        <w:rPr>
          <w:spacing w:val="4"/>
        </w:rPr>
        <w:t xml:space="preserve">by </w:t>
      </w:r>
      <w:r w:rsidRPr="00824747">
        <w:t>reason of a personal injury sustained or hazard undergone as a result of</w:t>
      </w:r>
      <w:r>
        <w:t xml:space="preserve">, and while in the performance </w:t>
      </w:r>
      <w:r w:rsidRPr="00824747">
        <w:t>of, his duties at some definite pl</w:t>
      </w:r>
      <w:r>
        <w:t>ace and at some definite time.”</w:t>
      </w:r>
    </w:p>
    <w:p w:rsidR="00EA07B0" w:rsidRPr="00F41C73" w:rsidRDefault="00EA07B0" w:rsidP="00F41C73">
      <w:pPr>
        <w:pStyle w:val="BodyText"/>
        <w:spacing w:after="0" w:line="480" w:lineRule="auto"/>
        <w:ind w:firstLine="720"/>
        <w:rPr>
          <w:i/>
        </w:rPr>
      </w:pPr>
      <w:r w:rsidRPr="000309F7">
        <w:rPr>
          <w:lang w:val="en"/>
        </w:rPr>
        <w:t xml:space="preserve">A medical panel certificate answering in the affirmative to the questions of incapacity, permanence and causation is a condition precedent to granting an accidental disability retirement. </w:t>
      </w:r>
      <w:r w:rsidR="005B081C">
        <w:rPr>
          <w:i/>
          <w:lang w:val="en"/>
        </w:rPr>
        <w:t>Quincy Ret.</w:t>
      </w:r>
      <w:r w:rsidRPr="000309F7">
        <w:rPr>
          <w:i/>
          <w:lang w:val="en"/>
        </w:rPr>
        <w:t xml:space="preserve"> Bd. v. Contributory Ret. App. Bd</w:t>
      </w:r>
      <w:r>
        <w:rPr>
          <w:lang w:val="en"/>
        </w:rPr>
        <w:t>., 340 Mass</w:t>
      </w:r>
      <w:r w:rsidR="008E1521">
        <w:rPr>
          <w:lang w:val="en"/>
        </w:rPr>
        <w:t>.</w:t>
      </w:r>
      <w:r>
        <w:rPr>
          <w:lang w:val="en"/>
        </w:rPr>
        <w:t xml:space="preserve"> 56, 60 (1959); </w:t>
      </w:r>
      <w:r>
        <w:rPr>
          <w:i/>
        </w:rPr>
        <w:t>s</w:t>
      </w:r>
      <w:r w:rsidR="00F53CA9">
        <w:rPr>
          <w:i/>
        </w:rPr>
        <w:t xml:space="preserve">ee Campbell </w:t>
      </w:r>
      <w:r w:rsidRPr="00824747">
        <w:rPr>
          <w:i/>
        </w:rPr>
        <w:t>v. Con</w:t>
      </w:r>
      <w:r>
        <w:rPr>
          <w:i/>
        </w:rPr>
        <w:t>tributory Ret. App. B</w:t>
      </w:r>
      <w:r w:rsidRPr="00824747">
        <w:rPr>
          <w:i/>
        </w:rPr>
        <w:t>d</w:t>
      </w:r>
      <w:r>
        <w:rPr>
          <w:i/>
        </w:rPr>
        <w:t>.</w:t>
      </w:r>
      <w:r w:rsidRPr="00824747">
        <w:rPr>
          <w:i/>
        </w:rPr>
        <w:t>,</w:t>
      </w:r>
      <w:r>
        <w:t xml:space="preserve"> 17 Mass. App. Ct. 1018, 1019</w:t>
      </w:r>
      <w:r w:rsidRPr="00824747">
        <w:t xml:space="preserve"> (1984).</w:t>
      </w:r>
      <w:r w:rsidRPr="00824747">
        <w:rPr>
          <w:position w:val="11"/>
        </w:rPr>
        <w:t xml:space="preserve">  </w:t>
      </w:r>
    </w:p>
    <w:p w:rsidR="00EA07B0" w:rsidRDefault="00EA07B0" w:rsidP="005B081C">
      <w:pPr>
        <w:pStyle w:val="le-normal-32-level"/>
        <w:shd w:val="clear" w:color="auto" w:fill="FFFFFF"/>
        <w:tabs>
          <w:tab w:val="left" w:pos="360"/>
        </w:tabs>
        <w:spacing w:before="0" w:after="0"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The purpose of the medical panel examination and certificate is to “vest in the medical panel the responsibility for determining medical questions which are beyond the common knowledge and experience of the members of the local [retirement] board.” </w:t>
      </w:r>
      <w:r>
        <w:rPr>
          <w:rFonts w:ascii="Times New Roman" w:hAnsi="Times New Roman" w:cs="Times New Roman"/>
          <w:i/>
          <w:lang w:val="en"/>
        </w:rPr>
        <w:t>Malden Ret</w:t>
      </w:r>
      <w:r w:rsidR="005B081C">
        <w:rPr>
          <w:rFonts w:ascii="Times New Roman" w:hAnsi="Times New Roman" w:cs="Times New Roman"/>
          <w:i/>
          <w:lang w:val="en"/>
        </w:rPr>
        <w:t>.</w:t>
      </w:r>
      <w:r w:rsidRPr="00ED76D4">
        <w:rPr>
          <w:rFonts w:ascii="Times New Roman" w:hAnsi="Times New Roman" w:cs="Times New Roman"/>
          <w:i/>
          <w:lang w:val="en"/>
        </w:rPr>
        <w:t xml:space="preserve"> Bd</w:t>
      </w:r>
      <w:r>
        <w:rPr>
          <w:rFonts w:ascii="Times New Roman" w:hAnsi="Times New Roman" w:cs="Times New Roman"/>
          <w:lang w:val="en"/>
        </w:rPr>
        <w:t xml:space="preserve">. </w:t>
      </w:r>
      <w:r w:rsidRPr="00492BED">
        <w:rPr>
          <w:rFonts w:ascii="Times New Roman" w:hAnsi="Times New Roman" w:cs="Times New Roman"/>
          <w:i/>
          <w:lang w:val="en"/>
        </w:rPr>
        <w:t>v. Contributory Ret. App. Bd</w:t>
      </w:r>
      <w:r w:rsidR="00ED169C">
        <w:rPr>
          <w:rFonts w:ascii="Times New Roman" w:hAnsi="Times New Roman" w:cs="Times New Roman"/>
          <w:i/>
          <w:lang w:val="en"/>
        </w:rPr>
        <w:t>.</w:t>
      </w:r>
      <w:r>
        <w:rPr>
          <w:rFonts w:ascii="Times New Roman" w:hAnsi="Times New Roman" w:cs="Times New Roman"/>
          <w:i/>
          <w:lang w:val="en"/>
        </w:rPr>
        <w:t>,</w:t>
      </w:r>
      <w:r>
        <w:rPr>
          <w:rFonts w:ascii="Times New Roman" w:hAnsi="Times New Roman" w:cs="Times New Roman"/>
          <w:lang w:val="en"/>
        </w:rPr>
        <w:t xml:space="preserve"> 1 Mass. App. Ct. 420 (1973); </w:t>
      </w:r>
      <w:r w:rsidR="005B081C">
        <w:rPr>
          <w:rFonts w:ascii="Times New Roman" w:hAnsi="Times New Roman" w:cs="Times New Roman"/>
          <w:i/>
          <w:lang w:val="en"/>
        </w:rPr>
        <w:t>Plante v. Lowell Ret.</w:t>
      </w:r>
      <w:r w:rsidRPr="00AC05F8">
        <w:rPr>
          <w:rFonts w:ascii="Times New Roman" w:hAnsi="Times New Roman" w:cs="Times New Roman"/>
          <w:i/>
          <w:lang w:val="en"/>
        </w:rPr>
        <w:t xml:space="preserve"> Bd</w:t>
      </w:r>
      <w:r>
        <w:rPr>
          <w:rFonts w:ascii="Times New Roman" w:hAnsi="Times New Roman" w:cs="Times New Roman"/>
          <w:lang w:val="en"/>
        </w:rPr>
        <w:t xml:space="preserve">., </w:t>
      </w:r>
      <w:r w:rsidR="00ED169C">
        <w:rPr>
          <w:rFonts w:ascii="Times New Roman" w:hAnsi="Times New Roman" w:cs="Times New Roman"/>
          <w:lang w:val="en"/>
        </w:rPr>
        <w:t xml:space="preserve">Docket No. </w:t>
      </w:r>
      <w:r>
        <w:rPr>
          <w:rFonts w:ascii="Times New Roman" w:hAnsi="Times New Roman" w:cs="Times New Roman"/>
          <w:lang w:val="en"/>
        </w:rPr>
        <w:t>CR-05-3</w:t>
      </w:r>
      <w:r w:rsidR="00ED169C">
        <w:rPr>
          <w:rFonts w:ascii="Times New Roman" w:hAnsi="Times New Roman" w:cs="Times New Roman"/>
          <w:lang w:val="en"/>
        </w:rPr>
        <w:t xml:space="preserve">, </w:t>
      </w:r>
      <w:r w:rsidR="00ED169C" w:rsidRPr="00ED169C">
        <w:rPr>
          <w:rFonts w:ascii="Times New Roman" w:hAnsi="Times New Roman" w:cs="Times New Roman"/>
          <w:lang w:val="en"/>
        </w:rPr>
        <w:t>Decision</w:t>
      </w:r>
      <w:r w:rsidRPr="00ED169C">
        <w:rPr>
          <w:rFonts w:ascii="Times New Roman" w:hAnsi="Times New Roman" w:cs="Times New Roman"/>
          <w:lang w:val="en"/>
        </w:rPr>
        <w:t xml:space="preserve"> (</w:t>
      </w:r>
      <w:r w:rsidR="00ED169C">
        <w:rPr>
          <w:rFonts w:ascii="Times New Roman" w:hAnsi="Times New Roman" w:cs="Times New Roman"/>
        </w:rPr>
        <w:t>Mass. Div. of Admin. Law App., Jan. 11,</w:t>
      </w:r>
      <w:r w:rsidRPr="00ED169C">
        <w:rPr>
          <w:rFonts w:ascii="Times New Roman" w:hAnsi="Times New Roman" w:cs="Times New Roman"/>
          <w:lang w:val="en"/>
        </w:rPr>
        <w:t xml:space="preserve"> 2007).</w:t>
      </w:r>
      <w:r>
        <w:rPr>
          <w:rFonts w:ascii="Times New Roman" w:hAnsi="Times New Roman" w:cs="Times New Roman"/>
          <w:lang w:val="en"/>
        </w:rPr>
        <w:t xml:space="preserve"> The medical panel, following an examination, must issue a certificate, first and foremost, regarding the applicant’s mental or physical incapacity to perform the essential duties of his job. G.L. c. 32, § 6(3)(a);</w:t>
      </w:r>
      <w:r>
        <w:rPr>
          <w:rStyle w:val="FootnoteReference"/>
          <w:rFonts w:ascii="Times New Roman" w:hAnsi="Times New Roman" w:cs="Times New Roman"/>
          <w:lang w:val="en"/>
        </w:rPr>
        <w:footnoteReference w:id="7"/>
      </w:r>
      <w:r>
        <w:rPr>
          <w:rFonts w:ascii="Times New Roman" w:hAnsi="Times New Roman" w:cs="Times New Roman"/>
          <w:lang w:val="en"/>
        </w:rPr>
        <w:t xml:space="preserve"> </w:t>
      </w:r>
      <w:r w:rsidR="005B081C">
        <w:rPr>
          <w:rFonts w:ascii="Times New Roman" w:hAnsi="Times New Roman" w:cs="Times New Roman"/>
          <w:i/>
          <w:lang w:val="en"/>
        </w:rPr>
        <w:t>Malden Ret.</w:t>
      </w:r>
      <w:r w:rsidRPr="00ED76D4">
        <w:rPr>
          <w:rFonts w:ascii="Times New Roman" w:hAnsi="Times New Roman" w:cs="Times New Roman"/>
          <w:i/>
          <w:lang w:val="en"/>
        </w:rPr>
        <w:t xml:space="preserve"> Bd</w:t>
      </w:r>
      <w:r w:rsidRPr="00492BED">
        <w:rPr>
          <w:rFonts w:ascii="Times New Roman" w:hAnsi="Times New Roman" w:cs="Times New Roman"/>
          <w:i/>
          <w:lang w:val="en"/>
        </w:rPr>
        <w:t>.</w:t>
      </w:r>
      <w:r>
        <w:rPr>
          <w:rFonts w:ascii="Times New Roman" w:hAnsi="Times New Roman" w:cs="Times New Roman"/>
          <w:lang w:val="en"/>
        </w:rPr>
        <w:t xml:space="preserve">, 1 Mass. App. Ct. at 423 (1973).  Once the regional medical panel issues a proper certificate, the local retirement board is bound by the panel’s conclusion when a majority </w:t>
      </w:r>
      <w:r>
        <w:rPr>
          <w:rFonts w:ascii="Times New Roman" w:hAnsi="Times New Roman" w:cs="Times New Roman"/>
          <w:lang w:val="en"/>
        </w:rPr>
        <w:lastRenderedPageBreak/>
        <w:t xml:space="preserve">of the physicians on the panel responds in the negative to any of the three questions presented. </w:t>
      </w:r>
      <w:r>
        <w:rPr>
          <w:rFonts w:ascii="Times New Roman" w:hAnsi="Times New Roman" w:cs="Times New Roman"/>
          <w:i/>
          <w:lang w:val="en"/>
        </w:rPr>
        <w:t>Id</w:t>
      </w:r>
      <w:r>
        <w:rPr>
          <w:rFonts w:ascii="Times New Roman" w:hAnsi="Times New Roman" w:cs="Times New Roman"/>
          <w:lang w:val="en"/>
        </w:rPr>
        <w:t xml:space="preserve">. at 423 n. 6. Furthermore, CRAB is bound by those findings unless the medical panel employed an erroneous medical standard in reaching its conclusions or lacked pertinent facts when it made its determination.  </w:t>
      </w:r>
      <w:r w:rsidRPr="008F24DD">
        <w:rPr>
          <w:rFonts w:ascii="Times New Roman" w:hAnsi="Times New Roman" w:cs="Times New Roman"/>
          <w:i/>
          <w:lang w:val="en"/>
        </w:rPr>
        <w:t>Id.</w:t>
      </w:r>
      <w:r>
        <w:rPr>
          <w:rFonts w:ascii="Times New Roman" w:hAnsi="Times New Roman" w:cs="Times New Roman"/>
          <w:lang w:val="en"/>
        </w:rPr>
        <w:t xml:space="preserve"> at 424. </w:t>
      </w:r>
    </w:p>
    <w:p w:rsidR="00EA07B0" w:rsidRDefault="00EA07B0" w:rsidP="005B081C">
      <w:pPr>
        <w:pStyle w:val="le-normal-32-level"/>
        <w:shd w:val="clear" w:color="auto" w:fill="FFFFFF"/>
        <w:tabs>
          <w:tab w:val="left" w:pos="360"/>
        </w:tabs>
        <w:spacing w:before="0" w:after="0"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Although the medical panel certificate is not conclusive of the ultimate fact of causation, in this case, the medical panel (Drs. Fine-Edelstein</w:t>
      </w:r>
      <w:r w:rsidR="00F41C73">
        <w:rPr>
          <w:rFonts w:ascii="Times New Roman" w:hAnsi="Times New Roman" w:cs="Times New Roman"/>
          <w:lang w:val="en"/>
        </w:rPr>
        <w:t xml:space="preserve">, </w:t>
      </w:r>
      <w:proofErr w:type="spellStart"/>
      <w:r w:rsidR="00F41C73">
        <w:rPr>
          <w:rFonts w:ascii="Times New Roman" w:hAnsi="Times New Roman" w:cs="Times New Roman"/>
          <w:lang w:val="en"/>
        </w:rPr>
        <w:t>Safran</w:t>
      </w:r>
      <w:proofErr w:type="spellEnd"/>
      <w:r w:rsidR="00F41C73">
        <w:rPr>
          <w:rFonts w:ascii="Times New Roman" w:hAnsi="Times New Roman" w:cs="Times New Roman"/>
          <w:lang w:val="en"/>
        </w:rPr>
        <w:t xml:space="preserve"> and </w:t>
      </w:r>
      <w:proofErr w:type="spellStart"/>
      <w:r w:rsidR="00F41C73">
        <w:rPr>
          <w:rFonts w:ascii="Times New Roman" w:hAnsi="Times New Roman" w:cs="Times New Roman"/>
          <w:lang w:val="en"/>
        </w:rPr>
        <w:t>Lebovits</w:t>
      </w:r>
      <w:proofErr w:type="spellEnd"/>
      <w:r>
        <w:rPr>
          <w:rFonts w:ascii="Times New Roman" w:hAnsi="Times New Roman" w:cs="Times New Roman"/>
          <w:lang w:val="en"/>
        </w:rPr>
        <w:t xml:space="preserve">) answered in the </w:t>
      </w:r>
      <w:r w:rsidR="008E1521">
        <w:rPr>
          <w:rFonts w:ascii="Times New Roman" w:hAnsi="Times New Roman" w:cs="Times New Roman"/>
          <w:lang w:val="en"/>
        </w:rPr>
        <w:t xml:space="preserve">affirmative </w:t>
      </w:r>
      <w:r>
        <w:rPr>
          <w:rFonts w:ascii="Times New Roman" w:hAnsi="Times New Roman" w:cs="Times New Roman"/>
          <w:lang w:val="en"/>
        </w:rPr>
        <w:t xml:space="preserve">to the question </w:t>
      </w:r>
      <w:r w:rsidR="00407122">
        <w:rPr>
          <w:rFonts w:ascii="Times New Roman" w:hAnsi="Times New Roman" w:cs="Times New Roman"/>
          <w:lang w:val="en"/>
        </w:rPr>
        <w:t xml:space="preserve">of </w:t>
      </w:r>
      <w:r>
        <w:rPr>
          <w:rFonts w:ascii="Times New Roman" w:hAnsi="Times New Roman" w:cs="Times New Roman"/>
          <w:lang w:val="en"/>
        </w:rPr>
        <w:t xml:space="preserve">permanence. All three panel physicians reviewed the medical history of Mr. </w:t>
      </w:r>
      <w:proofErr w:type="spellStart"/>
      <w:r w:rsidR="00F41C73">
        <w:rPr>
          <w:rFonts w:ascii="Times New Roman" w:hAnsi="Times New Roman" w:cs="Times New Roman"/>
          <w:lang w:val="en"/>
        </w:rPr>
        <w:t>Aliano</w:t>
      </w:r>
      <w:proofErr w:type="spellEnd"/>
      <w:r>
        <w:rPr>
          <w:rFonts w:ascii="Times New Roman" w:hAnsi="Times New Roman" w:cs="Times New Roman"/>
          <w:lang w:val="en"/>
        </w:rPr>
        <w:t xml:space="preserve"> and the essential duties of his job description in </w:t>
      </w:r>
      <w:r w:rsidR="008E1521">
        <w:rPr>
          <w:rFonts w:ascii="Times New Roman" w:hAnsi="Times New Roman" w:cs="Times New Roman"/>
          <w:lang w:val="en"/>
        </w:rPr>
        <w:t xml:space="preserve">making </w:t>
      </w:r>
      <w:r>
        <w:rPr>
          <w:rFonts w:ascii="Times New Roman" w:hAnsi="Times New Roman" w:cs="Times New Roman"/>
          <w:lang w:val="en"/>
        </w:rPr>
        <w:t xml:space="preserve">their determination whether he would be physically able to continue working.  </w:t>
      </w:r>
    </w:p>
    <w:p w:rsidR="00EA07B0" w:rsidRDefault="00EA07B0" w:rsidP="005B081C">
      <w:pPr>
        <w:pStyle w:val="BodyText"/>
        <w:spacing w:after="0" w:line="496" w:lineRule="auto"/>
        <w:ind w:left="19" w:firstLine="701"/>
      </w:pPr>
      <w:r>
        <w:t>A medical panel’</w:t>
      </w:r>
      <w:r w:rsidRPr="00824747">
        <w:t>s certificate responses can be overcome only upon proof that the pa</w:t>
      </w:r>
      <w:r>
        <w:t xml:space="preserve">nel lacked pertinent facts or employed an erroneous </w:t>
      </w:r>
      <w:r w:rsidRPr="00824747">
        <w:t xml:space="preserve">standard. </w:t>
      </w:r>
      <w:r w:rsidRPr="003A73C5">
        <w:rPr>
          <w:i/>
        </w:rPr>
        <w:t xml:space="preserve">See </w:t>
      </w:r>
      <w:r>
        <w:rPr>
          <w:i/>
        </w:rPr>
        <w:t>Retirement B</w:t>
      </w:r>
      <w:r w:rsidRPr="003A73C5">
        <w:rPr>
          <w:i/>
        </w:rPr>
        <w:t>d</w:t>
      </w:r>
      <w:r>
        <w:rPr>
          <w:i/>
        </w:rPr>
        <w:t>.</w:t>
      </w:r>
      <w:r w:rsidRPr="003A73C5">
        <w:rPr>
          <w:i/>
        </w:rPr>
        <w:t xml:space="preserve"> of R</w:t>
      </w:r>
      <w:r>
        <w:rPr>
          <w:i/>
        </w:rPr>
        <w:t>evere v. Contributory Ret. App. B</w:t>
      </w:r>
      <w:r w:rsidRPr="003A73C5">
        <w:rPr>
          <w:i/>
        </w:rPr>
        <w:t>d</w:t>
      </w:r>
      <w:r>
        <w:rPr>
          <w:i/>
        </w:rPr>
        <w:t>.</w:t>
      </w:r>
      <w:r w:rsidRPr="00824747">
        <w:t>, 36 Mass. App.</w:t>
      </w:r>
      <w:r>
        <w:t xml:space="preserve"> </w:t>
      </w:r>
      <w:r w:rsidRPr="00824747">
        <w:t xml:space="preserve">Ct. 99, 106 (1994). </w:t>
      </w:r>
      <w:r w:rsidRPr="003A73C5">
        <w:rPr>
          <w:i/>
        </w:rPr>
        <w:t xml:space="preserve">See also </w:t>
      </w:r>
      <w:proofErr w:type="spellStart"/>
      <w:r w:rsidRPr="003A73C5">
        <w:rPr>
          <w:i/>
        </w:rPr>
        <w:t>Queenan</w:t>
      </w:r>
      <w:proofErr w:type="spellEnd"/>
      <w:r w:rsidRPr="003A73C5">
        <w:rPr>
          <w:i/>
        </w:rPr>
        <w:t xml:space="preserve"> v. Con</w:t>
      </w:r>
      <w:r>
        <w:rPr>
          <w:i/>
        </w:rPr>
        <w:t>tributory Ret. App. B</w:t>
      </w:r>
      <w:r w:rsidRPr="003A73C5">
        <w:rPr>
          <w:i/>
        </w:rPr>
        <w:t>d</w:t>
      </w:r>
      <w:r>
        <w:rPr>
          <w:i/>
        </w:rPr>
        <w:t>.</w:t>
      </w:r>
      <w:r w:rsidRPr="003A73C5">
        <w:t>,</w:t>
      </w:r>
      <w:r>
        <w:t xml:space="preserve"> </w:t>
      </w:r>
      <w:r w:rsidR="00447C2D">
        <w:t xml:space="preserve">No. 952109, 2001 WL 292410 </w:t>
      </w:r>
      <w:r>
        <w:t>(Mass. Sup</w:t>
      </w:r>
      <w:r w:rsidRPr="00824747">
        <w:t>. Ct.</w:t>
      </w:r>
      <w:r w:rsidR="00F41C73">
        <w:t>, Feb. 21,</w:t>
      </w:r>
      <w:r w:rsidRPr="00824747">
        <w:t xml:space="preserve"> 2001</w:t>
      </w:r>
      <w:r w:rsidR="00F41C73">
        <w:t>)</w:t>
      </w:r>
      <w:r w:rsidRPr="00824747">
        <w:t>. T</w:t>
      </w:r>
      <w:r>
        <w:t xml:space="preserve">he Petitioner does not have an </w:t>
      </w:r>
      <w:r w:rsidRPr="00824747">
        <w:t xml:space="preserve">opportunity to have a retrial of the medical facts of the case, where the </w:t>
      </w:r>
      <w:r w:rsidR="008E1521">
        <w:t>p</w:t>
      </w:r>
      <w:r w:rsidRPr="00824747">
        <w:t xml:space="preserve">anel applied proper procedures and correct principles of law. </w:t>
      </w:r>
      <w:r w:rsidRPr="003A73C5">
        <w:rPr>
          <w:i/>
        </w:rPr>
        <w:t>See Kelley v. Con</w:t>
      </w:r>
      <w:r>
        <w:rPr>
          <w:i/>
        </w:rPr>
        <w:t>tributory Ret. App. B</w:t>
      </w:r>
      <w:r w:rsidRPr="003A73C5">
        <w:rPr>
          <w:i/>
        </w:rPr>
        <w:t>d</w:t>
      </w:r>
      <w:r>
        <w:rPr>
          <w:i/>
        </w:rPr>
        <w:t>.</w:t>
      </w:r>
      <w:r w:rsidRPr="003A73C5">
        <w:rPr>
          <w:i/>
        </w:rPr>
        <w:t>,</w:t>
      </w:r>
      <w:r w:rsidRPr="00824747">
        <w:t xml:space="preserve"> 341 Mass. 611, 617</w:t>
      </w:r>
      <w:r w:rsidRPr="00824747">
        <w:rPr>
          <w:spacing w:val="50"/>
        </w:rPr>
        <w:t xml:space="preserve"> </w:t>
      </w:r>
      <w:r w:rsidRPr="00824747">
        <w:t>(1961).</w:t>
      </w:r>
      <w:r>
        <w:t xml:space="preserve"> </w:t>
      </w:r>
      <w:r w:rsidRPr="00824747">
        <w:t xml:space="preserve">The Panel members examined Mr. </w:t>
      </w:r>
      <w:proofErr w:type="spellStart"/>
      <w:r w:rsidR="005B081C">
        <w:t>Aliano</w:t>
      </w:r>
      <w:proofErr w:type="spellEnd"/>
      <w:r w:rsidRPr="00824747">
        <w:t>, and reviewed all the medic</w:t>
      </w:r>
      <w:r w:rsidR="005B081C">
        <w:t>al information provided to them</w:t>
      </w:r>
      <w:r w:rsidRPr="00824747">
        <w:t xml:space="preserve">. As such, the Panel properly carried out its obligation. </w:t>
      </w:r>
      <w:r w:rsidRPr="00401B83">
        <w:rPr>
          <w:i/>
        </w:rPr>
        <w:t xml:space="preserve">See </w:t>
      </w:r>
      <w:r w:rsidRPr="00824747">
        <w:t xml:space="preserve">G.L. c. 32, §6(3)(a); </w:t>
      </w:r>
      <w:proofErr w:type="spellStart"/>
      <w:r w:rsidRPr="00401B83">
        <w:rPr>
          <w:i/>
        </w:rPr>
        <w:t>Noone</w:t>
      </w:r>
      <w:proofErr w:type="spellEnd"/>
      <w:r w:rsidRPr="00401B83">
        <w:rPr>
          <w:i/>
        </w:rPr>
        <w:t xml:space="preserve"> v. Con</w:t>
      </w:r>
      <w:r>
        <w:rPr>
          <w:i/>
        </w:rPr>
        <w:t>tributory Ret. App. B</w:t>
      </w:r>
      <w:r w:rsidRPr="00401B83">
        <w:rPr>
          <w:i/>
        </w:rPr>
        <w:t>d</w:t>
      </w:r>
      <w:r>
        <w:rPr>
          <w:i/>
        </w:rPr>
        <w:t>.</w:t>
      </w:r>
      <w:r w:rsidRPr="00401B83">
        <w:rPr>
          <w:i/>
        </w:rPr>
        <w:t>,</w:t>
      </w:r>
      <w:r>
        <w:rPr>
          <w:i/>
        </w:rPr>
        <w:t xml:space="preserve"> </w:t>
      </w:r>
      <w:r w:rsidR="008E1521">
        <w:t>20 Mass. App. Ct. 634, 641</w:t>
      </w:r>
      <w:r>
        <w:t xml:space="preserve"> (</w:t>
      </w:r>
      <w:r w:rsidRPr="00824747">
        <w:t>19</w:t>
      </w:r>
      <w:r>
        <w:t>85</w:t>
      </w:r>
      <w:r w:rsidRPr="00824747">
        <w:t xml:space="preserve">).  </w:t>
      </w:r>
      <w:r>
        <w:t xml:space="preserve">                                       </w:t>
      </w:r>
    </w:p>
    <w:p w:rsidR="00FB7EDC" w:rsidRDefault="00B51B48" w:rsidP="00BA790C">
      <w:pPr>
        <w:spacing w:line="480" w:lineRule="auto"/>
        <w:ind w:firstLine="720"/>
      </w:pPr>
      <w:r>
        <w:t xml:space="preserve">Before the October 5, 1999 incident, Mr. </w:t>
      </w:r>
      <w:proofErr w:type="spellStart"/>
      <w:r>
        <w:t>Aliano</w:t>
      </w:r>
      <w:proofErr w:type="spellEnd"/>
      <w:r>
        <w:t xml:space="preserve"> had degenerative and significant cervical myelopathy and untreated lumbar spinal stenosis. A symptom of those diseases is unsteadiness and leg pain. </w:t>
      </w:r>
      <w:r w:rsidR="00FB7EDC">
        <w:t xml:space="preserve">Mr. </w:t>
      </w:r>
      <w:proofErr w:type="spellStart"/>
      <w:r w:rsidR="00FB7EDC">
        <w:t>Aliano</w:t>
      </w:r>
      <w:proofErr w:type="spellEnd"/>
      <w:r w:rsidR="00FB7EDC">
        <w:t xml:space="preserve"> continued to work for eleven years, and did not undergo surgery for </w:t>
      </w:r>
      <w:r>
        <w:t xml:space="preserve">the lumbar spinal stenosis until an October 3, 2011 lumbar laminectomy. </w:t>
      </w:r>
    </w:p>
    <w:p w:rsidR="00CA2778" w:rsidRDefault="00C46A50" w:rsidP="00BA790C">
      <w:pPr>
        <w:spacing w:line="480" w:lineRule="auto"/>
        <w:ind w:firstLine="720"/>
      </w:pPr>
      <w:r>
        <w:lastRenderedPageBreak/>
        <w:t>Although both Drs. Weinberg and Epstein</w:t>
      </w:r>
      <w:r w:rsidR="00B91BED">
        <w:t xml:space="preserve"> </w:t>
      </w:r>
      <w:r w:rsidR="00E57F59">
        <w:t>c</w:t>
      </w:r>
      <w:r>
        <w:t>onclude</w:t>
      </w:r>
      <w:r w:rsidR="00E57F59">
        <w:t>d</w:t>
      </w:r>
      <w:r>
        <w:t xml:space="preserve"> that </w:t>
      </w:r>
      <w:r w:rsidR="00E57F59">
        <w:t xml:space="preserve">Mr. </w:t>
      </w:r>
      <w:proofErr w:type="spellStart"/>
      <w:r w:rsidR="00E57F59">
        <w:t>Aliano’s</w:t>
      </w:r>
      <w:proofErr w:type="spellEnd"/>
      <w:r>
        <w:t xml:space="preserve"> cervical injury </w:t>
      </w:r>
      <w:r w:rsidR="00E57F59">
        <w:t>wa</w:t>
      </w:r>
      <w:r>
        <w:t xml:space="preserve">s a result of </w:t>
      </w:r>
      <w:r w:rsidR="00E57F59">
        <w:t>the</w:t>
      </w:r>
      <w:r>
        <w:t xml:space="preserve"> October 5, 1999 </w:t>
      </w:r>
      <w:r w:rsidR="00E57F59">
        <w:t>incident</w:t>
      </w:r>
      <w:r>
        <w:t xml:space="preserve">, </w:t>
      </w:r>
      <w:r w:rsidR="006D1BEC">
        <w:t xml:space="preserve">the </w:t>
      </w:r>
      <w:r w:rsidR="00E57F59">
        <w:t>panel</w:t>
      </w:r>
      <w:r w:rsidR="006D1BEC">
        <w:t xml:space="preserve"> concluded that the injury was not a result of the fall.  The </w:t>
      </w:r>
      <w:r w:rsidR="00E57F59">
        <w:t>panel</w:t>
      </w:r>
      <w:r w:rsidR="0054713F">
        <w:t xml:space="preserve"> performed a physical evaluation </w:t>
      </w:r>
      <w:r w:rsidR="006D1BEC">
        <w:t xml:space="preserve">and </w:t>
      </w:r>
      <w:r w:rsidR="0054713F">
        <w:t xml:space="preserve">unanimously </w:t>
      </w:r>
      <w:r w:rsidR="006D1BEC">
        <w:t xml:space="preserve">concluded that </w:t>
      </w:r>
      <w:r w:rsidR="00E57F59">
        <w:t xml:space="preserve">Mr. </w:t>
      </w:r>
      <w:proofErr w:type="spellStart"/>
      <w:r w:rsidR="00E57F59">
        <w:t>Aliano’s</w:t>
      </w:r>
      <w:proofErr w:type="spellEnd"/>
      <w:r w:rsidR="006D1BEC">
        <w:t xml:space="preserve"> incapacit</w:t>
      </w:r>
      <w:r w:rsidR="00B51B48">
        <w:t>y was due to a non-work related</w:t>
      </w:r>
      <w:r w:rsidR="006D1BEC">
        <w:t xml:space="preserve"> pre-existing condition.  </w:t>
      </w:r>
      <w:r w:rsidR="00B51B48">
        <w:t xml:space="preserve">Mr. </w:t>
      </w:r>
      <w:proofErr w:type="spellStart"/>
      <w:r w:rsidR="00B51B48">
        <w:t>Aliano</w:t>
      </w:r>
      <w:proofErr w:type="spellEnd"/>
      <w:r w:rsidR="006D1BEC">
        <w:t xml:space="preserve"> had a history of lower back pain, leading to a cervical decompression surgery in 1998</w:t>
      </w:r>
      <w:r w:rsidR="00E57F59">
        <w:t>, b</w:t>
      </w:r>
      <w:r w:rsidR="006D1BEC">
        <w:t xml:space="preserve">efore the </w:t>
      </w:r>
      <w:r w:rsidR="0054713F">
        <w:t>fall</w:t>
      </w:r>
      <w:r w:rsidR="006D1BEC">
        <w:t>.</w:t>
      </w:r>
      <w:r w:rsidR="007B4538">
        <w:t xml:space="preserve">  </w:t>
      </w:r>
    </w:p>
    <w:p w:rsidR="00CA2778" w:rsidRDefault="0054713F" w:rsidP="00BA790C">
      <w:pPr>
        <w:spacing w:line="480" w:lineRule="auto"/>
        <w:ind w:firstLine="720"/>
      </w:pPr>
      <w:r>
        <w:t xml:space="preserve">About a month after the fall, </w:t>
      </w:r>
      <w:r w:rsidR="00E57F59">
        <w:t xml:space="preserve">the </w:t>
      </w:r>
      <w:r w:rsidR="007B4538">
        <w:t xml:space="preserve">medical records </w:t>
      </w:r>
      <w:r w:rsidR="00E57F59">
        <w:t>documented</w:t>
      </w:r>
      <w:r w:rsidR="002C3551">
        <w:t xml:space="preserve"> that Dr. Weinberg </w:t>
      </w:r>
      <w:r w:rsidR="00E57F59">
        <w:t xml:space="preserve">performed an examination and noted that Mr. </w:t>
      </w:r>
      <w:proofErr w:type="spellStart"/>
      <w:r w:rsidR="00E57F59">
        <w:t>Aliano</w:t>
      </w:r>
      <w:proofErr w:type="spellEnd"/>
      <w:r w:rsidR="00E57F59">
        <w:t xml:space="preserve"> present</w:t>
      </w:r>
      <w:r w:rsidR="00B51B48">
        <w:t>ed</w:t>
      </w:r>
      <w:r w:rsidR="002C3551" w:rsidRPr="002C3551">
        <w:t xml:space="preserve"> </w:t>
      </w:r>
      <w:r w:rsidR="00E57F59">
        <w:t>“</w:t>
      </w:r>
      <w:r w:rsidR="002C3551" w:rsidRPr="002C3551">
        <w:t>with a complicated situation due to his significant cervical spine disease, his postoperative status and his lumbar spinal stenosis that has not been treated and I believe has been predominantly asymptomatic.  He is clearly worst following his traumatic injury</w:t>
      </w:r>
      <w:r w:rsidR="002C3551" w:rsidRPr="00EA3D53">
        <w:t>, but most of the abnormalities are consistent with prior deficits (before surgical decompression).”</w:t>
      </w:r>
      <w:r w:rsidR="00F41C73">
        <w:t xml:space="preserve"> </w:t>
      </w:r>
      <w:r w:rsidR="00CA2778">
        <w:t xml:space="preserve">Dr. Weinberg concluded that the October 1999 fall was “predominantly responsible” for Mr. </w:t>
      </w:r>
      <w:proofErr w:type="spellStart"/>
      <w:r w:rsidR="00CA2778">
        <w:t>Aliano’s</w:t>
      </w:r>
      <w:proofErr w:type="spellEnd"/>
      <w:r w:rsidR="00CA2778">
        <w:t xml:space="preserve"> “significant subsequent deterioration and disability with severe cervical myelopathy.” He opined that the work-related accident was responsible for Mr. </w:t>
      </w:r>
      <w:proofErr w:type="spellStart"/>
      <w:r w:rsidR="00CA2778">
        <w:t>Aliano’s</w:t>
      </w:r>
      <w:proofErr w:type="spellEnd"/>
      <w:r w:rsidR="00CA2778">
        <w:t xml:space="preserve"> major exacerbation of his pre-existing cervical spine disease. </w:t>
      </w:r>
    </w:p>
    <w:p w:rsidR="00220DE8" w:rsidRDefault="00CA2778" w:rsidP="00BA790C">
      <w:pPr>
        <w:spacing w:line="480" w:lineRule="auto"/>
        <w:ind w:firstLine="720"/>
      </w:pPr>
      <w:r>
        <w:t>However, t</w:t>
      </w:r>
      <w:r w:rsidR="00E57F59">
        <w:t>he</w:t>
      </w:r>
      <w:r w:rsidR="00150488">
        <w:t xml:space="preserve"> medical records indicate that after the October 5, 1999 fall, </w:t>
      </w:r>
      <w:r w:rsidR="00E57F59">
        <w:t xml:space="preserve">Mr. </w:t>
      </w:r>
      <w:proofErr w:type="spellStart"/>
      <w:r w:rsidR="00E57F59">
        <w:t>Aliano’s</w:t>
      </w:r>
      <w:proofErr w:type="spellEnd"/>
      <w:r w:rsidR="00150488">
        <w:t xml:space="preserve"> condition continued to improve </w:t>
      </w:r>
      <w:r>
        <w:t xml:space="preserve">and that he was performing the essential duties of his job </w:t>
      </w:r>
      <w:r w:rsidR="00150488">
        <w:t xml:space="preserve">until his lumbar laminectomy on October 3, 2011 – nearly twelve (12) years </w:t>
      </w:r>
      <w:r w:rsidR="00E57F59">
        <w:t xml:space="preserve">later. </w:t>
      </w:r>
      <w:r w:rsidR="008E1521">
        <w:t>After the operation</w:t>
      </w:r>
      <w:r w:rsidR="00E57F59">
        <w:t xml:space="preserve">, Mr. </w:t>
      </w:r>
      <w:proofErr w:type="spellStart"/>
      <w:r w:rsidR="00E57F59">
        <w:t>Aliano</w:t>
      </w:r>
      <w:proofErr w:type="spellEnd"/>
      <w:r w:rsidR="00943A10">
        <w:t xml:space="preserve"> did not return to work</w:t>
      </w:r>
      <w:r w:rsidR="00E57F59">
        <w:t>, and the City filed</w:t>
      </w:r>
      <w:r w:rsidR="00943A10">
        <w:t xml:space="preserve"> an Involuntary Disability Retirement Application</w:t>
      </w:r>
      <w:r w:rsidR="00150488">
        <w:t xml:space="preserve">. </w:t>
      </w:r>
      <w:r w:rsidR="006B0DE3">
        <w:t xml:space="preserve"> </w:t>
      </w:r>
    </w:p>
    <w:p w:rsidR="00D5441A" w:rsidRDefault="00D5441A" w:rsidP="00BA790C">
      <w:pPr>
        <w:spacing w:line="480" w:lineRule="auto"/>
        <w:ind w:firstLine="720"/>
      </w:pPr>
      <w:r>
        <w:t xml:space="preserve">Mr. </w:t>
      </w:r>
      <w:proofErr w:type="spellStart"/>
      <w:r>
        <w:t>Aliano</w:t>
      </w:r>
      <w:proofErr w:type="spellEnd"/>
      <w:r>
        <w:t xml:space="preserve"> underwent a fitness for du</w:t>
      </w:r>
      <w:r w:rsidR="0080529E">
        <w:t xml:space="preserve">ty evaluation on June 12, 2012. Dr. Kales did not have the complete medical records, but he was able to examine Mr. </w:t>
      </w:r>
      <w:proofErr w:type="spellStart"/>
      <w:r w:rsidR="0080529E">
        <w:t>Aliano</w:t>
      </w:r>
      <w:proofErr w:type="spellEnd"/>
      <w:r w:rsidR="0080529E">
        <w:t xml:space="preserve"> and get an oral history. Dr. Kales found that Mr. </w:t>
      </w:r>
      <w:proofErr w:type="spellStart"/>
      <w:r w:rsidR="0080529E">
        <w:t>Aliano’s</w:t>
      </w:r>
      <w:proofErr w:type="spellEnd"/>
      <w:r w:rsidR="0080529E">
        <w:t xml:space="preserve"> morbid obesity prevented him from performing the essential duties of his position, such as climbing ladders in order to inspect work, moving </w:t>
      </w:r>
      <w:r w:rsidR="0080529E">
        <w:lastRenderedPageBreak/>
        <w:t xml:space="preserve">furniture, cleaning areas, stocking supplies and operating hand tools. Further, his morbid obesity and increased neck circumference revealed untreated sleep apnea, putting him at great risk of a driving accident. Dr. Kales believed that more information on Mr. </w:t>
      </w:r>
      <w:proofErr w:type="spellStart"/>
      <w:r w:rsidR="0080529E">
        <w:t>Aliano’s</w:t>
      </w:r>
      <w:proofErr w:type="spellEnd"/>
      <w:r w:rsidR="0080529E">
        <w:t xml:space="preserve"> diabetes and symptomatic hypoglycemia could increase the risk of sleep apnea even further. </w:t>
      </w:r>
    </w:p>
    <w:p w:rsidR="00B07764" w:rsidRDefault="00B717A3" w:rsidP="00B717A3">
      <w:pPr>
        <w:pStyle w:val="BodyText"/>
        <w:spacing w:after="0" w:line="496" w:lineRule="auto"/>
        <w:ind w:firstLine="720"/>
      </w:pPr>
      <w:r>
        <w:t xml:space="preserve">Regardless of the conclusions of Mr. </w:t>
      </w:r>
      <w:proofErr w:type="spellStart"/>
      <w:r>
        <w:t>Aliano’s</w:t>
      </w:r>
      <w:proofErr w:type="spellEnd"/>
      <w:r>
        <w:t xml:space="preserve"> treating or</w:t>
      </w:r>
      <w:r w:rsidRPr="00824747">
        <w:t xml:space="preserve"> e</w:t>
      </w:r>
      <w:r>
        <w:t>xamining physician, “</w:t>
      </w:r>
      <w:r w:rsidRPr="00824747">
        <w:t>[t]here is no requirement that t</w:t>
      </w:r>
      <w:r>
        <w:t xml:space="preserve">he panel physicians agree with </w:t>
      </w:r>
      <w:r w:rsidRPr="00824747">
        <w:t>the opinions o</w:t>
      </w:r>
      <w:r>
        <w:t>r findings of other clinicians.”</w:t>
      </w:r>
      <w:r w:rsidRPr="00824747">
        <w:t xml:space="preserve"> </w:t>
      </w:r>
      <w:r w:rsidRPr="00C0637A">
        <w:rPr>
          <w:i/>
        </w:rPr>
        <w:t>Turner v. State Bd. of Ret</w:t>
      </w:r>
      <w:r w:rsidRPr="00C0637A">
        <w:t xml:space="preserve">., </w:t>
      </w:r>
      <w:r>
        <w:t xml:space="preserve">Docket No. </w:t>
      </w:r>
      <w:r w:rsidRPr="00824747">
        <w:t>CR- 06-27</w:t>
      </w:r>
      <w:r>
        <w:t>, Decision</w:t>
      </w:r>
      <w:r w:rsidRPr="00824747">
        <w:t xml:space="preserve"> (</w:t>
      </w:r>
      <w:r>
        <w:t>Mass. Div. of Admin. Law App.,</w:t>
      </w:r>
      <w:r w:rsidRPr="00824747">
        <w:t xml:space="preserve"> </w:t>
      </w:r>
      <w:r w:rsidR="00ED169C">
        <w:t>Feb. 16</w:t>
      </w:r>
      <w:r>
        <w:t>, 2007)</w:t>
      </w:r>
      <w:r w:rsidRPr="00824747">
        <w:t xml:space="preserve"> (finding that the panel did not employ an erroneous standard and the panel was not obligated to agree with the op</w:t>
      </w:r>
      <w:r>
        <w:t>inions of other physicians). “</w:t>
      </w:r>
      <w:r w:rsidRPr="00824747">
        <w:t>[T]</w:t>
      </w:r>
      <w:r>
        <w:t xml:space="preserve">he fact that another physician offered a contrary opinion … is not evidence </w:t>
      </w:r>
      <w:r w:rsidRPr="00824747">
        <w:t>of the use of an erroneous</w:t>
      </w:r>
      <w:r>
        <w:t xml:space="preserve"> standard by the medical panel.”</w:t>
      </w:r>
      <w:r w:rsidRPr="00824747">
        <w:t xml:space="preserve"> </w:t>
      </w:r>
      <w:proofErr w:type="spellStart"/>
      <w:r w:rsidRPr="00C0637A">
        <w:rPr>
          <w:i/>
        </w:rPr>
        <w:t>Hickney</w:t>
      </w:r>
      <w:proofErr w:type="spellEnd"/>
      <w:r w:rsidRPr="00C0637A">
        <w:rPr>
          <w:i/>
        </w:rPr>
        <w:t xml:space="preserve"> v. State Bd. of Ret</w:t>
      </w:r>
      <w:r w:rsidRPr="00C0637A">
        <w:t xml:space="preserve">., </w:t>
      </w:r>
      <w:r>
        <w:t xml:space="preserve">Docket No. </w:t>
      </w:r>
      <w:r w:rsidRPr="00824747">
        <w:t>CR-07-511</w:t>
      </w:r>
      <w:r>
        <w:t>, Decision</w:t>
      </w:r>
      <w:r w:rsidRPr="00824747">
        <w:t xml:space="preserve"> (</w:t>
      </w:r>
      <w:r>
        <w:t xml:space="preserve">Mass. Div. of Admin. Law App., </w:t>
      </w:r>
      <w:r w:rsidRPr="00824747">
        <w:t>Mar</w:t>
      </w:r>
      <w:r>
        <w:t>. 19, 2009); s</w:t>
      </w:r>
      <w:r w:rsidRPr="00C0637A">
        <w:rPr>
          <w:i/>
        </w:rPr>
        <w:t>ee Jenkins v. State Bd. of Ret</w:t>
      </w:r>
      <w:r w:rsidRPr="00C0637A">
        <w:t>.</w:t>
      </w:r>
      <w:r>
        <w:t xml:space="preserve">, Docket No. </w:t>
      </w:r>
      <w:r w:rsidRPr="00824747">
        <w:t>CR-06-222</w:t>
      </w:r>
      <w:r>
        <w:t>, Decision</w:t>
      </w:r>
      <w:r w:rsidRPr="00824747">
        <w:t xml:space="preserve"> (</w:t>
      </w:r>
      <w:r>
        <w:t>Mass. Div. of Admin. Law App.,</w:t>
      </w:r>
      <w:r w:rsidRPr="00824747">
        <w:t xml:space="preserve"> </w:t>
      </w:r>
      <w:r>
        <w:t>May 25, 2007) (noting that “</w:t>
      </w:r>
      <w:r w:rsidRPr="00824747">
        <w:t>contrary opinions cannot take</w:t>
      </w:r>
      <w:r>
        <w:t xml:space="preserve"> the place of the medical panel’</w:t>
      </w:r>
      <w:r w:rsidRPr="00824747">
        <w:t>s properly made</w:t>
      </w:r>
      <w:r w:rsidRPr="00824747">
        <w:rPr>
          <w:spacing w:val="50"/>
        </w:rPr>
        <w:t xml:space="preserve"> </w:t>
      </w:r>
      <w:r>
        <w:t>assessment.”</w:t>
      </w:r>
      <w:r w:rsidRPr="00824747">
        <w:t>)</w:t>
      </w:r>
      <w:r w:rsidR="009238FB">
        <w:t xml:space="preserve">; </w:t>
      </w:r>
      <w:r w:rsidR="009238FB" w:rsidRPr="009238FB">
        <w:rPr>
          <w:i/>
        </w:rPr>
        <w:t xml:space="preserve">see </w:t>
      </w:r>
      <w:proofErr w:type="spellStart"/>
      <w:r w:rsidR="009238FB" w:rsidRPr="009238FB">
        <w:rPr>
          <w:i/>
        </w:rPr>
        <w:t>Queenan</w:t>
      </w:r>
      <w:proofErr w:type="spellEnd"/>
      <w:r w:rsidR="009238FB" w:rsidRPr="009238FB">
        <w:rPr>
          <w:i/>
        </w:rPr>
        <w:t>, supra</w:t>
      </w:r>
      <w:r w:rsidR="009238FB">
        <w:t>, (“applicable law does not accord the opinions of treating physicians any higher evidentiary value nor are their opinions given presumptive weight in the determination by the panel</w:t>
      </w:r>
      <w:r w:rsidR="006F0020">
        <w:t>”</w:t>
      </w:r>
      <w:r w:rsidR="009238FB">
        <w:t>)</w:t>
      </w:r>
      <w:r w:rsidR="00EE2217">
        <w:t>.</w:t>
      </w:r>
      <w:r w:rsidR="009238FB">
        <w:t xml:space="preserve"> </w:t>
      </w:r>
      <w:r w:rsidRPr="00B717A3">
        <w:rPr>
          <w:i/>
        </w:rPr>
        <w:t>See also Stokes-de Salvo v. State Bd. of Ret.</w:t>
      </w:r>
      <w:r>
        <w:t xml:space="preserve">, Docket No. CR-12-401, Decision </w:t>
      </w:r>
      <w:r w:rsidRPr="00824747">
        <w:t>(</w:t>
      </w:r>
      <w:r>
        <w:t>Mass. Div. of Admin. Law App., Jul. 29, 2016).</w:t>
      </w:r>
      <w:r w:rsidR="00B07764">
        <w:t xml:space="preserve"> </w:t>
      </w:r>
    </w:p>
    <w:p w:rsidR="00B717A3" w:rsidRPr="00824747" w:rsidRDefault="00B07764" w:rsidP="00B07764">
      <w:pPr>
        <w:pStyle w:val="BodyText"/>
        <w:spacing w:after="0" w:line="496" w:lineRule="auto"/>
        <w:ind w:firstLine="720"/>
      </w:pPr>
      <w:r>
        <w:rPr>
          <w:lang w:val="en"/>
        </w:rPr>
        <w:t xml:space="preserve">In this case, </w:t>
      </w:r>
      <w:proofErr w:type="spellStart"/>
      <w:r>
        <w:rPr>
          <w:lang w:val="en"/>
        </w:rPr>
        <w:t>t</w:t>
      </w:r>
      <w:r w:rsidRPr="00C33A13">
        <w:t>he</w:t>
      </w:r>
      <w:proofErr w:type="spellEnd"/>
      <w:r w:rsidRPr="00C33A13">
        <w:t xml:space="preserve"> </w:t>
      </w:r>
      <w:r>
        <w:t>panel</w:t>
      </w:r>
      <w:r w:rsidRPr="00C33A13">
        <w:t xml:space="preserve"> included a reasoned explanation in its </w:t>
      </w:r>
      <w:r w:rsidR="00FB7EDC">
        <w:t>report</w:t>
      </w:r>
      <w:r>
        <w:t xml:space="preserve">, and </w:t>
      </w:r>
      <w:r w:rsidRPr="00C33A13">
        <w:t xml:space="preserve">did not disregard pertinent information in the materials.  </w:t>
      </w:r>
      <w:r w:rsidR="00FB7EDC">
        <w:t>The panel report</w:t>
      </w:r>
      <w:r w:rsidRPr="00C33A13">
        <w:t xml:space="preserve"> properly discussed Mr. </w:t>
      </w:r>
      <w:proofErr w:type="spellStart"/>
      <w:r>
        <w:t>Aliano’s</w:t>
      </w:r>
      <w:proofErr w:type="spellEnd"/>
      <w:r w:rsidRPr="00C33A13">
        <w:t xml:space="preserve"> </w:t>
      </w:r>
      <w:r>
        <w:t>medical</w:t>
      </w:r>
      <w:r w:rsidRPr="00C33A13">
        <w:t xml:space="preserve"> issues, treatment</w:t>
      </w:r>
      <w:r w:rsidR="0006762D">
        <w:t xml:space="preserve"> </w:t>
      </w:r>
      <w:r w:rsidR="0080529E">
        <w:t>and fitness for duty evaluation</w:t>
      </w:r>
      <w:r w:rsidR="0006762D">
        <w:t xml:space="preserve">. </w:t>
      </w:r>
      <w:r>
        <w:t xml:space="preserve">The </w:t>
      </w:r>
      <w:r w:rsidR="0006762D">
        <w:t>p</w:t>
      </w:r>
      <w:r w:rsidRPr="00C33A13">
        <w:t xml:space="preserve">anel’s narrative detailed its physical examination, which resulted in a diagnosis of </w:t>
      </w:r>
      <w:r w:rsidR="0006762D">
        <w:t xml:space="preserve">cervical and lumbar stenosis and spondylosis. </w:t>
      </w:r>
      <w:r>
        <w:t xml:space="preserve">The </w:t>
      </w:r>
      <w:r w:rsidR="0006762D">
        <w:t>p</w:t>
      </w:r>
      <w:r>
        <w:t xml:space="preserve">anel properly “considered the relationship between the nature of the disability and the </w:t>
      </w:r>
      <w:r>
        <w:lastRenderedPageBreak/>
        <w:t xml:space="preserve">employees’ job.”  </w:t>
      </w:r>
      <w:r>
        <w:rPr>
          <w:i/>
        </w:rPr>
        <w:t xml:space="preserve">See </w:t>
      </w:r>
      <w:r w:rsidRPr="005E5C54">
        <w:rPr>
          <w:i/>
        </w:rPr>
        <w:t>Fairbairn v. Contributory Ret. Appeal Bd</w:t>
      </w:r>
      <w:r>
        <w:t xml:space="preserve">. 54 Mass. App. Ct. 353, 357-62; </w:t>
      </w:r>
      <w:r w:rsidRPr="00B07764">
        <w:rPr>
          <w:i/>
        </w:rPr>
        <w:t>Malloy v. Weymouth Ret. Bd.,</w:t>
      </w:r>
      <w:r>
        <w:t xml:space="preserve"> Docket No. CR-11-253, Decision </w:t>
      </w:r>
      <w:r w:rsidRPr="00824747">
        <w:t>(</w:t>
      </w:r>
      <w:r>
        <w:t xml:space="preserve">Mass. Div. of Admin. Law App., June 29, 2018). </w:t>
      </w:r>
    </w:p>
    <w:p w:rsidR="00B717A3" w:rsidRDefault="00B717A3" w:rsidP="00B717A3">
      <w:pPr>
        <w:spacing w:line="480" w:lineRule="auto"/>
        <w:ind w:firstLine="720"/>
        <w:rPr>
          <w:lang w:val="en"/>
        </w:rPr>
      </w:pPr>
      <w:r w:rsidRPr="001B75E7">
        <w:rPr>
          <w:lang w:val="en"/>
        </w:rPr>
        <w:t xml:space="preserve">Accordingly, the </w:t>
      </w:r>
      <w:r>
        <w:rPr>
          <w:lang w:val="en"/>
        </w:rPr>
        <w:t>Somerville</w:t>
      </w:r>
      <w:r w:rsidRPr="001B75E7">
        <w:rPr>
          <w:lang w:val="en"/>
        </w:rPr>
        <w:t xml:space="preserve"> Board</w:t>
      </w:r>
      <w:r>
        <w:rPr>
          <w:lang w:val="en"/>
        </w:rPr>
        <w:t xml:space="preserve"> of Retirement</w:t>
      </w:r>
      <w:r w:rsidRPr="001B75E7">
        <w:rPr>
          <w:lang w:val="en"/>
        </w:rPr>
        <w:t xml:space="preserve">’s denial of </w:t>
      </w:r>
      <w:r>
        <w:rPr>
          <w:lang w:val="en"/>
        </w:rPr>
        <w:t xml:space="preserve">Charles </w:t>
      </w:r>
      <w:proofErr w:type="spellStart"/>
      <w:r>
        <w:rPr>
          <w:lang w:val="en"/>
        </w:rPr>
        <w:t>Aliano’s</w:t>
      </w:r>
      <w:proofErr w:type="spellEnd"/>
      <w:r w:rsidRPr="001B75E7">
        <w:rPr>
          <w:lang w:val="en"/>
        </w:rPr>
        <w:t xml:space="preserve"> application for accidental disab</w:t>
      </w:r>
      <w:r>
        <w:rPr>
          <w:lang w:val="en"/>
        </w:rPr>
        <w:t xml:space="preserve">ility retirement is affirmed. </w:t>
      </w:r>
    </w:p>
    <w:p w:rsidR="00AB38D6" w:rsidRPr="00B717A3" w:rsidRDefault="00AB38D6" w:rsidP="00B717A3">
      <w:pPr>
        <w:spacing w:line="480" w:lineRule="auto"/>
        <w:rPr>
          <w:rFonts w:cs="Courier New"/>
          <w:i/>
          <w:color w:val="000000"/>
          <w:lang w:val="en"/>
        </w:rPr>
      </w:pPr>
      <w:proofErr w:type="gramStart"/>
      <w:r>
        <w:t>SO ORDERED.</w:t>
      </w:r>
      <w:proofErr w:type="gramEnd"/>
    </w:p>
    <w:p w:rsidR="00D053B6" w:rsidRDefault="00450FA0" w:rsidP="00335956">
      <w:pPr>
        <w:spacing w:line="480" w:lineRule="auto"/>
      </w:pPr>
      <w:r>
        <w:t>D</w:t>
      </w:r>
      <w:r w:rsidR="00D053B6">
        <w:t>IVISION OF ADMINISTRATIVE LAW APPEALS</w:t>
      </w:r>
    </w:p>
    <w:p w:rsidR="00D053B6" w:rsidRDefault="00D053B6" w:rsidP="00D053B6">
      <w:pPr>
        <w:pStyle w:val="Header"/>
        <w:tabs>
          <w:tab w:val="clear" w:pos="4320"/>
          <w:tab w:val="clear" w:pos="8640"/>
        </w:tabs>
      </w:pPr>
    </w:p>
    <w:p w:rsidR="00D053B6" w:rsidRDefault="00D053B6" w:rsidP="00D053B6">
      <w:pPr>
        <w:pStyle w:val="Header"/>
        <w:tabs>
          <w:tab w:val="clear" w:pos="4320"/>
          <w:tab w:val="clear" w:pos="8640"/>
        </w:tabs>
      </w:pPr>
    </w:p>
    <w:p w:rsidR="00D053B6" w:rsidRDefault="00D053B6" w:rsidP="00335956">
      <w:pPr>
        <w:pStyle w:val="Header"/>
        <w:tabs>
          <w:tab w:val="clear" w:pos="4320"/>
          <w:tab w:val="clear" w:pos="8640"/>
        </w:tabs>
      </w:pPr>
      <w:r>
        <w:t xml:space="preserve">__________________________________________     </w:t>
      </w:r>
    </w:p>
    <w:p w:rsidR="00D053B6" w:rsidRDefault="00676E40" w:rsidP="00504594">
      <w:pPr>
        <w:pStyle w:val="Header"/>
        <w:tabs>
          <w:tab w:val="clear" w:pos="8640"/>
        </w:tabs>
      </w:pPr>
      <w:r w:rsidRPr="00676E40">
        <w:t>Angela McConney Scheepers</w:t>
      </w:r>
      <w:r w:rsidR="00D053B6">
        <w:t>, Esq.</w:t>
      </w:r>
      <w:r w:rsidR="00504594">
        <w:tab/>
      </w:r>
    </w:p>
    <w:p w:rsidR="00D053B6" w:rsidRDefault="00D053B6" w:rsidP="00335956">
      <w:pPr>
        <w:pStyle w:val="Header"/>
        <w:tabs>
          <w:tab w:val="clear" w:pos="4320"/>
          <w:tab w:val="clear" w:pos="8640"/>
        </w:tabs>
      </w:pPr>
      <w:r>
        <w:t>Administrative Magistrate</w:t>
      </w:r>
    </w:p>
    <w:p w:rsidR="00D053B6" w:rsidRDefault="00D053B6" w:rsidP="00D053B6">
      <w:pPr>
        <w:pStyle w:val="Header"/>
        <w:tabs>
          <w:tab w:val="clear" w:pos="4320"/>
          <w:tab w:val="clear" w:pos="8640"/>
        </w:tabs>
      </w:pPr>
    </w:p>
    <w:p w:rsidR="00ED70FF" w:rsidRDefault="00B84338" w:rsidP="00590901">
      <w:r>
        <w:t>D</w:t>
      </w:r>
      <w:r w:rsidR="00E259C8">
        <w:t>ated</w:t>
      </w:r>
      <w:r>
        <w:t xml:space="preserve">: </w:t>
      </w:r>
      <w:r w:rsidR="00335956">
        <w:t xml:space="preserve"> </w:t>
      </w:r>
      <w:r w:rsidR="006F17A8">
        <w:t xml:space="preserve">July </w:t>
      </w:r>
      <w:r w:rsidR="008E1521">
        <w:t>13</w:t>
      </w:r>
      <w:r w:rsidR="008C03FE" w:rsidRPr="00713057">
        <w:t>, 2018</w:t>
      </w:r>
      <w:r>
        <w:t xml:space="preserve"> </w:t>
      </w:r>
    </w:p>
    <w:p w:rsidR="0006762D" w:rsidRDefault="0006762D" w:rsidP="00590901"/>
    <w:sectPr w:rsidR="0006762D" w:rsidSect="00F672F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80" w:rsidRDefault="005D6180">
      <w:r>
        <w:separator/>
      </w:r>
    </w:p>
  </w:endnote>
  <w:endnote w:type="continuationSeparator" w:id="0">
    <w:p w:rsidR="005D6180" w:rsidRDefault="005D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55" w:rsidRDefault="00234F55"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F55" w:rsidRDefault="00234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55" w:rsidRDefault="00234F55"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EDB">
      <w:rPr>
        <w:rStyle w:val="PageNumber"/>
        <w:noProof/>
      </w:rPr>
      <w:t>15</w:t>
    </w:r>
    <w:r>
      <w:rPr>
        <w:rStyle w:val="PageNumber"/>
      </w:rPr>
      <w:fldChar w:fldCharType="end"/>
    </w:r>
  </w:p>
  <w:p w:rsidR="00234F55" w:rsidRDefault="00234F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55" w:rsidRDefault="00E27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80" w:rsidRDefault="005D6180">
      <w:r>
        <w:separator/>
      </w:r>
    </w:p>
  </w:footnote>
  <w:footnote w:type="continuationSeparator" w:id="0">
    <w:p w:rsidR="005D6180" w:rsidRDefault="005D6180">
      <w:r>
        <w:continuationSeparator/>
      </w:r>
    </w:p>
  </w:footnote>
  <w:footnote w:id="1">
    <w:p w:rsidR="00B82312" w:rsidRPr="00B82312" w:rsidRDefault="00B82312" w:rsidP="00B82312">
      <w:pPr>
        <w:pStyle w:val="FootnoteText"/>
        <w:ind w:firstLine="720"/>
        <w:rPr>
          <w:sz w:val="24"/>
          <w:szCs w:val="24"/>
        </w:rPr>
      </w:pPr>
      <w:r w:rsidRPr="00B82312">
        <w:rPr>
          <w:rStyle w:val="FootnoteReference"/>
          <w:sz w:val="24"/>
          <w:szCs w:val="24"/>
        </w:rPr>
        <w:footnoteRef/>
      </w:r>
      <w:r w:rsidRPr="00B82312">
        <w:rPr>
          <w:sz w:val="24"/>
          <w:szCs w:val="24"/>
        </w:rPr>
        <w:t xml:space="preserve"> </w:t>
      </w:r>
      <w:r w:rsidRPr="00B82312">
        <w:rPr>
          <w:sz w:val="24"/>
          <w:szCs w:val="24"/>
        </w:rPr>
        <w:tab/>
        <w:t>Degeneration or deficient development of a portion of the vertebra</w:t>
      </w:r>
      <w:r>
        <w:rPr>
          <w:sz w:val="24"/>
          <w:szCs w:val="24"/>
        </w:rPr>
        <w:t>,</w:t>
      </w:r>
      <w:r w:rsidRPr="00B82312">
        <w:rPr>
          <w:sz w:val="24"/>
          <w:szCs w:val="24"/>
        </w:rPr>
        <w:t xml:space="preserve"> </w:t>
      </w:r>
      <w:r w:rsidRPr="00B82312">
        <w:rPr>
          <w:i/>
          <w:sz w:val="24"/>
          <w:szCs w:val="24"/>
        </w:rPr>
        <w:t>Stedman’s Medical Dictionary</w:t>
      </w:r>
      <w:r w:rsidRPr="00B82312">
        <w:rPr>
          <w:sz w:val="24"/>
          <w:szCs w:val="24"/>
        </w:rPr>
        <w:t>, (28th ed. 2006.)</w:t>
      </w:r>
    </w:p>
    <w:p w:rsidR="00B82312" w:rsidRPr="00B82312" w:rsidRDefault="00B82312" w:rsidP="00B82312">
      <w:pPr>
        <w:pStyle w:val="FootnoteText"/>
        <w:ind w:firstLine="720"/>
        <w:rPr>
          <w:sz w:val="24"/>
          <w:szCs w:val="24"/>
        </w:rPr>
      </w:pPr>
    </w:p>
  </w:footnote>
  <w:footnote w:id="2">
    <w:p w:rsidR="00721FF4" w:rsidRPr="00721FF4" w:rsidRDefault="00721FF4" w:rsidP="00721FF4">
      <w:pPr>
        <w:pStyle w:val="FootnoteText"/>
        <w:ind w:left="720"/>
        <w:rPr>
          <w:sz w:val="24"/>
          <w:szCs w:val="24"/>
        </w:rPr>
      </w:pPr>
      <w:r>
        <w:rPr>
          <w:rStyle w:val="FootnoteReference"/>
        </w:rPr>
        <w:footnoteRef/>
      </w:r>
      <w:r w:rsidRPr="00721FF4">
        <w:rPr>
          <w:sz w:val="24"/>
          <w:szCs w:val="24"/>
        </w:rPr>
        <w:t xml:space="preserve"> </w:t>
      </w:r>
      <w:r>
        <w:rPr>
          <w:sz w:val="24"/>
          <w:szCs w:val="24"/>
        </w:rPr>
        <w:tab/>
        <w:t xml:space="preserve">A </w:t>
      </w:r>
      <w:r w:rsidRPr="00721FF4">
        <w:rPr>
          <w:sz w:val="24"/>
          <w:szCs w:val="24"/>
        </w:rPr>
        <w:t xml:space="preserve">stricture of any canal or orifice, </w:t>
      </w:r>
      <w:r w:rsidRPr="00721FF4">
        <w:rPr>
          <w:i/>
          <w:sz w:val="24"/>
          <w:szCs w:val="24"/>
        </w:rPr>
        <w:t>Stedman’s Medical Dictionary</w:t>
      </w:r>
      <w:r w:rsidRPr="00721FF4">
        <w:rPr>
          <w:sz w:val="24"/>
          <w:szCs w:val="24"/>
        </w:rPr>
        <w:t>, (28th ed. 2006.)</w:t>
      </w:r>
    </w:p>
    <w:p w:rsidR="00721FF4" w:rsidRDefault="00721FF4" w:rsidP="00721FF4">
      <w:pPr>
        <w:pStyle w:val="FootnoteText"/>
        <w:ind w:firstLine="720"/>
      </w:pPr>
    </w:p>
  </w:footnote>
  <w:footnote w:id="3">
    <w:p w:rsidR="00721FF4" w:rsidRPr="00721FF4" w:rsidRDefault="00721FF4" w:rsidP="00721FF4">
      <w:pPr>
        <w:pStyle w:val="FootnoteText"/>
        <w:ind w:firstLine="720"/>
        <w:rPr>
          <w:sz w:val="24"/>
          <w:szCs w:val="24"/>
        </w:rPr>
      </w:pPr>
      <w:r w:rsidRPr="00721FF4">
        <w:rPr>
          <w:rStyle w:val="FootnoteReference"/>
          <w:sz w:val="24"/>
          <w:szCs w:val="24"/>
        </w:rPr>
        <w:footnoteRef/>
      </w:r>
      <w:r w:rsidRPr="00721FF4">
        <w:rPr>
          <w:sz w:val="24"/>
          <w:szCs w:val="24"/>
        </w:rPr>
        <w:t xml:space="preserve"> </w:t>
      </w:r>
      <w:r w:rsidRPr="00721FF4">
        <w:rPr>
          <w:sz w:val="24"/>
          <w:szCs w:val="24"/>
        </w:rPr>
        <w:tab/>
        <w:t xml:space="preserve">Excision of a vertebral lamina, </w:t>
      </w:r>
      <w:r w:rsidRPr="00721FF4">
        <w:rPr>
          <w:i/>
          <w:sz w:val="24"/>
          <w:szCs w:val="24"/>
        </w:rPr>
        <w:t>Stedman’s Medical Dictionary</w:t>
      </w:r>
      <w:r w:rsidRPr="00721FF4">
        <w:rPr>
          <w:sz w:val="24"/>
          <w:szCs w:val="24"/>
        </w:rPr>
        <w:t>, (28th ed. 2006.)</w:t>
      </w:r>
    </w:p>
    <w:p w:rsidR="00721FF4" w:rsidRPr="00721FF4" w:rsidRDefault="00721FF4" w:rsidP="00721FF4">
      <w:pPr>
        <w:pStyle w:val="FootnoteText"/>
        <w:rPr>
          <w:sz w:val="24"/>
          <w:szCs w:val="24"/>
        </w:rPr>
      </w:pPr>
    </w:p>
  </w:footnote>
  <w:footnote w:id="4">
    <w:p w:rsidR="000F22CC" w:rsidRPr="00721FF4" w:rsidRDefault="000F22CC" w:rsidP="000F22CC">
      <w:pPr>
        <w:pStyle w:val="FootnoteText"/>
        <w:ind w:firstLine="720"/>
        <w:rPr>
          <w:sz w:val="24"/>
          <w:szCs w:val="24"/>
        </w:rPr>
      </w:pPr>
      <w:r w:rsidRPr="00721FF4">
        <w:rPr>
          <w:rStyle w:val="FootnoteReference"/>
          <w:sz w:val="24"/>
          <w:szCs w:val="24"/>
        </w:rPr>
        <w:footnoteRef/>
      </w:r>
      <w:r w:rsidRPr="00721FF4">
        <w:rPr>
          <w:sz w:val="24"/>
          <w:szCs w:val="24"/>
        </w:rPr>
        <w:t xml:space="preserve"> </w:t>
      </w:r>
      <w:r w:rsidRPr="00721FF4">
        <w:rPr>
          <w:sz w:val="24"/>
          <w:szCs w:val="24"/>
        </w:rPr>
        <w:tab/>
      </w:r>
      <w:r w:rsidR="00721FF4">
        <w:rPr>
          <w:sz w:val="24"/>
          <w:szCs w:val="24"/>
        </w:rPr>
        <w:t>Limping or walking with difficulty, usually intermittent,</w:t>
      </w:r>
      <w:r w:rsidRPr="00721FF4">
        <w:rPr>
          <w:sz w:val="24"/>
          <w:szCs w:val="24"/>
        </w:rPr>
        <w:t xml:space="preserve"> </w:t>
      </w:r>
      <w:r w:rsidRPr="00721FF4">
        <w:rPr>
          <w:i/>
          <w:sz w:val="24"/>
          <w:szCs w:val="24"/>
        </w:rPr>
        <w:t>Stedman’s Medical Dictionary</w:t>
      </w:r>
      <w:r w:rsidRPr="00721FF4">
        <w:rPr>
          <w:sz w:val="24"/>
          <w:szCs w:val="24"/>
        </w:rPr>
        <w:t>, (28th ed. 2006.)</w:t>
      </w:r>
    </w:p>
    <w:p w:rsidR="000F22CC" w:rsidRPr="00721FF4" w:rsidRDefault="000F22CC" w:rsidP="000F22CC">
      <w:pPr>
        <w:pStyle w:val="FootnoteText"/>
        <w:ind w:firstLine="720"/>
        <w:rPr>
          <w:sz w:val="24"/>
          <w:szCs w:val="24"/>
        </w:rPr>
      </w:pPr>
    </w:p>
  </w:footnote>
  <w:footnote w:id="5">
    <w:p w:rsidR="000502CC" w:rsidRPr="000502CC" w:rsidRDefault="000502CC" w:rsidP="000502CC">
      <w:pPr>
        <w:pStyle w:val="FootnoteText"/>
        <w:ind w:firstLine="720"/>
        <w:rPr>
          <w:sz w:val="24"/>
          <w:szCs w:val="24"/>
        </w:rPr>
      </w:pPr>
      <w:r w:rsidRPr="000502CC">
        <w:rPr>
          <w:rStyle w:val="FootnoteReference"/>
          <w:sz w:val="24"/>
          <w:szCs w:val="24"/>
        </w:rPr>
        <w:footnoteRef/>
      </w:r>
      <w:r w:rsidRPr="000502CC">
        <w:rPr>
          <w:sz w:val="24"/>
          <w:szCs w:val="24"/>
        </w:rPr>
        <w:t xml:space="preserve"> </w:t>
      </w:r>
      <w:r w:rsidRPr="000502CC">
        <w:rPr>
          <w:sz w:val="24"/>
          <w:szCs w:val="24"/>
        </w:rPr>
        <w:tab/>
        <w:t xml:space="preserve">The administrative record does not state Mr. </w:t>
      </w:r>
      <w:proofErr w:type="spellStart"/>
      <w:r w:rsidRPr="000502CC">
        <w:rPr>
          <w:sz w:val="24"/>
          <w:szCs w:val="24"/>
        </w:rPr>
        <w:t>Aliano’s</w:t>
      </w:r>
      <w:proofErr w:type="spellEnd"/>
      <w:r w:rsidRPr="000502CC">
        <w:rPr>
          <w:sz w:val="24"/>
          <w:szCs w:val="24"/>
        </w:rPr>
        <w:t xml:space="preserve"> last day of work. The date of the operation, October 3, 2011</w:t>
      </w:r>
      <w:r w:rsidR="00044FF7">
        <w:rPr>
          <w:sz w:val="24"/>
          <w:szCs w:val="24"/>
        </w:rPr>
        <w:t>,</w:t>
      </w:r>
      <w:r w:rsidRPr="000502CC">
        <w:rPr>
          <w:sz w:val="24"/>
          <w:szCs w:val="24"/>
        </w:rPr>
        <w:t xml:space="preserve"> was a Monday. It may be presumed that Mr. </w:t>
      </w:r>
      <w:proofErr w:type="spellStart"/>
      <w:r w:rsidRPr="000502CC">
        <w:rPr>
          <w:sz w:val="24"/>
          <w:szCs w:val="24"/>
        </w:rPr>
        <w:t>Aliano’s</w:t>
      </w:r>
      <w:proofErr w:type="spellEnd"/>
      <w:r w:rsidRPr="000502CC">
        <w:rPr>
          <w:sz w:val="24"/>
          <w:szCs w:val="24"/>
        </w:rPr>
        <w:t xml:space="preserve"> last day of work was </w:t>
      </w:r>
      <w:r w:rsidR="00721FF4">
        <w:rPr>
          <w:sz w:val="24"/>
          <w:szCs w:val="24"/>
        </w:rPr>
        <w:t xml:space="preserve">the previous </w:t>
      </w:r>
      <w:r w:rsidRPr="000502CC">
        <w:rPr>
          <w:sz w:val="24"/>
          <w:szCs w:val="24"/>
        </w:rPr>
        <w:t xml:space="preserve">Friday, September 30, 2011. </w:t>
      </w:r>
    </w:p>
  </w:footnote>
  <w:footnote w:id="6">
    <w:p w:rsidR="000502CC" w:rsidRPr="000502CC" w:rsidRDefault="000502CC" w:rsidP="000502CC">
      <w:pPr>
        <w:pStyle w:val="FootnoteText"/>
        <w:ind w:firstLine="720"/>
        <w:rPr>
          <w:sz w:val="24"/>
          <w:szCs w:val="24"/>
        </w:rPr>
      </w:pPr>
      <w:r w:rsidRPr="000502CC">
        <w:rPr>
          <w:rStyle w:val="FootnoteReference"/>
          <w:sz w:val="24"/>
          <w:szCs w:val="24"/>
        </w:rPr>
        <w:footnoteRef/>
      </w:r>
      <w:r w:rsidRPr="000502CC">
        <w:rPr>
          <w:sz w:val="24"/>
          <w:szCs w:val="24"/>
        </w:rPr>
        <w:t xml:space="preserve"> </w:t>
      </w:r>
      <w:r w:rsidRPr="000502CC">
        <w:rPr>
          <w:sz w:val="24"/>
          <w:szCs w:val="24"/>
        </w:rPr>
        <w:tab/>
        <w:t xml:space="preserve">Although </w:t>
      </w:r>
      <w:r>
        <w:rPr>
          <w:sz w:val="24"/>
          <w:szCs w:val="24"/>
        </w:rPr>
        <w:t xml:space="preserve">the parties reference </w:t>
      </w:r>
      <w:r w:rsidRPr="000502CC">
        <w:rPr>
          <w:sz w:val="24"/>
          <w:szCs w:val="24"/>
        </w:rPr>
        <w:t xml:space="preserve">an application for disability retirement in </w:t>
      </w:r>
      <w:r>
        <w:rPr>
          <w:sz w:val="24"/>
          <w:szCs w:val="24"/>
        </w:rPr>
        <w:t xml:space="preserve">the </w:t>
      </w:r>
      <w:r w:rsidRPr="000502CC">
        <w:rPr>
          <w:sz w:val="24"/>
          <w:szCs w:val="24"/>
        </w:rPr>
        <w:t>pleadings, there is no such application in the administrative record.</w:t>
      </w:r>
    </w:p>
  </w:footnote>
  <w:footnote w:id="7">
    <w:p w:rsidR="00EA07B0" w:rsidRPr="00824747" w:rsidRDefault="00EA07B0" w:rsidP="00EA07B0">
      <w:pPr>
        <w:pStyle w:val="BodyText"/>
        <w:spacing w:before="67" w:line="242" w:lineRule="auto"/>
        <w:ind w:firstLine="720"/>
      </w:pPr>
      <w:r w:rsidRPr="005E43D5">
        <w:rPr>
          <w:rStyle w:val="FootnoteReference"/>
        </w:rPr>
        <w:footnoteRef/>
      </w:r>
      <w:r>
        <w:t xml:space="preserve"> </w:t>
      </w:r>
      <w:r>
        <w:tab/>
      </w:r>
      <w:r w:rsidRPr="00824747">
        <w:t xml:space="preserve">G.L. c. 32, § </w:t>
      </w:r>
      <w:r>
        <w:t>7(1) and G.L. c. 32, § 6(3) “</w:t>
      </w:r>
      <w:r w:rsidRPr="00824747">
        <w:t xml:space="preserve">must be read </w:t>
      </w:r>
      <w:r>
        <w:t>together as a harmonious whole,” thereby inextricably</w:t>
      </w:r>
      <w:r w:rsidRPr="00824747">
        <w:t xml:space="preserve"> linking the injury or hazar</w:t>
      </w:r>
      <w:r>
        <w:t xml:space="preserve">d undergone in the performance </w:t>
      </w:r>
      <w:r w:rsidRPr="00824747">
        <w:t xml:space="preserve">of </w:t>
      </w:r>
      <w:r w:rsidR="008E1521">
        <w:t xml:space="preserve">a job </w:t>
      </w:r>
      <w:r w:rsidRPr="00824747">
        <w:t xml:space="preserve">duty with </w:t>
      </w:r>
      <w:r>
        <w:t xml:space="preserve">the </w:t>
      </w:r>
      <w:r w:rsidRPr="00824747">
        <w:t>requirement that such injury be the pr</w:t>
      </w:r>
      <w:r>
        <w:t xml:space="preserve">oximate cause of the claimed </w:t>
      </w:r>
      <w:r w:rsidRPr="00824747">
        <w:t>disability.</w:t>
      </w:r>
    </w:p>
    <w:p w:rsidR="00EA07B0" w:rsidRDefault="00EA07B0" w:rsidP="00EA07B0">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55" w:rsidRDefault="00E27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55" w:rsidRPr="00CA067F" w:rsidRDefault="00CE4BEF">
    <w:pPr>
      <w:pStyle w:val="Header"/>
      <w:rPr>
        <w:i/>
      </w:rPr>
    </w:pPr>
    <w:r>
      <w:rPr>
        <w:i/>
      </w:rPr>
      <w:t xml:space="preserve">Charles </w:t>
    </w:r>
    <w:proofErr w:type="spellStart"/>
    <w:r>
      <w:rPr>
        <w:i/>
      </w:rPr>
      <w:t>Aliano</w:t>
    </w:r>
    <w:proofErr w:type="spellEnd"/>
    <w:r w:rsidR="00234F55" w:rsidRPr="0031031C">
      <w:rPr>
        <w:i/>
      </w:rPr>
      <w:t xml:space="preserve"> </w:t>
    </w:r>
    <w:r w:rsidR="00234F55">
      <w:rPr>
        <w:i/>
      </w:rPr>
      <w:t xml:space="preserve">v. </w:t>
    </w:r>
    <w:r w:rsidR="00E27855">
      <w:rPr>
        <w:i/>
      </w:rPr>
      <w:t>Somerville Ret. Bd.</w:t>
    </w:r>
    <w:r w:rsidR="00E27855">
      <w:rPr>
        <w:i/>
      </w:rPr>
      <w:tab/>
    </w:r>
    <w:r w:rsidR="00E27855">
      <w:rPr>
        <w:i/>
      </w:rPr>
      <w:tab/>
    </w:r>
    <w:r>
      <w:rPr>
        <w:i/>
      </w:rPr>
      <w:t>CR-13-284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55" w:rsidRDefault="00E27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57B79"/>
    <w:multiLevelType w:val="hybridMultilevel"/>
    <w:tmpl w:val="45262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C6C25"/>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4E5642"/>
    <w:multiLevelType w:val="hybridMultilevel"/>
    <w:tmpl w:val="D014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47ADF"/>
    <w:multiLevelType w:val="hybridMultilevel"/>
    <w:tmpl w:val="13305D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076D8B"/>
    <w:multiLevelType w:val="hybridMultilevel"/>
    <w:tmpl w:val="98BCD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B30AA8"/>
    <w:multiLevelType w:val="hybridMultilevel"/>
    <w:tmpl w:val="B9A6B132"/>
    <w:lvl w:ilvl="0" w:tplc="78421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F4635A"/>
    <w:multiLevelType w:val="hybridMultilevel"/>
    <w:tmpl w:val="9C04BA44"/>
    <w:lvl w:ilvl="0" w:tplc="C4C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963D1F"/>
    <w:multiLevelType w:val="hybridMultilevel"/>
    <w:tmpl w:val="081ED2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81612B"/>
    <w:multiLevelType w:val="hybridMultilevel"/>
    <w:tmpl w:val="D6A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42E22"/>
    <w:multiLevelType w:val="hybridMultilevel"/>
    <w:tmpl w:val="FC026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7A2391C"/>
    <w:multiLevelType w:val="hybridMultilevel"/>
    <w:tmpl w:val="0C06A8FA"/>
    <w:lvl w:ilvl="0" w:tplc="90C6858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0C5F7A"/>
    <w:multiLevelType w:val="hybridMultilevel"/>
    <w:tmpl w:val="6D5A88BA"/>
    <w:lvl w:ilvl="0" w:tplc="F3F48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D56960"/>
    <w:multiLevelType w:val="hybridMultilevel"/>
    <w:tmpl w:val="4566D1AA"/>
    <w:lvl w:ilvl="0" w:tplc="CDA0F09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3D59D1"/>
    <w:multiLevelType w:val="hybridMultilevel"/>
    <w:tmpl w:val="2C68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00D31"/>
    <w:multiLevelType w:val="hybridMultilevel"/>
    <w:tmpl w:val="6E8C7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CE7936"/>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6"/>
  </w:num>
  <w:num w:numId="4">
    <w:abstractNumId w:val="7"/>
  </w:num>
  <w:num w:numId="5">
    <w:abstractNumId w:val="10"/>
  </w:num>
  <w:num w:numId="6">
    <w:abstractNumId w:val="4"/>
  </w:num>
  <w:num w:numId="7">
    <w:abstractNumId w:val="11"/>
  </w:num>
  <w:num w:numId="8">
    <w:abstractNumId w:val="1"/>
  </w:num>
  <w:num w:numId="9">
    <w:abstractNumId w:val="14"/>
  </w:num>
  <w:num w:numId="10">
    <w:abstractNumId w:val="3"/>
  </w:num>
  <w:num w:numId="11">
    <w:abstractNumId w:val="8"/>
  </w:num>
  <w:num w:numId="12">
    <w:abstractNumId w:val="15"/>
  </w:num>
  <w:num w:numId="13">
    <w:abstractNumId w:val="9"/>
  </w:num>
  <w:num w:numId="14">
    <w:abstractNumId w:val="13"/>
  </w:num>
  <w:num w:numId="15">
    <w:abstractNumId w:val="1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14"/>
    <w:rsid w:val="000004E1"/>
    <w:rsid w:val="000028A1"/>
    <w:rsid w:val="00002AD4"/>
    <w:rsid w:val="000035AC"/>
    <w:rsid w:val="00003D98"/>
    <w:rsid w:val="00004C55"/>
    <w:rsid w:val="00004E6F"/>
    <w:rsid w:val="0000722F"/>
    <w:rsid w:val="0000764A"/>
    <w:rsid w:val="00007F9F"/>
    <w:rsid w:val="0001194B"/>
    <w:rsid w:val="00012285"/>
    <w:rsid w:val="00014B75"/>
    <w:rsid w:val="0001644E"/>
    <w:rsid w:val="00017F26"/>
    <w:rsid w:val="00020EA3"/>
    <w:rsid w:val="000227AB"/>
    <w:rsid w:val="00025E79"/>
    <w:rsid w:val="00030420"/>
    <w:rsid w:val="00037096"/>
    <w:rsid w:val="000376F2"/>
    <w:rsid w:val="000422A9"/>
    <w:rsid w:val="00042AB7"/>
    <w:rsid w:val="00044FF7"/>
    <w:rsid w:val="00045254"/>
    <w:rsid w:val="000465D6"/>
    <w:rsid w:val="000502CC"/>
    <w:rsid w:val="00050C07"/>
    <w:rsid w:val="00053385"/>
    <w:rsid w:val="00054379"/>
    <w:rsid w:val="000612D3"/>
    <w:rsid w:val="000641EB"/>
    <w:rsid w:val="00066EB4"/>
    <w:rsid w:val="0006762D"/>
    <w:rsid w:val="00067C4B"/>
    <w:rsid w:val="00070836"/>
    <w:rsid w:val="00071D7B"/>
    <w:rsid w:val="00074148"/>
    <w:rsid w:val="00080E94"/>
    <w:rsid w:val="0008486A"/>
    <w:rsid w:val="00085438"/>
    <w:rsid w:val="0008704C"/>
    <w:rsid w:val="00090EFE"/>
    <w:rsid w:val="000927A3"/>
    <w:rsid w:val="00092A67"/>
    <w:rsid w:val="0009550D"/>
    <w:rsid w:val="00095AE9"/>
    <w:rsid w:val="000A2143"/>
    <w:rsid w:val="000A32D4"/>
    <w:rsid w:val="000A7B4C"/>
    <w:rsid w:val="000B1D88"/>
    <w:rsid w:val="000B53FB"/>
    <w:rsid w:val="000B6113"/>
    <w:rsid w:val="000C090B"/>
    <w:rsid w:val="000C395F"/>
    <w:rsid w:val="000C50B2"/>
    <w:rsid w:val="000C7C31"/>
    <w:rsid w:val="000D2F4C"/>
    <w:rsid w:val="000D3133"/>
    <w:rsid w:val="000D45D5"/>
    <w:rsid w:val="000D4ACD"/>
    <w:rsid w:val="000D6602"/>
    <w:rsid w:val="000E2E2D"/>
    <w:rsid w:val="000E2F86"/>
    <w:rsid w:val="000E37CD"/>
    <w:rsid w:val="000E3C26"/>
    <w:rsid w:val="000E534B"/>
    <w:rsid w:val="000E69F4"/>
    <w:rsid w:val="000F17A7"/>
    <w:rsid w:val="000F1855"/>
    <w:rsid w:val="000F22CC"/>
    <w:rsid w:val="000F31E7"/>
    <w:rsid w:val="000F4533"/>
    <w:rsid w:val="000F5C12"/>
    <w:rsid w:val="000F6CC8"/>
    <w:rsid w:val="001019D9"/>
    <w:rsid w:val="00103B93"/>
    <w:rsid w:val="00103DE6"/>
    <w:rsid w:val="00104E0C"/>
    <w:rsid w:val="00110809"/>
    <w:rsid w:val="0011114F"/>
    <w:rsid w:val="0011174F"/>
    <w:rsid w:val="00111BBF"/>
    <w:rsid w:val="00123166"/>
    <w:rsid w:val="001239DC"/>
    <w:rsid w:val="00123B02"/>
    <w:rsid w:val="0012474F"/>
    <w:rsid w:val="00125860"/>
    <w:rsid w:val="0013070A"/>
    <w:rsid w:val="00131735"/>
    <w:rsid w:val="00133B5B"/>
    <w:rsid w:val="00140A4C"/>
    <w:rsid w:val="00141517"/>
    <w:rsid w:val="00143909"/>
    <w:rsid w:val="001444DB"/>
    <w:rsid w:val="00145804"/>
    <w:rsid w:val="00145BB3"/>
    <w:rsid w:val="00146037"/>
    <w:rsid w:val="00147275"/>
    <w:rsid w:val="0015004E"/>
    <w:rsid w:val="001502A8"/>
    <w:rsid w:val="00150328"/>
    <w:rsid w:val="00150488"/>
    <w:rsid w:val="00150B4E"/>
    <w:rsid w:val="00154081"/>
    <w:rsid w:val="001605EE"/>
    <w:rsid w:val="0016187A"/>
    <w:rsid w:val="00162051"/>
    <w:rsid w:val="00165998"/>
    <w:rsid w:val="001675CA"/>
    <w:rsid w:val="0017115B"/>
    <w:rsid w:val="00173DCE"/>
    <w:rsid w:val="001745D7"/>
    <w:rsid w:val="00174D21"/>
    <w:rsid w:val="00175B28"/>
    <w:rsid w:val="00175CDB"/>
    <w:rsid w:val="00175EEB"/>
    <w:rsid w:val="00177D76"/>
    <w:rsid w:val="00177E35"/>
    <w:rsid w:val="0018378F"/>
    <w:rsid w:val="001855D5"/>
    <w:rsid w:val="00191CBB"/>
    <w:rsid w:val="0019522F"/>
    <w:rsid w:val="001960E5"/>
    <w:rsid w:val="001967F3"/>
    <w:rsid w:val="001A074C"/>
    <w:rsid w:val="001A2E1C"/>
    <w:rsid w:val="001A3813"/>
    <w:rsid w:val="001A5421"/>
    <w:rsid w:val="001A62E7"/>
    <w:rsid w:val="001A75ED"/>
    <w:rsid w:val="001A7A69"/>
    <w:rsid w:val="001B07C2"/>
    <w:rsid w:val="001B1AFA"/>
    <w:rsid w:val="001B2553"/>
    <w:rsid w:val="001B54F7"/>
    <w:rsid w:val="001B5B30"/>
    <w:rsid w:val="001B661B"/>
    <w:rsid w:val="001B7842"/>
    <w:rsid w:val="001C0F05"/>
    <w:rsid w:val="001C3213"/>
    <w:rsid w:val="001C3F48"/>
    <w:rsid w:val="001C40CA"/>
    <w:rsid w:val="001C607B"/>
    <w:rsid w:val="001C7905"/>
    <w:rsid w:val="001D2808"/>
    <w:rsid w:val="001D5110"/>
    <w:rsid w:val="001D6DF7"/>
    <w:rsid w:val="001D7CA9"/>
    <w:rsid w:val="001E0550"/>
    <w:rsid w:val="001E1595"/>
    <w:rsid w:val="001E2472"/>
    <w:rsid w:val="001E27D8"/>
    <w:rsid w:val="001E46B7"/>
    <w:rsid w:val="001E4C61"/>
    <w:rsid w:val="001E6F13"/>
    <w:rsid w:val="001E719E"/>
    <w:rsid w:val="001E7DBE"/>
    <w:rsid w:val="001F0567"/>
    <w:rsid w:val="001F2E43"/>
    <w:rsid w:val="001F3242"/>
    <w:rsid w:val="001F50B9"/>
    <w:rsid w:val="001F6051"/>
    <w:rsid w:val="001F66F0"/>
    <w:rsid w:val="001F758D"/>
    <w:rsid w:val="001F786C"/>
    <w:rsid w:val="00201BB8"/>
    <w:rsid w:val="002037D3"/>
    <w:rsid w:val="002114E1"/>
    <w:rsid w:val="002121A4"/>
    <w:rsid w:val="002125F7"/>
    <w:rsid w:val="00212BBF"/>
    <w:rsid w:val="00216854"/>
    <w:rsid w:val="00220851"/>
    <w:rsid w:val="00220DE8"/>
    <w:rsid w:val="00220FC6"/>
    <w:rsid w:val="00222E2A"/>
    <w:rsid w:val="002243CA"/>
    <w:rsid w:val="0022568C"/>
    <w:rsid w:val="00225801"/>
    <w:rsid w:val="002274C2"/>
    <w:rsid w:val="00227DED"/>
    <w:rsid w:val="00234C41"/>
    <w:rsid w:val="00234F55"/>
    <w:rsid w:val="0023552F"/>
    <w:rsid w:val="00236E70"/>
    <w:rsid w:val="0024017A"/>
    <w:rsid w:val="002410A6"/>
    <w:rsid w:val="00244ADF"/>
    <w:rsid w:val="002518A2"/>
    <w:rsid w:val="00253609"/>
    <w:rsid w:val="002538DA"/>
    <w:rsid w:val="0025495E"/>
    <w:rsid w:val="0025699F"/>
    <w:rsid w:val="00260D77"/>
    <w:rsid w:val="002616A3"/>
    <w:rsid w:val="00271967"/>
    <w:rsid w:val="00271B0F"/>
    <w:rsid w:val="0027241A"/>
    <w:rsid w:val="00274F4B"/>
    <w:rsid w:val="002757B9"/>
    <w:rsid w:val="00283330"/>
    <w:rsid w:val="00283AE4"/>
    <w:rsid w:val="0028524B"/>
    <w:rsid w:val="0028529F"/>
    <w:rsid w:val="0028559E"/>
    <w:rsid w:val="002863F7"/>
    <w:rsid w:val="0028758D"/>
    <w:rsid w:val="00291F1E"/>
    <w:rsid w:val="00292684"/>
    <w:rsid w:val="002935F1"/>
    <w:rsid w:val="0029456B"/>
    <w:rsid w:val="002945F8"/>
    <w:rsid w:val="002959D8"/>
    <w:rsid w:val="002A1E68"/>
    <w:rsid w:val="002A4473"/>
    <w:rsid w:val="002A7804"/>
    <w:rsid w:val="002B3268"/>
    <w:rsid w:val="002B3AAD"/>
    <w:rsid w:val="002B4497"/>
    <w:rsid w:val="002B5D20"/>
    <w:rsid w:val="002C3551"/>
    <w:rsid w:val="002D059F"/>
    <w:rsid w:val="002D0E27"/>
    <w:rsid w:val="002D17DE"/>
    <w:rsid w:val="002D669A"/>
    <w:rsid w:val="002D70D7"/>
    <w:rsid w:val="002D7CB6"/>
    <w:rsid w:val="002E0FB5"/>
    <w:rsid w:val="002E3420"/>
    <w:rsid w:val="002E4C33"/>
    <w:rsid w:val="002E7E52"/>
    <w:rsid w:val="002F0623"/>
    <w:rsid w:val="002F197C"/>
    <w:rsid w:val="002F1A8D"/>
    <w:rsid w:val="002F4A06"/>
    <w:rsid w:val="002F4F65"/>
    <w:rsid w:val="002F55BE"/>
    <w:rsid w:val="00300219"/>
    <w:rsid w:val="00302375"/>
    <w:rsid w:val="00303D35"/>
    <w:rsid w:val="00305D66"/>
    <w:rsid w:val="003063CB"/>
    <w:rsid w:val="00306AC4"/>
    <w:rsid w:val="003077D7"/>
    <w:rsid w:val="0031031C"/>
    <w:rsid w:val="003115D5"/>
    <w:rsid w:val="00311B44"/>
    <w:rsid w:val="00313EEE"/>
    <w:rsid w:val="003213AC"/>
    <w:rsid w:val="00324B00"/>
    <w:rsid w:val="00325C21"/>
    <w:rsid w:val="00331654"/>
    <w:rsid w:val="0033181E"/>
    <w:rsid w:val="00335956"/>
    <w:rsid w:val="0033691B"/>
    <w:rsid w:val="00343FA5"/>
    <w:rsid w:val="00344AE5"/>
    <w:rsid w:val="0034540E"/>
    <w:rsid w:val="0034657D"/>
    <w:rsid w:val="00352899"/>
    <w:rsid w:val="00357CC1"/>
    <w:rsid w:val="00361501"/>
    <w:rsid w:val="003619CA"/>
    <w:rsid w:val="00362A22"/>
    <w:rsid w:val="00362CA0"/>
    <w:rsid w:val="003634C0"/>
    <w:rsid w:val="00363A9F"/>
    <w:rsid w:val="00364BEE"/>
    <w:rsid w:val="00365306"/>
    <w:rsid w:val="00367362"/>
    <w:rsid w:val="00373F0D"/>
    <w:rsid w:val="00376316"/>
    <w:rsid w:val="00377D07"/>
    <w:rsid w:val="0038129B"/>
    <w:rsid w:val="0038309F"/>
    <w:rsid w:val="00383D9E"/>
    <w:rsid w:val="003842D6"/>
    <w:rsid w:val="00384D84"/>
    <w:rsid w:val="0038520B"/>
    <w:rsid w:val="0038610E"/>
    <w:rsid w:val="00386226"/>
    <w:rsid w:val="00386FB0"/>
    <w:rsid w:val="003904C4"/>
    <w:rsid w:val="003949F4"/>
    <w:rsid w:val="00395757"/>
    <w:rsid w:val="00396114"/>
    <w:rsid w:val="003A147A"/>
    <w:rsid w:val="003A1871"/>
    <w:rsid w:val="003A1CD5"/>
    <w:rsid w:val="003A2E17"/>
    <w:rsid w:val="003A31C9"/>
    <w:rsid w:val="003A4897"/>
    <w:rsid w:val="003A4E6D"/>
    <w:rsid w:val="003A7067"/>
    <w:rsid w:val="003B11DA"/>
    <w:rsid w:val="003B1D46"/>
    <w:rsid w:val="003B20F4"/>
    <w:rsid w:val="003B52A1"/>
    <w:rsid w:val="003C1616"/>
    <w:rsid w:val="003C55FD"/>
    <w:rsid w:val="003C59FA"/>
    <w:rsid w:val="003C6CBA"/>
    <w:rsid w:val="003C76E4"/>
    <w:rsid w:val="003D215E"/>
    <w:rsid w:val="003D24A2"/>
    <w:rsid w:val="003D2F65"/>
    <w:rsid w:val="003D44CC"/>
    <w:rsid w:val="003E0C96"/>
    <w:rsid w:val="003E1CE5"/>
    <w:rsid w:val="003E1D1C"/>
    <w:rsid w:val="003E2A60"/>
    <w:rsid w:val="003E2E26"/>
    <w:rsid w:val="003E3DA6"/>
    <w:rsid w:val="003E627F"/>
    <w:rsid w:val="003E771F"/>
    <w:rsid w:val="003F38AE"/>
    <w:rsid w:val="003F4F57"/>
    <w:rsid w:val="00401B52"/>
    <w:rsid w:val="00402E08"/>
    <w:rsid w:val="00404B98"/>
    <w:rsid w:val="00407122"/>
    <w:rsid w:val="00410F14"/>
    <w:rsid w:val="0041104D"/>
    <w:rsid w:val="00412D76"/>
    <w:rsid w:val="004149F6"/>
    <w:rsid w:val="00414C46"/>
    <w:rsid w:val="004152C8"/>
    <w:rsid w:val="00415C44"/>
    <w:rsid w:val="00420189"/>
    <w:rsid w:val="0042421D"/>
    <w:rsid w:val="0042775B"/>
    <w:rsid w:val="00430B7E"/>
    <w:rsid w:val="00430F16"/>
    <w:rsid w:val="004311FE"/>
    <w:rsid w:val="00431F05"/>
    <w:rsid w:val="00432551"/>
    <w:rsid w:val="004370CA"/>
    <w:rsid w:val="00440DF0"/>
    <w:rsid w:val="00441EF2"/>
    <w:rsid w:val="004429BE"/>
    <w:rsid w:val="00443323"/>
    <w:rsid w:val="00445E6D"/>
    <w:rsid w:val="00447C2D"/>
    <w:rsid w:val="00450FA0"/>
    <w:rsid w:val="00451FAC"/>
    <w:rsid w:val="00452513"/>
    <w:rsid w:val="00456099"/>
    <w:rsid w:val="004560A8"/>
    <w:rsid w:val="0045628B"/>
    <w:rsid w:val="00457FDF"/>
    <w:rsid w:val="00462FA5"/>
    <w:rsid w:val="00463000"/>
    <w:rsid w:val="004706A8"/>
    <w:rsid w:val="00470A78"/>
    <w:rsid w:val="00472F59"/>
    <w:rsid w:val="004768AB"/>
    <w:rsid w:val="00477118"/>
    <w:rsid w:val="004773A3"/>
    <w:rsid w:val="00482E22"/>
    <w:rsid w:val="00484AE4"/>
    <w:rsid w:val="004851B0"/>
    <w:rsid w:val="004851ED"/>
    <w:rsid w:val="00485E4E"/>
    <w:rsid w:val="004905E4"/>
    <w:rsid w:val="00495B78"/>
    <w:rsid w:val="004A04A6"/>
    <w:rsid w:val="004A11FD"/>
    <w:rsid w:val="004A1725"/>
    <w:rsid w:val="004A3322"/>
    <w:rsid w:val="004A476C"/>
    <w:rsid w:val="004A4D85"/>
    <w:rsid w:val="004A6C45"/>
    <w:rsid w:val="004A794B"/>
    <w:rsid w:val="004B083C"/>
    <w:rsid w:val="004B1AF9"/>
    <w:rsid w:val="004B5993"/>
    <w:rsid w:val="004B5F87"/>
    <w:rsid w:val="004B6378"/>
    <w:rsid w:val="004B64C1"/>
    <w:rsid w:val="004B7509"/>
    <w:rsid w:val="004C15A5"/>
    <w:rsid w:val="004C4E0C"/>
    <w:rsid w:val="004D1B2F"/>
    <w:rsid w:val="004D3A85"/>
    <w:rsid w:val="004D6BA1"/>
    <w:rsid w:val="004D73AE"/>
    <w:rsid w:val="004E1449"/>
    <w:rsid w:val="004E1C1C"/>
    <w:rsid w:val="004E20BA"/>
    <w:rsid w:val="004E2D9F"/>
    <w:rsid w:val="004E4166"/>
    <w:rsid w:val="004E67F0"/>
    <w:rsid w:val="004F0B18"/>
    <w:rsid w:val="004F0F56"/>
    <w:rsid w:val="004F3A3D"/>
    <w:rsid w:val="004F5030"/>
    <w:rsid w:val="004F55DA"/>
    <w:rsid w:val="004F5708"/>
    <w:rsid w:val="004F6F1A"/>
    <w:rsid w:val="00500949"/>
    <w:rsid w:val="00500CAF"/>
    <w:rsid w:val="00502599"/>
    <w:rsid w:val="005042D8"/>
    <w:rsid w:val="00504594"/>
    <w:rsid w:val="00504984"/>
    <w:rsid w:val="005105D8"/>
    <w:rsid w:val="005119B7"/>
    <w:rsid w:val="0051324E"/>
    <w:rsid w:val="00514AC8"/>
    <w:rsid w:val="00520A59"/>
    <w:rsid w:val="00522AF8"/>
    <w:rsid w:val="00523125"/>
    <w:rsid w:val="0052394C"/>
    <w:rsid w:val="00523BD0"/>
    <w:rsid w:val="00524C9E"/>
    <w:rsid w:val="00525157"/>
    <w:rsid w:val="00525E14"/>
    <w:rsid w:val="005260ED"/>
    <w:rsid w:val="00526A4C"/>
    <w:rsid w:val="00526C0A"/>
    <w:rsid w:val="00526FAE"/>
    <w:rsid w:val="00527A6C"/>
    <w:rsid w:val="0053372D"/>
    <w:rsid w:val="005340EC"/>
    <w:rsid w:val="005344E5"/>
    <w:rsid w:val="00534E43"/>
    <w:rsid w:val="005360C7"/>
    <w:rsid w:val="005363C5"/>
    <w:rsid w:val="00537607"/>
    <w:rsid w:val="00542558"/>
    <w:rsid w:val="00542900"/>
    <w:rsid w:val="005466BE"/>
    <w:rsid w:val="00546C1F"/>
    <w:rsid w:val="0054713F"/>
    <w:rsid w:val="00550F8D"/>
    <w:rsid w:val="0055240C"/>
    <w:rsid w:val="00552B1C"/>
    <w:rsid w:val="00561091"/>
    <w:rsid w:val="00566BB6"/>
    <w:rsid w:val="00572B7B"/>
    <w:rsid w:val="00572C01"/>
    <w:rsid w:val="005734F1"/>
    <w:rsid w:val="00574999"/>
    <w:rsid w:val="005763CE"/>
    <w:rsid w:val="005777CD"/>
    <w:rsid w:val="00581999"/>
    <w:rsid w:val="005850FE"/>
    <w:rsid w:val="00587713"/>
    <w:rsid w:val="00590901"/>
    <w:rsid w:val="00591533"/>
    <w:rsid w:val="00592FE9"/>
    <w:rsid w:val="00593777"/>
    <w:rsid w:val="00594A75"/>
    <w:rsid w:val="0059526F"/>
    <w:rsid w:val="00595EA9"/>
    <w:rsid w:val="00596BBD"/>
    <w:rsid w:val="005A1767"/>
    <w:rsid w:val="005A1F7F"/>
    <w:rsid w:val="005A4305"/>
    <w:rsid w:val="005A55AB"/>
    <w:rsid w:val="005A65C7"/>
    <w:rsid w:val="005B074B"/>
    <w:rsid w:val="005B081C"/>
    <w:rsid w:val="005B6A10"/>
    <w:rsid w:val="005B70E3"/>
    <w:rsid w:val="005C2911"/>
    <w:rsid w:val="005C567D"/>
    <w:rsid w:val="005C60E3"/>
    <w:rsid w:val="005C7066"/>
    <w:rsid w:val="005D0061"/>
    <w:rsid w:val="005D2711"/>
    <w:rsid w:val="005D370C"/>
    <w:rsid w:val="005D59E6"/>
    <w:rsid w:val="005D6180"/>
    <w:rsid w:val="005E05D3"/>
    <w:rsid w:val="005E0924"/>
    <w:rsid w:val="005E3B68"/>
    <w:rsid w:val="005E3DAF"/>
    <w:rsid w:val="005E7BAD"/>
    <w:rsid w:val="005F134F"/>
    <w:rsid w:val="005F1D95"/>
    <w:rsid w:val="005F2DE7"/>
    <w:rsid w:val="005F436F"/>
    <w:rsid w:val="005F4D7C"/>
    <w:rsid w:val="005F520F"/>
    <w:rsid w:val="005F5213"/>
    <w:rsid w:val="005F53AF"/>
    <w:rsid w:val="005F5B2A"/>
    <w:rsid w:val="0060252D"/>
    <w:rsid w:val="00602E09"/>
    <w:rsid w:val="00602F7E"/>
    <w:rsid w:val="0060782E"/>
    <w:rsid w:val="00611993"/>
    <w:rsid w:val="00613816"/>
    <w:rsid w:val="00613C19"/>
    <w:rsid w:val="006154CD"/>
    <w:rsid w:val="0062061C"/>
    <w:rsid w:val="0062172B"/>
    <w:rsid w:val="0062216C"/>
    <w:rsid w:val="00626C78"/>
    <w:rsid w:val="006277D7"/>
    <w:rsid w:val="00630864"/>
    <w:rsid w:val="006325D3"/>
    <w:rsid w:val="00633217"/>
    <w:rsid w:val="0063384B"/>
    <w:rsid w:val="00634669"/>
    <w:rsid w:val="00634A54"/>
    <w:rsid w:val="00635B27"/>
    <w:rsid w:val="00636084"/>
    <w:rsid w:val="0063789E"/>
    <w:rsid w:val="00640453"/>
    <w:rsid w:val="00640A2B"/>
    <w:rsid w:val="00642926"/>
    <w:rsid w:val="006454E4"/>
    <w:rsid w:val="00651E10"/>
    <w:rsid w:val="00652341"/>
    <w:rsid w:val="006523BB"/>
    <w:rsid w:val="006527E5"/>
    <w:rsid w:val="00661FFD"/>
    <w:rsid w:val="0066677F"/>
    <w:rsid w:val="00666A74"/>
    <w:rsid w:val="006670E7"/>
    <w:rsid w:val="00667BFD"/>
    <w:rsid w:val="006705E5"/>
    <w:rsid w:val="00671956"/>
    <w:rsid w:val="00673832"/>
    <w:rsid w:val="00675392"/>
    <w:rsid w:val="00675465"/>
    <w:rsid w:val="00676E40"/>
    <w:rsid w:val="00683EDF"/>
    <w:rsid w:val="00685911"/>
    <w:rsid w:val="00685C9F"/>
    <w:rsid w:val="006862BC"/>
    <w:rsid w:val="00686927"/>
    <w:rsid w:val="006871D1"/>
    <w:rsid w:val="006A51E1"/>
    <w:rsid w:val="006A551F"/>
    <w:rsid w:val="006A7006"/>
    <w:rsid w:val="006B0DE3"/>
    <w:rsid w:val="006B1EC5"/>
    <w:rsid w:val="006B4C6A"/>
    <w:rsid w:val="006B6226"/>
    <w:rsid w:val="006B78F7"/>
    <w:rsid w:val="006C058D"/>
    <w:rsid w:val="006C0AEC"/>
    <w:rsid w:val="006C0C1F"/>
    <w:rsid w:val="006C178A"/>
    <w:rsid w:val="006C42EC"/>
    <w:rsid w:val="006C6AB7"/>
    <w:rsid w:val="006D1BEC"/>
    <w:rsid w:val="006D4014"/>
    <w:rsid w:val="006D44E9"/>
    <w:rsid w:val="006D7363"/>
    <w:rsid w:val="006E06C9"/>
    <w:rsid w:val="006E070B"/>
    <w:rsid w:val="006E1F0C"/>
    <w:rsid w:val="006E27DE"/>
    <w:rsid w:val="006E52FE"/>
    <w:rsid w:val="006E5E23"/>
    <w:rsid w:val="006E68E2"/>
    <w:rsid w:val="006E7947"/>
    <w:rsid w:val="006F0020"/>
    <w:rsid w:val="006F17A8"/>
    <w:rsid w:val="006F1B94"/>
    <w:rsid w:val="00702279"/>
    <w:rsid w:val="007037E5"/>
    <w:rsid w:val="00704D08"/>
    <w:rsid w:val="007068A4"/>
    <w:rsid w:val="00706E3E"/>
    <w:rsid w:val="00713057"/>
    <w:rsid w:val="00713AC1"/>
    <w:rsid w:val="00715120"/>
    <w:rsid w:val="007151CF"/>
    <w:rsid w:val="007165AB"/>
    <w:rsid w:val="007167BB"/>
    <w:rsid w:val="00720DDA"/>
    <w:rsid w:val="007212D4"/>
    <w:rsid w:val="00721FF4"/>
    <w:rsid w:val="00725332"/>
    <w:rsid w:val="00726BB7"/>
    <w:rsid w:val="0072749E"/>
    <w:rsid w:val="007274EB"/>
    <w:rsid w:val="007278AD"/>
    <w:rsid w:val="00727D86"/>
    <w:rsid w:val="0073022B"/>
    <w:rsid w:val="00730D32"/>
    <w:rsid w:val="00731C8E"/>
    <w:rsid w:val="00732636"/>
    <w:rsid w:val="007326D8"/>
    <w:rsid w:val="00734727"/>
    <w:rsid w:val="007350DC"/>
    <w:rsid w:val="0073780E"/>
    <w:rsid w:val="00737C72"/>
    <w:rsid w:val="00743ADF"/>
    <w:rsid w:val="00745C16"/>
    <w:rsid w:val="00746D1B"/>
    <w:rsid w:val="0074706C"/>
    <w:rsid w:val="007505D6"/>
    <w:rsid w:val="0075272C"/>
    <w:rsid w:val="00752AF1"/>
    <w:rsid w:val="00752C62"/>
    <w:rsid w:val="00757B17"/>
    <w:rsid w:val="0076294F"/>
    <w:rsid w:val="00763D1D"/>
    <w:rsid w:val="007670D7"/>
    <w:rsid w:val="00770A9B"/>
    <w:rsid w:val="007720CB"/>
    <w:rsid w:val="0077412B"/>
    <w:rsid w:val="00784154"/>
    <w:rsid w:val="007874D5"/>
    <w:rsid w:val="00787553"/>
    <w:rsid w:val="0079238D"/>
    <w:rsid w:val="00794D01"/>
    <w:rsid w:val="00797A7A"/>
    <w:rsid w:val="00797D52"/>
    <w:rsid w:val="007A0527"/>
    <w:rsid w:val="007A2070"/>
    <w:rsid w:val="007A44C9"/>
    <w:rsid w:val="007B117E"/>
    <w:rsid w:val="007B4538"/>
    <w:rsid w:val="007B4702"/>
    <w:rsid w:val="007C3B77"/>
    <w:rsid w:val="007C4397"/>
    <w:rsid w:val="007C68D6"/>
    <w:rsid w:val="007C7093"/>
    <w:rsid w:val="007D0EDD"/>
    <w:rsid w:val="007D1EDB"/>
    <w:rsid w:val="007D3487"/>
    <w:rsid w:val="007D4609"/>
    <w:rsid w:val="007D4827"/>
    <w:rsid w:val="007E3C59"/>
    <w:rsid w:val="007E3DAA"/>
    <w:rsid w:val="007E7158"/>
    <w:rsid w:val="007F5EC4"/>
    <w:rsid w:val="007F6EA1"/>
    <w:rsid w:val="007F70E0"/>
    <w:rsid w:val="0080111A"/>
    <w:rsid w:val="0080152F"/>
    <w:rsid w:val="00802EFF"/>
    <w:rsid w:val="00803031"/>
    <w:rsid w:val="00804753"/>
    <w:rsid w:val="0080529E"/>
    <w:rsid w:val="008066CB"/>
    <w:rsid w:val="00806CA6"/>
    <w:rsid w:val="00810809"/>
    <w:rsid w:val="008117ED"/>
    <w:rsid w:val="0081575C"/>
    <w:rsid w:val="0082039A"/>
    <w:rsid w:val="0082094C"/>
    <w:rsid w:val="00822CF8"/>
    <w:rsid w:val="00823346"/>
    <w:rsid w:val="0082355C"/>
    <w:rsid w:val="00824479"/>
    <w:rsid w:val="00825180"/>
    <w:rsid w:val="00831617"/>
    <w:rsid w:val="00832137"/>
    <w:rsid w:val="0083244C"/>
    <w:rsid w:val="00832839"/>
    <w:rsid w:val="00832A39"/>
    <w:rsid w:val="00837DCF"/>
    <w:rsid w:val="008411F9"/>
    <w:rsid w:val="0084391A"/>
    <w:rsid w:val="008452B1"/>
    <w:rsid w:val="00845DD2"/>
    <w:rsid w:val="008460C2"/>
    <w:rsid w:val="00846514"/>
    <w:rsid w:val="00847B9F"/>
    <w:rsid w:val="0085099F"/>
    <w:rsid w:val="008545FD"/>
    <w:rsid w:val="00854CB6"/>
    <w:rsid w:val="008552D7"/>
    <w:rsid w:val="0085561B"/>
    <w:rsid w:val="00856E55"/>
    <w:rsid w:val="00862213"/>
    <w:rsid w:val="0086674D"/>
    <w:rsid w:val="00871B8F"/>
    <w:rsid w:val="00871BB8"/>
    <w:rsid w:val="0087450C"/>
    <w:rsid w:val="00875F48"/>
    <w:rsid w:val="00876FB7"/>
    <w:rsid w:val="00877C89"/>
    <w:rsid w:val="008816BF"/>
    <w:rsid w:val="00882AC0"/>
    <w:rsid w:val="00887502"/>
    <w:rsid w:val="00887989"/>
    <w:rsid w:val="008901C4"/>
    <w:rsid w:val="0089152E"/>
    <w:rsid w:val="00893D12"/>
    <w:rsid w:val="0089408D"/>
    <w:rsid w:val="008A0173"/>
    <w:rsid w:val="008A39B2"/>
    <w:rsid w:val="008A7A48"/>
    <w:rsid w:val="008B4D90"/>
    <w:rsid w:val="008B54B8"/>
    <w:rsid w:val="008C03FE"/>
    <w:rsid w:val="008C06FE"/>
    <w:rsid w:val="008C1713"/>
    <w:rsid w:val="008C2962"/>
    <w:rsid w:val="008C2F68"/>
    <w:rsid w:val="008C32C6"/>
    <w:rsid w:val="008C4740"/>
    <w:rsid w:val="008C5BBD"/>
    <w:rsid w:val="008C5DCA"/>
    <w:rsid w:val="008C6D7B"/>
    <w:rsid w:val="008C6E7C"/>
    <w:rsid w:val="008D0C44"/>
    <w:rsid w:val="008D1301"/>
    <w:rsid w:val="008D1700"/>
    <w:rsid w:val="008D2787"/>
    <w:rsid w:val="008D2BD4"/>
    <w:rsid w:val="008D42B1"/>
    <w:rsid w:val="008D6E8E"/>
    <w:rsid w:val="008E1521"/>
    <w:rsid w:val="008E1CAF"/>
    <w:rsid w:val="008E2CD8"/>
    <w:rsid w:val="008E2DD4"/>
    <w:rsid w:val="008E3934"/>
    <w:rsid w:val="008E47D8"/>
    <w:rsid w:val="008E74B3"/>
    <w:rsid w:val="008E7903"/>
    <w:rsid w:val="008F3133"/>
    <w:rsid w:val="008F379C"/>
    <w:rsid w:val="008F3879"/>
    <w:rsid w:val="008F3B59"/>
    <w:rsid w:val="008F4AC2"/>
    <w:rsid w:val="009000E3"/>
    <w:rsid w:val="00901CDF"/>
    <w:rsid w:val="00902297"/>
    <w:rsid w:val="0090306F"/>
    <w:rsid w:val="009048A1"/>
    <w:rsid w:val="00904A83"/>
    <w:rsid w:val="00905521"/>
    <w:rsid w:val="009057A7"/>
    <w:rsid w:val="0091207F"/>
    <w:rsid w:val="0091214C"/>
    <w:rsid w:val="00916F2A"/>
    <w:rsid w:val="009238FB"/>
    <w:rsid w:val="00924615"/>
    <w:rsid w:val="009312D9"/>
    <w:rsid w:val="009327DA"/>
    <w:rsid w:val="00934CA4"/>
    <w:rsid w:val="00935360"/>
    <w:rsid w:val="009361BE"/>
    <w:rsid w:val="00940B03"/>
    <w:rsid w:val="00943A10"/>
    <w:rsid w:val="00944FA3"/>
    <w:rsid w:val="00950AAB"/>
    <w:rsid w:val="00952BBA"/>
    <w:rsid w:val="00953180"/>
    <w:rsid w:val="009534B2"/>
    <w:rsid w:val="00953DCF"/>
    <w:rsid w:val="00956000"/>
    <w:rsid w:val="009560FC"/>
    <w:rsid w:val="0095634C"/>
    <w:rsid w:val="009565A7"/>
    <w:rsid w:val="00957C7C"/>
    <w:rsid w:val="00960BAB"/>
    <w:rsid w:val="00963583"/>
    <w:rsid w:val="0096438F"/>
    <w:rsid w:val="00966762"/>
    <w:rsid w:val="00970FE5"/>
    <w:rsid w:val="00972218"/>
    <w:rsid w:val="00972467"/>
    <w:rsid w:val="00973F53"/>
    <w:rsid w:val="009748FD"/>
    <w:rsid w:val="00974BBB"/>
    <w:rsid w:val="009773A3"/>
    <w:rsid w:val="00982CF3"/>
    <w:rsid w:val="0098459B"/>
    <w:rsid w:val="009846C5"/>
    <w:rsid w:val="0098508B"/>
    <w:rsid w:val="00985140"/>
    <w:rsid w:val="0098530B"/>
    <w:rsid w:val="009859FE"/>
    <w:rsid w:val="00991C60"/>
    <w:rsid w:val="00995393"/>
    <w:rsid w:val="009A2B5D"/>
    <w:rsid w:val="009A37D8"/>
    <w:rsid w:val="009A5662"/>
    <w:rsid w:val="009B1066"/>
    <w:rsid w:val="009B31CF"/>
    <w:rsid w:val="009B3979"/>
    <w:rsid w:val="009B4390"/>
    <w:rsid w:val="009B53F2"/>
    <w:rsid w:val="009C0825"/>
    <w:rsid w:val="009C2CFB"/>
    <w:rsid w:val="009C444D"/>
    <w:rsid w:val="009C4DFB"/>
    <w:rsid w:val="009C61E2"/>
    <w:rsid w:val="009C660C"/>
    <w:rsid w:val="009C6AFA"/>
    <w:rsid w:val="009C790E"/>
    <w:rsid w:val="009D03AD"/>
    <w:rsid w:val="009D3AF2"/>
    <w:rsid w:val="009D4793"/>
    <w:rsid w:val="009D57A3"/>
    <w:rsid w:val="009D7116"/>
    <w:rsid w:val="009E1192"/>
    <w:rsid w:val="009E1614"/>
    <w:rsid w:val="009E31FC"/>
    <w:rsid w:val="009E516C"/>
    <w:rsid w:val="009E6E48"/>
    <w:rsid w:val="009E7FD2"/>
    <w:rsid w:val="009F0710"/>
    <w:rsid w:val="009F2382"/>
    <w:rsid w:val="009F26F0"/>
    <w:rsid w:val="009F2DE7"/>
    <w:rsid w:val="009F3FB6"/>
    <w:rsid w:val="009F605B"/>
    <w:rsid w:val="009F69A9"/>
    <w:rsid w:val="00A0130E"/>
    <w:rsid w:val="00A05137"/>
    <w:rsid w:val="00A06E20"/>
    <w:rsid w:val="00A15079"/>
    <w:rsid w:val="00A207F0"/>
    <w:rsid w:val="00A22848"/>
    <w:rsid w:val="00A232D9"/>
    <w:rsid w:val="00A2648E"/>
    <w:rsid w:val="00A30D00"/>
    <w:rsid w:val="00A31886"/>
    <w:rsid w:val="00A34AE7"/>
    <w:rsid w:val="00A35297"/>
    <w:rsid w:val="00A36B57"/>
    <w:rsid w:val="00A36DA0"/>
    <w:rsid w:val="00A40340"/>
    <w:rsid w:val="00A406F5"/>
    <w:rsid w:val="00A41B23"/>
    <w:rsid w:val="00A42108"/>
    <w:rsid w:val="00A423A9"/>
    <w:rsid w:val="00A4798B"/>
    <w:rsid w:val="00A50100"/>
    <w:rsid w:val="00A50A66"/>
    <w:rsid w:val="00A52837"/>
    <w:rsid w:val="00A60D8E"/>
    <w:rsid w:val="00A61B7B"/>
    <w:rsid w:val="00A629B8"/>
    <w:rsid w:val="00A62CF6"/>
    <w:rsid w:val="00A63CD9"/>
    <w:rsid w:val="00A641E3"/>
    <w:rsid w:val="00A70404"/>
    <w:rsid w:val="00A7044B"/>
    <w:rsid w:val="00A70A9A"/>
    <w:rsid w:val="00A71C0A"/>
    <w:rsid w:val="00A7345A"/>
    <w:rsid w:val="00A76942"/>
    <w:rsid w:val="00A77591"/>
    <w:rsid w:val="00A77AD7"/>
    <w:rsid w:val="00A80B07"/>
    <w:rsid w:val="00A81D47"/>
    <w:rsid w:val="00A82900"/>
    <w:rsid w:val="00A83D64"/>
    <w:rsid w:val="00A83DB9"/>
    <w:rsid w:val="00A8603F"/>
    <w:rsid w:val="00A865BD"/>
    <w:rsid w:val="00A92417"/>
    <w:rsid w:val="00A934C6"/>
    <w:rsid w:val="00A956C1"/>
    <w:rsid w:val="00AA0E01"/>
    <w:rsid w:val="00AA104B"/>
    <w:rsid w:val="00AA11AD"/>
    <w:rsid w:val="00AA1DC3"/>
    <w:rsid w:val="00AA3532"/>
    <w:rsid w:val="00AB1020"/>
    <w:rsid w:val="00AB38D6"/>
    <w:rsid w:val="00AB40FB"/>
    <w:rsid w:val="00AB6140"/>
    <w:rsid w:val="00AB77E4"/>
    <w:rsid w:val="00AC212E"/>
    <w:rsid w:val="00AC3B66"/>
    <w:rsid w:val="00AC44CE"/>
    <w:rsid w:val="00AC46D7"/>
    <w:rsid w:val="00AC5D9D"/>
    <w:rsid w:val="00AC7D0E"/>
    <w:rsid w:val="00AD0388"/>
    <w:rsid w:val="00AD0BA1"/>
    <w:rsid w:val="00AD34A6"/>
    <w:rsid w:val="00AD3CB6"/>
    <w:rsid w:val="00AD6461"/>
    <w:rsid w:val="00AD6DF9"/>
    <w:rsid w:val="00AE0E7E"/>
    <w:rsid w:val="00AE0EAA"/>
    <w:rsid w:val="00AE1AA3"/>
    <w:rsid w:val="00AE1DB9"/>
    <w:rsid w:val="00AE237A"/>
    <w:rsid w:val="00AE3069"/>
    <w:rsid w:val="00AE45B3"/>
    <w:rsid w:val="00AE580B"/>
    <w:rsid w:val="00AE587F"/>
    <w:rsid w:val="00AE5D55"/>
    <w:rsid w:val="00AE62FD"/>
    <w:rsid w:val="00AF26D9"/>
    <w:rsid w:val="00AF69AC"/>
    <w:rsid w:val="00B0212B"/>
    <w:rsid w:val="00B02433"/>
    <w:rsid w:val="00B02D52"/>
    <w:rsid w:val="00B04406"/>
    <w:rsid w:val="00B04809"/>
    <w:rsid w:val="00B0626D"/>
    <w:rsid w:val="00B06742"/>
    <w:rsid w:val="00B07764"/>
    <w:rsid w:val="00B136BC"/>
    <w:rsid w:val="00B147E7"/>
    <w:rsid w:val="00B1498E"/>
    <w:rsid w:val="00B17222"/>
    <w:rsid w:val="00B1795B"/>
    <w:rsid w:val="00B22030"/>
    <w:rsid w:val="00B22C86"/>
    <w:rsid w:val="00B2421C"/>
    <w:rsid w:val="00B2678C"/>
    <w:rsid w:val="00B26889"/>
    <w:rsid w:val="00B308E2"/>
    <w:rsid w:val="00B324C8"/>
    <w:rsid w:val="00B32587"/>
    <w:rsid w:val="00B363E9"/>
    <w:rsid w:val="00B37774"/>
    <w:rsid w:val="00B379B8"/>
    <w:rsid w:val="00B40FD5"/>
    <w:rsid w:val="00B416D1"/>
    <w:rsid w:val="00B443F1"/>
    <w:rsid w:val="00B44D52"/>
    <w:rsid w:val="00B468FD"/>
    <w:rsid w:val="00B51B48"/>
    <w:rsid w:val="00B52483"/>
    <w:rsid w:val="00B54C91"/>
    <w:rsid w:val="00B566AE"/>
    <w:rsid w:val="00B61509"/>
    <w:rsid w:val="00B61BF9"/>
    <w:rsid w:val="00B6384F"/>
    <w:rsid w:val="00B66DD4"/>
    <w:rsid w:val="00B67E20"/>
    <w:rsid w:val="00B717A3"/>
    <w:rsid w:val="00B73BEB"/>
    <w:rsid w:val="00B74718"/>
    <w:rsid w:val="00B748A5"/>
    <w:rsid w:val="00B74A9D"/>
    <w:rsid w:val="00B7587A"/>
    <w:rsid w:val="00B77A67"/>
    <w:rsid w:val="00B82312"/>
    <w:rsid w:val="00B8319C"/>
    <w:rsid w:val="00B84338"/>
    <w:rsid w:val="00B84768"/>
    <w:rsid w:val="00B84CAA"/>
    <w:rsid w:val="00B84ED1"/>
    <w:rsid w:val="00B852D5"/>
    <w:rsid w:val="00B867E5"/>
    <w:rsid w:val="00B91156"/>
    <w:rsid w:val="00B91AB5"/>
    <w:rsid w:val="00B91BED"/>
    <w:rsid w:val="00B930F6"/>
    <w:rsid w:val="00B9532F"/>
    <w:rsid w:val="00B97427"/>
    <w:rsid w:val="00BA0592"/>
    <w:rsid w:val="00BA0695"/>
    <w:rsid w:val="00BA0F2D"/>
    <w:rsid w:val="00BA129F"/>
    <w:rsid w:val="00BA26EF"/>
    <w:rsid w:val="00BA287C"/>
    <w:rsid w:val="00BA5A93"/>
    <w:rsid w:val="00BA790C"/>
    <w:rsid w:val="00BB3CDD"/>
    <w:rsid w:val="00BB417E"/>
    <w:rsid w:val="00BB60F4"/>
    <w:rsid w:val="00BB7537"/>
    <w:rsid w:val="00BC039C"/>
    <w:rsid w:val="00BC0F5B"/>
    <w:rsid w:val="00BC1F6D"/>
    <w:rsid w:val="00BC2E42"/>
    <w:rsid w:val="00BC7F6D"/>
    <w:rsid w:val="00BD2E50"/>
    <w:rsid w:val="00BD3537"/>
    <w:rsid w:val="00BD500E"/>
    <w:rsid w:val="00BE01FA"/>
    <w:rsid w:val="00BE2CAC"/>
    <w:rsid w:val="00BE3ACA"/>
    <w:rsid w:val="00BE4A2C"/>
    <w:rsid w:val="00BF3301"/>
    <w:rsid w:val="00BF34A6"/>
    <w:rsid w:val="00BF7748"/>
    <w:rsid w:val="00C01778"/>
    <w:rsid w:val="00C02B46"/>
    <w:rsid w:val="00C04B3A"/>
    <w:rsid w:val="00C06674"/>
    <w:rsid w:val="00C10ACC"/>
    <w:rsid w:val="00C12393"/>
    <w:rsid w:val="00C13F21"/>
    <w:rsid w:val="00C15977"/>
    <w:rsid w:val="00C16522"/>
    <w:rsid w:val="00C20BA8"/>
    <w:rsid w:val="00C20FE5"/>
    <w:rsid w:val="00C21D17"/>
    <w:rsid w:val="00C237A3"/>
    <w:rsid w:val="00C23895"/>
    <w:rsid w:val="00C25BC4"/>
    <w:rsid w:val="00C25F4E"/>
    <w:rsid w:val="00C260DB"/>
    <w:rsid w:val="00C27487"/>
    <w:rsid w:val="00C3041B"/>
    <w:rsid w:val="00C3277C"/>
    <w:rsid w:val="00C32AE3"/>
    <w:rsid w:val="00C32BB7"/>
    <w:rsid w:val="00C32FE3"/>
    <w:rsid w:val="00C352C1"/>
    <w:rsid w:val="00C35BE2"/>
    <w:rsid w:val="00C4204D"/>
    <w:rsid w:val="00C4232E"/>
    <w:rsid w:val="00C43512"/>
    <w:rsid w:val="00C43D86"/>
    <w:rsid w:val="00C44474"/>
    <w:rsid w:val="00C44BF3"/>
    <w:rsid w:val="00C44DAC"/>
    <w:rsid w:val="00C46624"/>
    <w:rsid w:val="00C46A50"/>
    <w:rsid w:val="00C502AD"/>
    <w:rsid w:val="00C51659"/>
    <w:rsid w:val="00C528B5"/>
    <w:rsid w:val="00C5381C"/>
    <w:rsid w:val="00C5439D"/>
    <w:rsid w:val="00C54E29"/>
    <w:rsid w:val="00C5757A"/>
    <w:rsid w:val="00C577F8"/>
    <w:rsid w:val="00C60E84"/>
    <w:rsid w:val="00C61D07"/>
    <w:rsid w:val="00C63967"/>
    <w:rsid w:val="00C64A9A"/>
    <w:rsid w:val="00C70171"/>
    <w:rsid w:val="00C7154E"/>
    <w:rsid w:val="00C71EE7"/>
    <w:rsid w:val="00C72195"/>
    <w:rsid w:val="00C75FC8"/>
    <w:rsid w:val="00C807DD"/>
    <w:rsid w:val="00C81636"/>
    <w:rsid w:val="00C8364A"/>
    <w:rsid w:val="00C8601C"/>
    <w:rsid w:val="00C865E1"/>
    <w:rsid w:val="00C86B9E"/>
    <w:rsid w:val="00C91DC3"/>
    <w:rsid w:val="00C92252"/>
    <w:rsid w:val="00C9364A"/>
    <w:rsid w:val="00C94ED3"/>
    <w:rsid w:val="00CA067F"/>
    <w:rsid w:val="00CA06C4"/>
    <w:rsid w:val="00CA2778"/>
    <w:rsid w:val="00CA384E"/>
    <w:rsid w:val="00CA5D0E"/>
    <w:rsid w:val="00CA6648"/>
    <w:rsid w:val="00CB04C9"/>
    <w:rsid w:val="00CB072A"/>
    <w:rsid w:val="00CB1064"/>
    <w:rsid w:val="00CB38C0"/>
    <w:rsid w:val="00CB426E"/>
    <w:rsid w:val="00CB5AC3"/>
    <w:rsid w:val="00CB7C81"/>
    <w:rsid w:val="00CC086E"/>
    <w:rsid w:val="00CC4FD0"/>
    <w:rsid w:val="00CC7651"/>
    <w:rsid w:val="00CC77EF"/>
    <w:rsid w:val="00CC7B48"/>
    <w:rsid w:val="00CD00C7"/>
    <w:rsid w:val="00CD39A7"/>
    <w:rsid w:val="00CD41D4"/>
    <w:rsid w:val="00CD4D3B"/>
    <w:rsid w:val="00CE03E0"/>
    <w:rsid w:val="00CE4BA4"/>
    <w:rsid w:val="00CE4BEF"/>
    <w:rsid w:val="00CE4C49"/>
    <w:rsid w:val="00CE5E1A"/>
    <w:rsid w:val="00CF51EF"/>
    <w:rsid w:val="00CF6139"/>
    <w:rsid w:val="00CF66D8"/>
    <w:rsid w:val="00CF7372"/>
    <w:rsid w:val="00D00338"/>
    <w:rsid w:val="00D027AE"/>
    <w:rsid w:val="00D036D5"/>
    <w:rsid w:val="00D03ABD"/>
    <w:rsid w:val="00D03FFE"/>
    <w:rsid w:val="00D053B6"/>
    <w:rsid w:val="00D06AAC"/>
    <w:rsid w:val="00D113EB"/>
    <w:rsid w:val="00D11684"/>
    <w:rsid w:val="00D1189E"/>
    <w:rsid w:val="00D132C5"/>
    <w:rsid w:val="00D13AE4"/>
    <w:rsid w:val="00D15B7A"/>
    <w:rsid w:val="00D1643D"/>
    <w:rsid w:val="00D16EAB"/>
    <w:rsid w:val="00D23B58"/>
    <w:rsid w:val="00D2551E"/>
    <w:rsid w:val="00D2645E"/>
    <w:rsid w:val="00D266DC"/>
    <w:rsid w:val="00D31251"/>
    <w:rsid w:val="00D331D0"/>
    <w:rsid w:val="00D332BD"/>
    <w:rsid w:val="00D3398D"/>
    <w:rsid w:val="00D347EA"/>
    <w:rsid w:val="00D4201D"/>
    <w:rsid w:val="00D430D4"/>
    <w:rsid w:val="00D4442A"/>
    <w:rsid w:val="00D44447"/>
    <w:rsid w:val="00D505CE"/>
    <w:rsid w:val="00D50C98"/>
    <w:rsid w:val="00D5441A"/>
    <w:rsid w:val="00D54F3C"/>
    <w:rsid w:val="00D56E6A"/>
    <w:rsid w:val="00D614E6"/>
    <w:rsid w:val="00D61BBE"/>
    <w:rsid w:val="00D6360B"/>
    <w:rsid w:val="00D65AF5"/>
    <w:rsid w:val="00D71EFE"/>
    <w:rsid w:val="00D7221D"/>
    <w:rsid w:val="00D75A32"/>
    <w:rsid w:val="00D75A7B"/>
    <w:rsid w:val="00D81B0E"/>
    <w:rsid w:val="00D83AFF"/>
    <w:rsid w:val="00D93730"/>
    <w:rsid w:val="00D937FE"/>
    <w:rsid w:val="00D9514B"/>
    <w:rsid w:val="00DA0284"/>
    <w:rsid w:val="00DA0286"/>
    <w:rsid w:val="00DA25AF"/>
    <w:rsid w:val="00DA5065"/>
    <w:rsid w:val="00DA620A"/>
    <w:rsid w:val="00DA66EF"/>
    <w:rsid w:val="00DA6BB7"/>
    <w:rsid w:val="00DB095D"/>
    <w:rsid w:val="00DB0ADC"/>
    <w:rsid w:val="00DB14B0"/>
    <w:rsid w:val="00DB1E98"/>
    <w:rsid w:val="00DB6A17"/>
    <w:rsid w:val="00DC015A"/>
    <w:rsid w:val="00DC070A"/>
    <w:rsid w:val="00DC185D"/>
    <w:rsid w:val="00DC2BC8"/>
    <w:rsid w:val="00DC6065"/>
    <w:rsid w:val="00DC6807"/>
    <w:rsid w:val="00DC73B6"/>
    <w:rsid w:val="00DD04B5"/>
    <w:rsid w:val="00DD0DFA"/>
    <w:rsid w:val="00DD0FCD"/>
    <w:rsid w:val="00DD22FF"/>
    <w:rsid w:val="00DD2D80"/>
    <w:rsid w:val="00DD33D8"/>
    <w:rsid w:val="00DF137F"/>
    <w:rsid w:val="00DF1CFD"/>
    <w:rsid w:val="00DF1DB6"/>
    <w:rsid w:val="00DF3BCA"/>
    <w:rsid w:val="00DF3F0E"/>
    <w:rsid w:val="00DF4986"/>
    <w:rsid w:val="00DF626D"/>
    <w:rsid w:val="00E0106C"/>
    <w:rsid w:val="00E01802"/>
    <w:rsid w:val="00E01B4D"/>
    <w:rsid w:val="00E01E2E"/>
    <w:rsid w:val="00E02092"/>
    <w:rsid w:val="00E02588"/>
    <w:rsid w:val="00E0284D"/>
    <w:rsid w:val="00E02BDA"/>
    <w:rsid w:val="00E055B7"/>
    <w:rsid w:val="00E11024"/>
    <w:rsid w:val="00E13F70"/>
    <w:rsid w:val="00E17867"/>
    <w:rsid w:val="00E1797A"/>
    <w:rsid w:val="00E21CC6"/>
    <w:rsid w:val="00E22352"/>
    <w:rsid w:val="00E23DF4"/>
    <w:rsid w:val="00E259C8"/>
    <w:rsid w:val="00E25B33"/>
    <w:rsid w:val="00E26CAF"/>
    <w:rsid w:val="00E27855"/>
    <w:rsid w:val="00E333A9"/>
    <w:rsid w:val="00E3362B"/>
    <w:rsid w:val="00E36266"/>
    <w:rsid w:val="00E372B3"/>
    <w:rsid w:val="00E402EA"/>
    <w:rsid w:val="00E41190"/>
    <w:rsid w:val="00E427C4"/>
    <w:rsid w:val="00E4381A"/>
    <w:rsid w:val="00E44288"/>
    <w:rsid w:val="00E4496E"/>
    <w:rsid w:val="00E45527"/>
    <w:rsid w:val="00E46015"/>
    <w:rsid w:val="00E4782D"/>
    <w:rsid w:val="00E47CF1"/>
    <w:rsid w:val="00E5216C"/>
    <w:rsid w:val="00E526EC"/>
    <w:rsid w:val="00E53270"/>
    <w:rsid w:val="00E55173"/>
    <w:rsid w:val="00E55267"/>
    <w:rsid w:val="00E55422"/>
    <w:rsid w:val="00E56EB5"/>
    <w:rsid w:val="00E57F59"/>
    <w:rsid w:val="00E60DC0"/>
    <w:rsid w:val="00E61511"/>
    <w:rsid w:val="00E61845"/>
    <w:rsid w:val="00E61A4C"/>
    <w:rsid w:val="00E61FFB"/>
    <w:rsid w:val="00E63249"/>
    <w:rsid w:val="00E63ECE"/>
    <w:rsid w:val="00E66757"/>
    <w:rsid w:val="00E70381"/>
    <w:rsid w:val="00E74960"/>
    <w:rsid w:val="00E758E8"/>
    <w:rsid w:val="00E77B93"/>
    <w:rsid w:val="00E77F6E"/>
    <w:rsid w:val="00E80473"/>
    <w:rsid w:val="00E80E9F"/>
    <w:rsid w:val="00E906DA"/>
    <w:rsid w:val="00E93A41"/>
    <w:rsid w:val="00E95C08"/>
    <w:rsid w:val="00EA07B0"/>
    <w:rsid w:val="00EA0DB6"/>
    <w:rsid w:val="00EA2130"/>
    <w:rsid w:val="00EA25B8"/>
    <w:rsid w:val="00EA3D53"/>
    <w:rsid w:val="00EA4297"/>
    <w:rsid w:val="00EA5A50"/>
    <w:rsid w:val="00EA6F78"/>
    <w:rsid w:val="00EA7F12"/>
    <w:rsid w:val="00EB0C20"/>
    <w:rsid w:val="00EB6682"/>
    <w:rsid w:val="00EB6EA9"/>
    <w:rsid w:val="00EB7E5E"/>
    <w:rsid w:val="00EC5503"/>
    <w:rsid w:val="00EC5E61"/>
    <w:rsid w:val="00ED13BB"/>
    <w:rsid w:val="00ED169C"/>
    <w:rsid w:val="00ED2337"/>
    <w:rsid w:val="00ED2428"/>
    <w:rsid w:val="00ED2435"/>
    <w:rsid w:val="00ED4F51"/>
    <w:rsid w:val="00ED6246"/>
    <w:rsid w:val="00ED6CDB"/>
    <w:rsid w:val="00ED70FF"/>
    <w:rsid w:val="00ED733C"/>
    <w:rsid w:val="00EE2217"/>
    <w:rsid w:val="00EE7DF7"/>
    <w:rsid w:val="00EE7EF9"/>
    <w:rsid w:val="00EF0A3C"/>
    <w:rsid w:val="00EF379B"/>
    <w:rsid w:val="00EF3BEC"/>
    <w:rsid w:val="00EF4957"/>
    <w:rsid w:val="00EF5B4A"/>
    <w:rsid w:val="00EF671E"/>
    <w:rsid w:val="00EF788E"/>
    <w:rsid w:val="00F007D8"/>
    <w:rsid w:val="00F037AA"/>
    <w:rsid w:val="00F04799"/>
    <w:rsid w:val="00F10828"/>
    <w:rsid w:val="00F15A95"/>
    <w:rsid w:val="00F17AEB"/>
    <w:rsid w:val="00F20E58"/>
    <w:rsid w:val="00F221AB"/>
    <w:rsid w:val="00F2286E"/>
    <w:rsid w:val="00F23B20"/>
    <w:rsid w:val="00F23DC5"/>
    <w:rsid w:val="00F2538D"/>
    <w:rsid w:val="00F264EF"/>
    <w:rsid w:val="00F2711B"/>
    <w:rsid w:val="00F2753E"/>
    <w:rsid w:val="00F27A49"/>
    <w:rsid w:val="00F32D1E"/>
    <w:rsid w:val="00F35FDB"/>
    <w:rsid w:val="00F41C73"/>
    <w:rsid w:val="00F41EE4"/>
    <w:rsid w:val="00F42976"/>
    <w:rsid w:val="00F437D7"/>
    <w:rsid w:val="00F440DF"/>
    <w:rsid w:val="00F46588"/>
    <w:rsid w:val="00F46D4E"/>
    <w:rsid w:val="00F473E0"/>
    <w:rsid w:val="00F47628"/>
    <w:rsid w:val="00F50DB8"/>
    <w:rsid w:val="00F52F61"/>
    <w:rsid w:val="00F5354A"/>
    <w:rsid w:val="00F53CA9"/>
    <w:rsid w:val="00F55D37"/>
    <w:rsid w:val="00F55E05"/>
    <w:rsid w:val="00F5655E"/>
    <w:rsid w:val="00F5790A"/>
    <w:rsid w:val="00F61A6E"/>
    <w:rsid w:val="00F62261"/>
    <w:rsid w:val="00F62766"/>
    <w:rsid w:val="00F63EDE"/>
    <w:rsid w:val="00F667F7"/>
    <w:rsid w:val="00F672F2"/>
    <w:rsid w:val="00F6776F"/>
    <w:rsid w:val="00F708E9"/>
    <w:rsid w:val="00F729E0"/>
    <w:rsid w:val="00F7430B"/>
    <w:rsid w:val="00F74C39"/>
    <w:rsid w:val="00F76035"/>
    <w:rsid w:val="00F81241"/>
    <w:rsid w:val="00F84C4F"/>
    <w:rsid w:val="00F8562B"/>
    <w:rsid w:val="00F85F73"/>
    <w:rsid w:val="00F8643D"/>
    <w:rsid w:val="00F86683"/>
    <w:rsid w:val="00F8699B"/>
    <w:rsid w:val="00F869E3"/>
    <w:rsid w:val="00F90AFF"/>
    <w:rsid w:val="00F922C1"/>
    <w:rsid w:val="00F924AA"/>
    <w:rsid w:val="00F96E5D"/>
    <w:rsid w:val="00FA42D7"/>
    <w:rsid w:val="00FA4356"/>
    <w:rsid w:val="00FA5723"/>
    <w:rsid w:val="00FA667E"/>
    <w:rsid w:val="00FA7212"/>
    <w:rsid w:val="00FB0C19"/>
    <w:rsid w:val="00FB1290"/>
    <w:rsid w:val="00FB1B81"/>
    <w:rsid w:val="00FB230C"/>
    <w:rsid w:val="00FB2709"/>
    <w:rsid w:val="00FB2DEE"/>
    <w:rsid w:val="00FB4983"/>
    <w:rsid w:val="00FB7EDC"/>
    <w:rsid w:val="00FC03F7"/>
    <w:rsid w:val="00FC0BF4"/>
    <w:rsid w:val="00FC2A23"/>
    <w:rsid w:val="00FC4E37"/>
    <w:rsid w:val="00FC54EA"/>
    <w:rsid w:val="00FC5ACB"/>
    <w:rsid w:val="00FC7A92"/>
    <w:rsid w:val="00FD3A08"/>
    <w:rsid w:val="00FD3F5A"/>
    <w:rsid w:val="00FD565B"/>
    <w:rsid w:val="00FD5B92"/>
    <w:rsid w:val="00FE0F35"/>
    <w:rsid w:val="00FE4F7D"/>
    <w:rsid w:val="00FE5A46"/>
    <w:rsid w:val="00FE63D1"/>
    <w:rsid w:val="00FF0272"/>
    <w:rsid w:val="00FF2A8C"/>
    <w:rsid w:val="00FF6035"/>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link w:val="FootnoteTextChar"/>
    <w:uiPriority w:val="99"/>
    <w:semiHidden/>
    <w:rsid w:val="00C21D17"/>
    <w:rPr>
      <w:sz w:val="20"/>
      <w:szCs w:val="20"/>
    </w:rPr>
  </w:style>
  <w:style w:type="character" w:styleId="FootnoteReference">
    <w:name w:val="footnote reference"/>
    <w:uiPriority w:val="99"/>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 w:type="paragraph" w:styleId="NormalWeb">
    <w:name w:val="Normal (Web)"/>
    <w:basedOn w:val="Normal"/>
    <w:uiPriority w:val="99"/>
    <w:unhideWhenUsed/>
    <w:rsid w:val="00A81D47"/>
    <w:pPr>
      <w:spacing w:before="100" w:beforeAutospacing="1" w:after="100" w:afterAutospacing="1"/>
    </w:pPr>
  </w:style>
  <w:style w:type="character" w:styleId="PlaceholderText">
    <w:name w:val="Placeholder Text"/>
    <w:basedOn w:val="DefaultParagraphFont"/>
    <w:uiPriority w:val="99"/>
    <w:semiHidden/>
    <w:rsid w:val="0053372D"/>
    <w:rPr>
      <w:color w:val="808080"/>
    </w:rPr>
  </w:style>
  <w:style w:type="paragraph" w:styleId="EndnoteText">
    <w:name w:val="endnote text"/>
    <w:basedOn w:val="Normal"/>
    <w:link w:val="EndnoteTextChar"/>
    <w:rsid w:val="00AD0388"/>
    <w:rPr>
      <w:sz w:val="20"/>
      <w:szCs w:val="20"/>
    </w:rPr>
  </w:style>
  <w:style w:type="character" w:customStyle="1" w:styleId="EndnoteTextChar">
    <w:name w:val="Endnote Text Char"/>
    <w:basedOn w:val="DefaultParagraphFont"/>
    <w:link w:val="EndnoteText"/>
    <w:rsid w:val="00AD0388"/>
  </w:style>
  <w:style w:type="character" w:styleId="EndnoteReference">
    <w:name w:val="endnote reference"/>
    <w:basedOn w:val="DefaultParagraphFont"/>
    <w:rsid w:val="00AD0388"/>
    <w:rPr>
      <w:vertAlign w:val="superscript"/>
    </w:rPr>
  </w:style>
  <w:style w:type="paragraph" w:customStyle="1" w:styleId="le-normal-32-level">
    <w:name w:val="le-normal-32-level"/>
    <w:basedOn w:val="Normal"/>
    <w:rsid w:val="00EA07B0"/>
    <w:pPr>
      <w:spacing w:before="20" w:after="20"/>
    </w:pPr>
    <w:rPr>
      <w:rFonts w:ascii="Courier New" w:hAnsi="Courier New" w:cs="Courier New"/>
      <w:color w:val="000000"/>
    </w:rPr>
  </w:style>
  <w:style w:type="character" w:customStyle="1" w:styleId="FootnoteTextChar">
    <w:name w:val="Footnote Text Char"/>
    <w:basedOn w:val="DefaultParagraphFont"/>
    <w:link w:val="FootnoteText"/>
    <w:uiPriority w:val="99"/>
    <w:semiHidden/>
    <w:rsid w:val="00EA0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link w:val="FootnoteTextChar"/>
    <w:uiPriority w:val="99"/>
    <w:semiHidden/>
    <w:rsid w:val="00C21D17"/>
    <w:rPr>
      <w:sz w:val="20"/>
      <w:szCs w:val="20"/>
    </w:rPr>
  </w:style>
  <w:style w:type="character" w:styleId="FootnoteReference">
    <w:name w:val="footnote reference"/>
    <w:uiPriority w:val="99"/>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 w:type="paragraph" w:styleId="NormalWeb">
    <w:name w:val="Normal (Web)"/>
    <w:basedOn w:val="Normal"/>
    <w:uiPriority w:val="99"/>
    <w:unhideWhenUsed/>
    <w:rsid w:val="00A81D47"/>
    <w:pPr>
      <w:spacing w:before="100" w:beforeAutospacing="1" w:after="100" w:afterAutospacing="1"/>
    </w:pPr>
  </w:style>
  <w:style w:type="character" w:styleId="PlaceholderText">
    <w:name w:val="Placeholder Text"/>
    <w:basedOn w:val="DefaultParagraphFont"/>
    <w:uiPriority w:val="99"/>
    <w:semiHidden/>
    <w:rsid w:val="0053372D"/>
    <w:rPr>
      <w:color w:val="808080"/>
    </w:rPr>
  </w:style>
  <w:style w:type="paragraph" w:styleId="EndnoteText">
    <w:name w:val="endnote text"/>
    <w:basedOn w:val="Normal"/>
    <w:link w:val="EndnoteTextChar"/>
    <w:rsid w:val="00AD0388"/>
    <w:rPr>
      <w:sz w:val="20"/>
      <w:szCs w:val="20"/>
    </w:rPr>
  </w:style>
  <w:style w:type="character" w:customStyle="1" w:styleId="EndnoteTextChar">
    <w:name w:val="Endnote Text Char"/>
    <w:basedOn w:val="DefaultParagraphFont"/>
    <w:link w:val="EndnoteText"/>
    <w:rsid w:val="00AD0388"/>
  </w:style>
  <w:style w:type="character" w:styleId="EndnoteReference">
    <w:name w:val="endnote reference"/>
    <w:basedOn w:val="DefaultParagraphFont"/>
    <w:rsid w:val="00AD0388"/>
    <w:rPr>
      <w:vertAlign w:val="superscript"/>
    </w:rPr>
  </w:style>
  <w:style w:type="paragraph" w:customStyle="1" w:styleId="le-normal-32-level">
    <w:name w:val="le-normal-32-level"/>
    <w:basedOn w:val="Normal"/>
    <w:rsid w:val="00EA07B0"/>
    <w:pPr>
      <w:spacing w:before="20" w:after="20"/>
    </w:pPr>
    <w:rPr>
      <w:rFonts w:ascii="Courier New" w:hAnsi="Courier New" w:cs="Courier New"/>
      <w:color w:val="000000"/>
    </w:rPr>
  </w:style>
  <w:style w:type="character" w:customStyle="1" w:styleId="FootnoteTextChar">
    <w:name w:val="Footnote Text Char"/>
    <w:basedOn w:val="DefaultParagraphFont"/>
    <w:link w:val="FootnoteText"/>
    <w:uiPriority w:val="99"/>
    <w:semiHidden/>
    <w:rsid w:val="00EA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7638">
      <w:bodyDiv w:val="1"/>
      <w:marLeft w:val="0"/>
      <w:marRight w:val="0"/>
      <w:marTop w:val="0"/>
      <w:marBottom w:val="0"/>
      <w:divBdr>
        <w:top w:val="none" w:sz="0" w:space="0" w:color="auto"/>
        <w:left w:val="none" w:sz="0" w:space="0" w:color="auto"/>
        <w:bottom w:val="none" w:sz="0" w:space="0" w:color="auto"/>
        <w:right w:val="none" w:sz="0" w:space="0" w:color="auto"/>
      </w:divBdr>
      <w:divsChild>
        <w:div w:id="659700450">
          <w:marLeft w:val="0"/>
          <w:marRight w:val="0"/>
          <w:marTop w:val="0"/>
          <w:marBottom w:val="0"/>
          <w:divBdr>
            <w:top w:val="none" w:sz="0" w:space="0" w:color="auto"/>
            <w:left w:val="none" w:sz="0" w:space="0" w:color="auto"/>
            <w:bottom w:val="none" w:sz="0" w:space="0" w:color="auto"/>
            <w:right w:val="none" w:sz="0" w:space="0" w:color="auto"/>
          </w:divBdr>
        </w:div>
        <w:div w:id="2022272500">
          <w:marLeft w:val="0"/>
          <w:marRight w:val="0"/>
          <w:marTop w:val="0"/>
          <w:marBottom w:val="0"/>
          <w:divBdr>
            <w:top w:val="none" w:sz="0" w:space="0" w:color="auto"/>
            <w:left w:val="none" w:sz="0" w:space="0" w:color="auto"/>
            <w:bottom w:val="none" w:sz="0" w:space="0" w:color="auto"/>
            <w:right w:val="none" w:sz="0" w:space="0" w:color="auto"/>
          </w:divBdr>
        </w:div>
        <w:div w:id="1252817606">
          <w:marLeft w:val="0"/>
          <w:marRight w:val="0"/>
          <w:marTop w:val="0"/>
          <w:marBottom w:val="0"/>
          <w:divBdr>
            <w:top w:val="none" w:sz="0" w:space="0" w:color="auto"/>
            <w:left w:val="none" w:sz="0" w:space="0" w:color="auto"/>
            <w:bottom w:val="none" w:sz="0" w:space="0" w:color="auto"/>
            <w:right w:val="none" w:sz="0" w:space="0" w:color="auto"/>
          </w:divBdr>
        </w:div>
      </w:divsChild>
    </w:div>
    <w:div w:id="678849781">
      <w:bodyDiv w:val="1"/>
      <w:marLeft w:val="0"/>
      <w:marRight w:val="0"/>
      <w:marTop w:val="0"/>
      <w:marBottom w:val="0"/>
      <w:divBdr>
        <w:top w:val="none" w:sz="0" w:space="0" w:color="auto"/>
        <w:left w:val="none" w:sz="0" w:space="0" w:color="auto"/>
        <w:bottom w:val="none" w:sz="0" w:space="0" w:color="auto"/>
        <w:right w:val="none" w:sz="0" w:space="0" w:color="auto"/>
      </w:divBdr>
    </w:div>
    <w:div w:id="838233650">
      <w:bodyDiv w:val="1"/>
      <w:marLeft w:val="0"/>
      <w:marRight w:val="0"/>
      <w:marTop w:val="0"/>
      <w:marBottom w:val="0"/>
      <w:divBdr>
        <w:top w:val="none" w:sz="0" w:space="0" w:color="auto"/>
        <w:left w:val="none" w:sz="0" w:space="0" w:color="auto"/>
        <w:bottom w:val="none" w:sz="0" w:space="0" w:color="auto"/>
        <w:right w:val="none" w:sz="0" w:space="0" w:color="auto"/>
      </w:divBdr>
    </w:div>
    <w:div w:id="989677974">
      <w:bodyDiv w:val="1"/>
      <w:marLeft w:val="0"/>
      <w:marRight w:val="0"/>
      <w:marTop w:val="0"/>
      <w:marBottom w:val="0"/>
      <w:divBdr>
        <w:top w:val="none" w:sz="0" w:space="0" w:color="auto"/>
        <w:left w:val="none" w:sz="0" w:space="0" w:color="auto"/>
        <w:bottom w:val="none" w:sz="0" w:space="0" w:color="auto"/>
        <w:right w:val="none" w:sz="0" w:space="0" w:color="auto"/>
      </w:divBdr>
    </w:div>
    <w:div w:id="1179193398">
      <w:bodyDiv w:val="1"/>
      <w:marLeft w:val="0"/>
      <w:marRight w:val="0"/>
      <w:marTop w:val="0"/>
      <w:marBottom w:val="0"/>
      <w:divBdr>
        <w:top w:val="none" w:sz="0" w:space="0" w:color="auto"/>
        <w:left w:val="none" w:sz="0" w:space="0" w:color="auto"/>
        <w:bottom w:val="none" w:sz="0" w:space="0" w:color="auto"/>
        <w:right w:val="none" w:sz="0" w:space="0" w:color="auto"/>
      </w:divBdr>
      <w:divsChild>
        <w:div w:id="820779301">
          <w:marLeft w:val="0"/>
          <w:marRight w:val="0"/>
          <w:marTop w:val="20"/>
          <w:marBottom w:val="20"/>
          <w:divBdr>
            <w:top w:val="none" w:sz="0" w:space="0" w:color="auto"/>
            <w:left w:val="none" w:sz="0" w:space="0" w:color="auto"/>
            <w:bottom w:val="none" w:sz="0" w:space="0" w:color="auto"/>
            <w:right w:val="none" w:sz="0" w:space="0" w:color="auto"/>
          </w:divBdr>
        </w:div>
        <w:div w:id="872113597">
          <w:marLeft w:val="0"/>
          <w:marRight w:val="0"/>
          <w:marTop w:val="20"/>
          <w:marBottom w:val="20"/>
          <w:divBdr>
            <w:top w:val="none" w:sz="0" w:space="0" w:color="auto"/>
            <w:left w:val="none" w:sz="0" w:space="0" w:color="auto"/>
            <w:bottom w:val="none" w:sz="0" w:space="0" w:color="auto"/>
            <w:right w:val="none" w:sz="0" w:space="0" w:color="auto"/>
          </w:divBdr>
        </w:div>
        <w:div w:id="495615610">
          <w:marLeft w:val="0"/>
          <w:marRight w:val="0"/>
          <w:marTop w:val="20"/>
          <w:marBottom w:val="20"/>
          <w:divBdr>
            <w:top w:val="none" w:sz="0" w:space="0" w:color="auto"/>
            <w:left w:val="none" w:sz="0" w:space="0" w:color="auto"/>
            <w:bottom w:val="none" w:sz="0" w:space="0" w:color="auto"/>
            <w:right w:val="none" w:sz="0" w:space="0" w:color="auto"/>
          </w:divBdr>
        </w:div>
        <w:div w:id="802651788">
          <w:marLeft w:val="0"/>
          <w:marRight w:val="0"/>
          <w:marTop w:val="20"/>
          <w:marBottom w:val="20"/>
          <w:divBdr>
            <w:top w:val="none" w:sz="0" w:space="0" w:color="auto"/>
            <w:left w:val="none" w:sz="0" w:space="0" w:color="auto"/>
            <w:bottom w:val="none" w:sz="0" w:space="0" w:color="auto"/>
            <w:right w:val="none" w:sz="0" w:space="0" w:color="auto"/>
          </w:divBdr>
        </w:div>
        <w:div w:id="2035880807">
          <w:marLeft w:val="0"/>
          <w:marRight w:val="0"/>
          <w:marTop w:val="20"/>
          <w:marBottom w:val="20"/>
          <w:divBdr>
            <w:top w:val="none" w:sz="0" w:space="0" w:color="auto"/>
            <w:left w:val="none" w:sz="0" w:space="0" w:color="auto"/>
            <w:bottom w:val="none" w:sz="0" w:space="0" w:color="auto"/>
            <w:right w:val="none" w:sz="0" w:space="0" w:color="auto"/>
          </w:divBdr>
        </w:div>
        <w:div w:id="1975871377">
          <w:marLeft w:val="0"/>
          <w:marRight w:val="0"/>
          <w:marTop w:val="20"/>
          <w:marBottom w:val="20"/>
          <w:divBdr>
            <w:top w:val="none" w:sz="0" w:space="0" w:color="auto"/>
            <w:left w:val="none" w:sz="0" w:space="0" w:color="auto"/>
            <w:bottom w:val="none" w:sz="0" w:space="0" w:color="auto"/>
            <w:right w:val="none" w:sz="0" w:space="0" w:color="auto"/>
          </w:divBdr>
        </w:div>
      </w:divsChild>
    </w:div>
    <w:div w:id="1307474942">
      <w:bodyDiv w:val="1"/>
      <w:marLeft w:val="0"/>
      <w:marRight w:val="0"/>
      <w:marTop w:val="0"/>
      <w:marBottom w:val="0"/>
      <w:divBdr>
        <w:top w:val="none" w:sz="0" w:space="0" w:color="auto"/>
        <w:left w:val="none" w:sz="0" w:space="0" w:color="auto"/>
        <w:bottom w:val="none" w:sz="0" w:space="0" w:color="auto"/>
        <w:right w:val="none" w:sz="0" w:space="0" w:color="auto"/>
      </w:divBdr>
      <w:divsChild>
        <w:div w:id="365064599">
          <w:marLeft w:val="0"/>
          <w:marRight w:val="0"/>
          <w:marTop w:val="0"/>
          <w:marBottom w:val="0"/>
          <w:divBdr>
            <w:top w:val="single" w:sz="6" w:space="12" w:color="C7E2E2"/>
            <w:left w:val="none" w:sz="0" w:space="0" w:color="auto"/>
            <w:bottom w:val="single" w:sz="6" w:space="12" w:color="C7E2E2"/>
            <w:right w:val="none" w:sz="0" w:space="0" w:color="auto"/>
          </w:divBdr>
          <w:divsChild>
            <w:div w:id="944315084">
              <w:marLeft w:val="1584"/>
              <w:marRight w:val="0"/>
              <w:marTop w:val="0"/>
              <w:marBottom w:val="0"/>
              <w:divBdr>
                <w:top w:val="none" w:sz="0" w:space="0" w:color="auto"/>
                <w:left w:val="none" w:sz="0" w:space="0" w:color="auto"/>
                <w:bottom w:val="none" w:sz="0" w:space="0" w:color="auto"/>
                <w:right w:val="none" w:sz="0" w:space="0" w:color="auto"/>
              </w:divBdr>
            </w:div>
          </w:divsChild>
        </w:div>
      </w:divsChild>
    </w:div>
    <w:div w:id="1765417118">
      <w:bodyDiv w:val="1"/>
      <w:marLeft w:val="0"/>
      <w:marRight w:val="0"/>
      <w:marTop w:val="0"/>
      <w:marBottom w:val="0"/>
      <w:divBdr>
        <w:top w:val="none" w:sz="0" w:space="0" w:color="auto"/>
        <w:left w:val="none" w:sz="0" w:space="0" w:color="auto"/>
        <w:bottom w:val="none" w:sz="0" w:space="0" w:color="auto"/>
        <w:right w:val="none" w:sz="0" w:space="0" w:color="auto"/>
      </w:divBdr>
    </w:div>
    <w:div w:id="1891383054">
      <w:bodyDiv w:val="1"/>
      <w:marLeft w:val="0"/>
      <w:marRight w:val="0"/>
      <w:marTop w:val="0"/>
      <w:marBottom w:val="0"/>
      <w:divBdr>
        <w:top w:val="none" w:sz="0" w:space="0" w:color="auto"/>
        <w:left w:val="none" w:sz="0" w:space="0" w:color="auto"/>
        <w:bottom w:val="none" w:sz="0" w:space="0" w:color="auto"/>
        <w:right w:val="none" w:sz="0" w:space="0" w:color="auto"/>
      </w:divBdr>
      <w:divsChild>
        <w:div w:id="724795349">
          <w:marLeft w:val="0"/>
          <w:marRight w:val="0"/>
          <w:marTop w:val="20"/>
          <w:marBottom w:val="20"/>
          <w:divBdr>
            <w:top w:val="none" w:sz="0" w:space="0" w:color="auto"/>
            <w:left w:val="none" w:sz="0" w:space="0" w:color="auto"/>
            <w:bottom w:val="none" w:sz="0" w:space="0" w:color="auto"/>
            <w:right w:val="none" w:sz="0" w:space="0" w:color="auto"/>
          </w:divBdr>
        </w:div>
        <w:div w:id="812722939">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FAB4-CC86-4BDB-9367-EDE425C5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ANF</cp:lastModifiedBy>
  <cp:revision>2</cp:revision>
  <cp:lastPrinted>2018-07-05T14:39:00Z</cp:lastPrinted>
  <dcterms:created xsi:type="dcterms:W3CDTF">2018-08-03T23:43:00Z</dcterms:created>
  <dcterms:modified xsi:type="dcterms:W3CDTF">2018-08-03T23:43:00Z</dcterms:modified>
</cp:coreProperties>
</file>