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14:paraId="6946474B" w14:textId="77777777">
        <w:tc>
          <w:tcPr>
            <w:tcW w:w="1728" w:type="dxa"/>
          </w:tcPr>
          <w:p w14:paraId="6BFFBB38" w14:textId="77777777" w:rsidR="000B17B0" w:rsidRDefault="00837E50">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30820F3D" wp14:editId="088F5BB9">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4CBE3B45"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7EBE8366" wp14:editId="6DC3CCEC">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142D39D7" w14:textId="77777777" w:rsidR="004F0AE5" w:rsidRDefault="004F0AE5">
                                  <w:r>
                                    <w:object w:dxaOrig="2365" w:dyaOrig="1161" w14:anchorId="063CA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57.75pt" o:ole="">
                                        <v:imagedata r:id="rId10" o:title=""/>
                                      </v:shape>
                                      <o:OLEObject Type="Embed" ProgID="Word.Picture.8" ShapeID="_x0000_i1025" DrawAspect="Content" ObjectID="_1668502602"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BE8366"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142D39D7" w14:textId="77777777" w:rsidR="004F0AE5" w:rsidRDefault="004F0AE5">
                            <w:r>
                              <w:object w:dxaOrig="2365" w:dyaOrig="1161" w14:anchorId="063CA8AA">
                                <v:shape id="_x0000_i1026" type="#_x0000_t75" style="width:118.25pt;height:58.05pt">
                                  <v:imagedata r:id="rId12" o:title=""/>
                                </v:shape>
                                <o:OLEObject Type="Embed" ProgID="Word.Picture.8" ShapeID="_x0000_i1026" DrawAspect="Content" ObjectID="_1668496029" r:id="rId13"/>
                              </w:object>
                            </w:r>
                          </w:p>
                        </w:txbxContent>
                      </v:textbox>
                    </v:shape>
                  </w:pict>
                </mc:Fallback>
              </mc:AlternateContent>
            </w:r>
          </w:p>
          <w:p w14:paraId="38F49D82"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B4B5D18"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353F2588" w14:textId="77777777" w:rsidR="000B17B0" w:rsidRDefault="000B17B0">
            <w:pPr>
              <w:pStyle w:val="Heading2"/>
              <w:rPr>
                <w:bCs/>
              </w:rPr>
            </w:pPr>
            <w:r>
              <w:rPr>
                <w:bCs/>
              </w:rPr>
              <w:t>Office of Medicaid</w:t>
            </w:r>
          </w:p>
          <w:p w14:paraId="528F94A4"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482A01C8" w14:textId="77777777" w:rsidR="000B17B0" w:rsidRDefault="000B17B0">
      <w:pPr>
        <w:widowControl w:val="0"/>
        <w:tabs>
          <w:tab w:val="left" w:pos="5400"/>
        </w:tabs>
        <w:rPr>
          <w:rFonts w:ascii="Helv" w:hAnsi="Helv"/>
          <w:i/>
          <w:sz w:val="22"/>
        </w:rPr>
      </w:pPr>
    </w:p>
    <w:p w14:paraId="0E9320F6" w14:textId="77777777" w:rsidR="000B17B0" w:rsidRPr="00E37878" w:rsidRDefault="002A2379">
      <w:pPr>
        <w:widowControl w:val="0"/>
        <w:tabs>
          <w:tab w:val="left" w:pos="5400"/>
        </w:tabs>
        <w:ind w:firstLine="5400"/>
        <w:rPr>
          <w:rFonts w:ascii="Arial" w:hAnsi="Arial" w:cs="Arial"/>
          <w:sz w:val="22"/>
        </w:rPr>
      </w:pPr>
      <w:r w:rsidRPr="00E37878">
        <w:rPr>
          <w:rFonts w:ascii="Arial" w:hAnsi="Arial" w:cs="Arial"/>
          <w:sz w:val="22"/>
        </w:rPr>
        <w:t>MassHealth</w:t>
      </w:r>
    </w:p>
    <w:p w14:paraId="3D6445E6" w14:textId="77777777" w:rsidR="000B17B0" w:rsidRPr="00E37878" w:rsidRDefault="002A2379">
      <w:pPr>
        <w:widowControl w:val="0"/>
        <w:tabs>
          <w:tab w:val="left" w:pos="5400"/>
        </w:tabs>
        <w:ind w:firstLine="5400"/>
        <w:rPr>
          <w:rFonts w:ascii="Arial" w:hAnsi="Arial" w:cs="Arial"/>
          <w:sz w:val="22"/>
        </w:rPr>
      </w:pPr>
      <w:r w:rsidRPr="00E37878">
        <w:rPr>
          <w:rFonts w:ascii="Arial" w:hAnsi="Arial" w:cs="Arial"/>
          <w:sz w:val="22"/>
        </w:rPr>
        <w:t>Transmittal Letter</w:t>
      </w:r>
      <w:r w:rsidR="000B17B0" w:rsidRPr="00E37878">
        <w:rPr>
          <w:rFonts w:ascii="Arial" w:hAnsi="Arial" w:cs="Arial"/>
          <w:sz w:val="22"/>
        </w:rPr>
        <w:t xml:space="preserve"> </w:t>
      </w:r>
      <w:r w:rsidR="005367D0" w:rsidRPr="00E37878">
        <w:rPr>
          <w:rFonts w:ascii="Arial" w:hAnsi="Arial" w:cs="Arial"/>
          <w:sz w:val="22"/>
        </w:rPr>
        <w:t>ALL-233</w:t>
      </w:r>
      <w:r w:rsidR="000B17B0" w:rsidRPr="00E37878">
        <w:rPr>
          <w:rFonts w:ascii="Arial" w:hAnsi="Arial" w:cs="Arial"/>
          <w:sz w:val="22"/>
        </w:rPr>
        <w:t xml:space="preserve"> </w:t>
      </w:r>
    </w:p>
    <w:p w14:paraId="4ADA5BCD" w14:textId="77777777" w:rsidR="000B17B0" w:rsidRPr="00E37878" w:rsidRDefault="005367D0">
      <w:pPr>
        <w:widowControl w:val="0"/>
        <w:tabs>
          <w:tab w:val="left" w:pos="5400"/>
        </w:tabs>
        <w:ind w:firstLine="5400"/>
        <w:rPr>
          <w:rFonts w:ascii="Arial" w:hAnsi="Arial" w:cs="Arial"/>
          <w:sz w:val="22"/>
        </w:rPr>
      </w:pPr>
      <w:r w:rsidRPr="00E37878">
        <w:rPr>
          <w:rFonts w:ascii="Arial" w:hAnsi="Arial" w:cs="Arial"/>
          <w:sz w:val="22"/>
        </w:rPr>
        <w:t>December 2020</w:t>
      </w:r>
    </w:p>
    <w:p w14:paraId="360099BF" w14:textId="77777777" w:rsidR="000B17B0" w:rsidRPr="00E37878" w:rsidRDefault="000B17B0">
      <w:pPr>
        <w:widowControl w:val="0"/>
        <w:tabs>
          <w:tab w:val="left" w:pos="5400"/>
        </w:tabs>
        <w:rPr>
          <w:rFonts w:ascii="Arial" w:hAnsi="Arial" w:cs="Arial"/>
          <w:sz w:val="22"/>
        </w:rPr>
      </w:pPr>
    </w:p>
    <w:p w14:paraId="5016F8CC" w14:textId="77777777" w:rsidR="000B17B0" w:rsidRPr="00E37878" w:rsidRDefault="000B17B0">
      <w:pPr>
        <w:widowControl w:val="0"/>
        <w:tabs>
          <w:tab w:val="left" w:pos="5400"/>
        </w:tabs>
        <w:rPr>
          <w:rFonts w:ascii="Arial" w:hAnsi="Arial" w:cs="Arial"/>
          <w:sz w:val="22"/>
        </w:rPr>
        <w:sectPr w:rsidR="000B17B0" w:rsidRPr="00E37878" w:rsidSect="00E37878">
          <w:endnotePr>
            <w:numFmt w:val="decimal"/>
          </w:endnotePr>
          <w:pgSz w:w="12240" w:h="15840" w:code="1"/>
          <w:pgMar w:top="720" w:right="1440" w:bottom="432" w:left="1440" w:header="720" w:footer="432" w:gutter="0"/>
          <w:cols w:space="720"/>
          <w:noEndnote/>
        </w:sectPr>
      </w:pPr>
    </w:p>
    <w:p w14:paraId="1C537DBB" w14:textId="77777777" w:rsidR="000B17B0" w:rsidRPr="00E37878" w:rsidRDefault="000B17B0">
      <w:pPr>
        <w:widowControl w:val="0"/>
        <w:tabs>
          <w:tab w:val="right" w:pos="720"/>
          <w:tab w:val="left" w:pos="1080"/>
          <w:tab w:val="left" w:pos="5400"/>
        </w:tabs>
        <w:ind w:left="1080" w:hanging="1080"/>
        <w:rPr>
          <w:rFonts w:ascii="Arial" w:hAnsi="Arial" w:cs="Arial"/>
          <w:sz w:val="22"/>
        </w:rPr>
      </w:pPr>
      <w:r w:rsidRPr="00E37878">
        <w:rPr>
          <w:rFonts w:ascii="Arial" w:hAnsi="Arial" w:cs="Arial"/>
          <w:sz w:val="22"/>
        </w:rPr>
        <w:lastRenderedPageBreak/>
        <w:tab/>
      </w:r>
      <w:r w:rsidRPr="00E37878">
        <w:rPr>
          <w:rFonts w:ascii="Arial" w:hAnsi="Arial" w:cs="Arial"/>
          <w:b/>
          <w:sz w:val="22"/>
        </w:rPr>
        <w:t>TO:</w:t>
      </w:r>
      <w:r w:rsidRPr="00E37878">
        <w:rPr>
          <w:rFonts w:ascii="Arial" w:hAnsi="Arial" w:cs="Arial"/>
          <w:sz w:val="22"/>
        </w:rPr>
        <w:tab/>
      </w:r>
      <w:r w:rsidR="005367D0" w:rsidRPr="00E37878">
        <w:rPr>
          <w:rFonts w:ascii="Arial" w:hAnsi="Arial" w:cs="Arial"/>
          <w:sz w:val="22"/>
        </w:rPr>
        <w:t>All Providers</w:t>
      </w:r>
      <w:r w:rsidR="00AD337E" w:rsidRPr="00E37878">
        <w:rPr>
          <w:rFonts w:ascii="Arial" w:hAnsi="Arial" w:cs="Arial"/>
          <w:sz w:val="22"/>
        </w:rPr>
        <w:t xml:space="preserve"> Participating in MassHealth</w:t>
      </w:r>
    </w:p>
    <w:p w14:paraId="4A0B3DAF" w14:textId="77777777" w:rsidR="000B17B0" w:rsidRPr="00E37878" w:rsidRDefault="000B17B0">
      <w:pPr>
        <w:widowControl w:val="0"/>
        <w:tabs>
          <w:tab w:val="right" w:pos="720"/>
          <w:tab w:val="left" w:pos="1080"/>
          <w:tab w:val="left" w:pos="5400"/>
        </w:tabs>
        <w:rPr>
          <w:rFonts w:ascii="Arial" w:hAnsi="Arial" w:cs="Arial"/>
          <w:sz w:val="22"/>
        </w:rPr>
      </w:pPr>
    </w:p>
    <w:p w14:paraId="2C4A38BE" w14:textId="77777777" w:rsidR="000B17B0" w:rsidRDefault="000B17B0">
      <w:pPr>
        <w:widowControl w:val="0"/>
        <w:tabs>
          <w:tab w:val="right" w:pos="720"/>
          <w:tab w:val="left" w:pos="1080"/>
          <w:tab w:val="left" w:pos="5400"/>
        </w:tabs>
        <w:rPr>
          <w:rFonts w:ascii="Arial" w:hAnsi="Arial" w:cs="Arial"/>
          <w:sz w:val="22"/>
        </w:rPr>
      </w:pPr>
      <w:r w:rsidRPr="00E37878">
        <w:rPr>
          <w:rFonts w:ascii="Arial" w:hAnsi="Arial" w:cs="Arial"/>
          <w:sz w:val="22"/>
        </w:rPr>
        <w:tab/>
      </w:r>
      <w:r w:rsidRPr="00E37878">
        <w:rPr>
          <w:rFonts w:ascii="Arial" w:hAnsi="Arial" w:cs="Arial"/>
          <w:b/>
          <w:sz w:val="22"/>
        </w:rPr>
        <w:t>FROM:</w:t>
      </w:r>
      <w:r w:rsidR="007302DC" w:rsidRPr="00E37878">
        <w:rPr>
          <w:rFonts w:ascii="Arial" w:hAnsi="Arial" w:cs="Arial"/>
          <w:sz w:val="22"/>
        </w:rPr>
        <w:tab/>
      </w:r>
      <w:r w:rsidR="008F0772" w:rsidRPr="00E37878">
        <w:rPr>
          <w:rFonts w:ascii="Arial" w:hAnsi="Arial" w:cs="Arial"/>
          <w:sz w:val="22"/>
        </w:rPr>
        <w:t xml:space="preserve">Daniel Tsai, Assistant Secretary for MassHealth </w:t>
      </w:r>
      <w:r w:rsidR="0086374B">
        <w:rPr>
          <w:rFonts w:ascii="Arial" w:hAnsi="Arial" w:cs="Arial"/>
          <w:sz w:val="22"/>
        </w:rPr>
        <w:t>[signature of Daniel Tsai]</w:t>
      </w:r>
    </w:p>
    <w:p w14:paraId="366FA684" w14:textId="77777777" w:rsidR="0086374B" w:rsidRPr="00E37878" w:rsidRDefault="0086374B">
      <w:pPr>
        <w:widowControl w:val="0"/>
        <w:tabs>
          <w:tab w:val="right" w:pos="720"/>
          <w:tab w:val="left" w:pos="1080"/>
          <w:tab w:val="left" w:pos="5400"/>
        </w:tabs>
        <w:rPr>
          <w:rFonts w:ascii="Arial" w:hAnsi="Arial" w:cs="Arial"/>
          <w:sz w:val="22"/>
        </w:rPr>
      </w:pPr>
    </w:p>
    <w:p w14:paraId="7453F974" w14:textId="2B6CFC6E" w:rsidR="000B17B0" w:rsidRPr="00E37878" w:rsidRDefault="000B17B0">
      <w:pPr>
        <w:widowControl w:val="0"/>
        <w:tabs>
          <w:tab w:val="right" w:pos="720"/>
          <w:tab w:val="left" w:pos="1080"/>
          <w:tab w:val="left" w:pos="5400"/>
        </w:tabs>
        <w:ind w:left="1080" w:hanging="1080"/>
        <w:rPr>
          <w:rFonts w:ascii="Arial" w:hAnsi="Arial" w:cs="Arial"/>
          <w:sz w:val="22"/>
        </w:rPr>
      </w:pPr>
      <w:r w:rsidRPr="00E37878">
        <w:rPr>
          <w:rFonts w:ascii="Arial" w:hAnsi="Arial" w:cs="Arial"/>
          <w:sz w:val="22"/>
        </w:rPr>
        <w:tab/>
      </w:r>
      <w:r w:rsidRPr="00E37878">
        <w:rPr>
          <w:rFonts w:ascii="Arial" w:hAnsi="Arial" w:cs="Arial"/>
          <w:b/>
          <w:sz w:val="22"/>
        </w:rPr>
        <w:t>RE:</w:t>
      </w:r>
      <w:r w:rsidRPr="00E37878">
        <w:rPr>
          <w:rFonts w:ascii="Arial" w:hAnsi="Arial" w:cs="Arial"/>
          <w:sz w:val="22"/>
        </w:rPr>
        <w:tab/>
      </w:r>
      <w:r w:rsidR="005367D0" w:rsidRPr="00FB3DEC">
        <w:rPr>
          <w:rFonts w:ascii="Arial" w:hAnsi="Arial" w:cs="Arial"/>
          <w:sz w:val="22"/>
        </w:rPr>
        <w:t>All Provider</w:t>
      </w:r>
      <w:r w:rsidR="00D66A39" w:rsidRPr="00FB3DEC">
        <w:rPr>
          <w:rFonts w:ascii="Arial" w:hAnsi="Arial" w:cs="Arial"/>
          <w:sz w:val="22"/>
        </w:rPr>
        <w:t xml:space="preserve"> Manual</w:t>
      </w:r>
      <w:r w:rsidR="005367D0" w:rsidRPr="00FB3DEC">
        <w:rPr>
          <w:rFonts w:ascii="Arial" w:hAnsi="Arial" w:cs="Arial"/>
          <w:sz w:val="22"/>
        </w:rPr>
        <w:t>s</w:t>
      </w:r>
      <w:r w:rsidR="005367D0" w:rsidRPr="00E37878">
        <w:rPr>
          <w:rFonts w:ascii="Arial" w:hAnsi="Arial" w:cs="Arial"/>
          <w:i/>
          <w:sz w:val="22"/>
        </w:rPr>
        <w:t xml:space="preserve"> </w:t>
      </w:r>
      <w:r w:rsidR="005367D0" w:rsidRPr="00E37878">
        <w:rPr>
          <w:rFonts w:ascii="Arial" w:hAnsi="Arial" w:cs="Arial"/>
          <w:sz w:val="22"/>
        </w:rPr>
        <w:t>(Updates to Appendix W – Behavioral Health, Medical Schedule, and Dental Schedule</w:t>
      </w:r>
      <w:r w:rsidRPr="00E37878">
        <w:rPr>
          <w:rFonts w:ascii="Arial" w:hAnsi="Arial" w:cs="Arial"/>
          <w:sz w:val="22"/>
        </w:rPr>
        <w:t>)</w:t>
      </w:r>
    </w:p>
    <w:p w14:paraId="5495DFBC" w14:textId="77777777" w:rsidR="000B17B0" w:rsidRPr="00E37878" w:rsidRDefault="000B17B0">
      <w:pPr>
        <w:widowControl w:val="0"/>
        <w:rPr>
          <w:rFonts w:ascii="Arial" w:hAnsi="Arial" w:cs="Arial"/>
          <w:sz w:val="22"/>
        </w:rPr>
      </w:pPr>
    </w:p>
    <w:p w14:paraId="14B50E3C" w14:textId="77777777" w:rsidR="000B17B0" w:rsidRPr="00E37878" w:rsidRDefault="000B17B0">
      <w:pPr>
        <w:widowControl w:val="0"/>
        <w:rPr>
          <w:rFonts w:ascii="Arial" w:hAnsi="Arial" w:cs="Arial"/>
          <w:sz w:val="22"/>
        </w:rPr>
      </w:pPr>
    </w:p>
    <w:p w14:paraId="00EFCC99" w14:textId="77777777" w:rsidR="005367D0" w:rsidRPr="005367D0" w:rsidRDefault="005367D0" w:rsidP="005367D0">
      <w:pPr>
        <w:widowControl w:val="0"/>
        <w:rPr>
          <w:rFonts w:ascii="Arial" w:hAnsi="Arial" w:cs="Arial"/>
          <w:sz w:val="22"/>
        </w:rPr>
      </w:pPr>
      <w:r w:rsidRPr="005367D0">
        <w:rPr>
          <w:rFonts w:ascii="Arial" w:hAnsi="Arial" w:cs="Arial"/>
          <w:sz w:val="22"/>
        </w:rPr>
        <w:t xml:space="preserve">This letter transmits revisions to Appendix W for MassHealth all provider manuals. The revisions in Appendix W become effective on December 2, 2020. </w:t>
      </w:r>
    </w:p>
    <w:p w14:paraId="0A88B0EC" w14:textId="77777777" w:rsidR="005367D0" w:rsidRPr="005367D0" w:rsidRDefault="005367D0" w:rsidP="005367D0">
      <w:pPr>
        <w:widowControl w:val="0"/>
        <w:rPr>
          <w:rFonts w:ascii="Arial" w:hAnsi="Arial" w:cs="Arial"/>
          <w:sz w:val="22"/>
        </w:rPr>
      </w:pPr>
    </w:p>
    <w:p w14:paraId="38F80F13" w14:textId="77777777" w:rsidR="005367D0" w:rsidRPr="005367D0" w:rsidRDefault="005367D0" w:rsidP="005367D0">
      <w:pPr>
        <w:widowControl w:val="0"/>
        <w:rPr>
          <w:rFonts w:ascii="Arial" w:hAnsi="Arial" w:cs="Arial"/>
          <w:b/>
          <w:sz w:val="22"/>
        </w:rPr>
      </w:pPr>
      <w:r w:rsidRPr="005367D0">
        <w:rPr>
          <w:rFonts w:ascii="Arial" w:hAnsi="Arial" w:cs="Arial"/>
          <w:b/>
          <w:sz w:val="22"/>
        </w:rPr>
        <w:t>The Medical and Dental Schedules</w:t>
      </w:r>
    </w:p>
    <w:p w14:paraId="1F6719DE" w14:textId="77777777" w:rsidR="005367D0" w:rsidRPr="005367D0" w:rsidRDefault="005367D0" w:rsidP="005367D0">
      <w:pPr>
        <w:widowControl w:val="0"/>
        <w:rPr>
          <w:rFonts w:ascii="Arial" w:hAnsi="Arial" w:cs="Arial"/>
          <w:sz w:val="22"/>
        </w:rPr>
      </w:pPr>
    </w:p>
    <w:p w14:paraId="5158203B" w14:textId="7035A681" w:rsidR="005367D0" w:rsidRPr="005367D0" w:rsidRDefault="005367D0" w:rsidP="005367D0">
      <w:pPr>
        <w:widowControl w:val="0"/>
        <w:rPr>
          <w:rFonts w:ascii="Arial" w:hAnsi="Arial" w:cs="Arial"/>
          <w:sz w:val="22"/>
        </w:rPr>
      </w:pPr>
      <w:r w:rsidRPr="005367D0">
        <w:rPr>
          <w:rFonts w:ascii="Arial" w:hAnsi="Arial" w:cs="Arial"/>
          <w:sz w:val="22"/>
        </w:rPr>
        <w:t xml:space="preserve">With this transmittal letter, MassHealth is highlighting changes to the Medical Schedule and the Dental Schedule in Appendix W. These revisions further align the Medical Schedule with the Bright Futures </w:t>
      </w:r>
      <w:r w:rsidRPr="005367D0">
        <w:rPr>
          <w:rFonts w:ascii="Arial" w:hAnsi="Arial" w:cs="Arial"/>
          <w:i/>
          <w:sz w:val="22"/>
        </w:rPr>
        <w:t>Guidelines</w:t>
      </w:r>
      <w:r w:rsidRPr="005367D0">
        <w:rPr>
          <w:rFonts w:ascii="Arial" w:hAnsi="Arial" w:cs="Arial"/>
          <w:sz w:val="22"/>
        </w:rPr>
        <w:t xml:space="preserve"> and </w:t>
      </w:r>
      <w:r w:rsidRPr="005367D0">
        <w:rPr>
          <w:rFonts w:ascii="Arial" w:hAnsi="Arial" w:cs="Arial"/>
          <w:i/>
          <w:sz w:val="22"/>
        </w:rPr>
        <w:t>Periodicity Schedule,</w:t>
      </w:r>
      <w:r w:rsidRPr="005367D0">
        <w:rPr>
          <w:rFonts w:ascii="Arial" w:hAnsi="Arial" w:cs="Arial"/>
          <w:sz w:val="22"/>
        </w:rPr>
        <w:t xml:space="preserve"> and the Massachusetts Health Quality Partners </w:t>
      </w:r>
      <w:r w:rsidRPr="005367D0">
        <w:rPr>
          <w:rFonts w:ascii="Arial" w:hAnsi="Arial" w:cs="Arial"/>
          <w:i/>
          <w:iCs/>
          <w:sz w:val="22"/>
        </w:rPr>
        <w:t>Pediatric Preventive Care</w:t>
      </w:r>
      <w:r w:rsidRPr="005367D0">
        <w:rPr>
          <w:rFonts w:ascii="Arial" w:hAnsi="Arial" w:cs="Arial"/>
          <w:i/>
          <w:sz w:val="22"/>
        </w:rPr>
        <w:t xml:space="preserve"> Guidelines</w:t>
      </w:r>
      <w:r w:rsidRPr="005367D0">
        <w:rPr>
          <w:rFonts w:ascii="Arial" w:hAnsi="Arial" w:cs="Arial"/>
          <w:sz w:val="22"/>
        </w:rPr>
        <w:t xml:space="preserve">. The changes also </w:t>
      </w:r>
      <w:r w:rsidR="002F160F">
        <w:rPr>
          <w:rFonts w:ascii="Arial" w:hAnsi="Arial" w:cs="Arial"/>
          <w:sz w:val="22"/>
        </w:rPr>
        <w:t>update</w:t>
      </w:r>
      <w:r w:rsidRPr="005367D0">
        <w:rPr>
          <w:rFonts w:ascii="Arial" w:hAnsi="Arial" w:cs="Arial"/>
          <w:sz w:val="22"/>
        </w:rPr>
        <w:t xml:space="preserve"> the Dental Schedule </w:t>
      </w:r>
      <w:r w:rsidR="002F160F">
        <w:rPr>
          <w:rFonts w:ascii="Arial" w:hAnsi="Arial" w:cs="Arial"/>
          <w:sz w:val="22"/>
        </w:rPr>
        <w:t xml:space="preserve">consistent </w:t>
      </w:r>
      <w:r w:rsidRPr="005367D0">
        <w:rPr>
          <w:rFonts w:ascii="Arial" w:hAnsi="Arial" w:cs="Arial"/>
          <w:sz w:val="22"/>
        </w:rPr>
        <w:t xml:space="preserve">with the </w:t>
      </w:r>
      <w:bookmarkStart w:id="2" w:name="_Hlk57032241"/>
      <w:r w:rsidRPr="005367D0">
        <w:rPr>
          <w:rFonts w:ascii="Arial" w:hAnsi="Arial" w:cs="Arial"/>
          <w:i/>
          <w:sz w:val="22"/>
        </w:rPr>
        <w:t xml:space="preserve">Recommendation for Pediatric Oral Health Assessment, Preventive Services, and Anticipatory Guidance/Counseling </w:t>
      </w:r>
      <w:bookmarkEnd w:id="2"/>
      <w:r w:rsidRPr="005367D0">
        <w:rPr>
          <w:rFonts w:ascii="Arial" w:hAnsi="Arial" w:cs="Arial"/>
          <w:sz w:val="22"/>
        </w:rPr>
        <w:t>from the American Academy of Pediatric Dentistry.</w:t>
      </w:r>
    </w:p>
    <w:p w14:paraId="3CD95552" w14:textId="77777777" w:rsidR="005367D0" w:rsidRPr="005367D0" w:rsidRDefault="005367D0" w:rsidP="005367D0">
      <w:pPr>
        <w:widowControl w:val="0"/>
        <w:rPr>
          <w:rFonts w:ascii="Arial" w:hAnsi="Arial" w:cs="Arial"/>
          <w:sz w:val="22"/>
        </w:rPr>
      </w:pPr>
    </w:p>
    <w:p w14:paraId="78AAF51D" w14:textId="77777777" w:rsidR="005367D0" w:rsidRPr="005367D0" w:rsidRDefault="005367D0" w:rsidP="005367D0">
      <w:pPr>
        <w:widowControl w:val="0"/>
        <w:rPr>
          <w:rFonts w:ascii="Arial" w:hAnsi="Arial" w:cs="Arial"/>
          <w:b/>
          <w:sz w:val="22"/>
        </w:rPr>
      </w:pPr>
      <w:r w:rsidRPr="005367D0">
        <w:rPr>
          <w:rFonts w:ascii="Arial" w:hAnsi="Arial" w:cs="Arial"/>
          <w:b/>
          <w:sz w:val="22"/>
        </w:rPr>
        <w:t>Behavioral Health Screening</w:t>
      </w:r>
      <w:r w:rsidRPr="005367D0">
        <w:rPr>
          <w:rFonts w:ascii="Arial" w:hAnsi="Arial" w:cs="Arial"/>
          <w:b/>
          <w:sz w:val="22"/>
        </w:rPr>
        <w:tab/>
      </w:r>
    </w:p>
    <w:p w14:paraId="518A60EE" w14:textId="77777777" w:rsidR="005367D0" w:rsidRPr="005367D0" w:rsidRDefault="005367D0" w:rsidP="005367D0">
      <w:pPr>
        <w:widowControl w:val="0"/>
        <w:rPr>
          <w:rFonts w:ascii="Arial" w:hAnsi="Arial" w:cs="Arial"/>
          <w:b/>
          <w:sz w:val="22"/>
        </w:rPr>
      </w:pPr>
    </w:p>
    <w:p w14:paraId="44B56CFE" w14:textId="77777777" w:rsidR="005367D0" w:rsidRPr="005367D0" w:rsidRDefault="005367D0" w:rsidP="005367D0">
      <w:pPr>
        <w:widowControl w:val="0"/>
        <w:rPr>
          <w:rFonts w:ascii="Arial" w:hAnsi="Arial" w:cs="Arial"/>
          <w:sz w:val="22"/>
        </w:rPr>
      </w:pPr>
      <w:r w:rsidRPr="005367D0">
        <w:rPr>
          <w:rFonts w:ascii="Arial" w:hAnsi="Arial" w:cs="Arial"/>
          <w:sz w:val="22"/>
        </w:rPr>
        <w:t>MassHealth includes developmental and behavioral health (mental health and substance use disorder) screens in its list of Early Periodic Screening, Diagnostic, and Treatment (EPSDT) services and Preventive Pediatric Healthcare Screening and Diagnosis (PPHSD) services, in accordance with 130 CMR 450.140 through 450.150.</w:t>
      </w:r>
    </w:p>
    <w:p w14:paraId="7F2320A4" w14:textId="77777777" w:rsidR="005367D0" w:rsidRPr="005367D0" w:rsidRDefault="005367D0" w:rsidP="005367D0">
      <w:pPr>
        <w:widowControl w:val="0"/>
        <w:rPr>
          <w:rFonts w:ascii="Arial" w:hAnsi="Arial" w:cs="Arial"/>
          <w:sz w:val="22"/>
        </w:rPr>
      </w:pPr>
    </w:p>
    <w:p w14:paraId="01A821A7" w14:textId="77777777" w:rsidR="005367D0" w:rsidRPr="005367D0" w:rsidRDefault="005367D0" w:rsidP="005367D0">
      <w:pPr>
        <w:widowControl w:val="0"/>
        <w:rPr>
          <w:rFonts w:ascii="Arial" w:hAnsi="Arial" w:cs="Arial"/>
          <w:sz w:val="22"/>
        </w:rPr>
      </w:pPr>
      <w:r w:rsidRPr="005367D0">
        <w:rPr>
          <w:rFonts w:ascii="Arial" w:hAnsi="Arial" w:cs="Arial"/>
          <w:sz w:val="22"/>
        </w:rPr>
        <w:t xml:space="preserve">MassHealth has revised Appendix W (EPSDT Services Medical and Dental Protocols and Periodicity Schedules), which requires providers to choose a clinically appropriate behavioral health screening tool from a menu of approved, standardized tools when conducting a behavioral health screen at a periodic or interperiodic visit. </w:t>
      </w:r>
    </w:p>
    <w:p w14:paraId="2A1FB0B4" w14:textId="77777777" w:rsidR="005367D0" w:rsidRPr="005367D0" w:rsidRDefault="005367D0" w:rsidP="005367D0">
      <w:pPr>
        <w:widowControl w:val="0"/>
        <w:rPr>
          <w:rFonts w:ascii="Arial" w:hAnsi="Arial" w:cs="Arial"/>
          <w:sz w:val="22"/>
        </w:rPr>
      </w:pPr>
    </w:p>
    <w:p w14:paraId="1CCAA33D" w14:textId="77777777" w:rsidR="005367D0" w:rsidRPr="005367D0" w:rsidRDefault="005367D0" w:rsidP="005367D0">
      <w:pPr>
        <w:widowControl w:val="0"/>
        <w:rPr>
          <w:rFonts w:ascii="Arial" w:hAnsi="Arial" w:cs="Arial"/>
          <w:sz w:val="22"/>
        </w:rPr>
      </w:pPr>
      <w:r w:rsidRPr="005367D0">
        <w:rPr>
          <w:rFonts w:ascii="Arial" w:hAnsi="Arial" w:cs="Arial"/>
          <w:sz w:val="22"/>
        </w:rPr>
        <w:t>MassHealth has added three more tools to its list of approved, standardized behavioral health screening tools for children younger than age 21. These tools are</w:t>
      </w:r>
    </w:p>
    <w:p w14:paraId="24E522D5" w14:textId="77777777" w:rsidR="005367D0" w:rsidRPr="005367D0" w:rsidRDefault="005367D0" w:rsidP="005367D0">
      <w:pPr>
        <w:widowControl w:val="0"/>
        <w:rPr>
          <w:rFonts w:ascii="Arial" w:hAnsi="Arial" w:cs="Arial"/>
          <w:sz w:val="22"/>
        </w:rPr>
      </w:pPr>
    </w:p>
    <w:p w14:paraId="0576020A" w14:textId="77777777" w:rsidR="005367D0" w:rsidRPr="005367D0" w:rsidRDefault="005367D0" w:rsidP="005367D0">
      <w:pPr>
        <w:widowControl w:val="0"/>
        <w:numPr>
          <w:ilvl w:val="0"/>
          <w:numId w:val="2"/>
        </w:numPr>
        <w:rPr>
          <w:rFonts w:ascii="Arial" w:hAnsi="Arial" w:cs="Arial"/>
          <w:sz w:val="22"/>
        </w:rPr>
      </w:pPr>
      <w:r w:rsidRPr="005367D0">
        <w:rPr>
          <w:rFonts w:ascii="Arial" w:hAnsi="Arial" w:cs="Arial"/>
          <w:sz w:val="22"/>
        </w:rPr>
        <w:t>Ages and Stages Questionnaires, Second Edition (ASQ:SE-2)</w:t>
      </w:r>
    </w:p>
    <w:p w14:paraId="1B38DB64" w14:textId="77777777" w:rsidR="005367D0" w:rsidRPr="005367D0" w:rsidRDefault="005367D0" w:rsidP="005367D0">
      <w:pPr>
        <w:widowControl w:val="0"/>
        <w:numPr>
          <w:ilvl w:val="0"/>
          <w:numId w:val="2"/>
        </w:numPr>
        <w:rPr>
          <w:rFonts w:ascii="Arial" w:hAnsi="Arial" w:cs="Arial"/>
          <w:sz w:val="22"/>
        </w:rPr>
      </w:pPr>
      <w:r w:rsidRPr="005367D0">
        <w:rPr>
          <w:rFonts w:ascii="Arial" w:hAnsi="Arial" w:cs="Arial"/>
          <w:sz w:val="22"/>
        </w:rPr>
        <w:t>Car, Relax, Alone, Forget, Friends, Trouble 2.1 (CRAFFT 2.1)</w:t>
      </w:r>
    </w:p>
    <w:p w14:paraId="6F454B6D" w14:textId="77777777" w:rsidR="005367D0" w:rsidRPr="005367D0" w:rsidRDefault="005367D0" w:rsidP="005367D0">
      <w:pPr>
        <w:widowControl w:val="0"/>
        <w:numPr>
          <w:ilvl w:val="0"/>
          <w:numId w:val="2"/>
        </w:numPr>
        <w:rPr>
          <w:rFonts w:ascii="Arial" w:hAnsi="Arial" w:cs="Arial"/>
          <w:sz w:val="22"/>
        </w:rPr>
      </w:pPr>
      <w:r w:rsidRPr="005367D0">
        <w:rPr>
          <w:rFonts w:ascii="Arial" w:hAnsi="Arial" w:cs="Arial"/>
          <w:sz w:val="22"/>
        </w:rPr>
        <w:t>Patient Health Questionnaire-9 Modified for Adolescents (PHQ-9 Modified)</w:t>
      </w:r>
    </w:p>
    <w:p w14:paraId="506B90B7" w14:textId="77777777" w:rsidR="000B2831" w:rsidRDefault="000B2831" w:rsidP="005367D0">
      <w:pPr>
        <w:widowControl w:val="0"/>
        <w:rPr>
          <w:rFonts w:ascii="Arial" w:hAnsi="Arial" w:cs="Arial"/>
          <w:sz w:val="22"/>
        </w:rPr>
      </w:pPr>
    </w:p>
    <w:p w14:paraId="499BA54E" w14:textId="77777777" w:rsidR="005367D0" w:rsidRPr="005367D0" w:rsidRDefault="005367D0" w:rsidP="005367D0">
      <w:pPr>
        <w:widowControl w:val="0"/>
        <w:rPr>
          <w:rFonts w:ascii="Arial" w:hAnsi="Arial" w:cs="Arial"/>
          <w:sz w:val="22"/>
        </w:rPr>
      </w:pPr>
      <w:r w:rsidRPr="005367D0">
        <w:rPr>
          <w:rFonts w:ascii="Arial" w:hAnsi="Arial" w:cs="Arial"/>
          <w:sz w:val="22"/>
        </w:rPr>
        <w:t>For dates of service through December 2, 2021, providers may use either the ASQ:SE (original) or the ASQ:SE-2 (second edition). For dates of service on or after December 3, 2021, providers should use only the ASQ:SE-2 (second edition).</w:t>
      </w:r>
    </w:p>
    <w:p w14:paraId="73217F98" w14:textId="77777777" w:rsidR="005367D0" w:rsidRPr="005367D0" w:rsidRDefault="005367D0" w:rsidP="005367D0">
      <w:pPr>
        <w:widowControl w:val="0"/>
        <w:rPr>
          <w:rFonts w:ascii="Arial" w:hAnsi="Arial" w:cs="Arial"/>
          <w:sz w:val="22"/>
        </w:rPr>
      </w:pPr>
    </w:p>
    <w:p w14:paraId="6728D763" w14:textId="77777777" w:rsidR="000B2831" w:rsidRDefault="000B2831">
      <w:pPr>
        <w:rPr>
          <w:rFonts w:ascii="Arial" w:hAnsi="Arial" w:cs="Arial"/>
          <w:sz w:val="22"/>
        </w:rPr>
      </w:pPr>
      <w:r>
        <w:rPr>
          <w:rFonts w:ascii="Arial" w:hAnsi="Arial" w:cs="Arial"/>
          <w:sz w:val="22"/>
        </w:rPr>
        <w:br w:type="page"/>
      </w:r>
    </w:p>
    <w:p w14:paraId="24DBE3D5" w14:textId="77777777" w:rsidR="005367D0" w:rsidRPr="005367D0" w:rsidRDefault="005367D0" w:rsidP="005367D0">
      <w:pPr>
        <w:widowControl w:val="0"/>
        <w:rPr>
          <w:rFonts w:ascii="Arial" w:hAnsi="Arial" w:cs="Arial"/>
          <w:sz w:val="22"/>
        </w:rPr>
      </w:pPr>
      <w:r w:rsidRPr="005367D0">
        <w:rPr>
          <w:rFonts w:ascii="Arial" w:hAnsi="Arial" w:cs="Arial"/>
          <w:sz w:val="22"/>
        </w:rPr>
        <w:lastRenderedPageBreak/>
        <w:t>For dates of service through December 2, 2021, providers may use either the CRAFFT (original) or the CRAFFT 2.1 (updated). For dates of service on or after December 3, 2021, providers should use only the CRAFFT 2.1 (updated).</w:t>
      </w:r>
    </w:p>
    <w:p w14:paraId="22C02751" w14:textId="77777777" w:rsidR="005367D0" w:rsidRPr="005367D0" w:rsidRDefault="005367D0" w:rsidP="005367D0">
      <w:pPr>
        <w:widowControl w:val="0"/>
        <w:rPr>
          <w:rFonts w:ascii="Arial" w:hAnsi="Arial" w:cs="Arial"/>
          <w:sz w:val="22"/>
        </w:rPr>
      </w:pPr>
    </w:p>
    <w:p w14:paraId="40B10619" w14:textId="77777777" w:rsidR="005367D0" w:rsidRPr="005367D0" w:rsidRDefault="005367D0" w:rsidP="005367D0">
      <w:pPr>
        <w:widowControl w:val="0"/>
        <w:rPr>
          <w:rFonts w:ascii="Arial" w:hAnsi="Arial" w:cs="Arial"/>
          <w:sz w:val="22"/>
        </w:rPr>
      </w:pPr>
      <w:r w:rsidRPr="005367D0">
        <w:rPr>
          <w:rFonts w:ascii="Arial" w:hAnsi="Arial" w:cs="Arial"/>
          <w:sz w:val="22"/>
        </w:rPr>
        <w:t>In addition, due to recent updates to the Survey of Well-being of Young Children (SWYC) that were previously only included in the Survey of Well-being of Young Children-MA (SWYC-MA), MassHealth will be removing the SWYC-MA from the list of approved tools as of December 2, 2021.</w:t>
      </w:r>
    </w:p>
    <w:p w14:paraId="6243C559" w14:textId="77777777" w:rsidR="005367D0" w:rsidRPr="005367D0" w:rsidRDefault="005367D0" w:rsidP="005367D0">
      <w:pPr>
        <w:widowControl w:val="0"/>
        <w:rPr>
          <w:rFonts w:ascii="Arial" w:hAnsi="Arial" w:cs="Arial"/>
          <w:sz w:val="22"/>
        </w:rPr>
      </w:pPr>
    </w:p>
    <w:p w14:paraId="5CF6C01F" w14:textId="77777777" w:rsidR="005367D0" w:rsidRPr="005367D0" w:rsidRDefault="005367D0" w:rsidP="005367D0">
      <w:pPr>
        <w:widowControl w:val="0"/>
        <w:rPr>
          <w:rFonts w:ascii="Arial" w:hAnsi="Arial" w:cs="Arial"/>
          <w:sz w:val="22"/>
        </w:rPr>
      </w:pPr>
      <w:r w:rsidRPr="005367D0">
        <w:rPr>
          <w:rFonts w:ascii="Arial" w:hAnsi="Arial" w:cs="Arial"/>
          <w:sz w:val="22"/>
        </w:rPr>
        <w:t>For dates of service through December 2, 2021, providers may use either the SWYC or the SWYC-MA. For dates of service on or after December 3, 2021, providers should use only the SWYC.</w:t>
      </w:r>
    </w:p>
    <w:p w14:paraId="01354879" w14:textId="77777777" w:rsidR="005367D0" w:rsidRPr="005367D0" w:rsidRDefault="005367D0" w:rsidP="005367D0">
      <w:pPr>
        <w:widowControl w:val="0"/>
        <w:rPr>
          <w:rFonts w:ascii="Arial" w:hAnsi="Arial" w:cs="Arial"/>
          <w:sz w:val="22"/>
        </w:rPr>
      </w:pPr>
    </w:p>
    <w:p w14:paraId="7429E9F3" w14:textId="77777777" w:rsidR="005367D0" w:rsidRPr="005367D0" w:rsidRDefault="005367D0" w:rsidP="005367D0">
      <w:pPr>
        <w:widowControl w:val="0"/>
        <w:rPr>
          <w:rFonts w:ascii="Arial" w:hAnsi="Arial" w:cs="Arial"/>
          <w:sz w:val="22"/>
        </w:rPr>
      </w:pPr>
      <w:r w:rsidRPr="005367D0">
        <w:rPr>
          <w:rFonts w:ascii="Arial" w:hAnsi="Arial" w:cs="Arial"/>
          <w:sz w:val="22"/>
        </w:rPr>
        <w:t>For more information about the standardized behavioral health screening tools, go to</w:t>
      </w:r>
      <w:hyperlink w:history="1">
        <w:r w:rsidRPr="005367D0">
          <w:rPr>
            <w:rStyle w:val="Hyperlink"/>
            <w:rFonts w:ascii="Arial" w:hAnsi="Arial" w:cs="Arial"/>
            <w:sz w:val="22"/>
          </w:rPr>
          <w:t xml:space="preserve"> www.mass.gov/masshealth-childrens-behavioral-health-initiative</w:t>
        </w:r>
      </w:hyperlink>
      <w:r w:rsidRPr="005367D0">
        <w:rPr>
          <w:rFonts w:ascii="Arial" w:hAnsi="Arial" w:cs="Arial"/>
          <w:sz w:val="22"/>
        </w:rPr>
        <w:t xml:space="preserve"> and click “Screening for Behavioral Health Conditions.”</w:t>
      </w:r>
    </w:p>
    <w:p w14:paraId="0700FEA0" w14:textId="77777777" w:rsidR="005367D0" w:rsidRPr="005367D0" w:rsidRDefault="005367D0" w:rsidP="005367D0">
      <w:pPr>
        <w:widowControl w:val="0"/>
        <w:rPr>
          <w:rFonts w:ascii="Arial" w:hAnsi="Arial" w:cs="Arial"/>
          <w:sz w:val="22"/>
        </w:rPr>
      </w:pPr>
    </w:p>
    <w:p w14:paraId="4C34FBFE" w14:textId="77777777" w:rsidR="005367D0" w:rsidRPr="005367D0" w:rsidRDefault="005367D0" w:rsidP="005367D0">
      <w:pPr>
        <w:widowControl w:val="0"/>
        <w:rPr>
          <w:rFonts w:ascii="Arial" w:hAnsi="Arial" w:cs="Arial"/>
          <w:b/>
          <w:sz w:val="22"/>
        </w:rPr>
      </w:pPr>
      <w:r w:rsidRPr="005367D0">
        <w:rPr>
          <w:rFonts w:ascii="Arial" w:hAnsi="Arial" w:cs="Arial"/>
          <w:b/>
          <w:sz w:val="22"/>
        </w:rPr>
        <w:t>Modifiers to CPT Code 96110</w:t>
      </w:r>
    </w:p>
    <w:p w14:paraId="27B41E22" w14:textId="77777777" w:rsidR="005367D0" w:rsidRPr="005367D0" w:rsidRDefault="005367D0" w:rsidP="005367D0">
      <w:pPr>
        <w:widowControl w:val="0"/>
        <w:rPr>
          <w:rFonts w:ascii="Arial" w:hAnsi="Arial" w:cs="Arial"/>
          <w:sz w:val="22"/>
        </w:rPr>
      </w:pPr>
    </w:p>
    <w:p w14:paraId="43F4D68B" w14:textId="77777777" w:rsidR="005367D0" w:rsidRPr="005367D0" w:rsidRDefault="005367D0" w:rsidP="005367D0">
      <w:pPr>
        <w:widowControl w:val="0"/>
        <w:rPr>
          <w:rFonts w:ascii="Arial" w:hAnsi="Arial" w:cs="Arial"/>
          <w:sz w:val="22"/>
        </w:rPr>
      </w:pPr>
      <w:r w:rsidRPr="005367D0">
        <w:rPr>
          <w:rFonts w:ascii="Arial" w:hAnsi="Arial" w:cs="Arial"/>
          <w:sz w:val="22"/>
        </w:rPr>
        <w:t>Providers who administer behavioral health screenings using one of the tools from the menu of approved behavioral health screening tools must submit a claim using the CPT Code 96110 and the appropriate modifier (U1 or U2).</w:t>
      </w:r>
    </w:p>
    <w:p w14:paraId="22D76452" w14:textId="77777777" w:rsidR="005367D0" w:rsidRPr="005367D0" w:rsidRDefault="005367D0" w:rsidP="005367D0">
      <w:pPr>
        <w:widowControl w:val="0"/>
        <w:rPr>
          <w:rFonts w:ascii="Arial" w:hAnsi="Arial" w:cs="Arial"/>
          <w:sz w:val="22"/>
        </w:rPr>
      </w:pPr>
    </w:p>
    <w:p w14:paraId="3C305EC1" w14:textId="77777777" w:rsidR="005367D0" w:rsidRPr="005367D0" w:rsidRDefault="005367D0" w:rsidP="005367D0">
      <w:pPr>
        <w:widowControl w:val="0"/>
        <w:rPr>
          <w:rFonts w:ascii="Arial" w:hAnsi="Arial" w:cs="Arial"/>
          <w:sz w:val="22"/>
        </w:rPr>
      </w:pPr>
      <w:r w:rsidRPr="005367D0">
        <w:rPr>
          <w:rFonts w:ascii="Arial" w:hAnsi="Arial" w:cs="Arial"/>
          <w:sz w:val="22"/>
        </w:rPr>
        <w:t xml:space="preserve">When the provider submits a claim for 96110 for the administration of the Edinburgh Postnatal Depression Scale (EPDS), the provider must include an additional (second) modifier to the claim. This second modifier is UD. </w:t>
      </w:r>
    </w:p>
    <w:p w14:paraId="26AFD819" w14:textId="77777777" w:rsidR="005367D0" w:rsidRPr="005367D0" w:rsidRDefault="005367D0" w:rsidP="005367D0">
      <w:pPr>
        <w:widowControl w:val="0"/>
        <w:rPr>
          <w:rFonts w:ascii="Arial" w:hAnsi="Arial" w:cs="Arial"/>
          <w:b/>
          <w:sz w:val="22"/>
        </w:rPr>
      </w:pPr>
    </w:p>
    <w:p w14:paraId="43020395" w14:textId="77777777" w:rsidR="005367D0" w:rsidRPr="005367D0" w:rsidRDefault="005367D0" w:rsidP="005367D0">
      <w:pPr>
        <w:widowControl w:val="0"/>
        <w:rPr>
          <w:rFonts w:ascii="Arial" w:hAnsi="Arial" w:cs="Arial"/>
          <w:b/>
          <w:sz w:val="22"/>
        </w:rPr>
      </w:pPr>
      <w:r w:rsidRPr="005367D0">
        <w:rPr>
          <w:rFonts w:ascii="Arial" w:hAnsi="Arial" w:cs="Arial"/>
          <w:b/>
          <w:sz w:val="22"/>
        </w:rPr>
        <w:t>MassHealth Website</w:t>
      </w:r>
    </w:p>
    <w:p w14:paraId="3F50566D" w14:textId="77777777" w:rsidR="005367D0" w:rsidRPr="005367D0" w:rsidRDefault="005367D0" w:rsidP="005367D0">
      <w:pPr>
        <w:widowControl w:val="0"/>
        <w:rPr>
          <w:rFonts w:ascii="Arial" w:hAnsi="Arial" w:cs="Arial"/>
          <w:sz w:val="22"/>
        </w:rPr>
      </w:pPr>
    </w:p>
    <w:p w14:paraId="081071A3" w14:textId="77777777" w:rsidR="005367D0" w:rsidRPr="005367D0" w:rsidRDefault="005367D0" w:rsidP="005367D0">
      <w:pPr>
        <w:widowControl w:val="0"/>
        <w:rPr>
          <w:rFonts w:ascii="Arial" w:hAnsi="Arial" w:cs="Arial"/>
          <w:sz w:val="22"/>
        </w:rPr>
      </w:pPr>
      <w:r w:rsidRPr="005367D0">
        <w:rPr>
          <w:rFonts w:ascii="Arial" w:hAnsi="Arial" w:cs="Arial"/>
          <w:sz w:val="22"/>
        </w:rPr>
        <w:t xml:space="preserve">This transmittal letter and attached pages are available on the MassHealth website at </w:t>
      </w:r>
      <w:hyperlink r:id="rId14" w:history="1">
        <w:r w:rsidRPr="005367D0">
          <w:rPr>
            <w:rStyle w:val="Hyperlink"/>
            <w:rFonts w:ascii="Arial" w:hAnsi="Arial" w:cs="Arial"/>
            <w:sz w:val="22"/>
          </w:rPr>
          <w:t>www.mass.gov/masshealth-transmittal-letters</w:t>
        </w:r>
      </w:hyperlink>
      <w:r w:rsidRPr="005367D0">
        <w:rPr>
          <w:rFonts w:ascii="Arial" w:hAnsi="Arial" w:cs="Arial"/>
          <w:sz w:val="22"/>
        </w:rPr>
        <w:t>.</w:t>
      </w:r>
    </w:p>
    <w:p w14:paraId="79E42C1D" w14:textId="77777777" w:rsidR="005367D0" w:rsidRPr="005367D0" w:rsidRDefault="005367D0" w:rsidP="005367D0">
      <w:pPr>
        <w:widowControl w:val="0"/>
        <w:rPr>
          <w:rFonts w:ascii="Arial" w:hAnsi="Arial" w:cs="Arial"/>
          <w:sz w:val="22"/>
        </w:rPr>
      </w:pPr>
      <w:r w:rsidRPr="005367D0">
        <w:rPr>
          <w:rFonts w:ascii="Arial" w:hAnsi="Arial" w:cs="Arial"/>
          <w:sz w:val="22"/>
        </w:rPr>
        <w:t xml:space="preserve">To sign up to receive email alerts when MassHealth issues new transmittal letters and provider bulletins, send a blank email to </w:t>
      </w:r>
      <w:hyperlink r:id="rId15" w:history="1">
        <w:r w:rsidRPr="005367D0">
          <w:rPr>
            <w:rStyle w:val="Hyperlink"/>
            <w:rFonts w:ascii="Arial" w:hAnsi="Arial" w:cs="Arial"/>
            <w:sz w:val="22"/>
          </w:rPr>
          <w:t>join-masshealth-provider-pubs@listserv.state.ma.us</w:t>
        </w:r>
      </w:hyperlink>
      <w:r w:rsidRPr="005367D0">
        <w:rPr>
          <w:rFonts w:ascii="Arial" w:hAnsi="Arial" w:cs="Arial"/>
          <w:sz w:val="22"/>
        </w:rPr>
        <w:t>. No text in the body or subject line is needed.</w:t>
      </w:r>
    </w:p>
    <w:p w14:paraId="417D53B0" w14:textId="77777777" w:rsidR="005367D0" w:rsidRPr="005367D0" w:rsidRDefault="005367D0" w:rsidP="005367D0">
      <w:pPr>
        <w:widowControl w:val="0"/>
        <w:rPr>
          <w:rFonts w:ascii="Arial" w:hAnsi="Arial" w:cs="Arial"/>
          <w:b/>
          <w:sz w:val="22"/>
        </w:rPr>
      </w:pPr>
    </w:p>
    <w:p w14:paraId="00006A39" w14:textId="77777777" w:rsidR="005367D0" w:rsidRPr="005367D0" w:rsidRDefault="005367D0" w:rsidP="005367D0">
      <w:pPr>
        <w:widowControl w:val="0"/>
        <w:rPr>
          <w:rFonts w:ascii="Arial" w:hAnsi="Arial" w:cs="Arial"/>
          <w:b/>
          <w:sz w:val="22"/>
        </w:rPr>
      </w:pPr>
      <w:r w:rsidRPr="005367D0">
        <w:rPr>
          <w:rFonts w:ascii="Arial" w:hAnsi="Arial" w:cs="Arial"/>
          <w:b/>
          <w:sz w:val="22"/>
        </w:rPr>
        <w:t>Questions</w:t>
      </w:r>
    </w:p>
    <w:p w14:paraId="2AF7B3AC" w14:textId="77777777" w:rsidR="005367D0" w:rsidRPr="005367D0" w:rsidRDefault="005367D0" w:rsidP="005367D0">
      <w:pPr>
        <w:widowControl w:val="0"/>
        <w:rPr>
          <w:rFonts w:ascii="Arial" w:hAnsi="Arial" w:cs="Arial"/>
          <w:sz w:val="22"/>
        </w:rPr>
      </w:pPr>
    </w:p>
    <w:p w14:paraId="7BB49257" w14:textId="77777777" w:rsidR="005367D0" w:rsidRPr="005367D0" w:rsidRDefault="005367D0" w:rsidP="005367D0">
      <w:pPr>
        <w:widowControl w:val="0"/>
        <w:rPr>
          <w:rFonts w:ascii="Arial" w:hAnsi="Arial" w:cs="Arial"/>
          <w:sz w:val="22"/>
        </w:rPr>
      </w:pPr>
      <w:r w:rsidRPr="005367D0">
        <w:rPr>
          <w:rFonts w:ascii="Arial" w:hAnsi="Arial" w:cs="Arial"/>
          <w:sz w:val="22"/>
        </w:rPr>
        <w:t xml:space="preserve">If you have questions about the information in this transmittal letter, please contact the MassHealth Customer Service Center at (800) 841-2900, e-mail your inquiry to </w:t>
      </w:r>
      <w:hyperlink r:id="rId16" w:history="1">
        <w:r w:rsidRPr="005367D0">
          <w:rPr>
            <w:rStyle w:val="Hyperlink"/>
            <w:rFonts w:ascii="Arial" w:hAnsi="Arial" w:cs="Arial"/>
            <w:sz w:val="22"/>
          </w:rPr>
          <w:t>providersupport@mahealth.net,</w:t>
        </w:r>
      </w:hyperlink>
      <w:r w:rsidRPr="005367D0">
        <w:rPr>
          <w:rFonts w:ascii="Arial" w:hAnsi="Arial" w:cs="Arial"/>
          <w:sz w:val="22"/>
        </w:rPr>
        <w:t xml:space="preserve"> or fax your inquiry to (617) 988-8974.</w:t>
      </w:r>
    </w:p>
    <w:p w14:paraId="595F1ED2" w14:textId="77777777" w:rsidR="005367D0" w:rsidRPr="005367D0" w:rsidRDefault="005367D0" w:rsidP="005367D0">
      <w:pPr>
        <w:widowControl w:val="0"/>
        <w:rPr>
          <w:rFonts w:ascii="Arial" w:hAnsi="Arial" w:cs="Arial"/>
          <w:sz w:val="22"/>
        </w:rPr>
      </w:pPr>
    </w:p>
    <w:p w14:paraId="312E4B03" w14:textId="77777777" w:rsidR="005367D0" w:rsidRPr="005367D0" w:rsidRDefault="005367D0" w:rsidP="005367D0">
      <w:pPr>
        <w:widowControl w:val="0"/>
        <w:rPr>
          <w:rFonts w:ascii="Arial" w:hAnsi="Arial" w:cs="Arial"/>
          <w:sz w:val="22"/>
          <w:u w:val="single"/>
        </w:rPr>
      </w:pPr>
      <w:r w:rsidRPr="005367D0">
        <w:rPr>
          <w:rFonts w:ascii="Arial" w:hAnsi="Arial" w:cs="Arial"/>
          <w:sz w:val="22"/>
          <w:u w:val="single"/>
        </w:rPr>
        <w:br w:type="page"/>
      </w:r>
    </w:p>
    <w:p w14:paraId="58007B12" w14:textId="77777777" w:rsidR="005367D0" w:rsidRPr="005367D0" w:rsidRDefault="005367D0" w:rsidP="005367D0">
      <w:pPr>
        <w:widowControl w:val="0"/>
        <w:rPr>
          <w:rFonts w:ascii="Arial" w:hAnsi="Arial" w:cs="Arial"/>
          <w:sz w:val="22"/>
        </w:rPr>
      </w:pPr>
      <w:r w:rsidRPr="005367D0">
        <w:rPr>
          <w:rFonts w:ascii="Arial" w:hAnsi="Arial" w:cs="Arial"/>
          <w:sz w:val="22"/>
          <w:u w:val="single"/>
        </w:rPr>
        <w:lastRenderedPageBreak/>
        <w:t>NEW MATERIAL</w:t>
      </w:r>
    </w:p>
    <w:p w14:paraId="257E383C" w14:textId="77777777" w:rsidR="005367D0" w:rsidRPr="005367D0" w:rsidRDefault="005367D0" w:rsidP="005367D0">
      <w:pPr>
        <w:widowControl w:val="0"/>
        <w:rPr>
          <w:rFonts w:ascii="Arial" w:hAnsi="Arial" w:cs="Arial"/>
          <w:sz w:val="22"/>
        </w:rPr>
      </w:pPr>
      <w:r w:rsidRPr="005367D0">
        <w:rPr>
          <w:rFonts w:ascii="Arial" w:hAnsi="Arial" w:cs="Arial"/>
          <w:sz w:val="22"/>
        </w:rPr>
        <w:t>(The pages listed here contain new or revised language.)</w:t>
      </w:r>
    </w:p>
    <w:p w14:paraId="76400F57" w14:textId="77777777" w:rsidR="005367D0" w:rsidRPr="005367D0" w:rsidRDefault="005367D0" w:rsidP="005367D0">
      <w:pPr>
        <w:widowControl w:val="0"/>
        <w:rPr>
          <w:rFonts w:ascii="Arial" w:hAnsi="Arial" w:cs="Arial"/>
          <w:sz w:val="22"/>
        </w:rPr>
      </w:pPr>
    </w:p>
    <w:p w14:paraId="129969A1" w14:textId="77777777" w:rsidR="005367D0" w:rsidRPr="005367D0" w:rsidRDefault="005367D0" w:rsidP="005367D0">
      <w:pPr>
        <w:widowControl w:val="0"/>
        <w:rPr>
          <w:rFonts w:ascii="Arial" w:hAnsi="Arial" w:cs="Arial"/>
          <w:sz w:val="22"/>
        </w:rPr>
      </w:pPr>
      <w:r w:rsidRPr="005367D0">
        <w:rPr>
          <w:rFonts w:ascii="Arial" w:hAnsi="Arial" w:cs="Arial"/>
          <w:sz w:val="22"/>
          <w:u w:val="single"/>
        </w:rPr>
        <w:t>All Provider Manuals</w:t>
      </w:r>
    </w:p>
    <w:p w14:paraId="2276040E" w14:textId="77777777" w:rsidR="005367D0" w:rsidRPr="005367D0" w:rsidRDefault="005367D0" w:rsidP="005367D0">
      <w:pPr>
        <w:widowControl w:val="0"/>
        <w:rPr>
          <w:rFonts w:ascii="Arial" w:hAnsi="Arial" w:cs="Arial"/>
          <w:sz w:val="22"/>
        </w:rPr>
      </w:pPr>
    </w:p>
    <w:p w14:paraId="24865A44" w14:textId="77777777" w:rsidR="005367D0" w:rsidRPr="005367D0" w:rsidRDefault="005367D0" w:rsidP="005367D0">
      <w:pPr>
        <w:widowControl w:val="0"/>
        <w:rPr>
          <w:rFonts w:ascii="Arial" w:hAnsi="Arial" w:cs="Arial"/>
          <w:sz w:val="22"/>
        </w:rPr>
      </w:pPr>
      <w:r w:rsidRPr="005367D0">
        <w:rPr>
          <w:rFonts w:ascii="Arial" w:hAnsi="Arial" w:cs="Arial"/>
          <w:sz w:val="22"/>
        </w:rPr>
        <w:t>Pages W-1 through W-11</w:t>
      </w:r>
    </w:p>
    <w:p w14:paraId="514199A0" w14:textId="77777777" w:rsidR="005367D0" w:rsidRPr="005367D0" w:rsidRDefault="005367D0" w:rsidP="005367D0">
      <w:pPr>
        <w:widowControl w:val="0"/>
        <w:rPr>
          <w:rFonts w:ascii="Arial" w:hAnsi="Arial" w:cs="Arial"/>
          <w:sz w:val="22"/>
        </w:rPr>
      </w:pPr>
    </w:p>
    <w:p w14:paraId="5CAF6E6F" w14:textId="77777777" w:rsidR="005367D0" w:rsidRPr="005367D0" w:rsidRDefault="005367D0" w:rsidP="005367D0">
      <w:pPr>
        <w:widowControl w:val="0"/>
        <w:rPr>
          <w:rFonts w:ascii="Arial" w:hAnsi="Arial" w:cs="Arial"/>
          <w:sz w:val="22"/>
        </w:rPr>
      </w:pPr>
      <w:r w:rsidRPr="005367D0">
        <w:rPr>
          <w:rFonts w:ascii="Arial" w:hAnsi="Arial" w:cs="Arial"/>
          <w:sz w:val="22"/>
          <w:u w:val="single"/>
        </w:rPr>
        <w:t>OBSOLETE MATERIAL</w:t>
      </w:r>
    </w:p>
    <w:p w14:paraId="512C73F6" w14:textId="77777777" w:rsidR="005367D0" w:rsidRPr="005367D0" w:rsidRDefault="005367D0" w:rsidP="005367D0">
      <w:pPr>
        <w:widowControl w:val="0"/>
        <w:rPr>
          <w:rFonts w:ascii="Arial" w:hAnsi="Arial" w:cs="Arial"/>
          <w:sz w:val="22"/>
        </w:rPr>
      </w:pPr>
      <w:r w:rsidRPr="005367D0">
        <w:rPr>
          <w:rFonts w:ascii="Arial" w:hAnsi="Arial" w:cs="Arial"/>
          <w:sz w:val="22"/>
        </w:rPr>
        <w:t>(The pages listed here are no longer in effect.)</w:t>
      </w:r>
    </w:p>
    <w:p w14:paraId="316983D4" w14:textId="77777777" w:rsidR="005367D0" w:rsidRPr="005367D0" w:rsidRDefault="005367D0" w:rsidP="005367D0">
      <w:pPr>
        <w:widowControl w:val="0"/>
        <w:rPr>
          <w:rFonts w:ascii="Arial" w:hAnsi="Arial" w:cs="Arial"/>
          <w:sz w:val="22"/>
        </w:rPr>
      </w:pPr>
    </w:p>
    <w:p w14:paraId="37F31F3A" w14:textId="77777777" w:rsidR="004F0AE5" w:rsidRDefault="005367D0" w:rsidP="005367D0">
      <w:pPr>
        <w:widowControl w:val="0"/>
        <w:rPr>
          <w:rFonts w:ascii="Arial" w:hAnsi="Arial" w:cs="Arial"/>
          <w:sz w:val="22"/>
        </w:rPr>
        <w:sectPr w:rsidR="004F0AE5" w:rsidSect="00E37878">
          <w:headerReference w:type="default" r:id="rId17"/>
          <w:endnotePr>
            <w:numFmt w:val="decimal"/>
          </w:endnotePr>
          <w:type w:val="continuous"/>
          <w:pgSz w:w="12240" w:h="15840" w:code="1"/>
          <w:pgMar w:top="720" w:right="1440" w:bottom="432" w:left="1440" w:header="720" w:footer="432" w:gutter="0"/>
          <w:cols w:space="720"/>
          <w:noEndnote/>
          <w:titlePg/>
        </w:sectPr>
      </w:pPr>
      <w:r w:rsidRPr="005367D0">
        <w:rPr>
          <w:rFonts w:ascii="Arial" w:hAnsi="Arial" w:cs="Arial"/>
          <w:sz w:val="22"/>
        </w:rPr>
        <w:t>Pages W-1 through W-8 — transmitted by Transmittal Letter ALL-219</w:t>
      </w:r>
    </w:p>
    <w:p w14:paraId="0501CB4A" w14:textId="77777777" w:rsidR="005367D0" w:rsidRPr="005367D0" w:rsidRDefault="005367D0" w:rsidP="005367D0">
      <w:pPr>
        <w:widowControl w:val="0"/>
        <w:rPr>
          <w:rFonts w:ascii="Arial" w:hAnsi="Arial" w:cs="Arial"/>
          <w:sz w:val="22"/>
        </w:rPr>
      </w:pPr>
    </w:p>
    <w:p w14:paraId="30E099D8" w14:textId="77777777" w:rsidR="004F0AE5" w:rsidRDefault="004F0AE5">
      <w:pPr>
        <w:rPr>
          <w:rFonts w:eastAsia="Arial"/>
          <w:b/>
          <w:bCs/>
          <w:sz w:val="24"/>
          <w:szCs w:val="24"/>
        </w:rPr>
      </w:pPr>
      <w:r>
        <w:rPr>
          <w:rFonts w:eastAsia="Arial"/>
          <w:b/>
          <w:bCs/>
          <w:sz w:val="24"/>
          <w:szCs w:val="24"/>
        </w:rPr>
        <w:br w:type="page"/>
      </w:r>
    </w:p>
    <w:p w14:paraId="337AC3A5" w14:textId="77777777" w:rsidR="004F0AE5" w:rsidRDefault="004F0AE5" w:rsidP="004F0AE5">
      <w:pPr>
        <w:spacing w:before="29" w:line="244" w:lineRule="auto"/>
        <w:ind w:left="905" w:right="829" w:firstLine="3"/>
        <w:jc w:val="center"/>
        <w:rPr>
          <w:rFonts w:eastAsia="Arial"/>
          <w:b/>
          <w:bCs/>
          <w:sz w:val="24"/>
          <w:szCs w:val="24"/>
        </w:rPr>
      </w:pPr>
      <w:r w:rsidRPr="001C58CD">
        <w:rPr>
          <w:rFonts w:eastAsia="Arial"/>
          <w:b/>
          <w:bCs/>
          <w:sz w:val="24"/>
          <w:szCs w:val="24"/>
        </w:rPr>
        <w:lastRenderedPageBreak/>
        <w:t xml:space="preserve">Early and Periodic Screening, Diagnostic, and Treatment (EPSDT) </w:t>
      </w:r>
    </w:p>
    <w:p w14:paraId="07B0520F" w14:textId="77777777" w:rsidR="004F0AE5" w:rsidRPr="001C58CD" w:rsidRDefault="004F0AE5" w:rsidP="004F0AE5">
      <w:pPr>
        <w:spacing w:before="29" w:line="244" w:lineRule="auto"/>
        <w:ind w:left="905" w:right="829" w:firstLine="3"/>
        <w:jc w:val="center"/>
        <w:rPr>
          <w:rFonts w:eastAsia="Arial"/>
          <w:b/>
          <w:bCs/>
          <w:sz w:val="24"/>
          <w:szCs w:val="24"/>
        </w:rPr>
      </w:pPr>
      <w:r w:rsidRPr="001C58CD">
        <w:rPr>
          <w:rFonts w:eastAsia="Arial"/>
          <w:b/>
          <w:bCs/>
          <w:sz w:val="24"/>
          <w:szCs w:val="24"/>
        </w:rPr>
        <w:t>Medical Protocol and Periodicity Schedule (the Medical Schedule) and EPSDT Dental Protocol and Periodicity Schedule (the Dental Schedule)</w:t>
      </w:r>
    </w:p>
    <w:p w14:paraId="1248B702" w14:textId="77777777" w:rsidR="004F0AE5" w:rsidRPr="00150B89" w:rsidRDefault="004F0AE5" w:rsidP="004F0AE5">
      <w:pPr>
        <w:spacing w:line="240" w:lineRule="exact"/>
      </w:pPr>
    </w:p>
    <w:p w14:paraId="0AA18BFD" w14:textId="77777777" w:rsidR="004F0AE5" w:rsidRPr="001C58CD" w:rsidRDefault="004F0AE5" w:rsidP="004F0AE5">
      <w:pPr>
        <w:pStyle w:val="ListParagraph"/>
        <w:numPr>
          <w:ilvl w:val="0"/>
          <w:numId w:val="6"/>
        </w:numPr>
        <w:spacing w:after="0" w:line="271" w:lineRule="exact"/>
        <w:ind w:left="450" w:right="-20" w:hanging="334"/>
        <w:rPr>
          <w:rFonts w:ascii="Times New Roman" w:hAnsi="Times New Roman"/>
          <w:sz w:val="24"/>
          <w:szCs w:val="24"/>
          <w:u w:val="single"/>
        </w:rPr>
      </w:pPr>
      <w:r w:rsidRPr="001C58CD">
        <w:rPr>
          <w:rFonts w:ascii="Times New Roman" w:hAnsi="Times New Roman"/>
          <w:b/>
          <w:bCs/>
          <w:position w:val="-1"/>
          <w:sz w:val="24"/>
          <w:szCs w:val="24"/>
          <w:u w:val="single" w:color="000000"/>
        </w:rPr>
        <w:t>The Medical Schedule</w:t>
      </w:r>
    </w:p>
    <w:p w14:paraId="72842E97" w14:textId="77777777" w:rsidR="004F0AE5" w:rsidRPr="00150B89" w:rsidRDefault="004F0AE5" w:rsidP="004F0AE5">
      <w:pPr>
        <w:spacing w:line="220" w:lineRule="exact"/>
      </w:pPr>
    </w:p>
    <w:p w14:paraId="53FC5436" w14:textId="77777777" w:rsidR="004F0AE5" w:rsidRPr="00D323E7" w:rsidRDefault="004F0AE5" w:rsidP="004F0AE5">
      <w:pPr>
        <w:tabs>
          <w:tab w:val="left" w:pos="9810"/>
        </w:tabs>
        <w:spacing w:before="31" w:line="241" w:lineRule="auto"/>
        <w:ind w:left="450" w:right="10"/>
      </w:pPr>
      <w:r w:rsidRPr="00D323E7">
        <w:t xml:space="preserve">The EPSDT Medical Protocol and Periodicity Schedule (the Medical Schedule) consists of screening procedures arranged according to the intervals or age levels at which each procedure should be provided. See 130 CMR 450.140 through 450.150 for more information about Early and Periodic Screening, Diagnostic, and Treatment (EPSDT) services and Preventive Pediatric Healthcare Screening and Diagnosis (PPHSD) services. This schedule reflects recommended well and preventive child healthcare screening services. If the clinical needs of a child justify deviation from this schedule, the provider must document this fact in the member’s medical record, including the provider’s clinical judgment and justification for that deviation. </w:t>
      </w:r>
    </w:p>
    <w:p w14:paraId="1237711D" w14:textId="77777777" w:rsidR="004F0AE5" w:rsidRPr="000E6D06" w:rsidRDefault="004F0AE5" w:rsidP="004F0AE5">
      <w:pPr>
        <w:tabs>
          <w:tab w:val="left" w:pos="9810"/>
        </w:tabs>
        <w:spacing w:before="31" w:line="241" w:lineRule="auto"/>
        <w:ind w:left="450" w:right="10"/>
        <w:rPr>
          <w:sz w:val="16"/>
          <w:szCs w:val="16"/>
        </w:rPr>
      </w:pPr>
    </w:p>
    <w:p w14:paraId="73FB22AC" w14:textId="77777777" w:rsidR="004F0AE5" w:rsidRDefault="004F0AE5" w:rsidP="004F0AE5">
      <w:pPr>
        <w:tabs>
          <w:tab w:val="left" w:pos="9810"/>
        </w:tabs>
        <w:spacing w:before="31" w:after="120"/>
        <w:ind w:left="450" w:right="14"/>
      </w:pPr>
      <w:r w:rsidRPr="00D323E7">
        <w:t xml:space="preserve">The Medical Schedule reflects guidance </w:t>
      </w:r>
      <w:r>
        <w:t>from several sources, including, but not limited to:</w:t>
      </w:r>
    </w:p>
    <w:p w14:paraId="046E2915" w14:textId="77777777" w:rsidR="004F0AE5" w:rsidRDefault="004F0AE5" w:rsidP="004F0AE5">
      <w:pPr>
        <w:pStyle w:val="ListParagraph"/>
        <w:numPr>
          <w:ilvl w:val="0"/>
          <w:numId w:val="15"/>
        </w:numPr>
        <w:tabs>
          <w:tab w:val="left" w:pos="9810"/>
        </w:tabs>
        <w:spacing w:before="31" w:after="120" w:line="240" w:lineRule="auto"/>
        <w:ind w:right="14"/>
        <w:contextualSpacing w:val="0"/>
        <w:rPr>
          <w:rFonts w:ascii="Times New Roman" w:hAnsi="Times New Roman"/>
        </w:rPr>
      </w:pPr>
      <w:r>
        <w:rPr>
          <w:rFonts w:ascii="Times New Roman" w:hAnsi="Times New Roman"/>
        </w:rPr>
        <w:t xml:space="preserve">The United States </w:t>
      </w:r>
      <w:r w:rsidRPr="001C58CD">
        <w:rPr>
          <w:rFonts w:ascii="Times New Roman" w:hAnsi="Times New Roman"/>
          <w:b/>
          <w:bCs/>
        </w:rPr>
        <w:t>Center</w:t>
      </w:r>
      <w:r>
        <w:rPr>
          <w:rFonts w:ascii="Times New Roman" w:hAnsi="Times New Roman"/>
          <w:b/>
          <w:bCs/>
        </w:rPr>
        <w:t>s</w:t>
      </w:r>
      <w:r w:rsidRPr="001C58CD">
        <w:rPr>
          <w:rFonts w:ascii="Times New Roman" w:hAnsi="Times New Roman"/>
          <w:b/>
          <w:bCs/>
        </w:rPr>
        <w:t xml:space="preserve"> for Disease Control</w:t>
      </w:r>
      <w:r>
        <w:rPr>
          <w:rFonts w:ascii="Times New Roman" w:hAnsi="Times New Roman"/>
        </w:rPr>
        <w:t xml:space="preserve"> </w:t>
      </w:r>
      <w:r w:rsidRPr="00D117AD">
        <w:rPr>
          <w:rFonts w:ascii="Times New Roman" w:hAnsi="Times New Roman"/>
          <w:b/>
          <w:bCs/>
        </w:rPr>
        <w:t>and Prevention</w:t>
      </w:r>
      <w:r>
        <w:rPr>
          <w:rFonts w:ascii="Times New Roman" w:hAnsi="Times New Roman"/>
        </w:rPr>
        <w:t xml:space="preserve"> (CDC).</w:t>
      </w:r>
    </w:p>
    <w:p w14:paraId="112AC334" w14:textId="77777777" w:rsidR="004F0AE5" w:rsidRDefault="004F0AE5" w:rsidP="004F0AE5">
      <w:pPr>
        <w:pStyle w:val="ListParagraph"/>
        <w:numPr>
          <w:ilvl w:val="0"/>
          <w:numId w:val="15"/>
        </w:numPr>
        <w:tabs>
          <w:tab w:val="left" w:pos="9810"/>
        </w:tabs>
        <w:spacing w:before="31" w:after="120" w:line="240" w:lineRule="auto"/>
        <w:ind w:right="14"/>
        <w:contextualSpacing w:val="0"/>
        <w:rPr>
          <w:rFonts w:ascii="Times New Roman" w:hAnsi="Times New Roman"/>
        </w:rPr>
      </w:pPr>
      <w:r w:rsidRPr="001C58CD">
        <w:rPr>
          <w:rFonts w:ascii="Times New Roman" w:hAnsi="Times New Roman"/>
        </w:rPr>
        <w:t xml:space="preserve">The </w:t>
      </w:r>
      <w:r w:rsidRPr="001C58CD">
        <w:rPr>
          <w:rFonts w:ascii="Times New Roman" w:hAnsi="Times New Roman"/>
          <w:b/>
          <w:bCs/>
        </w:rPr>
        <w:t>Bright Futures Guidelines</w:t>
      </w:r>
      <w:r w:rsidRPr="001C58CD">
        <w:rPr>
          <w:rFonts w:ascii="Times New Roman" w:hAnsi="Times New Roman"/>
        </w:rPr>
        <w:t xml:space="preserve"> </w:t>
      </w:r>
      <w:r w:rsidRPr="00F37EDC">
        <w:rPr>
          <w:rFonts w:ascii="Times New Roman" w:hAnsi="Times New Roman"/>
        </w:rPr>
        <w:t>(</w:t>
      </w:r>
      <w:hyperlink r:id="rId18" w:history="1">
        <w:r w:rsidRPr="00F37EDC">
          <w:rPr>
            <w:rStyle w:val="Hyperlink"/>
            <w:rFonts w:ascii="Times New Roman" w:hAnsi="Times New Roman"/>
          </w:rPr>
          <w:t>https://brightfutures.aap.org/materials-and-tools/guidelines-and-pocket-guide/Pages/default.aspx</w:t>
        </w:r>
      </w:hyperlink>
      <w:r w:rsidRPr="00F37EDC">
        <w:rPr>
          <w:rFonts w:ascii="Times New Roman" w:hAnsi="Times New Roman"/>
        </w:rPr>
        <w:t xml:space="preserve">) and the </w:t>
      </w:r>
      <w:r w:rsidRPr="003E0B67">
        <w:rPr>
          <w:rFonts w:ascii="Times New Roman" w:hAnsi="Times New Roman"/>
          <w:b/>
          <w:bCs/>
        </w:rPr>
        <w:t>Bright Futures/American Academy of Pediatrics (AAP) Periodicity Schedule</w:t>
      </w:r>
      <w:r w:rsidRPr="00F37EDC">
        <w:rPr>
          <w:rFonts w:ascii="Times New Roman" w:hAnsi="Times New Roman"/>
        </w:rPr>
        <w:t xml:space="preserve"> (</w:t>
      </w:r>
      <w:hyperlink r:id="rId19" w:history="1">
        <w:r w:rsidRPr="00F37EDC">
          <w:rPr>
            <w:rStyle w:val="Hyperlink"/>
            <w:rFonts w:ascii="Times New Roman" w:hAnsi="Times New Roman"/>
          </w:rPr>
          <w:t>https://brightfutures.aap.org/materials-and-tools/Pages/default.aspx</w:t>
        </w:r>
      </w:hyperlink>
      <w:r w:rsidRPr="00F37EDC">
        <w:rPr>
          <w:rFonts w:ascii="Times New Roman" w:hAnsi="Times New Roman"/>
        </w:rPr>
        <w:t>)</w:t>
      </w:r>
      <w:r w:rsidRPr="001C58CD">
        <w:rPr>
          <w:rFonts w:ascii="Times New Roman" w:hAnsi="Times New Roman"/>
        </w:rPr>
        <w:t xml:space="preserve">. </w:t>
      </w:r>
    </w:p>
    <w:p w14:paraId="308F5AB0" w14:textId="77777777" w:rsidR="004F0AE5" w:rsidRPr="00F37EDC" w:rsidRDefault="004F0AE5" w:rsidP="004F0AE5">
      <w:pPr>
        <w:pStyle w:val="ListParagraph"/>
        <w:tabs>
          <w:tab w:val="left" w:pos="9810"/>
        </w:tabs>
        <w:spacing w:before="31" w:after="120" w:line="240" w:lineRule="auto"/>
        <w:ind w:left="1170" w:right="14"/>
        <w:contextualSpacing w:val="0"/>
        <w:rPr>
          <w:rFonts w:ascii="Times New Roman" w:hAnsi="Times New Roman"/>
        </w:rPr>
      </w:pPr>
      <w:r w:rsidRPr="001C58CD">
        <w:rPr>
          <w:rFonts w:ascii="Times New Roman" w:hAnsi="Times New Roman"/>
        </w:rPr>
        <w:t>The</w:t>
      </w:r>
      <w:r>
        <w:rPr>
          <w:rFonts w:ascii="Times New Roman" w:hAnsi="Times New Roman"/>
        </w:rPr>
        <w:t xml:space="preserve"> </w:t>
      </w:r>
      <w:r w:rsidRPr="001C58CD">
        <w:rPr>
          <w:rFonts w:ascii="Times New Roman" w:hAnsi="Times New Roman"/>
        </w:rPr>
        <w:t xml:space="preserve">Periodicity Schedule </w:t>
      </w:r>
      <w:r>
        <w:rPr>
          <w:rFonts w:ascii="Times New Roman" w:hAnsi="Times New Roman"/>
        </w:rPr>
        <w:t>presents recommendations for each age-related visit in the Bright Futures Guidelines, including recommendations for screenings, assessments, physical examinations, and procedures. The Periodicity Schedule</w:t>
      </w:r>
      <w:r w:rsidRPr="001C58CD">
        <w:rPr>
          <w:rFonts w:ascii="Times New Roman" w:hAnsi="Times New Roman"/>
        </w:rPr>
        <w:t xml:space="preserve"> is updated between editions of the Bright Futures Guidelines.</w:t>
      </w:r>
    </w:p>
    <w:p w14:paraId="0696DFA4" w14:textId="77777777" w:rsidR="004F0AE5" w:rsidRDefault="004F0AE5" w:rsidP="004F0AE5">
      <w:pPr>
        <w:pStyle w:val="ListParagraph"/>
        <w:numPr>
          <w:ilvl w:val="0"/>
          <w:numId w:val="15"/>
        </w:numPr>
        <w:tabs>
          <w:tab w:val="left" w:pos="9810"/>
        </w:tabs>
        <w:spacing w:before="31" w:after="120" w:line="240" w:lineRule="auto"/>
        <w:ind w:right="14"/>
        <w:contextualSpacing w:val="0"/>
        <w:rPr>
          <w:rFonts w:ascii="Times New Roman" w:hAnsi="Times New Roman"/>
        </w:rPr>
      </w:pPr>
      <w:r w:rsidRPr="001C58CD">
        <w:rPr>
          <w:rFonts w:ascii="Times New Roman" w:hAnsi="Times New Roman"/>
          <w:b/>
          <w:bCs/>
        </w:rPr>
        <w:t>The</w:t>
      </w:r>
      <w:r w:rsidRPr="00BA75CB">
        <w:rPr>
          <w:rFonts w:ascii="Times New Roman" w:hAnsi="Times New Roman"/>
        </w:rPr>
        <w:t xml:space="preserve"> </w:t>
      </w:r>
      <w:r w:rsidRPr="001C58CD">
        <w:rPr>
          <w:rFonts w:ascii="Times New Roman" w:hAnsi="Times New Roman"/>
          <w:b/>
          <w:bCs/>
        </w:rPr>
        <w:t>Massachusetts Health Quality Partners (MHQP) Pediatric Preventive Care Guidelines</w:t>
      </w:r>
      <w:r w:rsidRPr="00BA75CB">
        <w:rPr>
          <w:rFonts w:ascii="Times New Roman" w:hAnsi="Times New Roman"/>
        </w:rPr>
        <w:t xml:space="preserve"> (</w:t>
      </w:r>
      <w:hyperlink r:id="rId20" w:history="1">
        <w:r w:rsidRPr="003F3405">
          <w:rPr>
            <w:rStyle w:val="Hyperlink"/>
            <w:rFonts w:ascii="Times New Roman" w:hAnsi="Times New Roman"/>
          </w:rPr>
          <w:t>www.mhqp.org/resources-professionals/clinical-guidelines/pediatric-preventive-care-guidelines/</w:t>
        </w:r>
      </w:hyperlink>
      <w:r w:rsidRPr="005D32F0">
        <w:rPr>
          <w:rFonts w:ascii="Times New Roman" w:hAnsi="Times New Roman"/>
        </w:rPr>
        <w:t>). MHQP is an independent, nonprofit organization that includes</w:t>
      </w:r>
      <w:r w:rsidRPr="001C58CD">
        <w:rPr>
          <w:rFonts w:ascii="Times New Roman" w:hAnsi="Times New Roman"/>
        </w:rPr>
        <w:t xml:space="preserve"> </w:t>
      </w:r>
      <w:r w:rsidRPr="00BA75CB">
        <w:rPr>
          <w:rFonts w:ascii="Times New Roman" w:hAnsi="Times New Roman"/>
        </w:rPr>
        <w:t xml:space="preserve">healthcare </w:t>
      </w:r>
      <w:r w:rsidRPr="001C58CD">
        <w:rPr>
          <w:rFonts w:ascii="Times New Roman" w:hAnsi="Times New Roman"/>
        </w:rPr>
        <w:t>providers, payers</w:t>
      </w:r>
      <w:r>
        <w:rPr>
          <w:rFonts w:ascii="Times New Roman" w:hAnsi="Times New Roman"/>
        </w:rPr>
        <w:t>,</w:t>
      </w:r>
      <w:r w:rsidRPr="001C58CD">
        <w:rPr>
          <w:rFonts w:ascii="Times New Roman" w:hAnsi="Times New Roman"/>
        </w:rPr>
        <w:t xml:space="preserve"> and patients in Massachusetts </w:t>
      </w:r>
      <w:r>
        <w:rPr>
          <w:rFonts w:ascii="Times New Roman" w:hAnsi="Times New Roman"/>
        </w:rPr>
        <w:t>with the goal of improving</w:t>
      </w:r>
      <w:r w:rsidRPr="001C58CD">
        <w:rPr>
          <w:rFonts w:ascii="Times New Roman" w:hAnsi="Times New Roman"/>
        </w:rPr>
        <w:t xml:space="preserve"> patient care </w:t>
      </w:r>
      <w:r w:rsidRPr="00BA75CB">
        <w:rPr>
          <w:rFonts w:ascii="Times New Roman" w:hAnsi="Times New Roman"/>
        </w:rPr>
        <w:t xml:space="preserve">in the state of Massachusetts. </w:t>
      </w:r>
    </w:p>
    <w:p w14:paraId="650E57EA" w14:textId="77777777" w:rsidR="004F0AE5" w:rsidRPr="007C3FDB" w:rsidRDefault="004F0AE5" w:rsidP="004F0AE5">
      <w:pPr>
        <w:tabs>
          <w:tab w:val="left" w:pos="9810"/>
        </w:tabs>
        <w:spacing w:before="31" w:line="241" w:lineRule="auto"/>
        <w:ind w:left="116" w:right="10"/>
        <w:rPr>
          <w:sz w:val="16"/>
          <w:szCs w:val="16"/>
        </w:rPr>
      </w:pPr>
    </w:p>
    <w:p w14:paraId="724F94D4" w14:textId="77777777" w:rsidR="004F0AE5" w:rsidRPr="00D323E7" w:rsidRDefault="004F0AE5" w:rsidP="004F0AE5">
      <w:pPr>
        <w:tabs>
          <w:tab w:val="left" w:pos="9810"/>
        </w:tabs>
        <w:ind w:left="116" w:right="10"/>
        <w:rPr>
          <w:b/>
          <w:bCs/>
        </w:rPr>
      </w:pPr>
      <w:r w:rsidRPr="00D323E7">
        <w:rPr>
          <w:b/>
          <w:bCs/>
        </w:rPr>
        <w:t xml:space="preserve">I.A. </w:t>
      </w:r>
      <w:r>
        <w:rPr>
          <w:b/>
          <w:bCs/>
        </w:rPr>
        <w:t xml:space="preserve"> </w:t>
      </w:r>
      <w:r w:rsidRPr="001C58CD">
        <w:rPr>
          <w:b/>
          <w:bCs/>
        </w:rPr>
        <w:t>Frequency of Pediatric Preventive Healthcare Visits</w:t>
      </w:r>
    </w:p>
    <w:p w14:paraId="720D8DA3" w14:textId="77777777" w:rsidR="004F0AE5" w:rsidRPr="007C3FDB" w:rsidRDefault="004F0AE5" w:rsidP="004F0AE5">
      <w:pPr>
        <w:tabs>
          <w:tab w:val="left" w:pos="9810"/>
        </w:tabs>
        <w:ind w:left="116" w:right="10"/>
        <w:rPr>
          <w:sz w:val="16"/>
          <w:szCs w:val="16"/>
        </w:rPr>
      </w:pPr>
    </w:p>
    <w:p w14:paraId="0CFF938A" w14:textId="77777777" w:rsidR="004F0AE5" w:rsidRDefault="004F0AE5" w:rsidP="004F0AE5">
      <w:pPr>
        <w:tabs>
          <w:tab w:val="left" w:pos="9810"/>
        </w:tabs>
        <w:ind w:left="476" w:right="10"/>
      </w:pPr>
      <w:r w:rsidRPr="00D323E7">
        <w:t>Pediatric preventive healthcare visits should</w:t>
      </w:r>
      <w:r>
        <w:t xml:space="preserve"> </w:t>
      </w:r>
      <w:r w:rsidRPr="00DE3FE9">
        <w:t>contain the components explained in the descriptions in the Medical Schedule and</w:t>
      </w:r>
      <w:r>
        <w:t xml:space="preserve">, </w:t>
      </w:r>
      <w:r w:rsidRPr="00D323E7">
        <w:t>at a minimum, occur at the following ages:</w:t>
      </w:r>
    </w:p>
    <w:p w14:paraId="43CBC935" w14:textId="77777777" w:rsidR="004F0AE5" w:rsidRDefault="004F0AE5" w:rsidP="004F0AE5">
      <w:pPr>
        <w:pStyle w:val="ListParagraph"/>
        <w:numPr>
          <w:ilvl w:val="1"/>
          <w:numId w:val="18"/>
        </w:numPr>
        <w:tabs>
          <w:tab w:val="left" w:pos="9810"/>
        </w:tabs>
        <w:spacing w:before="13" w:after="0" w:line="240" w:lineRule="auto"/>
        <w:ind w:right="14"/>
        <w:rPr>
          <w:rFonts w:ascii="Times New Roman" w:hAnsi="Times New Roman"/>
        </w:rPr>
      </w:pPr>
      <w:r w:rsidRPr="00D323E7">
        <w:rPr>
          <w:rFonts w:ascii="Times New Roman" w:hAnsi="Times New Roman"/>
        </w:rPr>
        <w:t>newborn</w:t>
      </w:r>
      <w:r>
        <w:rPr>
          <w:rFonts w:ascii="Times New Roman" w:hAnsi="Times New Roman"/>
        </w:rPr>
        <w:t>;</w:t>
      </w:r>
    </w:p>
    <w:p w14:paraId="7BF2D94E" w14:textId="77777777" w:rsidR="004F0AE5" w:rsidRDefault="004F0AE5" w:rsidP="004F0AE5">
      <w:pPr>
        <w:pStyle w:val="ListParagraph"/>
        <w:numPr>
          <w:ilvl w:val="1"/>
          <w:numId w:val="18"/>
        </w:numPr>
        <w:tabs>
          <w:tab w:val="left" w:pos="9810"/>
        </w:tabs>
        <w:spacing w:before="13" w:after="0" w:line="240" w:lineRule="auto"/>
        <w:ind w:right="14"/>
        <w:rPr>
          <w:rFonts w:ascii="Times New Roman" w:hAnsi="Times New Roman"/>
        </w:rPr>
      </w:pPr>
      <w:r>
        <w:rPr>
          <w:rFonts w:ascii="Times New Roman" w:hAnsi="Times New Roman"/>
        </w:rPr>
        <w:t xml:space="preserve">three to five days; </w:t>
      </w:r>
    </w:p>
    <w:p w14:paraId="2E878A7C" w14:textId="77777777" w:rsidR="004F0AE5" w:rsidRDefault="004F0AE5" w:rsidP="004F0AE5">
      <w:pPr>
        <w:pStyle w:val="ListParagraph"/>
        <w:numPr>
          <w:ilvl w:val="2"/>
          <w:numId w:val="21"/>
        </w:numPr>
        <w:tabs>
          <w:tab w:val="left" w:pos="9810"/>
        </w:tabs>
        <w:spacing w:before="13" w:after="0" w:line="240" w:lineRule="auto"/>
        <w:ind w:right="14"/>
        <w:rPr>
          <w:rFonts w:ascii="Times New Roman" w:hAnsi="Times New Roman"/>
        </w:rPr>
      </w:pPr>
      <w:r>
        <w:rPr>
          <w:rFonts w:ascii="Times New Roman" w:hAnsi="Times New Roman"/>
        </w:rPr>
        <w:t xml:space="preserve">newborns discharged from the hospital </w:t>
      </w:r>
      <w:r>
        <w:rPr>
          <w:rFonts w:ascii="Times New Roman" w:hAnsi="Times New Roman"/>
          <w:i/>
          <w:iCs/>
        </w:rPr>
        <w:t>fewer</w:t>
      </w:r>
      <w:r w:rsidRPr="002B5654">
        <w:rPr>
          <w:rFonts w:ascii="Times New Roman" w:hAnsi="Times New Roman"/>
          <w:i/>
          <w:iCs/>
        </w:rPr>
        <w:t xml:space="preserve"> than 48 hours after delivery</w:t>
      </w:r>
      <w:r>
        <w:rPr>
          <w:rFonts w:ascii="Times New Roman" w:hAnsi="Times New Roman"/>
        </w:rPr>
        <w:t xml:space="preserve"> should be evaluated within 48 hours of discharge;</w:t>
      </w:r>
    </w:p>
    <w:p w14:paraId="20D88859" w14:textId="77777777" w:rsidR="004F0AE5" w:rsidRDefault="004F0AE5" w:rsidP="004F0AE5">
      <w:pPr>
        <w:pStyle w:val="ListParagraph"/>
        <w:numPr>
          <w:ilvl w:val="2"/>
          <w:numId w:val="21"/>
        </w:numPr>
        <w:tabs>
          <w:tab w:val="left" w:pos="9810"/>
        </w:tabs>
        <w:spacing w:before="13" w:after="0" w:line="240" w:lineRule="auto"/>
        <w:ind w:right="14"/>
        <w:rPr>
          <w:rFonts w:ascii="Times New Roman" w:hAnsi="Times New Roman"/>
        </w:rPr>
      </w:pPr>
      <w:r>
        <w:rPr>
          <w:rFonts w:ascii="Times New Roman" w:hAnsi="Times New Roman"/>
        </w:rPr>
        <w:t xml:space="preserve">newborns discharged from the hospital </w:t>
      </w:r>
      <w:r w:rsidRPr="002B5654">
        <w:rPr>
          <w:rFonts w:ascii="Times New Roman" w:hAnsi="Times New Roman"/>
          <w:i/>
          <w:iCs/>
        </w:rPr>
        <w:t>48 hours or more after delivery</w:t>
      </w:r>
      <w:r>
        <w:rPr>
          <w:rFonts w:ascii="Times New Roman" w:hAnsi="Times New Roman"/>
        </w:rPr>
        <w:t xml:space="preserve"> should be evaluated within 48 to 72 hours after discharge; </w:t>
      </w:r>
    </w:p>
    <w:p w14:paraId="2DF374E2" w14:textId="77777777" w:rsidR="004F0AE5" w:rsidRDefault="004F0AE5" w:rsidP="004F0AE5">
      <w:pPr>
        <w:pStyle w:val="ListParagraph"/>
        <w:numPr>
          <w:ilvl w:val="1"/>
          <w:numId w:val="18"/>
        </w:numPr>
        <w:tabs>
          <w:tab w:val="left" w:pos="9810"/>
        </w:tabs>
        <w:spacing w:before="13" w:after="0" w:line="240" w:lineRule="auto"/>
        <w:ind w:right="14"/>
        <w:rPr>
          <w:rFonts w:ascii="Times New Roman" w:hAnsi="Times New Roman"/>
        </w:rPr>
      </w:pPr>
      <w:r>
        <w:rPr>
          <w:rFonts w:ascii="Times New Roman" w:hAnsi="Times New Roman"/>
        </w:rPr>
        <w:t>one, two, four, six, and nine months;</w:t>
      </w:r>
    </w:p>
    <w:p w14:paraId="6FD7BE91" w14:textId="77777777" w:rsidR="004F0AE5" w:rsidRDefault="004F0AE5" w:rsidP="004F0AE5">
      <w:pPr>
        <w:pStyle w:val="ListParagraph"/>
        <w:numPr>
          <w:ilvl w:val="1"/>
          <w:numId w:val="18"/>
        </w:numPr>
        <w:tabs>
          <w:tab w:val="left" w:pos="9810"/>
        </w:tabs>
        <w:spacing w:before="13" w:after="0" w:line="240" w:lineRule="auto"/>
        <w:ind w:right="14"/>
        <w:rPr>
          <w:rFonts w:ascii="Times New Roman" w:hAnsi="Times New Roman"/>
        </w:rPr>
      </w:pPr>
      <w:r>
        <w:rPr>
          <w:rFonts w:ascii="Times New Roman" w:hAnsi="Times New Roman"/>
        </w:rPr>
        <w:t>12, 15, 18, 24, and 30 months; and</w:t>
      </w:r>
    </w:p>
    <w:p w14:paraId="42B6B0EB" w14:textId="77777777" w:rsidR="004F0AE5" w:rsidRDefault="004F0AE5" w:rsidP="004F0AE5">
      <w:pPr>
        <w:pStyle w:val="ListParagraph"/>
        <w:numPr>
          <w:ilvl w:val="1"/>
          <w:numId w:val="18"/>
        </w:numPr>
        <w:tabs>
          <w:tab w:val="left" w:pos="9810"/>
        </w:tabs>
        <w:spacing w:after="0" w:line="240" w:lineRule="auto"/>
        <w:ind w:right="10"/>
        <w:rPr>
          <w:rFonts w:ascii="Times New Roman" w:hAnsi="Times New Roman"/>
        </w:rPr>
      </w:pPr>
      <w:r w:rsidRPr="003D363F">
        <w:rPr>
          <w:rFonts w:ascii="Times New Roman" w:hAnsi="Times New Roman"/>
        </w:rPr>
        <w:t>annually from three to 21 years.</w:t>
      </w:r>
      <w:r>
        <w:rPr>
          <w:rFonts w:ascii="Times New Roman" w:hAnsi="Times New Roman"/>
        </w:rPr>
        <w:br w:type="page"/>
      </w:r>
    </w:p>
    <w:p w14:paraId="75AE051A" w14:textId="77777777" w:rsidR="004F0AE5" w:rsidRPr="00D323E7" w:rsidRDefault="004F0AE5" w:rsidP="004F0AE5">
      <w:pPr>
        <w:tabs>
          <w:tab w:val="left" w:pos="9810"/>
        </w:tabs>
        <w:ind w:left="116" w:right="10"/>
        <w:rPr>
          <w:b/>
        </w:rPr>
      </w:pPr>
      <w:r w:rsidRPr="00D323E7">
        <w:rPr>
          <w:b/>
        </w:rPr>
        <w:lastRenderedPageBreak/>
        <w:t xml:space="preserve">I.B. </w:t>
      </w:r>
      <w:r>
        <w:rPr>
          <w:b/>
        </w:rPr>
        <w:t xml:space="preserve"> </w:t>
      </w:r>
      <w:r w:rsidRPr="00D323E7">
        <w:rPr>
          <w:b/>
        </w:rPr>
        <w:t>Components of Pediatric Preventive Healthcare Visits</w:t>
      </w:r>
    </w:p>
    <w:p w14:paraId="3006BF91" w14:textId="77777777" w:rsidR="004F0AE5" w:rsidRPr="00150B89" w:rsidRDefault="004F0AE5" w:rsidP="004F0AE5">
      <w:pPr>
        <w:tabs>
          <w:tab w:val="left" w:pos="9810"/>
        </w:tabs>
        <w:spacing w:line="260" w:lineRule="exact"/>
        <w:ind w:right="10"/>
      </w:pPr>
    </w:p>
    <w:p w14:paraId="0DEFE0BD" w14:textId="77777777" w:rsidR="004F0AE5" w:rsidRPr="00DE3FE9" w:rsidRDefault="004F0AE5" w:rsidP="004F0AE5">
      <w:pPr>
        <w:pStyle w:val="ListParagraph"/>
        <w:numPr>
          <w:ilvl w:val="0"/>
          <w:numId w:val="7"/>
        </w:numPr>
        <w:tabs>
          <w:tab w:val="left" w:pos="9810"/>
        </w:tabs>
        <w:spacing w:after="0" w:line="240" w:lineRule="auto"/>
        <w:ind w:left="720" w:right="10" w:hanging="180"/>
        <w:rPr>
          <w:rFonts w:ascii="Times New Roman" w:hAnsi="Times New Roman"/>
        </w:rPr>
      </w:pPr>
      <w:r w:rsidRPr="00D323E7">
        <w:rPr>
          <w:rFonts w:ascii="Times New Roman" w:hAnsi="Times New Roman"/>
          <w:b/>
          <w:bCs/>
        </w:rPr>
        <w:t>HISTORY</w:t>
      </w:r>
    </w:p>
    <w:p w14:paraId="468D7BF1" w14:textId="77777777" w:rsidR="004F0AE5" w:rsidRPr="00D323E7" w:rsidRDefault="004F0AE5" w:rsidP="004F0AE5">
      <w:pPr>
        <w:pStyle w:val="ListParagraph"/>
        <w:tabs>
          <w:tab w:val="left" w:pos="9810"/>
        </w:tabs>
        <w:spacing w:before="4" w:after="0" w:line="240" w:lineRule="auto"/>
        <w:ind w:left="476" w:right="10"/>
        <w:rPr>
          <w:rFonts w:ascii="Times New Roman" w:hAnsi="Times New Roman"/>
        </w:rPr>
      </w:pPr>
    </w:p>
    <w:p w14:paraId="3CD898C1" w14:textId="77777777" w:rsidR="004F0AE5" w:rsidRPr="005C2A26" w:rsidRDefault="004F0AE5" w:rsidP="004F0AE5">
      <w:pPr>
        <w:tabs>
          <w:tab w:val="left" w:pos="9810"/>
        </w:tabs>
        <w:spacing w:before="31" w:line="241" w:lineRule="auto"/>
        <w:ind w:left="720" w:right="10"/>
      </w:pPr>
      <w:r w:rsidRPr="005C2A26">
        <w:t xml:space="preserve">Health histories </w:t>
      </w:r>
      <w:r w:rsidRPr="00D323E7">
        <w:t>should</w:t>
      </w:r>
      <w:r w:rsidRPr="005C2A26">
        <w:t xml:space="preserve"> be taken at each preventive healthcare visit. An initial health history that is taken at a member's first visit with a provider typically is more comprehensive than health histories </w:t>
      </w:r>
      <w:r>
        <w:t>taken</w:t>
      </w:r>
      <w:r w:rsidRPr="005C2A26">
        <w:t xml:space="preserve"> during interval preventive healthcare visits.  </w:t>
      </w:r>
    </w:p>
    <w:p w14:paraId="5C68F389" w14:textId="77777777" w:rsidR="004F0AE5" w:rsidRPr="005C2A26" w:rsidRDefault="004F0AE5" w:rsidP="004F0AE5">
      <w:pPr>
        <w:tabs>
          <w:tab w:val="left" w:pos="9810"/>
        </w:tabs>
        <w:spacing w:before="31" w:line="241" w:lineRule="auto"/>
        <w:ind w:left="720" w:right="10"/>
      </w:pPr>
    </w:p>
    <w:p w14:paraId="4153BD4A" w14:textId="77777777" w:rsidR="004F0AE5" w:rsidRPr="00DE3FE9" w:rsidRDefault="004F0AE5" w:rsidP="004F0AE5">
      <w:pPr>
        <w:tabs>
          <w:tab w:val="left" w:pos="9810"/>
        </w:tabs>
        <w:spacing w:before="31" w:line="241" w:lineRule="auto"/>
        <w:ind w:left="720" w:right="10"/>
      </w:pPr>
      <w:r w:rsidRPr="005C2A26">
        <w:t xml:space="preserve">Interval history may be obtained according to the concerns of the family and the health care professional’s preference or style of practice. History that is relevant to the age-specific health supervision encounter is </w:t>
      </w:r>
      <w:r>
        <w:t xml:space="preserve">gathered </w:t>
      </w:r>
      <w:r w:rsidRPr="005C2A26">
        <w:t xml:space="preserve">to assess strengths, accomplish surveillance, and enhance the health care professional’s understanding of the child and family and to guide their work together. Past </w:t>
      </w:r>
      <w:r>
        <w:t>m</w:t>
      </w:r>
      <w:r w:rsidRPr="005C2A26">
        <w:t xml:space="preserve">edical </w:t>
      </w:r>
      <w:r>
        <w:t>h</w:t>
      </w:r>
      <w:r w:rsidRPr="005C2A26">
        <w:t xml:space="preserve">istory and pertinent </w:t>
      </w:r>
      <w:r>
        <w:t>f</w:t>
      </w:r>
      <w:r w:rsidRPr="005C2A26">
        <w:t xml:space="preserve">amily </w:t>
      </w:r>
      <w:r>
        <w:t>h</w:t>
      </w:r>
      <w:r w:rsidRPr="005C2A26">
        <w:t xml:space="preserve">istory are important elements of the initial and interval history. Some visits also include relevant </w:t>
      </w:r>
      <w:r>
        <w:t>s</w:t>
      </w:r>
      <w:r w:rsidRPr="005C2A26">
        <w:t xml:space="preserve">ocial </w:t>
      </w:r>
      <w:r>
        <w:t>h</w:t>
      </w:r>
      <w:r w:rsidRPr="005C2A26">
        <w:t>istory questions.</w:t>
      </w:r>
    </w:p>
    <w:p w14:paraId="449196A6" w14:textId="77777777" w:rsidR="004F0AE5" w:rsidRPr="00DE3FE9" w:rsidRDefault="004F0AE5" w:rsidP="004F0AE5">
      <w:pPr>
        <w:tabs>
          <w:tab w:val="left" w:pos="9810"/>
        </w:tabs>
        <w:spacing w:before="31" w:line="241" w:lineRule="auto"/>
        <w:ind w:left="720" w:right="10"/>
      </w:pPr>
    </w:p>
    <w:p w14:paraId="204D452F" w14:textId="77777777" w:rsidR="004F0AE5" w:rsidRPr="005C2A26" w:rsidRDefault="004F0AE5" w:rsidP="004F0AE5">
      <w:pPr>
        <w:tabs>
          <w:tab w:val="left" w:pos="9810"/>
        </w:tabs>
        <w:spacing w:before="31" w:line="241" w:lineRule="auto"/>
        <w:ind w:left="720" w:right="10"/>
      </w:pPr>
      <w:r w:rsidRPr="00DE3FE9">
        <w:t xml:space="preserve">Health histories </w:t>
      </w:r>
      <w:r w:rsidRPr="00D323E7">
        <w:t>should</w:t>
      </w:r>
      <w:r w:rsidRPr="005C2A26">
        <w:t xml:space="preserve"> include age-appropriate history regarding the member, including but not limited to</w:t>
      </w:r>
    </w:p>
    <w:p w14:paraId="4F63DE9C" w14:textId="77777777" w:rsidR="004F0AE5" w:rsidRPr="00D323E7" w:rsidRDefault="004F0AE5" w:rsidP="004F0AE5">
      <w:pPr>
        <w:pStyle w:val="ListParagraph"/>
        <w:numPr>
          <w:ilvl w:val="0"/>
          <w:numId w:val="5"/>
        </w:numPr>
        <w:tabs>
          <w:tab w:val="left" w:pos="9810"/>
        </w:tabs>
        <w:spacing w:before="4" w:after="0" w:line="240" w:lineRule="auto"/>
        <w:ind w:left="1432" w:right="10"/>
        <w:rPr>
          <w:rFonts w:ascii="Times New Roman" w:hAnsi="Times New Roman"/>
        </w:rPr>
      </w:pPr>
      <w:r w:rsidRPr="00D323E7">
        <w:rPr>
          <w:rFonts w:ascii="Times New Roman" w:hAnsi="Times New Roman"/>
        </w:rPr>
        <w:t>family history</w:t>
      </w:r>
      <w:r>
        <w:rPr>
          <w:rFonts w:ascii="Times New Roman" w:hAnsi="Times New Roman"/>
        </w:rPr>
        <w:t>;</w:t>
      </w:r>
    </w:p>
    <w:p w14:paraId="455FEBE6" w14:textId="77777777" w:rsidR="004F0AE5" w:rsidRPr="00D323E7" w:rsidRDefault="004F0AE5" w:rsidP="004F0AE5">
      <w:pPr>
        <w:pStyle w:val="ListParagraph"/>
        <w:numPr>
          <w:ilvl w:val="0"/>
          <w:numId w:val="5"/>
        </w:numPr>
        <w:tabs>
          <w:tab w:val="left" w:pos="9810"/>
        </w:tabs>
        <w:spacing w:before="4" w:after="0" w:line="240" w:lineRule="auto"/>
        <w:ind w:left="1432" w:right="10"/>
        <w:rPr>
          <w:rFonts w:ascii="Times New Roman" w:hAnsi="Times New Roman"/>
        </w:rPr>
      </w:pPr>
      <w:r w:rsidRPr="00D323E7">
        <w:rPr>
          <w:rFonts w:ascii="Times New Roman" w:hAnsi="Times New Roman"/>
        </w:rPr>
        <w:t>birth, growth</w:t>
      </w:r>
      <w:r>
        <w:rPr>
          <w:rFonts w:ascii="Times New Roman" w:hAnsi="Times New Roman"/>
        </w:rPr>
        <w:t>,</w:t>
      </w:r>
      <w:r w:rsidRPr="00D323E7">
        <w:rPr>
          <w:rFonts w:ascii="Times New Roman" w:hAnsi="Times New Roman"/>
        </w:rPr>
        <w:t xml:space="preserve"> and nutrition, and developmental history;</w:t>
      </w:r>
    </w:p>
    <w:p w14:paraId="0BE9BF9C" w14:textId="77777777" w:rsidR="004F0AE5" w:rsidRPr="00D323E7" w:rsidRDefault="004F0AE5" w:rsidP="004F0AE5">
      <w:pPr>
        <w:tabs>
          <w:tab w:val="left" w:pos="9810"/>
        </w:tabs>
        <w:ind w:left="1259" w:right="10" w:hanging="187"/>
      </w:pPr>
      <w:r w:rsidRPr="00D323E7">
        <w:t>(</w:t>
      </w:r>
      <w:r>
        <w:t>c</w:t>
      </w:r>
      <w:r w:rsidRPr="00D323E7">
        <w:t>)  immunization history;</w:t>
      </w:r>
    </w:p>
    <w:p w14:paraId="21686A1D" w14:textId="77777777" w:rsidR="004F0AE5" w:rsidRPr="00D323E7" w:rsidRDefault="004F0AE5" w:rsidP="004F0AE5">
      <w:pPr>
        <w:tabs>
          <w:tab w:val="left" w:pos="9810"/>
        </w:tabs>
        <w:spacing w:before="1"/>
        <w:ind w:left="1414" w:right="10" w:hanging="360"/>
      </w:pPr>
      <w:r w:rsidRPr="00D323E7">
        <w:t>(</w:t>
      </w:r>
      <w:r>
        <w:t>d</w:t>
      </w:r>
      <w:r w:rsidRPr="00D323E7">
        <w:t>)  current and past medications, including any alternative or complementary medicine;</w:t>
      </w:r>
    </w:p>
    <w:p w14:paraId="3DBB94FB" w14:textId="77777777" w:rsidR="004F0AE5" w:rsidRPr="00D323E7" w:rsidRDefault="004F0AE5" w:rsidP="004F0AE5">
      <w:pPr>
        <w:tabs>
          <w:tab w:val="left" w:pos="9810"/>
        </w:tabs>
        <w:spacing w:before="1"/>
        <w:ind w:left="1414" w:right="10" w:hanging="360"/>
      </w:pPr>
      <w:r w:rsidRPr="00D323E7">
        <w:t>(</w:t>
      </w:r>
      <w:r>
        <w:t>e</w:t>
      </w:r>
      <w:r w:rsidRPr="00D323E7">
        <w:t xml:space="preserve">)  medication allergies and other allergies; </w:t>
      </w:r>
    </w:p>
    <w:p w14:paraId="604F2EBC" w14:textId="77777777" w:rsidR="004F0AE5" w:rsidRPr="00D323E7" w:rsidRDefault="004F0AE5" w:rsidP="004F0AE5">
      <w:pPr>
        <w:tabs>
          <w:tab w:val="left" w:pos="9810"/>
        </w:tabs>
        <w:ind w:left="1423" w:right="10" w:hanging="344"/>
      </w:pPr>
      <w:r w:rsidRPr="00D323E7">
        <w:t>(</w:t>
      </w:r>
      <w:r>
        <w:t>f</w:t>
      </w:r>
      <w:r w:rsidRPr="00D323E7">
        <w:t xml:space="preserve">)  medical history, including previous diagnoses, surgeries, and hospitalizations; </w:t>
      </w:r>
    </w:p>
    <w:p w14:paraId="58C0BC0F" w14:textId="77777777" w:rsidR="004F0AE5" w:rsidRPr="00D323E7" w:rsidRDefault="004F0AE5" w:rsidP="004F0AE5">
      <w:pPr>
        <w:tabs>
          <w:tab w:val="left" w:pos="9810"/>
        </w:tabs>
        <w:ind w:left="1423" w:right="10" w:hanging="344"/>
      </w:pPr>
      <w:r w:rsidRPr="00D323E7">
        <w:t>(</w:t>
      </w:r>
      <w:r>
        <w:t>g</w:t>
      </w:r>
      <w:r w:rsidRPr="00D323E7">
        <w:t xml:space="preserve">) </w:t>
      </w:r>
      <w:r w:rsidRPr="00D323E7">
        <w:tab/>
        <w:t xml:space="preserve">review of systems; </w:t>
      </w:r>
    </w:p>
    <w:p w14:paraId="74FB7C83" w14:textId="77777777" w:rsidR="004F0AE5" w:rsidRPr="00D323E7" w:rsidRDefault="004F0AE5" w:rsidP="004F0AE5">
      <w:pPr>
        <w:tabs>
          <w:tab w:val="left" w:pos="9810"/>
        </w:tabs>
        <w:ind w:left="1423" w:right="10" w:hanging="344"/>
      </w:pPr>
      <w:r w:rsidRPr="00D323E7">
        <w:t>(</w:t>
      </w:r>
      <w:r>
        <w:t>h</w:t>
      </w:r>
      <w:r w:rsidRPr="00D323E7">
        <w:t xml:space="preserve">) </w:t>
      </w:r>
      <w:r w:rsidRPr="00D323E7">
        <w:tab/>
        <w:t>risk-taking behaviors, including alcohol, marijuana, tobacco, opiate</w:t>
      </w:r>
      <w:r>
        <w:t>,</w:t>
      </w:r>
      <w:r w:rsidRPr="00D323E7">
        <w:t xml:space="preserve"> and other substance use; </w:t>
      </w:r>
    </w:p>
    <w:p w14:paraId="6EE4B176" w14:textId="77777777" w:rsidR="004F0AE5" w:rsidRPr="00D323E7" w:rsidRDefault="004F0AE5" w:rsidP="004F0AE5">
      <w:pPr>
        <w:tabs>
          <w:tab w:val="left" w:pos="9810"/>
        </w:tabs>
        <w:ind w:left="1423" w:right="10" w:hanging="344"/>
      </w:pPr>
      <w:r w:rsidRPr="00D323E7">
        <w:t>(</w:t>
      </w:r>
      <w:r>
        <w:t>i</w:t>
      </w:r>
      <w:r w:rsidRPr="00D323E7">
        <w:t xml:space="preserve">) </w:t>
      </w:r>
      <w:r w:rsidRPr="00D323E7">
        <w:tab/>
        <w:t xml:space="preserve">sexual health and development, including sexual activity; and </w:t>
      </w:r>
    </w:p>
    <w:p w14:paraId="5678F014" w14:textId="77777777" w:rsidR="004F0AE5" w:rsidRPr="00D323E7" w:rsidRDefault="004F0AE5" w:rsidP="004F0AE5">
      <w:pPr>
        <w:tabs>
          <w:tab w:val="left" w:pos="9810"/>
        </w:tabs>
        <w:ind w:left="1423" w:right="10" w:hanging="344"/>
      </w:pPr>
      <w:r w:rsidRPr="00D323E7">
        <w:t>(</w:t>
      </w:r>
      <w:r>
        <w:t>j</w:t>
      </w:r>
      <w:r w:rsidRPr="00D323E7">
        <w:t xml:space="preserve">) </w:t>
      </w:r>
      <w:r w:rsidRPr="00D323E7">
        <w:tab/>
        <w:t>other medical, psychosocial, and behavioral health concerns.</w:t>
      </w:r>
    </w:p>
    <w:p w14:paraId="789F24FA" w14:textId="77777777" w:rsidR="004F0AE5" w:rsidRPr="00A34541" w:rsidRDefault="004F0AE5" w:rsidP="004F0AE5">
      <w:pPr>
        <w:tabs>
          <w:tab w:val="left" w:pos="9810"/>
        </w:tabs>
        <w:spacing w:line="240" w:lineRule="exact"/>
        <w:ind w:right="10"/>
      </w:pPr>
    </w:p>
    <w:p w14:paraId="0C5A7260" w14:textId="77777777" w:rsidR="004F0AE5" w:rsidRPr="00D323E7" w:rsidRDefault="004F0AE5" w:rsidP="004F0AE5">
      <w:pPr>
        <w:pStyle w:val="ListParagraph"/>
        <w:numPr>
          <w:ilvl w:val="0"/>
          <w:numId w:val="7"/>
        </w:numPr>
        <w:tabs>
          <w:tab w:val="left" w:pos="9810"/>
        </w:tabs>
        <w:spacing w:after="0" w:line="240" w:lineRule="auto"/>
        <w:ind w:left="720" w:right="10" w:hanging="180"/>
        <w:rPr>
          <w:rFonts w:ascii="Times New Roman" w:hAnsi="Times New Roman"/>
          <w:b/>
          <w:bCs/>
        </w:rPr>
      </w:pPr>
      <w:r w:rsidRPr="00D323E7">
        <w:rPr>
          <w:rFonts w:ascii="Times New Roman" w:hAnsi="Times New Roman"/>
          <w:b/>
          <w:bCs/>
        </w:rPr>
        <w:t>MEASUREMENTS</w:t>
      </w:r>
    </w:p>
    <w:p w14:paraId="04E2818E" w14:textId="77777777" w:rsidR="004F0AE5" w:rsidRPr="00D323E7" w:rsidRDefault="004F0AE5" w:rsidP="004F0AE5">
      <w:pPr>
        <w:pStyle w:val="ListParagraph"/>
        <w:tabs>
          <w:tab w:val="left" w:pos="9810"/>
        </w:tabs>
        <w:spacing w:after="0" w:line="240" w:lineRule="auto"/>
        <w:ind w:right="10"/>
        <w:rPr>
          <w:rFonts w:ascii="Times New Roman" w:hAnsi="Times New Roman"/>
          <w:b/>
          <w:bCs/>
        </w:rPr>
      </w:pPr>
    </w:p>
    <w:p w14:paraId="0090CC4D" w14:textId="77777777" w:rsidR="004F0AE5" w:rsidRPr="00D323E7" w:rsidRDefault="004F0AE5" w:rsidP="004F0AE5">
      <w:pPr>
        <w:pStyle w:val="ListParagraph"/>
        <w:numPr>
          <w:ilvl w:val="0"/>
          <w:numId w:val="3"/>
        </w:numPr>
        <w:spacing w:after="0" w:line="241" w:lineRule="auto"/>
        <w:ind w:left="836" w:right="237"/>
        <w:rPr>
          <w:rFonts w:ascii="Times New Roman" w:hAnsi="Times New Roman"/>
          <w:bCs/>
        </w:rPr>
      </w:pPr>
      <w:r w:rsidRPr="00D323E7">
        <w:rPr>
          <w:rFonts w:ascii="Times New Roman" w:hAnsi="Times New Roman"/>
          <w:b/>
          <w:bCs/>
        </w:rPr>
        <w:t xml:space="preserve">Length/Height and Weight - </w:t>
      </w:r>
      <w:r w:rsidRPr="00D323E7">
        <w:rPr>
          <w:rFonts w:ascii="Times New Roman" w:hAnsi="Times New Roman"/>
          <w:bCs/>
        </w:rPr>
        <w:t xml:space="preserve">Length/height and weight measurements should be obtained for children aged birth to 21 years at every preventive healthcare visit and plotted using appropriate, standard growth charts such as those available through the </w:t>
      </w:r>
      <w:r>
        <w:rPr>
          <w:rFonts w:ascii="Times New Roman" w:hAnsi="Times New Roman"/>
          <w:bCs/>
        </w:rPr>
        <w:t>CDC</w:t>
      </w:r>
      <w:r w:rsidRPr="00D323E7">
        <w:rPr>
          <w:rFonts w:ascii="Times New Roman" w:hAnsi="Times New Roman"/>
          <w:bCs/>
        </w:rPr>
        <w:t>.</w:t>
      </w:r>
    </w:p>
    <w:p w14:paraId="4DFA63CA" w14:textId="77777777" w:rsidR="004F0AE5" w:rsidRPr="00A34541" w:rsidRDefault="004F0AE5" w:rsidP="004F0AE5">
      <w:pPr>
        <w:pStyle w:val="ListParagraph"/>
        <w:spacing w:before="5" w:after="0" w:line="190" w:lineRule="exact"/>
        <w:ind w:left="836"/>
        <w:rPr>
          <w:rFonts w:ascii="Times New Roman" w:hAnsi="Times New Roman"/>
        </w:rPr>
      </w:pPr>
    </w:p>
    <w:p w14:paraId="19D3109B" w14:textId="77777777" w:rsidR="004F0AE5" w:rsidRDefault="004F0AE5" w:rsidP="004F0AE5">
      <w:pPr>
        <w:pStyle w:val="ListParagraph"/>
        <w:numPr>
          <w:ilvl w:val="0"/>
          <w:numId w:val="3"/>
        </w:numPr>
        <w:tabs>
          <w:tab w:val="left" w:pos="9810"/>
        </w:tabs>
        <w:spacing w:before="4" w:after="0" w:line="240" w:lineRule="auto"/>
        <w:ind w:left="836" w:right="10"/>
        <w:rPr>
          <w:rFonts w:ascii="Times New Roman" w:hAnsi="Times New Roman"/>
          <w:bCs/>
        </w:rPr>
      </w:pPr>
      <w:r w:rsidRPr="00D323E7">
        <w:rPr>
          <w:rFonts w:ascii="Times New Roman" w:hAnsi="Times New Roman"/>
          <w:b/>
          <w:bCs/>
        </w:rPr>
        <w:t>Head Circumference</w:t>
      </w:r>
      <w:r w:rsidRPr="00D323E7">
        <w:rPr>
          <w:rFonts w:ascii="Times New Roman" w:hAnsi="Times New Roman"/>
          <w:bCs/>
        </w:rPr>
        <w:t xml:space="preserve"> </w:t>
      </w:r>
      <w:r w:rsidRPr="00D323E7">
        <w:rPr>
          <w:rFonts w:ascii="Times New Roman" w:hAnsi="Times New Roman"/>
          <w:b/>
          <w:bCs/>
        </w:rPr>
        <w:t>-</w:t>
      </w:r>
      <w:r w:rsidRPr="00D323E7">
        <w:rPr>
          <w:rFonts w:ascii="Times New Roman" w:hAnsi="Times New Roman"/>
          <w:bCs/>
        </w:rPr>
        <w:t xml:space="preserve"> Head circumference measurements should be obtained at every preventive healthcare visit from newborn to 24 months and plotted using appropriate, standard growth charts such as those available through the </w:t>
      </w:r>
      <w:r>
        <w:rPr>
          <w:rFonts w:ascii="Times New Roman" w:hAnsi="Times New Roman"/>
          <w:bCs/>
        </w:rPr>
        <w:t>CDC</w:t>
      </w:r>
      <w:r w:rsidRPr="00D323E7">
        <w:rPr>
          <w:rFonts w:ascii="Times New Roman" w:hAnsi="Times New Roman"/>
          <w:bCs/>
        </w:rPr>
        <w:t>.</w:t>
      </w:r>
    </w:p>
    <w:p w14:paraId="5130CF8B" w14:textId="77777777" w:rsidR="004F0AE5" w:rsidRPr="00A83696" w:rsidRDefault="004F0AE5" w:rsidP="004F0AE5">
      <w:pPr>
        <w:pStyle w:val="ListParagraph"/>
        <w:tabs>
          <w:tab w:val="left" w:pos="9810"/>
        </w:tabs>
        <w:spacing w:before="4" w:after="0" w:line="240" w:lineRule="auto"/>
        <w:ind w:left="836" w:right="10"/>
        <w:rPr>
          <w:rFonts w:ascii="Times New Roman" w:hAnsi="Times New Roman"/>
        </w:rPr>
      </w:pPr>
    </w:p>
    <w:p w14:paraId="5896DB0A" w14:textId="77777777" w:rsidR="004F0AE5" w:rsidRPr="00C76705" w:rsidRDefault="004F0AE5" w:rsidP="004F0AE5">
      <w:pPr>
        <w:pStyle w:val="ListParagraph"/>
        <w:numPr>
          <w:ilvl w:val="0"/>
          <w:numId w:val="22"/>
        </w:numPr>
        <w:tabs>
          <w:tab w:val="left" w:pos="9810"/>
        </w:tabs>
        <w:spacing w:before="4" w:after="0" w:line="240" w:lineRule="auto"/>
        <w:ind w:right="10"/>
        <w:rPr>
          <w:rFonts w:ascii="Times New Roman" w:hAnsi="Times New Roman"/>
        </w:rPr>
      </w:pPr>
      <w:r w:rsidRPr="00C76705">
        <w:rPr>
          <w:rFonts w:ascii="Times New Roman" w:hAnsi="Times New Roman"/>
          <w:b/>
          <w:bCs/>
        </w:rPr>
        <w:t xml:space="preserve">Weight for Length - </w:t>
      </w:r>
      <w:r w:rsidRPr="00C76705">
        <w:rPr>
          <w:rFonts w:ascii="Times New Roman" w:hAnsi="Times New Roman"/>
        </w:rPr>
        <w:t>Weight for length should be plotted using appropriate, standard growth charts such as those available through the CDC at every preventive healthcare visit from newborn to 18 months.</w:t>
      </w:r>
    </w:p>
    <w:p w14:paraId="2E5DFCC7" w14:textId="77777777" w:rsidR="004F0AE5" w:rsidRPr="00150B89" w:rsidRDefault="004F0AE5" w:rsidP="004F0AE5">
      <w:pPr>
        <w:pStyle w:val="ListParagraph"/>
        <w:spacing w:before="5" w:after="0" w:line="190" w:lineRule="exact"/>
        <w:ind w:left="836"/>
        <w:rPr>
          <w:rFonts w:ascii="Times New Roman" w:hAnsi="Times New Roman"/>
        </w:rPr>
      </w:pPr>
    </w:p>
    <w:p w14:paraId="66B73894" w14:textId="77777777" w:rsidR="004F0AE5" w:rsidRDefault="004F0AE5" w:rsidP="004F0AE5">
      <w:pPr>
        <w:pStyle w:val="ListParagraph"/>
        <w:numPr>
          <w:ilvl w:val="0"/>
          <w:numId w:val="23"/>
        </w:numPr>
        <w:tabs>
          <w:tab w:val="left" w:pos="9810"/>
        </w:tabs>
        <w:spacing w:before="4" w:after="0" w:line="240" w:lineRule="auto"/>
        <w:ind w:right="10"/>
        <w:rPr>
          <w:rFonts w:ascii="Times New Roman" w:hAnsi="Times New Roman"/>
          <w:bCs/>
        </w:rPr>
      </w:pPr>
      <w:r w:rsidRPr="00D323E7">
        <w:rPr>
          <w:rFonts w:ascii="Times New Roman" w:hAnsi="Times New Roman"/>
          <w:b/>
          <w:bCs/>
        </w:rPr>
        <w:t>Body Mass Index (BMI) Screen for Obesity</w:t>
      </w:r>
      <w:r w:rsidRPr="00D323E7">
        <w:rPr>
          <w:rFonts w:ascii="Times New Roman" w:hAnsi="Times New Roman"/>
          <w:bCs/>
        </w:rPr>
        <w:t xml:space="preserve"> </w:t>
      </w:r>
      <w:r w:rsidRPr="00D323E7">
        <w:rPr>
          <w:rFonts w:ascii="Times New Roman" w:hAnsi="Times New Roman"/>
          <w:b/>
          <w:bCs/>
        </w:rPr>
        <w:t>-</w:t>
      </w:r>
      <w:r>
        <w:rPr>
          <w:rFonts w:ascii="Times New Roman" w:hAnsi="Times New Roman"/>
          <w:b/>
          <w:bCs/>
        </w:rPr>
        <w:t xml:space="preserve"> </w:t>
      </w:r>
      <w:r w:rsidRPr="00D323E7">
        <w:rPr>
          <w:rFonts w:ascii="Times New Roman" w:hAnsi="Times New Roman"/>
          <w:bCs/>
        </w:rPr>
        <w:t>BMI should be</w:t>
      </w:r>
      <w:r w:rsidRPr="00D323E7">
        <w:rPr>
          <w:rFonts w:ascii="Times New Roman" w:hAnsi="Times New Roman"/>
          <w:b/>
          <w:bCs/>
        </w:rPr>
        <w:t xml:space="preserve"> </w:t>
      </w:r>
      <w:r w:rsidRPr="00D323E7">
        <w:rPr>
          <w:rFonts w:ascii="Times New Roman" w:hAnsi="Times New Roman"/>
          <w:bCs/>
        </w:rPr>
        <w:t xml:space="preserve">plotted using appropriate, standard growth charts such as those available through the </w:t>
      </w:r>
      <w:r>
        <w:rPr>
          <w:rFonts w:ascii="Times New Roman" w:hAnsi="Times New Roman"/>
          <w:bCs/>
        </w:rPr>
        <w:t xml:space="preserve">CDC </w:t>
      </w:r>
      <w:r w:rsidRPr="00D323E7">
        <w:rPr>
          <w:rFonts w:ascii="Times New Roman" w:hAnsi="Times New Roman"/>
          <w:bCs/>
        </w:rPr>
        <w:t xml:space="preserve">or calculated at every preventive healthcare </w:t>
      </w:r>
    </w:p>
    <w:p w14:paraId="1E028140" w14:textId="77777777" w:rsidR="004F0AE5" w:rsidRDefault="004F0AE5" w:rsidP="004F0AE5">
      <w:pPr>
        <w:pStyle w:val="ListParagraph"/>
        <w:tabs>
          <w:tab w:val="left" w:pos="9810"/>
        </w:tabs>
        <w:spacing w:before="4" w:after="0" w:line="240" w:lineRule="auto"/>
        <w:ind w:left="836" w:right="10"/>
        <w:rPr>
          <w:rFonts w:ascii="Times New Roman" w:hAnsi="Times New Roman"/>
          <w:bCs/>
        </w:rPr>
      </w:pPr>
      <w:r w:rsidRPr="00D323E7">
        <w:rPr>
          <w:rFonts w:ascii="Times New Roman" w:hAnsi="Times New Roman"/>
          <w:bCs/>
        </w:rPr>
        <w:t>visit from 24 months to 2</w:t>
      </w:r>
      <w:r>
        <w:rPr>
          <w:rFonts w:ascii="Times New Roman" w:hAnsi="Times New Roman"/>
          <w:bCs/>
        </w:rPr>
        <w:t>0</w:t>
      </w:r>
      <w:r w:rsidRPr="00D323E7">
        <w:rPr>
          <w:rFonts w:ascii="Times New Roman" w:hAnsi="Times New Roman"/>
          <w:bCs/>
        </w:rPr>
        <w:t xml:space="preserve"> years.</w:t>
      </w:r>
      <w:r>
        <w:rPr>
          <w:rFonts w:ascii="Times New Roman" w:hAnsi="Times New Roman"/>
          <w:bCs/>
        </w:rPr>
        <w:t xml:space="preserve"> </w:t>
      </w:r>
      <w:r w:rsidRPr="00DE3FE9">
        <w:rPr>
          <w:rFonts w:ascii="Times New Roman" w:hAnsi="Times New Roman"/>
          <w:bCs/>
        </w:rPr>
        <w:t>Use the WHO</w:t>
      </w:r>
      <w:r>
        <w:rPr>
          <w:rFonts w:ascii="Times New Roman" w:hAnsi="Times New Roman"/>
          <w:bCs/>
        </w:rPr>
        <w:t xml:space="preserve"> Growth Charts for monitoring weight in</w:t>
      </w:r>
      <w:r w:rsidRPr="005C2A26">
        <w:rPr>
          <w:rFonts w:ascii="Times New Roman" w:hAnsi="Times New Roman"/>
          <w:bCs/>
        </w:rPr>
        <w:t xml:space="preserve"> children ages </w:t>
      </w:r>
      <w:r>
        <w:rPr>
          <w:rFonts w:ascii="Times New Roman" w:hAnsi="Times New Roman"/>
          <w:bCs/>
        </w:rPr>
        <w:t>one to two</w:t>
      </w:r>
      <w:r w:rsidRPr="005C2A26">
        <w:rPr>
          <w:rFonts w:ascii="Times New Roman" w:hAnsi="Times New Roman"/>
          <w:bCs/>
        </w:rPr>
        <w:t xml:space="preserve"> years.</w:t>
      </w:r>
      <w:r>
        <w:rPr>
          <w:rFonts w:ascii="Times New Roman" w:hAnsi="Times New Roman"/>
          <w:bCs/>
        </w:rPr>
        <w:t xml:space="preserve"> </w:t>
      </w:r>
      <w:r>
        <w:rPr>
          <w:rFonts w:ascii="Times New Roman" w:hAnsi="Times New Roman"/>
          <w:bCs/>
        </w:rPr>
        <w:br w:type="page"/>
      </w:r>
    </w:p>
    <w:p w14:paraId="612534E9" w14:textId="77777777" w:rsidR="004F0AE5" w:rsidRPr="00D323E7" w:rsidRDefault="004F0AE5" w:rsidP="004F0AE5">
      <w:pPr>
        <w:pStyle w:val="ListParagraph"/>
        <w:numPr>
          <w:ilvl w:val="0"/>
          <w:numId w:val="23"/>
        </w:numPr>
        <w:tabs>
          <w:tab w:val="left" w:pos="9810"/>
        </w:tabs>
        <w:spacing w:before="4" w:after="0" w:line="240" w:lineRule="auto"/>
        <w:ind w:right="10"/>
        <w:rPr>
          <w:rFonts w:ascii="Times New Roman" w:hAnsi="Times New Roman"/>
          <w:b/>
          <w:bCs/>
        </w:rPr>
      </w:pPr>
      <w:r w:rsidRPr="00D323E7">
        <w:rPr>
          <w:rFonts w:ascii="Times New Roman" w:hAnsi="Times New Roman"/>
          <w:b/>
          <w:bCs/>
        </w:rPr>
        <w:lastRenderedPageBreak/>
        <w:t>Blood Pressure -</w:t>
      </w:r>
      <w:r>
        <w:rPr>
          <w:rFonts w:ascii="Times New Roman" w:hAnsi="Times New Roman"/>
          <w:b/>
          <w:bCs/>
        </w:rPr>
        <w:t xml:space="preserve"> </w:t>
      </w:r>
      <w:r w:rsidRPr="005C2A26">
        <w:rPr>
          <w:rFonts w:ascii="Times New Roman" w:hAnsi="Times New Roman"/>
          <w:bCs/>
        </w:rPr>
        <w:t xml:space="preserve">Blood pressure measurement should be done at every </w:t>
      </w:r>
      <w:r>
        <w:rPr>
          <w:rFonts w:ascii="Times New Roman" w:hAnsi="Times New Roman"/>
          <w:bCs/>
        </w:rPr>
        <w:t>preventive</w:t>
      </w:r>
      <w:r w:rsidRPr="005C2A26">
        <w:rPr>
          <w:rFonts w:ascii="Times New Roman" w:hAnsi="Times New Roman"/>
          <w:bCs/>
        </w:rPr>
        <w:t xml:space="preserve"> visit starting at age </w:t>
      </w:r>
      <w:r>
        <w:rPr>
          <w:rFonts w:ascii="Times New Roman" w:hAnsi="Times New Roman"/>
          <w:bCs/>
        </w:rPr>
        <w:t>three</w:t>
      </w:r>
      <w:r w:rsidRPr="005C2A26">
        <w:rPr>
          <w:rFonts w:ascii="Times New Roman" w:hAnsi="Times New Roman"/>
          <w:bCs/>
        </w:rPr>
        <w:t xml:space="preserve">. For infants and children with certain chronic conditions (including obesity, sleep-disordered breathing, and those born preterm), blood pressure measurement should be done at preventive visits before age </w:t>
      </w:r>
      <w:r>
        <w:rPr>
          <w:rFonts w:ascii="Times New Roman" w:hAnsi="Times New Roman"/>
          <w:bCs/>
        </w:rPr>
        <w:t>three</w:t>
      </w:r>
      <w:r w:rsidRPr="005C2A26">
        <w:rPr>
          <w:rFonts w:ascii="Times New Roman" w:hAnsi="Times New Roman"/>
          <w:bCs/>
        </w:rPr>
        <w:t>.</w:t>
      </w:r>
      <w:r w:rsidRPr="002A0CEC">
        <w:rPr>
          <w:rFonts w:ascii="Times New Roman" w:hAnsi="Times New Roman"/>
          <w:sz w:val="24"/>
          <w:szCs w:val="24"/>
        </w:rPr>
        <w:t xml:space="preserve"> </w:t>
      </w:r>
    </w:p>
    <w:p w14:paraId="6B6BC57A" w14:textId="77777777" w:rsidR="004F0AE5" w:rsidRPr="005C2A26" w:rsidRDefault="004F0AE5" w:rsidP="004F0AE5">
      <w:pPr>
        <w:pStyle w:val="ListParagraph"/>
        <w:tabs>
          <w:tab w:val="left" w:pos="9810"/>
        </w:tabs>
        <w:spacing w:before="4" w:after="0" w:line="240" w:lineRule="auto"/>
        <w:ind w:left="836" w:right="10"/>
        <w:rPr>
          <w:rFonts w:ascii="Times New Roman" w:hAnsi="Times New Roman"/>
          <w:bCs/>
        </w:rPr>
      </w:pPr>
    </w:p>
    <w:p w14:paraId="2083DCAC" w14:textId="77777777" w:rsidR="004F0AE5" w:rsidRPr="00D323E7" w:rsidRDefault="004F0AE5" w:rsidP="004F0AE5">
      <w:pPr>
        <w:pStyle w:val="ListParagraph"/>
        <w:numPr>
          <w:ilvl w:val="0"/>
          <w:numId w:val="7"/>
        </w:numPr>
        <w:tabs>
          <w:tab w:val="left" w:pos="9810"/>
        </w:tabs>
        <w:spacing w:after="0" w:line="240" w:lineRule="auto"/>
        <w:ind w:left="720" w:right="10" w:hanging="180"/>
        <w:rPr>
          <w:rFonts w:ascii="Times New Roman" w:hAnsi="Times New Roman"/>
          <w:b/>
          <w:bCs/>
        </w:rPr>
      </w:pPr>
      <w:r w:rsidRPr="00D323E7">
        <w:rPr>
          <w:rFonts w:ascii="Times New Roman" w:hAnsi="Times New Roman"/>
          <w:b/>
          <w:bCs/>
        </w:rPr>
        <w:t>SENSORY SCREENING</w:t>
      </w:r>
    </w:p>
    <w:p w14:paraId="7DB575FE" w14:textId="77777777" w:rsidR="004F0AE5" w:rsidRPr="007C3FDB" w:rsidRDefault="004F0AE5" w:rsidP="004F0AE5">
      <w:pPr>
        <w:pStyle w:val="ListParagraph"/>
        <w:tabs>
          <w:tab w:val="left" w:pos="9810"/>
        </w:tabs>
        <w:spacing w:after="0" w:line="240" w:lineRule="auto"/>
        <w:ind w:right="10"/>
        <w:rPr>
          <w:rFonts w:ascii="Times New Roman" w:hAnsi="Times New Roman"/>
          <w:b/>
          <w:bCs/>
          <w:sz w:val="16"/>
          <w:szCs w:val="16"/>
        </w:rPr>
      </w:pPr>
    </w:p>
    <w:p w14:paraId="357C845D" w14:textId="77777777" w:rsidR="004F0AE5" w:rsidRPr="00D323E7" w:rsidRDefault="004F0AE5" w:rsidP="004F0AE5">
      <w:pPr>
        <w:pStyle w:val="ListParagraph"/>
        <w:numPr>
          <w:ilvl w:val="0"/>
          <w:numId w:val="8"/>
        </w:numPr>
        <w:spacing w:after="120" w:line="240" w:lineRule="auto"/>
        <w:ind w:left="907" w:right="230"/>
        <w:contextualSpacing w:val="0"/>
        <w:rPr>
          <w:rFonts w:ascii="Times New Roman" w:hAnsi="Times New Roman"/>
          <w:b/>
        </w:rPr>
      </w:pPr>
      <w:r w:rsidRPr="00D323E7">
        <w:rPr>
          <w:rFonts w:ascii="Times New Roman" w:hAnsi="Times New Roman"/>
          <w:b/>
        </w:rPr>
        <w:t xml:space="preserve">Vision </w:t>
      </w:r>
      <w:r w:rsidRPr="005C2A26">
        <w:rPr>
          <w:rFonts w:ascii="Times New Roman" w:hAnsi="Times New Roman"/>
          <w:b/>
          <w:bCs/>
        </w:rPr>
        <w:t>Screening</w:t>
      </w:r>
    </w:p>
    <w:p w14:paraId="04EEBDA1" w14:textId="77777777" w:rsidR="004F0AE5" w:rsidRDefault="004F0AE5" w:rsidP="004F0AE5">
      <w:pPr>
        <w:autoSpaceDE w:val="0"/>
        <w:autoSpaceDN w:val="0"/>
        <w:adjustRightInd w:val="0"/>
        <w:spacing w:after="120"/>
        <w:ind w:left="907"/>
      </w:pPr>
      <w:r w:rsidRPr="00827A0C">
        <w:rPr>
          <w:i/>
          <w:iCs/>
        </w:rPr>
        <w:t xml:space="preserve">For ages 0 to </w:t>
      </w:r>
      <w:r>
        <w:rPr>
          <w:i/>
          <w:iCs/>
        </w:rPr>
        <w:t>one</w:t>
      </w:r>
      <w:r w:rsidRPr="00827A0C">
        <w:rPr>
          <w:i/>
          <w:iCs/>
        </w:rPr>
        <w:t xml:space="preserve"> years old:</w:t>
      </w:r>
      <w:r>
        <w:t xml:space="preserve">  </w:t>
      </w:r>
    </w:p>
    <w:p w14:paraId="55ED74CC" w14:textId="77777777" w:rsidR="004F0AE5" w:rsidRPr="005C2A26" w:rsidRDefault="004F0AE5" w:rsidP="004F0AE5">
      <w:pPr>
        <w:pStyle w:val="ListParagraph"/>
        <w:numPr>
          <w:ilvl w:val="0"/>
          <w:numId w:val="19"/>
        </w:numPr>
        <w:tabs>
          <w:tab w:val="left" w:pos="9810"/>
        </w:tabs>
        <w:spacing w:before="4" w:after="120" w:line="240" w:lineRule="auto"/>
        <w:ind w:left="1440" w:right="10" w:hanging="270"/>
        <w:contextualSpacing w:val="0"/>
        <w:rPr>
          <w:rFonts w:ascii="Times New Roman" w:hAnsi="Times New Roman"/>
        </w:rPr>
      </w:pPr>
      <w:r w:rsidRPr="005C2A26">
        <w:rPr>
          <w:rFonts w:ascii="Times New Roman" w:hAnsi="Times New Roman"/>
        </w:rPr>
        <w:t xml:space="preserve">Assess newborn before discharge or at least by age </w:t>
      </w:r>
      <w:r>
        <w:rPr>
          <w:rFonts w:ascii="Times New Roman" w:hAnsi="Times New Roman"/>
        </w:rPr>
        <w:t>two</w:t>
      </w:r>
      <w:r w:rsidRPr="005C2A26">
        <w:rPr>
          <w:rFonts w:ascii="Times New Roman" w:hAnsi="Times New Roman"/>
        </w:rPr>
        <w:t xml:space="preserve"> weeks using red reflex. </w:t>
      </w:r>
    </w:p>
    <w:p w14:paraId="11A68F81" w14:textId="77777777" w:rsidR="004F0AE5" w:rsidRPr="00826A05" w:rsidRDefault="004F0AE5" w:rsidP="004F0AE5">
      <w:pPr>
        <w:pStyle w:val="ListParagraph"/>
        <w:numPr>
          <w:ilvl w:val="0"/>
          <w:numId w:val="19"/>
        </w:numPr>
        <w:tabs>
          <w:tab w:val="left" w:pos="9810"/>
        </w:tabs>
        <w:spacing w:before="4" w:after="120" w:line="240" w:lineRule="auto"/>
        <w:ind w:left="1440" w:right="10" w:hanging="270"/>
        <w:contextualSpacing w:val="0"/>
        <w:rPr>
          <w:rFonts w:ascii="Times New Roman" w:hAnsi="Times New Roman"/>
        </w:rPr>
      </w:pPr>
      <w:r w:rsidRPr="005C2A26">
        <w:rPr>
          <w:rFonts w:ascii="Times New Roman" w:hAnsi="Times New Roman"/>
        </w:rPr>
        <w:t xml:space="preserve">Evaluate fixation preference, alignment, and eye disease by age </w:t>
      </w:r>
      <w:r>
        <w:rPr>
          <w:rFonts w:ascii="Times New Roman" w:hAnsi="Times New Roman"/>
        </w:rPr>
        <w:t>six</w:t>
      </w:r>
      <w:r w:rsidRPr="005C2A26">
        <w:rPr>
          <w:rFonts w:ascii="Times New Roman" w:hAnsi="Times New Roman"/>
        </w:rPr>
        <w:t xml:space="preserve"> months</w:t>
      </w:r>
      <w:r>
        <w:rPr>
          <w:rFonts w:ascii="Times New Roman" w:hAnsi="Times New Roman"/>
        </w:rPr>
        <w:t>.</w:t>
      </w:r>
    </w:p>
    <w:p w14:paraId="3DDBEFBA" w14:textId="77777777" w:rsidR="004F0AE5" w:rsidRDefault="004F0AE5" w:rsidP="004F0AE5">
      <w:pPr>
        <w:autoSpaceDE w:val="0"/>
        <w:autoSpaceDN w:val="0"/>
        <w:adjustRightInd w:val="0"/>
        <w:spacing w:after="120"/>
        <w:ind w:left="907"/>
      </w:pPr>
      <w:r w:rsidRPr="00827A0C">
        <w:rPr>
          <w:i/>
          <w:iCs/>
        </w:rPr>
        <w:t xml:space="preserve">For ages </w:t>
      </w:r>
      <w:r>
        <w:rPr>
          <w:i/>
          <w:iCs/>
        </w:rPr>
        <w:t xml:space="preserve">one </w:t>
      </w:r>
      <w:r w:rsidRPr="00827A0C">
        <w:rPr>
          <w:i/>
          <w:iCs/>
        </w:rPr>
        <w:t>to 1</w:t>
      </w:r>
      <w:r>
        <w:rPr>
          <w:i/>
          <w:iCs/>
        </w:rPr>
        <w:t>7</w:t>
      </w:r>
      <w:r w:rsidRPr="00827A0C">
        <w:rPr>
          <w:i/>
          <w:iCs/>
        </w:rPr>
        <w:t xml:space="preserve"> years old:</w:t>
      </w:r>
      <w:r>
        <w:t xml:space="preserve">  </w:t>
      </w:r>
    </w:p>
    <w:p w14:paraId="39887E53" w14:textId="77777777" w:rsidR="004F0AE5" w:rsidRPr="005C2A26" w:rsidRDefault="004F0AE5" w:rsidP="004F0AE5">
      <w:pPr>
        <w:pStyle w:val="ListParagraph"/>
        <w:numPr>
          <w:ilvl w:val="0"/>
          <w:numId w:val="20"/>
        </w:numPr>
        <w:tabs>
          <w:tab w:val="left" w:pos="9810"/>
        </w:tabs>
        <w:spacing w:before="4" w:after="120" w:line="240" w:lineRule="auto"/>
        <w:ind w:left="1440" w:right="10" w:hanging="270"/>
        <w:contextualSpacing w:val="0"/>
        <w:rPr>
          <w:rFonts w:ascii="Times New Roman" w:hAnsi="Times New Roman"/>
        </w:rPr>
      </w:pPr>
      <w:r>
        <w:rPr>
          <w:rFonts w:ascii="Times New Roman" w:hAnsi="Times New Roman"/>
        </w:rPr>
        <w:t>Perform v</w:t>
      </w:r>
      <w:r w:rsidRPr="005C2A26">
        <w:rPr>
          <w:rFonts w:ascii="Times New Roman" w:hAnsi="Times New Roman"/>
        </w:rPr>
        <w:t xml:space="preserve">isual acuity test at ages </w:t>
      </w:r>
      <w:r>
        <w:rPr>
          <w:rFonts w:ascii="Times New Roman" w:hAnsi="Times New Roman"/>
        </w:rPr>
        <w:t>three</w:t>
      </w:r>
      <w:r w:rsidRPr="005C2A26">
        <w:rPr>
          <w:rFonts w:ascii="Times New Roman" w:hAnsi="Times New Roman"/>
        </w:rPr>
        <w:t xml:space="preserve">, </w:t>
      </w:r>
      <w:r>
        <w:rPr>
          <w:rFonts w:ascii="Times New Roman" w:hAnsi="Times New Roman"/>
        </w:rPr>
        <w:t>four</w:t>
      </w:r>
      <w:r w:rsidRPr="005C2A26">
        <w:rPr>
          <w:rFonts w:ascii="Times New Roman" w:hAnsi="Times New Roman"/>
        </w:rPr>
        <w:t xml:space="preserve">, </w:t>
      </w:r>
      <w:r>
        <w:rPr>
          <w:rFonts w:ascii="Times New Roman" w:hAnsi="Times New Roman"/>
        </w:rPr>
        <w:t>five</w:t>
      </w:r>
      <w:r w:rsidRPr="005C2A26">
        <w:rPr>
          <w:rFonts w:ascii="Times New Roman" w:hAnsi="Times New Roman"/>
        </w:rPr>
        <w:t xml:space="preserve">, </w:t>
      </w:r>
      <w:r>
        <w:rPr>
          <w:rFonts w:ascii="Times New Roman" w:hAnsi="Times New Roman"/>
        </w:rPr>
        <w:t>six</w:t>
      </w:r>
      <w:r w:rsidRPr="005C2A26">
        <w:rPr>
          <w:rFonts w:ascii="Times New Roman" w:hAnsi="Times New Roman"/>
        </w:rPr>
        <w:t xml:space="preserve">, </w:t>
      </w:r>
      <w:r>
        <w:rPr>
          <w:rFonts w:ascii="Times New Roman" w:hAnsi="Times New Roman"/>
        </w:rPr>
        <w:t>eight</w:t>
      </w:r>
      <w:r w:rsidRPr="005C2A26">
        <w:rPr>
          <w:rFonts w:ascii="Times New Roman" w:hAnsi="Times New Roman"/>
        </w:rPr>
        <w:t>, 10, 12, 15, and 18 years. Document in m</w:t>
      </w:r>
      <w:r>
        <w:rPr>
          <w:rFonts w:ascii="Times New Roman" w:hAnsi="Times New Roman"/>
        </w:rPr>
        <w:t>e</w:t>
      </w:r>
      <w:r w:rsidRPr="005C2A26">
        <w:rPr>
          <w:rFonts w:ascii="Times New Roman" w:hAnsi="Times New Roman"/>
        </w:rPr>
        <w:t xml:space="preserve">dical record if test is performed in another setting such as a school. </w:t>
      </w:r>
    </w:p>
    <w:p w14:paraId="44630221" w14:textId="77777777" w:rsidR="004F0AE5" w:rsidRPr="005C2A26" w:rsidRDefault="004F0AE5" w:rsidP="004F0AE5">
      <w:pPr>
        <w:pStyle w:val="ListParagraph"/>
        <w:numPr>
          <w:ilvl w:val="0"/>
          <w:numId w:val="20"/>
        </w:numPr>
        <w:tabs>
          <w:tab w:val="left" w:pos="9810"/>
        </w:tabs>
        <w:spacing w:before="4" w:after="120" w:line="240" w:lineRule="auto"/>
        <w:ind w:left="1440" w:right="10" w:hanging="270"/>
        <w:contextualSpacing w:val="0"/>
        <w:rPr>
          <w:rFonts w:ascii="Times New Roman" w:hAnsi="Times New Roman"/>
        </w:rPr>
      </w:pPr>
      <w:r w:rsidRPr="005C2A26">
        <w:rPr>
          <w:rFonts w:ascii="Times New Roman" w:hAnsi="Times New Roman"/>
        </w:rPr>
        <w:t xml:space="preserve">Screen for strabismus between ages </w:t>
      </w:r>
      <w:r>
        <w:rPr>
          <w:rFonts w:ascii="Times New Roman" w:hAnsi="Times New Roman"/>
        </w:rPr>
        <w:t>three</w:t>
      </w:r>
      <w:r w:rsidRPr="005C2A26">
        <w:rPr>
          <w:rFonts w:ascii="Times New Roman" w:hAnsi="Times New Roman"/>
        </w:rPr>
        <w:t xml:space="preserve"> and </w:t>
      </w:r>
      <w:r>
        <w:rPr>
          <w:rFonts w:ascii="Times New Roman" w:hAnsi="Times New Roman"/>
        </w:rPr>
        <w:t>five</w:t>
      </w:r>
      <w:r w:rsidRPr="005C2A26">
        <w:rPr>
          <w:rFonts w:ascii="Times New Roman" w:hAnsi="Times New Roman"/>
        </w:rPr>
        <w:t xml:space="preserve"> years. </w:t>
      </w:r>
    </w:p>
    <w:p w14:paraId="25558CDF" w14:textId="77777777" w:rsidR="004F0AE5" w:rsidRPr="005C2A26" w:rsidRDefault="004F0AE5" w:rsidP="004F0AE5">
      <w:pPr>
        <w:pStyle w:val="ListParagraph"/>
        <w:numPr>
          <w:ilvl w:val="0"/>
          <w:numId w:val="20"/>
        </w:numPr>
        <w:tabs>
          <w:tab w:val="left" w:pos="9810"/>
        </w:tabs>
        <w:spacing w:before="4" w:after="120" w:line="240" w:lineRule="auto"/>
        <w:ind w:left="1440" w:right="10" w:hanging="270"/>
        <w:contextualSpacing w:val="0"/>
        <w:rPr>
          <w:rFonts w:ascii="Times New Roman" w:hAnsi="Times New Roman"/>
        </w:rPr>
      </w:pPr>
      <w:r>
        <w:rPr>
          <w:rFonts w:ascii="Times New Roman" w:hAnsi="Times New Roman"/>
        </w:rPr>
        <w:t xml:space="preserve">Perform vision screening </w:t>
      </w:r>
      <w:r w:rsidRPr="005C2A26">
        <w:rPr>
          <w:rFonts w:ascii="Times New Roman" w:hAnsi="Times New Roman"/>
        </w:rPr>
        <w:t>at entry to kindergarten if not screened during the prior year</w:t>
      </w:r>
      <w:r>
        <w:rPr>
          <w:rFonts w:ascii="Times New Roman" w:hAnsi="Times New Roman"/>
        </w:rPr>
        <w:t xml:space="preserve">, as recommended by </w:t>
      </w:r>
      <w:r w:rsidRPr="005C2A26">
        <w:rPr>
          <w:rFonts w:ascii="Times New Roman" w:hAnsi="Times New Roman"/>
        </w:rPr>
        <w:t>the</w:t>
      </w:r>
      <w:r>
        <w:rPr>
          <w:rFonts w:ascii="Times New Roman" w:hAnsi="Times New Roman"/>
        </w:rPr>
        <w:t xml:space="preserve"> </w:t>
      </w:r>
      <w:hyperlink r:id="rId21" w:tgtFrame="_blank" w:history="1">
        <w:r w:rsidRPr="005C2A26">
          <w:rPr>
            <w:rFonts w:ascii="Times New Roman" w:hAnsi="Times New Roman"/>
          </w:rPr>
          <w:t>Massachusetts Preschool Vision Screening Protoco</w:t>
        </w:r>
      </w:hyperlink>
      <w:r w:rsidRPr="005C2A26">
        <w:rPr>
          <w:rFonts w:ascii="Times New Roman" w:hAnsi="Times New Roman"/>
        </w:rPr>
        <w:t>l (</w:t>
      </w:r>
      <w:hyperlink r:id="rId22" w:history="1">
        <w:r w:rsidRPr="00500E12">
          <w:rPr>
            <w:rStyle w:val="Hyperlink"/>
            <w:rFonts w:ascii="Times New Roman" w:hAnsi="Times New Roman"/>
          </w:rPr>
          <w:t>www.mass.gov/eohhs/docs/dph/com-health/school/preschool-vision-protocols.pdf</w:t>
        </w:r>
      </w:hyperlink>
      <w:r w:rsidRPr="005C2A26">
        <w:rPr>
          <w:rFonts w:ascii="Times New Roman" w:hAnsi="Times New Roman"/>
        </w:rPr>
        <w:t>).</w:t>
      </w:r>
    </w:p>
    <w:p w14:paraId="5E0A1B88" w14:textId="77777777" w:rsidR="004F0AE5" w:rsidRPr="005C2A26" w:rsidRDefault="004F0AE5" w:rsidP="004F0AE5">
      <w:pPr>
        <w:pStyle w:val="ListParagraph"/>
        <w:tabs>
          <w:tab w:val="left" w:pos="9810"/>
        </w:tabs>
        <w:spacing w:before="4" w:after="120" w:line="240" w:lineRule="auto"/>
        <w:ind w:left="1710" w:right="10"/>
        <w:contextualSpacing w:val="0"/>
        <w:rPr>
          <w:rFonts w:ascii="Times New Roman" w:hAnsi="Times New Roman"/>
        </w:rPr>
      </w:pPr>
    </w:p>
    <w:p w14:paraId="44CF060D" w14:textId="77777777" w:rsidR="004F0AE5" w:rsidRPr="005C2A26" w:rsidRDefault="004F0AE5" w:rsidP="004F0AE5">
      <w:pPr>
        <w:pStyle w:val="ListParagraph"/>
        <w:numPr>
          <w:ilvl w:val="0"/>
          <w:numId w:val="8"/>
        </w:numPr>
        <w:spacing w:after="120" w:line="241" w:lineRule="auto"/>
        <w:ind w:left="907" w:right="237"/>
        <w:contextualSpacing w:val="0"/>
        <w:rPr>
          <w:rFonts w:ascii="Times New Roman" w:hAnsi="Times New Roman"/>
          <w:b/>
          <w:bCs/>
        </w:rPr>
      </w:pPr>
      <w:r w:rsidRPr="005C2A26">
        <w:rPr>
          <w:rFonts w:ascii="Times New Roman" w:hAnsi="Times New Roman"/>
          <w:b/>
          <w:bCs/>
        </w:rPr>
        <w:t>Hearing Screening</w:t>
      </w:r>
    </w:p>
    <w:p w14:paraId="5527EBCD" w14:textId="77777777" w:rsidR="004F0AE5" w:rsidRPr="005C2A26" w:rsidRDefault="004F0AE5" w:rsidP="004F0AE5">
      <w:pPr>
        <w:autoSpaceDE w:val="0"/>
        <w:autoSpaceDN w:val="0"/>
        <w:adjustRightInd w:val="0"/>
        <w:spacing w:after="120"/>
        <w:ind w:left="907"/>
      </w:pPr>
      <w:r w:rsidRPr="005C2A26">
        <w:rPr>
          <w:i/>
          <w:iCs/>
        </w:rPr>
        <w:t>For newborns:</w:t>
      </w:r>
      <w:r w:rsidRPr="005C2A26">
        <w:t xml:space="preserve">  </w:t>
      </w:r>
      <w:r>
        <w:t>C</w:t>
      </w:r>
      <w:r w:rsidRPr="005C2A26">
        <w:t xml:space="preserve">onfirm initial screen was completed, verify results, and follow up, as appropriate.  </w:t>
      </w:r>
    </w:p>
    <w:p w14:paraId="778DF175" w14:textId="77777777" w:rsidR="004F0AE5" w:rsidRPr="00DE3FE9" w:rsidRDefault="004F0AE5" w:rsidP="004F0AE5">
      <w:pPr>
        <w:autoSpaceDE w:val="0"/>
        <w:autoSpaceDN w:val="0"/>
        <w:adjustRightInd w:val="0"/>
        <w:spacing w:after="120"/>
        <w:ind w:left="907"/>
      </w:pPr>
      <w:r>
        <w:rPr>
          <w:i/>
          <w:iCs/>
        </w:rPr>
        <w:t xml:space="preserve">For ages three </w:t>
      </w:r>
      <w:r w:rsidRPr="005C2A26">
        <w:rPr>
          <w:i/>
          <w:iCs/>
        </w:rPr>
        <w:t xml:space="preserve">to </w:t>
      </w:r>
      <w:r>
        <w:rPr>
          <w:i/>
          <w:iCs/>
        </w:rPr>
        <w:t xml:space="preserve">five </w:t>
      </w:r>
      <w:r w:rsidRPr="005C2A26">
        <w:rPr>
          <w:i/>
          <w:iCs/>
        </w:rPr>
        <w:t xml:space="preserve">days </w:t>
      </w:r>
      <w:r>
        <w:rPr>
          <w:i/>
          <w:iCs/>
        </w:rPr>
        <w:t>to three</w:t>
      </w:r>
      <w:r w:rsidRPr="007C0E8B">
        <w:rPr>
          <w:i/>
          <w:iCs/>
        </w:rPr>
        <w:t xml:space="preserve"> months:  </w:t>
      </w:r>
      <w:r w:rsidRPr="007C0E8B">
        <w:t xml:space="preserve">Verify results of </w:t>
      </w:r>
      <w:r>
        <w:t xml:space="preserve">newborn </w:t>
      </w:r>
      <w:r w:rsidRPr="00DE3FE9">
        <w:t>hearing screening, and follow up, as appropriate.</w:t>
      </w:r>
    </w:p>
    <w:p w14:paraId="1B751B7A" w14:textId="77777777" w:rsidR="004F0AE5" w:rsidRPr="005C2A26" w:rsidRDefault="004F0AE5" w:rsidP="004F0AE5">
      <w:pPr>
        <w:autoSpaceDE w:val="0"/>
        <w:autoSpaceDN w:val="0"/>
        <w:adjustRightInd w:val="0"/>
        <w:spacing w:after="120"/>
        <w:ind w:left="907"/>
      </w:pPr>
      <w:r w:rsidRPr="00DE3FE9">
        <w:rPr>
          <w:i/>
          <w:iCs/>
        </w:rPr>
        <w:t xml:space="preserve">For ages </w:t>
      </w:r>
      <w:r>
        <w:rPr>
          <w:i/>
          <w:iCs/>
        </w:rPr>
        <w:t>four</w:t>
      </w:r>
      <w:r w:rsidRPr="00DE3FE9">
        <w:rPr>
          <w:i/>
          <w:iCs/>
        </w:rPr>
        <w:t xml:space="preserve"> </w:t>
      </w:r>
      <w:r w:rsidRPr="005C2A26">
        <w:rPr>
          <w:i/>
          <w:iCs/>
        </w:rPr>
        <w:t xml:space="preserve">months to </w:t>
      </w:r>
      <w:r>
        <w:rPr>
          <w:i/>
          <w:iCs/>
        </w:rPr>
        <w:t>three</w:t>
      </w:r>
      <w:r w:rsidRPr="005C2A26">
        <w:rPr>
          <w:i/>
          <w:iCs/>
        </w:rPr>
        <w:t xml:space="preserve"> years</w:t>
      </w:r>
      <w:r w:rsidRPr="005C2A26">
        <w:t>:  Perform risk assessment for hearing problems at each preventive visit.</w:t>
      </w:r>
    </w:p>
    <w:p w14:paraId="76ABE877" w14:textId="77777777" w:rsidR="004F0AE5" w:rsidRPr="005C2A26" w:rsidRDefault="004F0AE5" w:rsidP="004F0AE5">
      <w:pPr>
        <w:autoSpaceDE w:val="0"/>
        <w:autoSpaceDN w:val="0"/>
        <w:adjustRightInd w:val="0"/>
        <w:spacing w:after="120"/>
        <w:ind w:left="907"/>
      </w:pPr>
      <w:r w:rsidRPr="005C2A26">
        <w:rPr>
          <w:i/>
          <w:iCs/>
        </w:rPr>
        <w:t xml:space="preserve">For ages </w:t>
      </w:r>
      <w:r>
        <w:rPr>
          <w:i/>
          <w:iCs/>
        </w:rPr>
        <w:t>four</w:t>
      </w:r>
      <w:r w:rsidRPr="005C2A26">
        <w:rPr>
          <w:i/>
          <w:iCs/>
        </w:rPr>
        <w:t xml:space="preserve"> to 10 years:</w:t>
      </w:r>
      <w:r w:rsidRPr="005C2A26">
        <w:t xml:space="preserve">  Perform hearing screening at ages </w:t>
      </w:r>
      <w:r>
        <w:t>four</w:t>
      </w:r>
      <w:r w:rsidRPr="005C2A26">
        <w:t xml:space="preserve">, </w:t>
      </w:r>
      <w:r>
        <w:t>five</w:t>
      </w:r>
      <w:r w:rsidRPr="005C2A26">
        <w:t xml:space="preserve">, </w:t>
      </w:r>
      <w:r>
        <w:t>six</w:t>
      </w:r>
      <w:r w:rsidRPr="005C2A26">
        <w:t xml:space="preserve">, </w:t>
      </w:r>
      <w:r>
        <w:t>eight,</w:t>
      </w:r>
      <w:r w:rsidRPr="005C2A26">
        <w:t xml:space="preserve"> and 10 years.  </w:t>
      </w:r>
    </w:p>
    <w:p w14:paraId="3C021292" w14:textId="77777777" w:rsidR="004F0AE5" w:rsidRPr="005C2A26" w:rsidRDefault="004F0AE5" w:rsidP="004F0AE5">
      <w:pPr>
        <w:autoSpaceDE w:val="0"/>
        <w:autoSpaceDN w:val="0"/>
        <w:adjustRightInd w:val="0"/>
        <w:spacing w:after="120"/>
        <w:ind w:left="907"/>
      </w:pPr>
      <w:r w:rsidRPr="005C2A26">
        <w:rPr>
          <w:i/>
          <w:iCs/>
        </w:rPr>
        <w:t>For ages 11 to 21 years:</w:t>
      </w:r>
      <w:r w:rsidRPr="005C2A26">
        <w:t xml:space="preserve">  Screen with audiometry including 6,000 and 8,000 Hz high frequencies once between 11 and 14 years, once between 15 and 17 years, and once between 18 and 21 years</w:t>
      </w:r>
      <w:r>
        <w:t>.</w:t>
      </w:r>
    </w:p>
    <w:p w14:paraId="368F2FE6" w14:textId="77777777" w:rsidR="004F0AE5" w:rsidRPr="00C76705" w:rsidRDefault="004F0AE5" w:rsidP="004F0AE5">
      <w:pPr>
        <w:tabs>
          <w:tab w:val="left" w:pos="9810"/>
        </w:tabs>
        <w:spacing w:before="4"/>
        <w:ind w:right="10"/>
        <w:rPr>
          <w:b/>
          <w:bCs/>
        </w:rPr>
      </w:pPr>
    </w:p>
    <w:p w14:paraId="2E2D619F" w14:textId="77777777" w:rsidR="004F0AE5" w:rsidRPr="00D323E7" w:rsidRDefault="004F0AE5" w:rsidP="004F0AE5">
      <w:pPr>
        <w:pStyle w:val="ListParagraph"/>
        <w:numPr>
          <w:ilvl w:val="0"/>
          <w:numId w:val="7"/>
        </w:numPr>
        <w:tabs>
          <w:tab w:val="left" w:pos="9810"/>
        </w:tabs>
        <w:spacing w:after="0" w:line="240" w:lineRule="auto"/>
        <w:ind w:left="720" w:right="10" w:hanging="180"/>
        <w:rPr>
          <w:rFonts w:ascii="Times New Roman" w:hAnsi="Times New Roman"/>
          <w:b/>
          <w:bCs/>
        </w:rPr>
      </w:pPr>
      <w:r w:rsidRPr="00D323E7">
        <w:rPr>
          <w:rFonts w:ascii="Times New Roman" w:hAnsi="Times New Roman"/>
          <w:b/>
          <w:bCs/>
        </w:rPr>
        <w:t>DEVELOPMENTAL / BEHAVIORAL HEALTH</w:t>
      </w:r>
    </w:p>
    <w:p w14:paraId="1E06ED27" w14:textId="77777777" w:rsidR="004F0AE5" w:rsidRPr="007C3FDB" w:rsidRDefault="004F0AE5" w:rsidP="004F0AE5">
      <w:pPr>
        <w:spacing w:line="241" w:lineRule="auto"/>
        <w:ind w:left="116" w:right="237"/>
        <w:rPr>
          <w:b/>
          <w:bCs/>
          <w:sz w:val="16"/>
          <w:szCs w:val="16"/>
        </w:rPr>
      </w:pPr>
    </w:p>
    <w:p w14:paraId="0AC4A339" w14:textId="77777777" w:rsidR="004F0AE5" w:rsidRPr="00D323E7" w:rsidRDefault="004F0AE5" w:rsidP="004F0AE5">
      <w:pPr>
        <w:pStyle w:val="ListParagraph"/>
        <w:numPr>
          <w:ilvl w:val="0"/>
          <w:numId w:val="9"/>
        </w:numPr>
        <w:spacing w:after="0" w:line="241" w:lineRule="auto"/>
        <w:ind w:right="237"/>
        <w:rPr>
          <w:rFonts w:ascii="Times New Roman" w:hAnsi="Times New Roman"/>
          <w:b/>
        </w:rPr>
      </w:pPr>
      <w:r w:rsidRPr="00D323E7">
        <w:rPr>
          <w:rFonts w:ascii="Times New Roman" w:hAnsi="Times New Roman"/>
          <w:b/>
        </w:rPr>
        <w:t>Developmental Screening</w:t>
      </w:r>
    </w:p>
    <w:p w14:paraId="34B68212" w14:textId="77777777" w:rsidR="004F0AE5" w:rsidRDefault="004F0AE5" w:rsidP="004F0AE5">
      <w:pPr>
        <w:tabs>
          <w:tab w:val="left" w:pos="9810"/>
        </w:tabs>
        <w:spacing w:before="4"/>
        <w:ind w:left="900" w:right="10"/>
        <w:rPr>
          <w:bCs/>
        </w:rPr>
      </w:pPr>
      <w:r w:rsidRPr="00D323E7">
        <w:rPr>
          <w:bCs/>
        </w:rPr>
        <w:t>O</w:t>
      </w:r>
      <w:r w:rsidRPr="00DE3FE9">
        <w:rPr>
          <w:bCs/>
        </w:rPr>
        <w:t xml:space="preserve">ngoing surveillance is supplemented and strengthened by standardized developmental screening tests that may be used at certain visits (i.e., </w:t>
      </w:r>
      <w:r>
        <w:rPr>
          <w:bCs/>
        </w:rPr>
        <w:t>nine</w:t>
      </w:r>
      <w:r w:rsidRPr="00DE3FE9">
        <w:rPr>
          <w:bCs/>
        </w:rPr>
        <w:t xml:space="preserve"> </w:t>
      </w:r>
      <w:r w:rsidRPr="00D323E7">
        <w:rPr>
          <w:bCs/>
        </w:rPr>
        <w:t>m</w:t>
      </w:r>
      <w:r w:rsidRPr="00DE3FE9">
        <w:rPr>
          <w:bCs/>
        </w:rPr>
        <w:t>onth</w:t>
      </w:r>
      <w:r w:rsidRPr="00D323E7">
        <w:rPr>
          <w:bCs/>
        </w:rPr>
        <w:t>s</w:t>
      </w:r>
      <w:r w:rsidRPr="00DE3FE9">
        <w:rPr>
          <w:bCs/>
        </w:rPr>
        <w:t xml:space="preserve">, 18 </w:t>
      </w:r>
      <w:r w:rsidRPr="00D323E7">
        <w:rPr>
          <w:bCs/>
        </w:rPr>
        <w:t>m</w:t>
      </w:r>
      <w:r w:rsidRPr="00DE3FE9">
        <w:rPr>
          <w:bCs/>
        </w:rPr>
        <w:t>onths, and 30 months) and at other times at which concerns are identified.</w:t>
      </w:r>
    </w:p>
    <w:p w14:paraId="58A8C780" w14:textId="77777777" w:rsidR="004F0AE5" w:rsidRPr="004E42F9" w:rsidRDefault="004F0AE5" w:rsidP="004F0AE5">
      <w:pPr>
        <w:tabs>
          <w:tab w:val="left" w:pos="9810"/>
        </w:tabs>
        <w:spacing w:before="4"/>
        <w:ind w:left="900" w:right="10"/>
        <w:rPr>
          <w:bCs/>
          <w:sz w:val="16"/>
          <w:szCs w:val="16"/>
        </w:rPr>
      </w:pPr>
    </w:p>
    <w:p w14:paraId="5DFA66F8" w14:textId="77777777" w:rsidR="004F0AE5" w:rsidRDefault="004F0AE5" w:rsidP="004F0AE5">
      <w:pPr>
        <w:tabs>
          <w:tab w:val="left" w:pos="9810"/>
        </w:tabs>
        <w:spacing w:before="4"/>
        <w:ind w:left="900" w:right="10"/>
        <w:rPr>
          <w:bCs/>
        </w:rPr>
      </w:pPr>
      <w:r w:rsidRPr="00DE3FE9">
        <w:rPr>
          <w:bCs/>
        </w:rPr>
        <w:t xml:space="preserve">If concerns are identified, </w:t>
      </w:r>
      <w:r>
        <w:rPr>
          <w:bCs/>
        </w:rPr>
        <w:t xml:space="preserve">refer the </w:t>
      </w:r>
      <w:r w:rsidRPr="00DE3FE9">
        <w:rPr>
          <w:bCs/>
        </w:rPr>
        <w:t>child to the local Early Intervention Program of the Massachusetts Department of Public Health if they are age 0 to 30 months, and to the local public school system if they are above age 30 months. The Early Intervention Program, the local public school, or both will conduct assessments to determine eligibility and service needs.</w:t>
      </w:r>
      <w:r>
        <w:rPr>
          <w:bCs/>
        </w:rPr>
        <w:br w:type="page"/>
      </w:r>
    </w:p>
    <w:p w14:paraId="6A4D2064" w14:textId="77777777" w:rsidR="004F0AE5" w:rsidRPr="00D323E7" w:rsidRDefault="004F0AE5" w:rsidP="004F0AE5">
      <w:pPr>
        <w:pStyle w:val="ListParagraph"/>
        <w:numPr>
          <w:ilvl w:val="0"/>
          <w:numId w:val="9"/>
        </w:numPr>
        <w:spacing w:after="0" w:line="241" w:lineRule="auto"/>
        <w:ind w:right="237"/>
        <w:rPr>
          <w:rFonts w:ascii="Times New Roman" w:hAnsi="Times New Roman"/>
          <w:b/>
          <w:bCs/>
        </w:rPr>
      </w:pPr>
      <w:r w:rsidRPr="00D323E7">
        <w:rPr>
          <w:rFonts w:ascii="Times New Roman" w:hAnsi="Times New Roman"/>
          <w:b/>
          <w:bCs/>
        </w:rPr>
        <w:lastRenderedPageBreak/>
        <w:t>Autism Spectrum Disorder Screening</w:t>
      </w:r>
    </w:p>
    <w:p w14:paraId="2BE0968A" w14:textId="77777777" w:rsidR="004F0AE5" w:rsidRPr="00D323E7" w:rsidRDefault="004F0AE5" w:rsidP="004F0AE5">
      <w:pPr>
        <w:tabs>
          <w:tab w:val="left" w:pos="9810"/>
        </w:tabs>
        <w:spacing w:before="4"/>
        <w:ind w:left="900" w:right="10"/>
        <w:rPr>
          <w:bCs/>
        </w:rPr>
      </w:pPr>
      <w:r w:rsidRPr="00D323E7">
        <w:t>Screening using an autism-specific tool should occur at the 18-month and 24-month preventive healthcare visits.</w:t>
      </w:r>
    </w:p>
    <w:p w14:paraId="61FBE96C" w14:textId="77777777" w:rsidR="004F0AE5" w:rsidRPr="00DE3FE9" w:rsidRDefault="004F0AE5" w:rsidP="004F0AE5"/>
    <w:p w14:paraId="1836C468" w14:textId="77777777" w:rsidR="004F0AE5" w:rsidRPr="00D323E7" w:rsidRDefault="004F0AE5" w:rsidP="004F0AE5">
      <w:pPr>
        <w:pStyle w:val="ListParagraph"/>
        <w:numPr>
          <w:ilvl w:val="0"/>
          <w:numId w:val="9"/>
        </w:numPr>
        <w:spacing w:after="0" w:line="241" w:lineRule="auto"/>
        <w:ind w:right="237"/>
        <w:rPr>
          <w:rFonts w:ascii="Times New Roman" w:hAnsi="Times New Roman"/>
          <w:b/>
        </w:rPr>
      </w:pPr>
      <w:r w:rsidRPr="00D323E7">
        <w:rPr>
          <w:rFonts w:ascii="Times New Roman" w:hAnsi="Times New Roman"/>
          <w:b/>
        </w:rPr>
        <w:t>Developmental Surveillance</w:t>
      </w:r>
    </w:p>
    <w:p w14:paraId="08197A0A" w14:textId="77777777" w:rsidR="004F0AE5" w:rsidRPr="00D323E7" w:rsidRDefault="004F0AE5" w:rsidP="004F0AE5">
      <w:pPr>
        <w:tabs>
          <w:tab w:val="left" w:pos="9810"/>
        </w:tabs>
        <w:spacing w:before="4"/>
        <w:ind w:left="900" w:right="10"/>
      </w:pPr>
      <w:r w:rsidRPr="00D323E7">
        <w:t>Developmental surveillance should occur at each preventive healthcare visit from newborn to age 21</w:t>
      </w:r>
      <w:r>
        <w:t xml:space="preserve"> except at visits when developmental screening is being done</w:t>
      </w:r>
      <w:r w:rsidRPr="00D323E7">
        <w:t xml:space="preserve">. </w:t>
      </w:r>
      <w:r w:rsidRPr="005C2A26">
        <w:t xml:space="preserve">Comprehensive child development surveillance may </w:t>
      </w:r>
      <w:r w:rsidRPr="00D323E7">
        <w:t>include</w:t>
      </w:r>
    </w:p>
    <w:p w14:paraId="546B8435" w14:textId="77777777" w:rsidR="004F0AE5" w:rsidRPr="00D323E7" w:rsidRDefault="004F0AE5" w:rsidP="004F0AE5">
      <w:pPr>
        <w:pStyle w:val="ListParagraph"/>
        <w:numPr>
          <w:ilvl w:val="0"/>
          <w:numId w:val="10"/>
        </w:numPr>
        <w:tabs>
          <w:tab w:val="left" w:pos="9810"/>
        </w:tabs>
        <w:spacing w:before="4" w:after="0" w:line="240" w:lineRule="auto"/>
        <w:ind w:right="10"/>
        <w:rPr>
          <w:rFonts w:ascii="Times New Roman" w:hAnsi="Times New Roman"/>
        </w:rPr>
      </w:pPr>
      <w:r w:rsidRPr="00DE3FE9">
        <w:rPr>
          <w:rFonts w:ascii="Times New Roman" w:hAnsi="Times New Roman"/>
        </w:rPr>
        <w:t>Eliciting and attending to the parents’ concerns</w:t>
      </w:r>
      <w:r>
        <w:rPr>
          <w:rFonts w:ascii="Times New Roman" w:hAnsi="Times New Roman"/>
        </w:rPr>
        <w:t>;</w:t>
      </w:r>
    </w:p>
    <w:p w14:paraId="3BBBD665" w14:textId="77777777" w:rsidR="004F0AE5" w:rsidRPr="00D323E7" w:rsidRDefault="004F0AE5" w:rsidP="004F0AE5">
      <w:pPr>
        <w:pStyle w:val="ListParagraph"/>
        <w:numPr>
          <w:ilvl w:val="0"/>
          <w:numId w:val="10"/>
        </w:numPr>
        <w:tabs>
          <w:tab w:val="left" w:pos="9810"/>
        </w:tabs>
        <w:spacing w:before="4" w:after="0" w:line="240" w:lineRule="auto"/>
        <w:ind w:right="10"/>
        <w:rPr>
          <w:rFonts w:ascii="Times New Roman" w:hAnsi="Times New Roman"/>
        </w:rPr>
      </w:pPr>
      <w:r w:rsidRPr="00DE3FE9">
        <w:rPr>
          <w:rFonts w:ascii="Times New Roman" w:hAnsi="Times New Roman"/>
        </w:rPr>
        <w:t>Maintaining a developmental history</w:t>
      </w:r>
      <w:r>
        <w:rPr>
          <w:rFonts w:ascii="Times New Roman" w:hAnsi="Times New Roman"/>
        </w:rPr>
        <w:t>;</w:t>
      </w:r>
    </w:p>
    <w:p w14:paraId="301CC52C" w14:textId="77777777" w:rsidR="004F0AE5" w:rsidRPr="00D323E7" w:rsidRDefault="004F0AE5" w:rsidP="004F0AE5">
      <w:pPr>
        <w:pStyle w:val="ListParagraph"/>
        <w:numPr>
          <w:ilvl w:val="0"/>
          <w:numId w:val="10"/>
        </w:numPr>
        <w:tabs>
          <w:tab w:val="left" w:pos="9810"/>
        </w:tabs>
        <w:spacing w:before="4" w:after="0" w:line="240" w:lineRule="auto"/>
        <w:ind w:right="10"/>
        <w:rPr>
          <w:rFonts w:ascii="Times New Roman" w:hAnsi="Times New Roman"/>
        </w:rPr>
      </w:pPr>
      <w:r w:rsidRPr="005C2A26">
        <w:rPr>
          <w:rFonts w:ascii="Times New Roman" w:hAnsi="Times New Roman"/>
        </w:rPr>
        <w:t>Making accurate and informed observations of the child</w:t>
      </w:r>
      <w:r>
        <w:rPr>
          <w:rFonts w:ascii="Times New Roman" w:hAnsi="Times New Roman"/>
        </w:rPr>
        <w:t>;</w:t>
      </w:r>
    </w:p>
    <w:p w14:paraId="5AC4F2B6" w14:textId="77777777" w:rsidR="004F0AE5" w:rsidRPr="00D323E7" w:rsidRDefault="004F0AE5" w:rsidP="004F0AE5">
      <w:pPr>
        <w:pStyle w:val="ListParagraph"/>
        <w:numPr>
          <w:ilvl w:val="0"/>
          <w:numId w:val="10"/>
        </w:numPr>
        <w:tabs>
          <w:tab w:val="left" w:pos="9810"/>
        </w:tabs>
        <w:spacing w:before="4" w:after="0" w:line="240" w:lineRule="auto"/>
        <w:ind w:right="10"/>
        <w:rPr>
          <w:rFonts w:ascii="Times New Roman" w:hAnsi="Times New Roman"/>
        </w:rPr>
      </w:pPr>
      <w:r w:rsidRPr="005C2A26">
        <w:rPr>
          <w:rFonts w:ascii="Times New Roman" w:hAnsi="Times New Roman"/>
        </w:rPr>
        <w:t>Identifying the presence of risk and protective factors</w:t>
      </w:r>
      <w:r>
        <w:rPr>
          <w:rFonts w:ascii="Times New Roman" w:hAnsi="Times New Roman"/>
        </w:rPr>
        <w:t>;</w:t>
      </w:r>
    </w:p>
    <w:p w14:paraId="50A02621" w14:textId="77777777" w:rsidR="004F0AE5" w:rsidRPr="00D323E7" w:rsidRDefault="004F0AE5" w:rsidP="004F0AE5">
      <w:pPr>
        <w:pStyle w:val="ListParagraph"/>
        <w:numPr>
          <w:ilvl w:val="0"/>
          <w:numId w:val="10"/>
        </w:numPr>
        <w:tabs>
          <w:tab w:val="left" w:pos="9810"/>
        </w:tabs>
        <w:spacing w:before="4" w:after="0" w:line="240" w:lineRule="auto"/>
        <w:ind w:right="10"/>
        <w:rPr>
          <w:rFonts w:ascii="Times New Roman" w:hAnsi="Times New Roman"/>
        </w:rPr>
      </w:pPr>
      <w:r w:rsidRPr="00DE3FE9">
        <w:rPr>
          <w:rFonts w:ascii="Times New Roman" w:hAnsi="Times New Roman"/>
        </w:rPr>
        <w:t>Periodically using screening tests</w:t>
      </w:r>
      <w:r>
        <w:rPr>
          <w:rFonts w:ascii="Times New Roman" w:hAnsi="Times New Roman"/>
        </w:rPr>
        <w:t>; and</w:t>
      </w:r>
    </w:p>
    <w:p w14:paraId="2AE39D0D" w14:textId="77777777" w:rsidR="004F0AE5" w:rsidRPr="00D323E7" w:rsidRDefault="004F0AE5" w:rsidP="004F0AE5">
      <w:pPr>
        <w:pStyle w:val="ListParagraph"/>
        <w:numPr>
          <w:ilvl w:val="0"/>
          <w:numId w:val="10"/>
        </w:numPr>
        <w:tabs>
          <w:tab w:val="left" w:pos="9810"/>
        </w:tabs>
        <w:spacing w:before="4" w:after="0" w:line="240" w:lineRule="auto"/>
        <w:ind w:right="10"/>
        <w:rPr>
          <w:rFonts w:ascii="Times New Roman" w:hAnsi="Times New Roman"/>
        </w:rPr>
      </w:pPr>
      <w:r w:rsidRPr="005C2A26">
        <w:rPr>
          <w:rFonts w:ascii="Times New Roman" w:hAnsi="Times New Roman"/>
        </w:rPr>
        <w:t>Documenting the process and findings</w:t>
      </w:r>
      <w:r>
        <w:rPr>
          <w:rFonts w:ascii="Times New Roman" w:hAnsi="Times New Roman"/>
        </w:rPr>
        <w:t>.</w:t>
      </w:r>
    </w:p>
    <w:p w14:paraId="790CC620" w14:textId="77777777" w:rsidR="004F0AE5" w:rsidRPr="00D323E7" w:rsidRDefault="004F0AE5" w:rsidP="004F0AE5">
      <w:pPr>
        <w:pStyle w:val="ListParagraph"/>
        <w:tabs>
          <w:tab w:val="left" w:pos="9810"/>
        </w:tabs>
        <w:spacing w:before="4" w:after="0" w:line="240" w:lineRule="auto"/>
        <w:ind w:left="1620" w:right="10"/>
        <w:rPr>
          <w:rFonts w:ascii="Times New Roman" w:hAnsi="Times New Roman"/>
        </w:rPr>
      </w:pPr>
    </w:p>
    <w:p w14:paraId="7A19A19F" w14:textId="77777777" w:rsidR="004F0AE5" w:rsidRPr="005C2A26" w:rsidRDefault="004F0AE5" w:rsidP="004F0AE5">
      <w:pPr>
        <w:pStyle w:val="ListParagraph"/>
        <w:numPr>
          <w:ilvl w:val="0"/>
          <w:numId w:val="9"/>
        </w:numPr>
        <w:spacing w:after="0" w:line="241" w:lineRule="auto"/>
        <w:ind w:right="237"/>
        <w:rPr>
          <w:rFonts w:ascii="Times New Roman" w:hAnsi="Times New Roman"/>
          <w:b/>
          <w:bCs/>
        </w:rPr>
      </w:pPr>
      <w:r w:rsidRPr="00D323E7">
        <w:rPr>
          <w:rFonts w:ascii="Times New Roman" w:hAnsi="Times New Roman"/>
          <w:b/>
          <w:bCs/>
        </w:rPr>
        <w:t xml:space="preserve">Psychosocial </w:t>
      </w:r>
      <w:r>
        <w:rPr>
          <w:rFonts w:ascii="Times New Roman" w:hAnsi="Times New Roman"/>
          <w:b/>
          <w:bCs/>
        </w:rPr>
        <w:t>and</w:t>
      </w:r>
      <w:r w:rsidRPr="00D323E7">
        <w:rPr>
          <w:rFonts w:ascii="Times New Roman" w:hAnsi="Times New Roman"/>
          <w:b/>
          <w:bCs/>
        </w:rPr>
        <w:t xml:space="preserve"> Behavioral Assessment</w:t>
      </w:r>
    </w:p>
    <w:p w14:paraId="445A5576" w14:textId="77777777" w:rsidR="004F0AE5" w:rsidRPr="00D323E7" w:rsidRDefault="004F0AE5" w:rsidP="004F0AE5">
      <w:pPr>
        <w:spacing w:line="241" w:lineRule="auto"/>
        <w:ind w:left="900" w:right="237"/>
      </w:pPr>
      <w:r w:rsidRPr="00D323E7">
        <w:t xml:space="preserve">Psychosocial and behavioral health assessment should occur at every preventive healthcare visit, including initial and periodic visits, from newborn to 21 years, with standardized behavioral health screening performed if there are concerns. In performing behavioral health screening, providers </w:t>
      </w:r>
      <w:r>
        <w:t>should</w:t>
      </w:r>
      <w:r w:rsidRPr="00D323E7">
        <w:t xml:space="preserve"> use one of the clinically appropriate tools from the following list of standardized behavioral health screening tools</w:t>
      </w:r>
      <w:r>
        <w:t>:</w:t>
      </w:r>
    </w:p>
    <w:p w14:paraId="588D5DB7" w14:textId="77777777" w:rsidR="004F0AE5" w:rsidRPr="00D918E7" w:rsidRDefault="004F0AE5" w:rsidP="004F0AE5">
      <w:pPr>
        <w:spacing w:line="252" w:lineRule="exact"/>
        <w:ind w:left="116" w:right="-20"/>
      </w:pPr>
    </w:p>
    <w:p w14:paraId="42512B1E" w14:textId="77777777" w:rsidR="004F0AE5" w:rsidRPr="00D323E7" w:rsidRDefault="004F0AE5" w:rsidP="004F0AE5">
      <w:pPr>
        <w:pStyle w:val="ListParagraph"/>
        <w:numPr>
          <w:ilvl w:val="0"/>
          <w:numId w:val="17"/>
        </w:numPr>
        <w:tabs>
          <w:tab w:val="left" w:pos="9810"/>
        </w:tabs>
        <w:spacing w:before="4" w:after="120" w:line="240" w:lineRule="auto"/>
        <w:ind w:right="10"/>
        <w:contextualSpacing w:val="0"/>
        <w:rPr>
          <w:rFonts w:ascii="Times New Roman" w:hAnsi="Times New Roman"/>
          <w:lang w:val="fr-FR"/>
        </w:rPr>
      </w:pPr>
      <w:r w:rsidRPr="00D323E7">
        <w:rPr>
          <w:rFonts w:ascii="Times New Roman" w:hAnsi="Times New Roman"/>
          <w:lang w:val="fr-FR"/>
        </w:rPr>
        <w:t>Ages and Stages Questionnaires (ASQ: SE)</w:t>
      </w:r>
      <w:r w:rsidRPr="00D323E7">
        <w:rPr>
          <w:rFonts w:ascii="Times New Roman" w:eastAsia="Arial" w:hAnsi="Times New Roman"/>
        </w:rPr>
        <w:t xml:space="preserve"> and the Ages and Stages Questionnaires, Second Edition (ASQ: SE-2)</w:t>
      </w:r>
      <w:r w:rsidRPr="00D323E7">
        <w:rPr>
          <w:rFonts w:ascii="Times New Roman" w:hAnsi="Times New Roman"/>
          <w:lang w:val="fr-FR"/>
        </w:rPr>
        <w:t>;</w:t>
      </w:r>
    </w:p>
    <w:p w14:paraId="3EEFFE7B" w14:textId="77777777" w:rsidR="004F0AE5" w:rsidRPr="00575B5F" w:rsidRDefault="004F0AE5" w:rsidP="004F0AE5">
      <w:pPr>
        <w:pStyle w:val="ListParagraph"/>
        <w:numPr>
          <w:ilvl w:val="0"/>
          <w:numId w:val="17"/>
        </w:numPr>
        <w:tabs>
          <w:tab w:val="left" w:pos="9810"/>
        </w:tabs>
        <w:spacing w:before="4" w:after="120" w:line="240" w:lineRule="auto"/>
        <w:ind w:right="10"/>
        <w:contextualSpacing w:val="0"/>
        <w:rPr>
          <w:rFonts w:ascii="Times New Roman" w:hAnsi="Times New Roman"/>
        </w:rPr>
      </w:pPr>
      <w:r w:rsidRPr="00D323E7">
        <w:rPr>
          <w:rFonts w:ascii="Times New Roman" w:hAnsi="Times New Roman"/>
        </w:rPr>
        <w:t xml:space="preserve">Brief Infant-Toddler Social and Emotional Assessment (BITSEA); </w:t>
      </w:r>
    </w:p>
    <w:p w14:paraId="180293B2" w14:textId="77777777" w:rsidR="004F0AE5" w:rsidRPr="00D323E7" w:rsidRDefault="004F0AE5" w:rsidP="004F0AE5">
      <w:pPr>
        <w:pStyle w:val="ListParagraph"/>
        <w:numPr>
          <w:ilvl w:val="0"/>
          <w:numId w:val="17"/>
        </w:numPr>
        <w:tabs>
          <w:tab w:val="left" w:pos="9810"/>
        </w:tabs>
        <w:spacing w:before="4" w:after="120" w:line="240" w:lineRule="auto"/>
        <w:ind w:right="10"/>
        <w:contextualSpacing w:val="0"/>
        <w:rPr>
          <w:rFonts w:ascii="Times New Roman" w:hAnsi="Times New Roman"/>
        </w:rPr>
      </w:pPr>
      <w:r w:rsidRPr="00D323E7">
        <w:rPr>
          <w:rFonts w:ascii="Times New Roman" w:hAnsi="Times New Roman"/>
        </w:rPr>
        <w:t xml:space="preserve">Car, Relax, Alone, Forget, Friends, Trouble (CRAFFT) </w:t>
      </w:r>
      <w:r w:rsidRPr="00D323E7">
        <w:rPr>
          <w:rFonts w:ascii="Times New Roman" w:eastAsia="Arial" w:hAnsi="Times New Roman"/>
        </w:rPr>
        <w:t>and the Car, Relax, Alone, Forget, Friends, Trouble 2.1 (CRAFFT 2.1)</w:t>
      </w:r>
      <w:r w:rsidRPr="00D323E7">
        <w:rPr>
          <w:rFonts w:ascii="Times New Roman" w:hAnsi="Times New Roman"/>
        </w:rPr>
        <w:t>;</w:t>
      </w:r>
    </w:p>
    <w:p w14:paraId="35E8D36E" w14:textId="77777777" w:rsidR="004F0AE5" w:rsidRPr="00D323E7" w:rsidRDefault="004F0AE5" w:rsidP="004F0AE5">
      <w:pPr>
        <w:pStyle w:val="ListParagraph"/>
        <w:numPr>
          <w:ilvl w:val="0"/>
          <w:numId w:val="17"/>
        </w:numPr>
        <w:tabs>
          <w:tab w:val="left" w:pos="9810"/>
        </w:tabs>
        <w:spacing w:before="4" w:after="120" w:line="240" w:lineRule="auto"/>
        <w:ind w:right="10"/>
        <w:contextualSpacing w:val="0"/>
        <w:rPr>
          <w:rFonts w:ascii="Times New Roman" w:hAnsi="Times New Roman"/>
        </w:rPr>
      </w:pPr>
      <w:r w:rsidRPr="00D323E7">
        <w:rPr>
          <w:rFonts w:ascii="Times New Roman" w:hAnsi="Times New Roman"/>
        </w:rPr>
        <w:t>Early Childhood Screening Assessment (ECSA);</w:t>
      </w:r>
    </w:p>
    <w:p w14:paraId="4003EC8A" w14:textId="77777777" w:rsidR="004F0AE5" w:rsidRPr="00D323E7" w:rsidRDefault="004F0AE5" w:rsidP="004F0AE5">
      <w:pPr>
        <w:pStyle w:val="ListParagraph"/>
        <w:numPr>
          <w:ilvl w:val="0"/>
          <w:numId w:val="17"/>
        </w:numPr>
        <w:tabs>
          <w:tab w:val="left" w:pos="9810"/>
        </w:tabs>
        <w:spacing w:before="4" w:after="120" w:line="240" w:lineRule="auto"/>
        <w:ind w:right="10"/>
        <w:contextualSpacing w:val="0"/>
        <w:rPr>
          <w:rFonts w:ascii="Times New Roman" w:hAnsi="Times New Roman"/>
        </w:rPr>
      </w:pPr>
      <w:r w:rsidRPr="00D323E7">
        <w:rPr>
          <w:rFonts w:ascii="Times New Roman" w:hAnsi="Times New Roman"/>
        </w:rPr>
        <w:t xml:space="preserve">Edinburgh Postnatal Depression Scale (EPDS); </w:t>
      </w:r>
    </w:p>
    <w:p w14:paraId="71965235" w14:textId="77777777" w:rsidR="004F0AE5" w:rsidRPr="00D323E7" w:rsidRDefault="004F0AE5" w:rsidP="004F0AE5">
      <w:pPr>
        <w:pStyle w:val="ListParagraph"/>
        <w:numPr>
          <w:ilvl w:val="0"/>
          <w:numId w:val="17"/>
        </w:numPr>
        <w:tabs>
          <w:tab w:val="left" w:pos="9810"/>
        </w:tabs>
        <w:spacing w:before="4" w:after="120" w:line="240" w:lineRule="auto"/>
        <w:ind w:right="10"/>
        <w:contextualSpacing w:val="0"/>
        <w:rPr>
          <w:rFonts w:ascii="Times New Roman" w:hAnsi="Times New Roman"/>
        </w:rPr>
      </w:pPr>
      <w:r w:rsidRPr="00D323E7">
        <w:rPr>
          <w:rFonts w:ascii="Times New Roman" w:hAnsi="Times New Roman"/>
        </w:rPr>
        <w:t>Modified Checklist for Autism in Toddlers - Revised (M-CHAT-R);</w:t>
      </w:r>
    </w:p>
    <w:p w14:paraId="2EDCA08F" w14:textId="77777777" w:rsidR="004F0AE5" w:rsidRPr="00D323E7" w:rsidRDefault="004F0AE5" w:rsidP="004F0AE5">
      <w:pPr>
        <w:pStyle w:val="ListParagraph"/>
        <w:numPr>
          <w:ilvl w:val="0"/>
          <w:numId w:val="17"/>
        </w:numPr>
        <w:tabs>
          <w:tab w:val="left" w:pos="9810"/>
        </w:tabs>
        <w:spacing w:before="4" w:after="120" w:line="240" w:lineRule="auto"/>
        <w:ind w:right="10"/>
        <w:contextualSpacing w:val="0"/>
        <w:rPr>
          <w:rFonts w:ascii="Times New Roman" w:hAnsi="Times New Roman"/>
        </w:rPr>
      </w:pPr>
      <w:r w:rsidRPr="00D323E7">
        <w:rPr>
          <w:rFonts w:ascii="Times New Roman" w:hAnsi="Times New Roman"/>
        </w:rPr>
        <w:t xml:space="preserve">Modified Checklist for Autism in Toddlers - Revised with Follow-up (M-CHAT-R/F); </w:t>
      </w:r>
    </w:p>
    <w:p w14:paraId="6108579A" w14:textId="77777777" w:rsidR="004F0AE5" w:rsidRPr="00D323E7" w:rsidRDefault="004F0AE5" w:rsidP="004F0AE5">
      <w:pPr>
        <w:pStyle w:val="ListParagraph"/>
        <w:numPr>
          <w:ilvl w:val="0"/>
          <w:numId w:val="17"/>
        </w:numPr>
        <w:tabs>
          <w:tab w:val="left" w:pos="9810"/>
        </w:tabs>
        <w:spacing w:before="4" w:after="120" w:line="240" w:lineRule="auto"/>
        <w:ind w:right="10"/>
        <w:contextualSpacing w:val="0"/>
        <w:rPr>
          <w:rFonts w:ascii="Times New Roman" w:hAnsi="Times New Roman"/>
        </w:rPr>
      </w:pPr>
      <w:r w:rsidRPr="00D323E7">
        <w:rPr>
          <w:rFonts w:ascii="Times New Roman" w:hAnsi="Times New Roman"/>
        </w:rPr>
        <w:t>Parents’ Evaluation of Developmental Status (PEDS);</w:t>
      </w:r>
    </w:p>
    <w:p w14:paraId="18159DFE" w14:textId="77777777" w:rsidR="004F0AE5" w:rsidRPr="00D323E7" w:rsidRDefault="004F0AE5" w:rsidP="004F0AE5">
      <w:pPr>
        <w:pStyle w:val="ListParagraph"/>
        <w:numPr>
          <w:ilvl w:val="0"/>
          <w:numId w:val="17"/>
        </w:numPr>
        <w:tabs>
          <w:tab w:val="left" w:pos="9810"/>
        </w:tabs>
        <w:spacing w:before="4" w:after="120" w:line="240" w:lineRule="auto"/>
        <w:ind w:right="10"/>
        <w:contextualSpacing w:val="0"/>
        <w:rPr>
          <w:rFonts w:ascii="Times New Roman" w:hAnsi="Times New Roman"/>
        </w:rPr>
      </w:pPr>
      <w:r w:rsidRPr="00D323E7">
        <w:rPr>
          <w:rFonts w:ascii="Times New Roman" w:hAnsi="Times New Roman"/>
        </w:rPr>
        <w:t>Patient Health Questionnaire-9 (PHQ-9);</w:t>
      </w:r>
    </w:p>
    <w:p w14:paraId="105AD418" w14:textId="77777777" w:rsidR="004F0AE5" w:rsidRPr="00D323E7" w:rsidRDefault="004F0AE5" w:rsidP="004F0AE5">
      <w:pPr>
        <w:pStyle w:val="ListParagraph"/>
        <w:numPr>
          <w:ilvl w:val="0"/>
          <w:numId w:val="17"/>
        </w:numPr>
        <w:spacing w:after="120" w:line="252" w:lineRule="exact"/>
        <w:contextualSpacing w:val="0"/>
        <w:rPr>
          <w:rFonts w:ascii="Times New Roman" w:eastAsia="Arial" w:hAnsi="Times New Roman"/>
        </w:rPr>
      </w:pPr>
      <w:r w:rsidRPr="00D323E7">
        <w:rPr>
          <w:rFonts w:ascii="Times New Roman" w:eastAsia="Arial" w:hAnsi="Times New Roman"/>
        </w:rPr>
        <w:t>Patient Health Questionnaire-9 Modified for Adolescents (PHQ-9 Modified);</w:t>
      </w:r>
    </w:p>
    <w:p w14:paraId="078766C0" w14:textId="77777777" w:rsidR="004F0AE5" w:rsidRPr="00D323E7" w:rsidRDefault="004F0AE5" w:rsidP="004F0AE5">
      <w:pPr>
        <w:pStyle w:val="ListParagraph"/>
        <w:numPr>
          <w:ilvl w:val="0"/>
          <w:numId w:val="17"/>
        </w:numPr>
        <w:spacing w:after="120" w:line="252" w:lineRule="exact"/>
        <w:contextualSpacing w:val="0"/>
        <w:rPr>
          <w:rFonts w:ascii="Times New Roman" w:eastAsia="Arial" w:hAnsi="Times New Roman"/>
        </w:rPr>
      </w:pPr>
      <w:r w:rsidRPr="00D323E7">
        <w:rPr>
          <w:rFonts w:ascii="Times New Roman" w:hAnsi="Times New Roman"/>
        </w:rPr>
        <w:t xml:space="preserve">Pediatric Symptom Checklist (PSC-35), Pediatric Symptom Checklist (PSC-17), and Pediatric Symptom Checklist-Youth Report (PSC-Y); </w:t>
      </w:r>
    </w:p>
    <w:p w14:paraId="707D98E8" w14:textId="77777777" w:rsidR="004F0AE5" w:rsidRPr="00D323E7" w:rsidRDefault="004F0AE5" w:rsidP="004F0AE5">
      <w:pPr>
        <w:pStyle w:val="ListParagraph"/>
        <w:numPr>
          <w:ilvl w:val="0"/>
          <w:numId w:val="17"/>
        </w:numPr>
        <w:tabs>
          <w:tab w:val="left" w:pos="9810"/>
        </w:tabs>
        <w:spacing w:before="4" w:after="120" w:line="240" w:lineRule="auto"/>
        <w:ind w:right="10"/>
        <w:contextualSpacing w:val="0"/>
        <w:rPr>
          <w:rFonts w:ascii="Times New Roman" w:hAnsi="Times New Roman"/>
        </w:rPr>
      </w:pPr>
      <w:r w:rsidRPr="00D323E7">
        <w:rPr>
          <w:rFonts w:ascii="Times New Roman" w:hAnsi="Times New Roman"/>
        </w:rPr>
        <w:t>Strengths and Difficulties Questionnaire (SDQ); and</w:t>
      </w:r>
    </w:p>
    <w:p w14:paraId="1D5FEF39" w14:textId="77777777" w:rsidR="004F0AE5" w:rsidRPr="00D323E7" w:rsidRDefault="004F0AE5" w:rsidP="004F0AE5">
      <w:pPr>
        <w:pStyle w:val="ListParagraph"/>
        <w:numPr>
          <w:ilvl w:val="0"/>
          <w:numId w:val="17"/>
        </w:numPr>
        <w:tabs>
          <w:tab w:val="left" w:pos="9810"/>
        </w:tabs>
        <w:spacing w:before="4" w:after="0" w:line="240" w:lineRule="auto"/>
        <w:ind w:right="10"/>
        <w:rPr>
          <w:rFonts w:ascii="Times New Roman" w:hAnsi="Times New Roman"/>
        </w:rPr>
      </w:pPr>
      <w:r w:rsidRPr="00D323E7">
        <w:rPr>
          <w:rFonts w:ascii="Times New Roman" w:hAnsi="Times New Roman"/>
        </w:rPr>
        <w:t>Survey of Well-being of Young Children (SWYC) and Survey of Well-being of Young Children–MA (SWYC-MA).</w:t>
      </w:r>
    </w:p>
    <w:p w14:paraId="046929C3" w14:textId="77777777" w:rsidR="004F0AE5" w:rsidRPr="00D323E7" w:rsidRDefault="004F0AE5" w:rsidP="004F0AE5">
      <w:pPr>
        <w:spacing w:line="241" w:lineRule="auto"/>
        <w:ind w:left="720" w:right="237"/>
        <w:rPr>
          <w:bCs/>
        </w:rPr>
      </w:pPr>
    </w:p>
    <w:p w14:paraId="5173DF54" w14:textId="77777777" w:rsidR="004F0AE5" w:rsidRDefault="004F0AE5" w:rsidP="004F0AE5">
      <w:pPr>
        <w:spacing w:line="241" w:lineRule="auto"/>
        <w:ind w:left="900" w:right="237"/>
        <w:rPr>
          <w:bCs/>
        </w:rPr>
      </w:pPr>
      <w:r>
        <w:rPr>
          <w:bCs/>
        </w:rPr>
        <w:br w:type="page"/>
      </w:r>
    </w:p>
    <w:p w14:paraId="654B69E9" w14:textId="77777777" w:rsidR="004F0AE5" w:rsidRPr="00D323E7" w:rsidRDefault="004F0AE5" w:rsidP="004F0AE5">
      <w:pPr>
        <w:spacing w:line="241" w:lineRule="auto"/>
        <w:ind w:left="900" w:right="237"/>
        <w:rPr>
          <w:bCs/>
        </w:rPr>
      </w:pPr>
      <w:r w:rsidRPr="00D323E7">
        <w:rPr>
          <w:bCs/>
        </w:rPr>
        <w:lastRenderedPageBreak/>
        <w:t>If there is evidence of a</w:t>
      </w:r>
      <w:r>
        <w:rPr>
          <w:bCs/>
        </w:rPr>
        <w:t xml:space="preserve"> psychosocial or</w:t>
      </w:r>
      <w:r w:rsidRPr="00D323E7">
        <w:rPr>
          <w:bCs/>
        </w:rPr>
        <w:t xml:space="preserve"> behavioral health concern or need for further assessment, the provider should offer the necessary behavioral health services or make a referral to another provider who can provide them. To determine which providers may be available to provide the needed behavioral health services and how to use out-of-network providers, if necessary, contact the MassHealth Customer Service Center at (800) 841-2900 (TTY: (800) 497-4648) or the member’s health plan.</w:t>
      </w:r>
    </w:p>
    <w:p w14:paraId="192B0C07" w14:textId="77777777" w:rsidR="004F0AE5" w:rsidRPr="002957CC" w:rsidRDefault="004F0AE5" w:rsidP="004F0AE5">
      <w:pPr>
        <w:spacing w:line="252" w:lineRule="exact"/>
        <w:ind w:left="296" w:right="-20"/>
        <w:rPr>
          <w:sz w:val="16"/>
          <w:szCs w:val="16"/>
        </w:rPr>
      </w:pPr>
    </w:p>
    <w:p w14:paraId="2379301A" w14:textId="77777777" w:rsidR="004F0AE5" w:rsidRPr="00D323E7" w:rsidRDefault="004F0AE5" w:rsidP="004F0AE5">
      <w:pPr>
        <w:spacing w:line="241" w:lineRule="auto"/>
        <w:ind w:left="900" w:right="237"/>
        <w:rPr>
          <w:bCs/>
        </w:rPr>
      </w:pPr>
      <w:r w:rsidRPr="00D323E7">
        <w:rPr>
          <w:bCs/>
        </w:rPr>
        <w:t>Psychosocial</w:t>
      </w:r>
      <w:r>
        <w:rPr>
          <w:bCs/>
        </w:rPr>
        <w:t xml:space="preserve"> and behavioral health</w:t>
      </w:r>
      <w:r w:rsidRPr="00D323E7">
        <w:rPr>
          <w:bCs/>
        </w:rPr>
        <w:t xml:space="preserve"> assessments should include issues such as food insecurity, domestic violence, substance use, housing situations, and other </w:t>
      </w:r>
      <w:r>
        <w:rPr>
          <w:bCs/>
        </w:rPr>
        <w:t>matters</w:t>
      </w:r>
      <w:r w:rsidRPr="00D323E7">
        <w:rPr>
          <w:bCs/>
        </w:rPr>
        <w:t xml:space="preserve"> that impact child and family health. </w:t>
      </w:r>
    </w:p>
    <w:p w14:paraId="7B371AD3" w14:textId="77777777" w:rsidR="004F0AE5" w:rsidRPr="002957CC" w:rsidRDefault="004F0AE5" w:rsidP="004F0AE5">
      <w:pPr>
        <w:spacing w:line="241" w:lineRule="auto"/>
        <w:ind w:right="237"/>
        <w:rPr>
          <w:bCs/>
          <w:sz w:val="16"/>
          <w:szCs w:val="16"/>
          <w:vertAlign w:val="subscript"/>
        </w:rPr>
      </w:pPr>
    </w:p>
    <w:p w14:paraId="0C0D1880" w14:textId="77777777" w:rsidR="004F0AE5" w:rsidRPr="00D323E7" w:rsidRDefault="004F0AE5" w:rsidP="004F0AE5">
      <w:pPr>
        <w:pStyle w:val="ListParagraph"/>
        <w:numPr>
          <w:ilvl w:val="0"/>
          <w:numId w:val="9"/>
        </w:numPr>
        <w:spacing w:after="0" w:line="241" w:lineRule="auto"/>
        <w:ind w:right="237"/>
        <w:rPr>
          <w:rFonts w:ascii="Times New Roman" w:hAnsi="Times New Roman"/>
          <w:b/>
          <w:bCs/>
        </w:rPr>
      </w:pPr>
      <w:r w:rsidRPr="00D323E7">
        <w:rPr>
          <w:rFonts w:ascii="Times New Roman" w:hAnsi="Times New Roman"/>
          <w:b/>
        </w:rPr>
        <w:t>Tobacco</w:t>
      </w:r>
      <w:r w:rsidRPr="00D323E7">
        <w:rPr>
          <w:rFonts w:ascii="Times New Roman" w:hAnsi="Times New Roman"/>
          <w:b/>
          <w:bCs/>
        </w:rPr>
        <w:t>, Alcohol</w:t>
      </w:r>
      <w:r>
        <w:rPr>
          <w:rFonts w:ascii="Times New Roman" w:hAnsi="Times New Roman"/>
          <w:b/>
          <w:bCs/>
        </w:rPr>
        <w:t>,</w:t>
      </w:r>
      <w:r w:rsidRPr="00D323E7">
        <w:rPr>
          <w:rFonts w:ascii="Times New Roman" w:hAnsi="Times New Roman"/>
          <w:b/>
          <w:bCs/>
        </w:rPr>
        <w:t xml:space="preserve"> </w:t>
      </w:r>
      <w:r>
        <w:rPr>
          <w:rFonts w:ascii="Times New Roman" w:hAnsi="Times New Roman"/>
          <w:b/>
          <w:bCs/>
        </w:rPr>
        <w:t xml:space="preserve">and </w:t>
      </w:r>
      <w:r w:rsidRPr="00D323E7">
        <w:rPr>
          <w:rFonts w:ascii="Times New Roman" w:hAnsi="Times New Roman"/>
          <w:b/>
          <w:bCs/>
        </w:rPr>
        <w:t>Drug Use Assessment</w:t>
      </w:r>
    </w:p>
    <w:p w14:paraId="6D71A61D" w14:textId="77777777" w:rsidR="004F0AE5" w:rsidRPr="00D323E7" w:rsidRDefault="004F0AE5" w:rsidP="004F0AE5">
      <w:pPr>
        <w:spacing w:line="241" w:lineRule="auto"/>
        <w:ind w:left="900" w:right="237"/>
        <w:rPr>
          <w:bCs/>
        </w:rPr>
      </w:pPr>
      <w:r w:rsidRPr="00D323E7">
        <w:rPr>
          <w:bCs/>
        </w:rPr>
        <w:t xml:space="preserve">Risk assessment for tobacco, alcohol, and drug use </w:t>
      </w:r>
      <w:r>
        <w:rPr>
          <w:bCs/>
        </w:rPr>
        <w:t>should</w:t>
      </w:r>
      <w:r w:rsidRPr="00D323E7">
        <w:rPr>
          <w:bCs/>
        </w:rPr>
        <w:t xml:space="preserve"> be performed at every preventive healthcare visit from 11 years to 21 years.</w:t>
      </w:r>
    </w:p>
    <w:p w14:paraId="3BFE888B" w14:textId="77777777" w:rsidR="004F0AE5" w:rsidRPr="002957CC" w:rsidRDefault="004F0AE5" w:rsidP="004F0AE5">
      <w:pPr>
        <w:spacing w:line="241" w:lineRule="auto"/>
        <w:ind w:left="900" w:right="237"/>
        <w:rPr>
          <w:bCs/>
          <w:sz w:val="16"/>
          <w:szCs w:val="16"/>
        </w:rPr>
      </w:pPr>
    </w:p>
    <w:p w14:paraId="2EC90674" w14:textId="77777777" w:rsidR="004F0AE5" w:rsidRPr="00D323E7" w:rsidRDefault="004F0AE5" w:rsidP="004F0AE5">
      <w:pPr>
        <w:pStyle w:val="ListParagraph"/>
        <w:numPr>
          <w:ilvl w:val="0"/>
          <w:numId w:val="9"/>
        </w:numPr>
        <w:spacing w:after="0" w:line="241" w:lineRule="auto"/>
        <w:ind w:right="237"/>
        <w:rPr>
          <w:rFonts w:ascii="Times New Roman" w:hAnsi="Times New Roman"/>
          <w:b/>
          <w:bCs/>
        </w:rPr>
      </w:pPr>
      <w:r w:rsidRPr="00D323E7">
        <w:rPr>
          <w:rFonts w:ascii="Times New Roman" w:hAnsi="Times New Roman"/>
          <w:b/>
        </w:rPr>
        <w:t>Depression Screening</w:t>
      </w:r>
    </w:p>
    <w:p w14:paraId="71094E54" w14:textId="77777777" w:rsidR="004F0AE5" w:rsidRPr="00D323E7" w:rsidRDefault="004F0AE5" w:rsidP="004F0AE5">
      <w:pPr>
        <w:spacing w:line="241" w:lineRule="auto"/>
        <w:ind w:left="900" w:right="237"/>
      </w:pPr>
      <w:r w:rsidRPr="00D323E7">
        <w:rPr>
          <w:bCs/>
        </w:rPr>
        <w:t xml:space="preserve">Screening specifically for depression should occur </w:t>
      </w:r>
      <w:r w:rsidRPr="00D323E7">
        <w:t>at</w:t>
      </w:r>
      <w:r w:rsidRPr="00D323E7" w:rsidDel="0010171F">
        <w:rPr>
          <w:bCs/>
        </w:rPr>
        <w:t xml:space="preserve"> </w:t>
      </w:r>
      <w:r w:rsidRPr="00D323E7">
        <w:rPr>
          <w:bCs/>
        </w:rPr>
        <w:t xml:space="preserve">every preventive healthcare visit from 12 to 21 years </w:t>
      </w:r>
      <w:r w:rsidRPr="00D323E7">
        <w:t xml:space="preserve">using an </w:t>
      </w:r>
      <w:r w:rsidRPr="00BE483E">
        <w:t>appropriate</w:t>
      </w:r>
      <w:r w:rsidRPr="00D323E7">
        <w:t xml:space="preserve"> depression screen such as the Patient Health Questionnaire </w:t>
      </w:r>
      <w:r w:rsidRPr="00D323E7">
        <w:rPr>
          <w:rFonts w:eastAsia="Arial"/>
        </w:rPr>
        <w:t xml:space="preserve">Modified for Adolescents (PHQ-9 Modified), </w:t>
      </w:r>
      <w:r w:rsidRPr="00D323E7">
        <w:t xml:space="preserve">or other tools available in the Guidelines for Adolescent Depression in Primary Care (GLAD-PC) toolkit. </w:t>
      </w:r>
    </w:p>
    <w:p w14:paraId="0D0EE395" w14:textId="77777777" w:rsidR="004F0AE5" w:rsidRPr="002957CC" w:rsidRDefault="004F0AE5" w:rsidP="004F0AE5">
      <w:pPr>
        <w:spacing w:line="241" w:lineRule="auto"/>
        <w:ind w:left="900" w:right="237"/>
        <w:rPr>
          <w:bCs/>
          <w:sz w:val="16"/>
          <w:szCs w:val="16"/>
          <w:vertAlign w:val="subscript"/>
        </w:rPr>
      </w:pPr>
    </w:p>
    <w:p w14:paraId="0F3D705F" w14:textId="77777777" w:rsidR="004F0AE5" w:rsidRPr="00D323E7" w:rsidRDefault="004F0AE5" w:rsidP="004F0AE5">
      <w:pPr>
        <w:pStyle w:val="ListParagraph"/>
        <w:numPr>
          <w:ilvl w:val="0"/>
          <w:numId w:val="9"/>
        </w:numPr>
        <w:spacing w:after="0" w:line="241" w:lineRule="auto"/>
        <w:ind w:right="237"/>
        <w:rPr>
          <w:rFonts w:ascii="Times New Roman" w:hAnsi="Times New Roman"/>
          <w:b/>
          <w:bCs/>
        </w:rPr>
      </w:pPr>
      <w:r w:rsidRPr="00D323E7">
        <w:rPr>
          <w:rFonts w:ascii="Times New Roman" w:hAnsi="Times New Roman"/>
          <w:b/>
          <w:bCs/>
        </w:rPr>
        <w:t>Maternal</w:t>
      </w:r>
      <w:r>
        <w:rPr>
          <w:rFonts w:ascii="Times New Roman" w:hAnsi="Times New Roman"/>
          <w:b/>
          <w:bCs/>
        </w:rPr>
        <w:t xml:space="preserve"> and Caregiver</w:t>
      </w:r>
      <w:r w:rsidRPr="00D323E7">
        <w:rPr>
          <w:rFonts w:ascii="Times New Roman" w:hAnsi="Times New Roman"/>
          <w:b/>
          <w:bCs/>
        </w:rPr>
        <w:t xml:space="preserve"> Depression Screening</w:t>
      </w:r>
      <w:r>
        <w:rPr>
          <w:rFonts w:ascii="Times New Roman" w:hAnsi="Times New Roman"/>
          <w:b/>
          <w:bCs/>
        </w:rPr>
        <w:t xml:space="preserve"> </w:t>
      </w:r>
    </w:p>
    <w:p w14:paraId="430CAA8D" w14:textId="77777777" w:rsidR="004F0AE5" w:rsidRDefault="004F0AE5" w:rsidP="004F0AE5">
      <w:pPr>
        <w:spacing w:line="241" w:lineRule="auto"/>
        <w:ind w:left="900" w:right="237"/>
      </w:pPr>
      <w:r w:rsidRPr="00D323E7">
        <w:t xml:space="preserve">Screening </w:t>
      </w:r>
      <w:r w:rsidRPr="00BE483E">
        <w:rPr>
          <w:rFonts w:eastAsia="Arial"/>
        </w:rPr>
        <w:t>for</w:t>
      </w:r>
      <w:r w:rsidRPr="00D323E7">
        <w:t xml:space="preserve"> maternal </w:t>
      </w:r>
      <w:r>
        <w:t xml:space="preserve">and caregiver </w:t>
      </w:r>
      <w:r w:rsidRPr="00D323E7">
        <w:t xml:space="preserve">postpartum depression should occur at one-month, two-month, four-month, and six-month </w:t>
      </w:r>
      <w:r w:rsidRPr="00D323E7">
        <w:rPr>
          <w:bCs/>
        </w:rPr>
        <w:t xml:space="preserve">preventive healthcare </w:t>
      </w:r>
      <w:r w:rsidRPr="00D323E7">
        <w:t>visits.</w:t>
      </w:r>
    </w:p>
    <w:p w14:paraId="57F7CC59" w14:textId="77777777" w:rsidR="004F0AE5" w:rsidRPr="00D323E7" w:rsidRDefault="004F0AE5" w:rsidP="004F0AE5">
      <w:pPr>
        <w:spacing w:before="11" w:line="200" w:lineRule="exact"/>
      </w:pPr>
    </w:p>
    <w:p w14:paraId="5867461A" w14:textId="77777777" w:rsidR="004F0AE5" w:rsidRPr="00D323E7" w:rsidRDefault="004F0AE5" w:rsidP="004F0AE5">
      <w:pPr>
        <w:pStyle w:val="ListParagraph"/>
        <w:numPr>
          <w:ilvl w:val="0"/>
          <w:numId w:val="11"/>
        </w:numPr>
        <w:tabs>
          <w:tab w:val="left" w:pos="9810"/>
        </w:tabs>
        <w:spacing w:after="0" w:line="240" w:lineRule="auto"/>
        <w:ind w:left="720" w:right="10" w:hanging="244"/>
        <w:rPr>
          <w:rFonts w:ascii="Times New Roman" w:hAnsi="Times New Roman"/>
          <w:b/>
          <w:bCs/>
        </w:rPr>
      </w:pPr>
      <w:r w:rsidRPr="00D323E7">
        <w:rPr>
          <w:rFonts w:ascii="Times New Roman" w:hAnsi="Times New Roman"/>
          <w:b/>
          <w:bCs/>
        </w:rPr>
        <w:t>PHYSICAL EXAMINATION</w:t>
      </w:r>
    </w:p>
    <w:p w14:paraId="0CF93023" w14:textId="77777777" w:rsidR="004F0AE5" w:rsidRPr="00D323E7" w:rsidRDefault="004F0AE5" w:rsidP="004F0AE5">
      <w:pPr>
        <w:spacing w:line="241" w:lineRule="auto"/>
        <w:ind w:left="720" w:right="237"/>
        <w:rPr>
          <w:bCs/>
        </w:rPr>
      </w:pPr>
    </w:p>
    <w:p w14:paraId="4EB85647" w14:textId="77777777" w:rsidR="004F0AE5" w:rsidRPr="00D323E7" w:rsidRDefault="004F0AE5" w:rsidP="004F0AE5">
      <w:pPr>
        <w:spacing w:line="241" w:lineRule="auto"/>
        <w:ind w:left="720" w:right="237"/>
        <w:rPr>
          <w:bCs/>
        </w:rPr>
      </w:pPr>
      <w:r w:rsidRPr="00D323E7">
        <w:rPr>
          <w:bCs/>
        </w:rPr>
        <w:t xml:space="preserve">A physical examination should be performed at every preventive healthcare visit, including initial visits and periodic visits. The components of the physical examination should be age-appropriate. Infants should be completely unclothed and other children undressed, draped, and chaperoned, as indicated. </w:t>
      </w:r>
      <w:r w:rsidRPr="00BE483E">
        <w:rPr>
          <w:bCs/>
        </w:rPr>
        <w:t>The use of a chaperone should be a shared decision between the patient</w:t>
      </w:r>
      <w:r w:rsidRPr="00D323E7">
        <w:rPr>
          <w:bCs/>
        </w:rPr>
        <w:t>, the patient’s parent or guardian,</w:t>
      </w:r>
      <w:r w:rsidRPr="005C2A26">
        <w:rPr>
          <w:bCs/>
        </w:rPr>
        <w:t xml:space="preserve"> and physician.</w:t>
      </w:r>
    </w:p>
    <w:p w14:paraId="10D2B80A" w14:textId="77777777" w:rsidR="004F0AE5" w:rsidRPr="00D323E7" w:rsidRDefault="004F0AE5" w:rsidP="004F0AE5">
      <w:pPr>
        <w:spacing w:line="241" w:lineRule="auto"/>
        <w:ind w:right="668"/>
        <w:jc w:val="center"/>
        <w:rPr>
          <w:b/>
          <w:bCs/>
        </w:rPr>
      </w:pPr>
    </w:p>
    <w:p w14:paraId="7EEB0DBA" w14:textId="77777777" w:rsidR="004F0AE5" w:rsidRPr="00D323E7" w:rsidRDefault="004F0AE5" w:rsidP="004F0AE5">
      <w:pPr>
        <w:pStyle w:val="ListParagraph"/>
        <w:numPr>
          <w:ilvl w:val="0"/>
          <w:numId w:val="11"/>
        </w:numPr>
        <w:tabs>
          <w:tab w:val="left" w:pos="9810"/>
        </w:tabs>
        <w:spacing w:after="0" w:line="240" w:lineRule="auto"/>
        <w:ind w:left="720" w:right="10" w:hanging="244"/>
        <w:rPr>
          <w:rFonts w:ascii="Times New Roman" w:hAnsi="Times New Roman"/>
          <w:b/>
          <w:bCs/>
        </w:rPr>
      </w:pPr>
      <w:r w:rsidRPr="00D323E7">
        <w:rPr>
          <w:rFonts w:ascii="Times New Roman" w:hAnsi="Times New Roman"/>
          <w:b/>
          <w:bCs/>
        </w:rPr>
        <w:t>PROCEDURES</w:t>
      </w:r>
    </w:p>
    <w:p w14:paraId="1A7A9E52" w14:textId="77777777" w:rsidR="004F0AE5" w:rsidRPr="002957CC" w:rsidRDefault="004F0AE5" w:rsidP="004F0AE5">
      <w:pPr>
        <w:pStyle w:val="ListParagraph"/>
        <w:tabs>
          <w:tab w:val="left" w:pos="9810"/>
        </w:tabs>
        <w:spacing w:after="0" w:line="240" w:lineRule="auto"/>
        <w:ind w:right="10"/>
        <w:rPr>
          <w:rFonts w:ascii="Times New Roman" w:hAnsi="Times New Roman"/>
          <w:b/>
          <w:bCs/>
          <w:sz w:val="16"/>
          <w:szCs w:val="16"/>
          <w:vertAlign w:val="subscript"/>
        </w:rPr>
      </w:pPr>
    </w:p>
    <w:p w14:paraId="6D186C1B" w14:textId="77777777" w:rsidR="004F0AE5" w:rsidRPr="00D323E7" w:rsidRDefault="004F0AE5" w:rsidP="004F0AE5">
      <w:pPr>
        <w:pStyle w:val="ListParagraph"/>
        <w:numPr>
          <w:ilvl w:val="0"/>
          <w:numId w:val="12"/>
        </w:numPr>
        <w:spacing w:after="0" w:line="241" w:lineRule="auto"/>
        <w:ind w:right="237"/>
        <w:rPr>
          <w:rFonts w:ascii="Times New Roman" w:hAnsi="Times New Roman"/>
        </w:rPr>
      </w:pPr>
      <w:r w:rsidRPr="00D323E7">
        <w:rPr>
          <w:rFonts w:ascii="Times New Roman" w:hAnsi="Times New Roman"/>
          <w:b/>
          <w:bCs/>
        </w:rPr>
        <w:t xml:space="preserve">Newborn Blood Screening </w:t>
      </w:r>
    </w:p>
    <w:p w14:paraId="5CF82A1D" w14:textId="77777777" w:rsidR="004F0AE5" w:rsidRPr="00D323E7" w:rsidRDefault="004F0AE5" w:rsidP="004F0AE5">
      <w:pPr>
        <w:ind w:left="900" w:right="-20"/>
      </w:pPr>
      <w:r w:rsidRPr="00D323E7">
        <w:t xml:space="preserve">Verify at the newborn or the </w:t>
      </w:r>
      <w:r>
        <w:t>three-</w:t>
      </w:r>
      <w:r w:rsidRPr="00D323E7">
        <w:t xml:space="preserve"> to </w:t>
      </w:r>
      <w:r>
        <w:t xml:space="preserve">five- </w:t>
      </w:r>
      <w:r w:rsidRPr="00D323E7">
        <w:t>day preventive healthcare visit that all required newborn screenings were perform</w:t>
      </w:r>
      <w:r>
        <w:t>e</w:t>
      </w:r>
      <w:r w:rsidRPr="00D323E7">
        <w:t xml:space="preserve">d, especially if </w:t>
      </w:r>
      <w:r>
        <w:t xml:space="preserve">the </w:t>
      </w:r>
      <w:r w:rsidRPr="00D323E7">
        <w:t xml:space="preserve">newborn was not born in a hospital setting or was born outside Massachusetts. Verify results and follow up as appropriate. Additional information about the </w:t>
      </w:r>
      <w:r>
        <w:t>Massachusetts</w:t>
      </w:r>
      <w:r w:rsidRPr="00D323E7">
        <w:t xml:space="preserve"> newborn screening program is available</w:t>
      </w:r>
      <w:r>
        <w:t xml:space="preserve"> from the New England Newborn Screening Program (</w:t>
      </w:r>
      <w:hyperlink r:id="rId23" w:history="1">
        <w:r w:rsidRPr="004729C2">
          <w:rPr>
            <w:rStyle w:val="Hyperlink"/>
          </w:rPr>
          <w:t>https://nensp.umassmed.edu/</w:t>
        </w:r>
      </w:hyperlink>
      <w:r>
        <w:t>)</w:t>
      </w:r>
      <w:r w:rsidRPr="00D323E7">
        <w:t xml:space="preserve">. </w:t>
      </w:r>
    </w:p>
    <w:p w14:paraId="3774805D" w14:textId="77777777" w:rsidR="004F0AE5" w:rsidRPr="002957CC" w:rsidRDefault="004F0AE5" w:rsidP="004F0AE5">
      <w:pPr>
        <w:ind w:left="180" w:right="-20"/>
        <w:contextualSpacing/>
        <w:rPr>
          <w:bCs/>
          <w:sz w:val="16"/>
          <w:szCs w:val="16"/>
        </w:rPr>
      </w:pPr>
    </w:p>
    <w:p w14:paraId="0B6D43DC" w14:textId="77777777" w:rsidR="004F0AE5" w:rsidRPr="00D323E7" w:rsidRDefault="004F0AE5" w:rsidP="004F0AE5">
      <w:pPr>
        <w:pStyle w:val="ListParagraph"/>
        <w:numPr>
          <w:ilvl w:val="0"/>
          <w:numId w:val="12"/>
        </w:numPr>
        <w:spacing w:after="0" w:line="241" w:lineRule="auto"/>
        <w:ind w:right="237"/>
        <w:rPr>
          <w:rFonts w:ascii="Times New Roman" w:hAnsi="Times New Roman"/>
          <w:b/>
        </w:rPr>
      </w:pPr>
      <w:r w:rsidRPr="00D323E7">
        <w:rPr>
          <w:rFonts w:ascii="Times New Roman" w:hAnsi="Times New Roman"/>
          <w:b/>
        </w:rPr>
        <w:t>Newborn Bilirubin Screening</w:t>
      </w:r>
    </w:p>
    <w:p w14:paraId="79D0FAC0" w14:textId="77777777" w:rsidR="004F0AE5" w:rsidRDefault="004F0AE5" w:rsidP="004F0AE5">
      <w:pPr>
        <w:autoSpaceDE w:val="0"/>
        <w:autoSpaceDN w:val="0"/>
        <w:adjustRightInd w:val="0"/>
        <w:ind w:left="900"/>
        <w:rPr>
          <w:rFonts w:eastAsia="MyriadPro-Regular"/>
        </w:rPr>
      </w:pPr>
      <w:r w:rsidRPr="00D323E7">
        <w:t xml:space="preserve">Confirm at the newborn preventive healthcare visit that the </w:t>
      </w:r>
      <w:r w:rsidRPr="00D323E7">
        <w:rPr>
          <w:rFonts w:eastAsia="MyriadPro-Regular"/>
        </w:rPr>
        <w:t xml:space="preserve">initial screening was </w:t>
      </w:r>
      <w:r>
        <w:rPr>
          <w:rFonts w:eastAsia="MyriadPro-Regular"/>
        </w:rPr>
        <w:t>completed</w:t>
      </w:r>
      <w:r w:rsidRPr="00D323E7">
        <w:rPr>
          <w:rFonts w:eastAsia="MyriadPro-Regular"/>
        </w:rPr>
        <w:t>, verify results, and follow up as appropriate.</w:t>
      </w:r>
    </w:p>
    <w:p w14:paraId="6130A1EB" w14:textId="77777777" w:rsidR="004F0AE5" w:rsidRPr="002957CC" w:rsidRDefault="004F0AE5" w:rsidP="004F0AE5">
      <w:pPr>
        <w:autoSpaceDE w:val="0"/>
        <w:autoSpaceDN w:val="0"/>
        <w:adjustRightInd w:val="0"/>
        <w:ind w:left="900"/>
        <w:rPr>
          <w:rFonts w:eastAsia="MyriadPro-Regular"/>
          <w:sz w:val="16"/>
          <w:szCs w:val="16"/>
        </w:rPr>
      </w:pPr>
    </w:p>
    <w:p w14:paraId="21C08C1D" w14:textId="77777777" w:rsidR="004F0AE5" w:rsidRPr="00D323E7" w:rsidRDefault="004F0AE5" w:rsidP="004F0AE5">
      <w:pPr>
        <w:pStyle w:val="ListParagraph"/>
        <w:numPr>
          <w:ilvl w:val="0"/>
          <w:numId w:val="12"/>
        </w:numPr>
        <w:spacing w:after="0" w:line="241" w:lineRule="auto"/>
        <w:ind w:right="237"/>
        <w:rPr>
          <w:rFonts w:ascii="Times New Roman" w:hAnsi="Times New Roman"/>
          <w:b/>
          <w:bCs/>
        </w:rPr>
      </w:pPr>
      <w:r w:rsidRPr="00D323E7">
        <w:rPr>
          <w:rFonts w:ascii="Times New Roman" w:hAnsi="Times New Roman"/>
          <w:b/>
          <w:bCs/>
        </w:rPr>
        <w:t>Critical Congenital Heart Defect Screening</w:t>
      </w:r>
    </w:p>
    <w:p w14:paraId="72CC02E8" w14:textId="4A151C66" w:rsidR="004F0AE5" w:rsidRDefault="004F0AE5" w:rsidP="004F0AE5">
      <w:pPr>
        <w:autoSpaceDE w:val="0"/>
        <w:autoSpaceDN w:val="0"/>
        <w:adjustRightInd w:val="0"/>
        <w:ind w:left="900"/>
      </w:pPr>
      <w:r w:rsidRPr="00D323E7">
        <w:rPr>
          <w:rFonts w:eastAsia="MyriadPro-Regular"/>
        </w:rPr>
        <w:t>Screening for critical congenital heart defect or disease using pulse oximetry should be performed in newborns, after 24 hours of age, before discharge from the hospital</w:t>
      </w:r>
      <w:r>
        <w:rPr>
          <w:rFonts w:eastAsia="MyriadPro-Regular"/>
        </w:rPr>
        <w:t>.</w:t>
      </w:r>
      <w:r>
        <w:t xml:space="preserve"> Confirm at the newborn preventive healthcare visit that the screening has been done.</w:t>
      </w:r>
    </w:p>
    <w:p w14:paraId="26EF5C15" w14:textId="77777777" w:rsidR="00FB3DEC" w:rsidRPr="002957CC" w:rsidRDefault="00FB3DEC" w:rsidP="004F0AE5">
      <w:pPr>
        <w:autoSpaceDE w:val="0"/>
        <w:autoSpaceDN w:val="0"/>
        <w:adjustRightInd w:val="0"/>
        <w:ind w:left="900"/>
        <w:rPr>
          <w:sz w:val="16"/>
          <w:szCs w:val="16"/>
        </w:rPr>
      </w:pPr>
    </w:p>
    <w:p w14:paraId="17987E56" w14:textId="77777777" w:rsidR="004F0AE5" w:rsidRPr="00D323E7" w:rsidRDefault="004F0AE5" w:rsidP="004F0AE5">
      <w:pPr>
        <w:pStyle w:val="ListParagraph"/>
        <w:numPr>
          <w:ilvl w:val="0"/>
          <w:numId w:val="12"/>
        </w:numPr>
        <w:spacing w:after="0" w:line="241" w:lineRule="auto"/>
        <w:ind w:right="237"/>
        <w:rPr>
          <w:rFonts w:ascii="Times New Roman" w:eastAsia="Wingdings" w:hAnsi="Times New Roman"/>
        </w:rPr>
      </w:pPr>
      <w:r w:rsidRPr="00D323E7">
        <w:rPr>
          <w:rFonts w:ascii="Times New Roman" w:hAnsi="Times New Roman"/>
          <w:b/>
          <w:bCs/>
        </w:rPr>
        <w:t>Immunization Assessment and Administration</w:t>
      </w:r>
    </w:p>
    <w:p w14:paraId="50336D0D" w14:textId="01F02C35" w:rsidR="002957CC" w:rsidRDefault="004F0AE5" w:rsidP="004F0AE5">
      <w:pPr>
        <w:ind w:left="900" w:right="-20"/>
        <w:contextualSpacing/>
      </w:pPr>
      <w:r w:rsidRPr="00D323E7">
        <w:rPr>
          <w:rFonts w:eastAsia="Wingdings"/>
        </w:rPr>
        <w:t xml:space="preserve">Immunize according to </w:t>
      </w:r>
      <w:r w:rsidRPr="00D323E7">
        <w:t>the Massachusetts Department of Public Health’s Immunization Program. Immunization status should be assessed at every preventive healthcare visit from newborn to 21 years.</w:t>
      </w:r>
    </w:p>
    <w:p w14:paraId="75DC8DFF" w14:textId="77777777" w:rsidR="002957CC" w:rsidRDefault="002957CC">
      <w:r>
        <w:br w:type="page"/>
      </w:r>
    </w:p>
    <w:p w14:paraId="66DA5D81" w14:textId="77777777" w:rsidR="004F0AE5" w:rsidRPr="00D323E7" w:rsidRDefault="004F0AE5" w:rsidP="004F0AE5">
      <w:pPr>
        <w:pStyle w:val="ListParagraph"/>
        <w:numPr>
          <w:ilvl w:val="0"/>
          <w:numId w:val="12"/>
        </w:numPr>
        <w:spacing w:after="0" w:line="241" w:lineRule="auto"/>
        <w:ind w:right="237"/>
        <w:rPr>
          <w:rFonts w:ascii="Times New Roman" w:hAnsi="Times New Roman"/>
          <w:b/>
        </w:rPr>
      </w:pPr>
      <w:r w:rsidRPr="00D323E7">
        <w:rPr>
          <w:rFonts w:ascii="Times New Roman" w:hAnsi="Times New Roman"/>
          <w:b/>
          <w:bCs/>
        </w:rPr>
        <w:lastRenderedPageBreak/>
        <w:t>Anemia Screening</w:t>
      </w:r>
    </w:p>
    <w:p w14:paraId="62421765" w14:textId="77777777" w:rsidR="004F0AE5" w:rsidRDefault="004F0AE5" w:rsidP="004F0AE5">
      <w:pPr>
        <w:autoSpaceDE w:val="0"/>
        <w:autoSpaceDN w:val="0"/>
        <w:adjustRightInd w:val="0"/>
        <w:ind w:left="900"/>
      </w:pPr>
      <w:r w:rsidRPr="00BE483E">
        <w:rPr>
          <w:i/>
          <w:iCs/>
        </w:rPr>
        <w:t xml:space="preserve">For ages 0 to </w:t>
      </w:r>
      <w:r>
        <w:rPr>
          <w:i/>
          <w:iCs/>
        </w:rPr>
        <w:t>one</w:t>
      </w:r>
      <w:r w:rsidRPr="00BE483E">
        <w:rPr>
          <w:i/>
          <w:iCs/>
        </w:rPr>
        <w:t xml:space="preserve"> years old:</w:t>
      </w:r>
      <w:r>
        <w:t xml:space="preserve">  Screen once between age nine and 12 months. At clinician discretion, conduct assessment of infants at high risk for iron deficiency. Consider screening at 15 and 30 months, based on risk factors.</w:t>
      </w:r>
    </w:p>
    <w:p w14:paraId="1C886F5C" w14:textId="77777777" w:rsidR="004F0AE5" w:rsidRDefault="004F0AE5" w:rsidP="004F0AE5">
      <w:pPr>
        <w:autoSpaceDE w:val="0"/>
        <w:autoSpaceDN w:val="0"/>
        <w:adjustRightInd w:val="0"/>
        <w:ind w:left="900"/>
      </w:pPr>
    </w:p>
    <w:p w14:paraId="3924E4F4" w14:textId="77777777" w:rsidR="004F0AE5" w:rsidRDefault="004F0AE5" w:rsidP="004F0AE5">
      <w:pPr>
        <w:autoSpaceDE w:val="0"/>
        <w:autoSpaceDN w:val="0"/>
        <w:adjustRightInd w:val="0"/>
        <w:ind w:left="900"/>
      </w:pPr>
      <w:r w:rsidRPr="005C2A26">
        <w:rPr>
          <w:i/>
          <w:iCs/>
        </w:rPr>
        <w:t xml:space="preserve">For ages </w:t>
      </w:r>
      <w:r>
        <w:rPr>
          <w:i/>
          <w:iCs/>
        </w:rPr>
        <w:t xml:space="preserve">one </w:t>
      </w:r>
      <w:r w:rsidRPr="005C2A26">
        <w:rPr>
          <w:i/>
          <w:iCs/>
        </w:rPr>
        <w:t>to 10 years old:</w:t>
      </w:r>
      <w:r>
        <w:t xml:space="preserve">  Conduct risk assessment or screening, including dietary iron sufficiency, at clinician discretion. Screen those with </w:t>
      </w:r>
      <w:r w:rsidRPr="005C2A26">
        <w:t xml:space="preserve">risk factors annually from ages </w:t>
      </w:r>
      <w:r>
        <w:t>two</w:t>
      </w:r>
      <w:r w:rsidRPr="005C2A26">
        <w:t xml:space="preserve"> to </w:t>
      </w:r>
      <w:r>
        <w:t>five</w:t>
      </w:r>
      <w:r w:rsidRPr="005C2A26">
        <w:t>.</w:t>
      </w:r>
      <w:r w:rsidRPr="00D323E7">
        <w:t xml:space="preserve"> </w:t>
      </w:r>
    </w:p>
    <w:p w14:paraId="577037E3" w14:textId="77777777" w:rsidR="004F0AE5" w:rsidRDefault="004F0AE5" w:rsidP="004F0AE5">
      <w:pPr>
        <w:autoSpaceDE w:val="0"/>
        <w:autoSpaceDN w:val="0"/>
        <w:adjustRightInd w:val="0"/>
        <w:ind w:left="900"/>
      </w:pPr>
    </w:p>
    <w:p w14:paraId="071CD1BD" w14:textId="77777777" w:rsidR="004F0AE5" w:rsidRDefault="004F0AE5" w:rsidP="004F0AE5">
      <w:pPr>
        <w:autoSpaceDE w:val="0"/>
        <w:autoSpaceDN w:val="0"/>
        <w:adjustRightInd w:val="0"/>
        <w:ind w:left="900"/>
      </w:pPr>
      <w:r w:rsidRPr="005C2A26">
        <w:rPr>
          <w:i/>
          <w:iCs/>
        </w:rPr>
        <w:t>For ages 11 to 21:</w:t>
      </w:r>
      <w:r>
        <w:t xml:space="preserve">  Conduct risk assessment or screening. Screen all </w:t>
      </w:r>
      <w:r w:rsidRPr="005C2A26">
        <w:t xml:space="preserve">non-pregnant female adolescents for anemia every </w:t>
      </w:r>
      <w:r>
        <w:t xml:space="preserve">five to </w:t>
      </w:r>
      <w:r w:rsidRPr="005C2A26">
        <w:t>10 years during well visit</w:t>
      </w:r>
      <w:r>
        <w:t>s</w:t>
      </w:r>
      <w:r w:rsidRPr="005C2A26">
        <w:t xml:space="preserve"> starting at age 12.</w:t>
      </w:r>
      <w:r w:rsidRPr="00D323E7" w:rsidDel="001F5947">
        <w:t xml:space="preserve"> </w:t>
      </w:r>
      <w:r>
        <w:t>Screen those with known risk factors (i.e.,</w:t>
      </w:r>
      <w:r w:rsidRPr="00CB0EF6">
        <w:t xml:space="preserve"> excessive menstrual blood loss, low iron intake, or previous diagnosis of iron deficiency anemia</w:t>
      </w:r>
      <w:r>
        <w:t>) annually.</w:t>
      </w:r>
    </w:p>
    <w:p w14:paraId="77A70411" w14:textId="77777777" w:rsidR="004F0AE5" w:rsidRPr="009E027D" w:rsidRDefault="004F0AE5" w:rsidP="004F0AE5">
      <w:pPr>
        <w:ind w:left="180" w:right="-20"/>
        <w:contextualSpacing/>
        <w:rPr>
          <w:bCs/>
        </w:rPr>
      </w:pPr>
    </w:p>
    <w:p w14:paraId="5D53FA28" w14:textId="77777777" w:rsidR="004F0AE5" w:rsidRPr="00D323E7" w:rsidRDefault="004F0AE5" w:rsidP="004F0AE5">
      <w:pPr>
        <w:pStyle w:val="ListParagraph"/>
        <w:numPr>
          <w:ilvl w:val="0"/>
          <w:numId w:val="12"/>
        </w:numPr>
        <w:spacing w:after="0" w:line="241" w:lineRule="auto"/>
        <w:ind w:right="237"/>
        <w:rPr>
          <w:rFonts w:ascii="Times New Roman" w:hAnsi="Times New Roman"/>
          <w:b/>
          <w:bCs/>
        </w:rPr>
      </w:pPr>
      <w:r w:rsidRPr="00D323E7">
        <w:rPr>
          <w:rFonts w:ascii="Times New Roman" w:hAnsi="Times New Roman"/>
          <w:b/>
          <w:bCs/>
        </w:rPr>
        <w:t xml:space="preserve">Lead Exposure Screening </w:t>
      </w:r>
    </w:p>
    <w:p w14:paraId="79B0C5A4" w14:textId="77777777" w:rsidR="004F0AE5" w:rsidRPr="00D323E7" w:rsidRDefault="004F0AE5" w:rsidP="004F0AE5">
      <w:pPr>
        <w:autoSpaceDE w:val="0"/>
        <w:autoSpaceDN w:val="0"/>
        <w:adjustRightInd w:val="0"/>
        <w:ind w:left="900"/>
      </w:pPr>
      <w:r w:rsidRPr="005C2A26">
        <w:t xml:space="preserve">Screen for lead exposure according to the guidance set forth by the </w:t>
      </w:r>
      <w:r w:rsidRPr="00D323E7">
        <w:t xml:space="preserve">Massachusetts Childhood Lead Poisoning Prevention Program (MCLPPP). As described in the MCLPPP’s </w:t>
      </w:r>
      <w:r w:rsidRPr="005C2A26">
        <w:rPr>
          <w:i/>
          <w:iCs/>
        </w:rPr>
        <w:t>Changes to the Lead Regulation for Pediatric Healthcare Providers</w:t>
      </w:r>
      <w:r w:rsidRPr="00D323E7">
        <w:t xml:space="preserve"> updated in October 2017 (</w:t>
      </w:r>
      <w:hyperlink r:id="rId24" w:history="1">
        <w:r w:rsidRPr="00FD3769">
          <w:rPr>
            <w:rStyle w:val="Hyperlink"/>
          </w:rPr>
          <w:t>www.mass.gov/doc/lead-fact-sheet-for-providers-111417-0/download</w:t>
        </w:r>
      </w:hyperlink>
      <w:r w:rsidRPr="00D323E7">
        <w:t>), initial screening is recommended between nine and 12 months and again at two and three years of age. Screen at four years of age if a child lives in a city or town with a high risk for childhood lead exposure. Screen at entry to</w:t>
      </w:r>
      <w:r w:rsidRPr="005C2A26">
        <w:t xml:space="preserve"> </w:t>
      </w:r>
      <w:r w:rsidRPr="00D323E7">
        <w:t>daycare, preschool, or kindergarten if not screened before.</w:t>
      </w:r>
    </w:p>
    <w:p w14:paraId="0D9B211D" w14:textId="77777777" w:rsidR="004F0AE5" w:rsidRPr="002D2E6A" w:rsidRDefault="004F0AE5" w:rsidP="004F0AE5">
      <w:pPr>
        <w:ind w:left="180" w:right="-20"/>
        <w:contextualSpacing/>
        <w:rPr>
          <w:bCs/>
        </w:rPr>
      </w:pPr>
    </w:p>
    <w:p w14:paraId="135204D1" w14:textId="77777777" w:rsidR="004F0AE5" w:rsidRPr="00D323E7" w:rsidRDefault="004F0AE5" w:rsidP="004F0AE5">
      <w:pPr>
        <w:autoSpaceDE w:val="0"/>
        <w:autoSpaceDN w:val="0"/>
        <w:adjustRightInd w:val="0"/>
        <w:ind w:left="900"/>
      </w:pPr>
      <w:r w:rsidRPr="00D323E7">
        <w:t xml:space="preserve">A list of high-risk communities can be found at </w:t>
      </w:r>
      <w:hyperlink r:id="rId25" w:history="1">
        <w:r w:rsidRPr="00D323E7">
          <w:rPr>
            <w:rStyle w:val="Hyperlink"/>
          </w:rPr>
          <w:t>www.mass.gov/lists/view-annual-screening-and-blood-lead-level-reports-and-high-risk-community-list</w:t>
        </w:r>
      </w:hyperlink>
      <w:r w:rsidRPr="00D323E7">
        <w:t xml:space="preserve"> and additional information about screening may be found at </w:t>
      </w:r>
      <w:hyperlink r:id="rId26" w:history="1">
        <w:r w:rsidRPr="00D323E7">
          <w:rPr>
            <w:rStyle w:val="Hyperlink"/>
          </w:rPr>
          <w:t>www.mass.gov/dph/clppp</w:t>
        </w:r>
      </w:hyperlink>
      <w:r w:rsidRPr="00D323E7">
        <w:t>.</w:t>
      </w:r>
    </w:p>
    <w:p w14:paraId="4C8F9101" w14:textId="77777777" w:rsidR="004F0AE5" w:rsidRPr="002D2E6A" w:rsidRDefault="004F0AE5" w:rsidP="004F0AE5">
      <w:pPr>
        <w:ind w:left="180" w:right="-20"/>
        <w:contextualSpacing/>
        <w:rPr>
          <w:bCs/>
        </w:rPr>
      </w:pPr>
    </w:p>
    <w:p w14:paraId="3ABAAD5A" w14:textId="77777777" w:rsidR="004F0AE5" w:rsidRDefault="004F0AE5" w:rsidP="004F0AE5">
      <w:pPr>
        <w:autoSpaceDE w:val="0"/>
        <w:autoSpaceDN w:val="0"/>
        <w:adjustRightInd w:val="0"/>
        <w:ind w:left="900"/>
      </w:pPr>
      <w:r w:rsidRPr="00D323E7">
        <w:t>Pursuant to M.G.L. c. 111,§ 191 (</w:t>
      </w:r>
      <w:hyperlink r:id="rId27" w:history="1">
        <w:r w:rsidRPr="00D323E7">
          <w:rPr>
            <w:rStyle w:val="Hyperlink"/>
          </w:rPr>
          <w:t>https://malegislature.gov/Laws/GeneralLaws/PartI/TitleXVI/Chapter111/Section191</w:t>
        </w:r>
      </w:hyperlink>
      <w:r w:rsidRPr="00D323E7">
        <w:t>), physicians, other healthcare providers, and private laboratories must report all cases of childhood lead poisoning known to them to the agency director within three working days of identification, unless previously reported. If a child suffers multiple episodes of lead poisoning, the provider must report each episode.</w:t>
      </w:r>
    </w:p>
    <w:p w14:paraId="2699354E" w14:textId="77777777" w:rsidR="004F0AE5" w:rsidRPr="00D323E7" w:rsidRDefault="004F0AE5" w:rsidP="004F0AE5">
      <w:pPr>
        <w:autoSpaceDE w:val="0"/>
        <w:autoSpaceDN w:val="0"/>
        <w:adjustRightInd w:val="0"/>
      </w:pPr>
    </w:p>
    <w:p w14:paraId="5E9EC27B" w14:textId="77777777" w:rsidR="004F0AE5" w:rsidRPr="00D323E7" w:rsidRDefault="004F0AE5" w:rsidP="004F0AE5">
      <w:pPr>
        <w:pStyle w:val="ListParagraph"/>
        <w:numPr>
          <w:ilvl w:val="0"/>
          <w:numId w:val="12"/>
        </w:numPr>
        <w:spacing w:after="0" w:line="241" w:lineRule="auto"/>
        <w:ind w:right="237"/>
        <w:rPr>
          <w:rFonts w:ascii="Times New Roman" w:hAnsi="Times New Roman"/>
          <w:b/>
        </w:rPr>
      </w:pPr>
      <w:r w:rsidRPr="00D323E7">
        <w:rPr>
          <w:rFonts w:ascii="Times New Roman" w:hAnsi="Times New Roman"/>
          <w:b/>
        </w:rPr>
        <w:t>Tuberculosis Assessment and Testing</w:t>
      </w:r>
    </w:p>
    <w:p w14:paraId="0B97DE06" w14:textId="77777777" w:rsidR="004F0AE5" w:rsidRPr="00D323E7" w:rsidRDefault="004F0AE5" w:rsidP="004F0AE5">
      <w:pPr>
        <w:autoSpaceDE w:val="0"/>
        <w:autoSpaceDN w:val="0"/>
        <w:adjustRightInd w:val="0"/>
        <w:ind w:left="900"/>
      </w:pPr>
      <w:r w:rsidRPr="00D323E7">
        <w:t xml:space="preserve">Risk for tuberculosis should be assessed at the one-month, six-month, 12-month, and 24-month preventive healthcare visit and then annually from three years to 21 years of age. Testing should be performed as indicated by the results of the risk assessment. </w:t>
      </w:r>
    </w:p>
    <w:p w14:paraId="5C2D50E3" w14:textId="77777777" w:rsidR="004F0AE5" w:rsidRPr="00544EEE" w:rsidRDefault="004F0AE5" w:rsidP="004F0AE5">
      <w:pPr>
        <w:ind w:left="180" w:right="-20"/>
        <w:contextualSpacing/>
        <w:rPr>
          <w:bCs/>
        </w:rPr>
      </w:pPr>
    </w:p>
    <w:p w14:paraId="518503F5" w14:textId="77777777" w:rsidR="004F0AE5" w:rsidRPr="00D323E7" w:rsidRDefault="004F0AE5" w:rsidP="004F0AE5">
      <w:pPr>
        <w:pStyle w:val="ListParagraph"/>
        <w:numPr>
          <w:ilvl w:val="0"/>
          <w:numId w:val="12"/>
        </w:numPr>
        <w:spacing w:after="0" w:line="241" w:lineRule="auto"/>
        <w:ind w:right="237"/>
        <w:rPr>
          <w:rFonts w:ascii="Times New Roman" w:hAnsi="Times New Roman"/>
          <w:b/>
        </w:rPr>
      </w:pPr>
      <w:r w:rsidRPr="00D323E7">
        <w:rPr>
          <w:rFonts w:ascii="Times New Roman" w:hAnsi="Times New Roman"/>
          <w:b/>
        </w:rPr>
        <w:t>Dyslipidemia Assessment and Testing</w:t>
      </w:r>
    </w:p>
    <w:p w14:paraId="76F5B2A1" w14:textId="0B08A064" w:rsidR="004F0AE5" w:rsidRDefault="004F0AE5" w:rsidP="004F0AE5">
      <w:pPr>
        <w:autoSpaceDE w:val="0"/>
        <w:autoSpaceDN w:val="0"/>
        <w:adjustRightInd w:val="0"/>
        <w:ind w:left="900"/>
      </w:pPr>
      <w:r w:rsidRPr="00D323E7">
        <w:t xml:space="preserve">Assess for dyslipidemia risk factors every two years at </w:t>
      </w:r>
      <w:r>
        <w:t>age</w:t>
      </w:r>
      <w:r w:rsidRPr="00D323E7">
        <w:t xml:space="preserve"> </w:t>
      </w:r>
      <w:r>
        <w:t>two, four, six, and eight, and then annually from age 12 to 16. Screen for dyslipidemia once between age nine and 11, and once between age 17 and 21.</w:t>
      </w:r>
    </w:p>
    <w:p w14:paraId="64FDE2FC" w14:textId="77777777" w:rsidR="002957CC" w:rsidRDefault="002957CC" w:rsidP="004F0AE5">
      <w:pPr>
        <w:autoSpaceDE w:val="0"/>
        <w:autoSpaceDN w:val="0"/>
        <w:adjustRightInd w:val="0"/>
        <w:ind w:left="900"/>
      </w:pPr>
    </w:p>
    <w:p w14:paraId="13635DE0" w14:textId="77777777" w:rsidR="004F0AE5" w:rsidRPr="00D323E7" w:rsidRDefault="004F0AE5" w:rsidP="004F0AE5">
      <w:pPr>
        <w:pStyle w:val="ListParagraph"/>
        <w:numPr>
          <w:ilvl w:val="0"/>
          <w:numId w:val="12"/>
        </w:numPr>
        <w:spacing w:after="0" w:line="241" w:lineRule="auto"/>
        <w:ind w:right="237"/>
        <w:rPr>
          <w:rFonts w:ascii="Times New Roman" w:hAnsi="Times New Roman"/>
          <w:b/>
        </w:rPr>
      </w:pPr>
      <w:r w:rsidRPr="00D323E7">
        <w:rPr>
          <w:rFonts w:ascii="Times New Roman" w:hAnsi="Times New Roman"/>
          <w:b/>
        </w:rPr>
        <w:t xml:space="preserve">Sexually Transmitted Infections </w:t>
      </w:r>
      <w:r>
        <w:rPr>
          <w:rFonts w:ascii="Times New Roman" w:hAnsi="Times New Roman"/>
          <w:b/>
        </w:rPr>
        <w:t xml:space="preserve">(STIs) </w:t>
      </w:r>
      <w:r w:rsidRPr="00D323E7">
        <w:rPr>
          <w:rFonts w:ascii="Times New Roman" w:hAnsi="Times New Roman"/>
          <w:b/>
        </w:rPr>
        <w:t>Assessment and Testing</w:t>
      </w:r>
    </w:p>
    <w:p w14:paraId="66151FC2" w14:textId="77777777" w:rsidR="004F0AE5" w:rsidRPr="00D323E7" w:rsidRDefault="004F0AE5" w:rsidP="004F0AE5">
      <w:pPr>
        <w:autoSpaceDE w:val="0"/>
        <w:autoSpaceDN w:val="0"/>
        <w:adjustRightInd w:val="0"/>
        <w:ind w:left="900"/>
      </w:pPr>
      <w:r w:rsidRPr="00D323E7">
        <w:t xml:space="preserve">Assess for risk of sexually transmitted infections annually starting at the 11-year preventive healthcare visit, with screening as indicated by the risk assessment. </w:t>
      </w:r>
    </w:p>
    <w:p w14:paraId="537036F5" w14:textId="77777777" w:rsidR="004F0AE5" w:rsidRPr="00D323E7" w:rsidRDefault="004F0AE5" w:rsidP="004F0AE5">
      <w:pPr>
        <w:autoSpaceDE w:val="0"/>
        <w:autoSpaceDN w:val="0"/>
        <w:adjustRightInd w:val="0"/>
      </w:pPr>
    </w:p>
    <w:p w14:paraId="12F93AE9" w14:textId="77777777" w:rsidR="004F0AE5" w:rsidRPr="00D323E7" w:rsidRDefault="004F0AE5" w:rsidP="004F0AE5">
      <w:pPr>
        <w:pStyle w:val="ListParagraph"/>
        <w:numPr>
          <w:ilvl w:val="0"/>
          <w:numId w:val="12"/>
        </w:numPr>
        <w:spacing w:after="0" w:line="241" w:lineRule="auto"/>
        <w:ind w:right="237"/>
        <w:rPr>
          <w:rFonts w:ascii="Times New Roman" w:hAnsi="Times New Roman"/>
          <w:b/>
        </w:rPr>
      </w:pPr>
      <w:r w:rsidRPr="00D323E7">
        <w:rPr>
          <w:rFonts w:ascii="Times New Roman" w:hAnsi="Times New Roman"/>
          <w:b/>
        </w:rPr>
        <w:t>Human Immunodeficiency Virus (HIV) Assessment and Testing</w:t>
      </w:r>
    </w:p>
    <w:p w14:paraId="7E55B151" w14:textId="77777777" w:rsidR="004F0AE5" w:rsidRPr="00D323E7" w:rsidRDefault="004F0AE5" w:rsidP="004F0AE5">
      <w:pPr>
        <w:autoSpaceDE w:val="0"/>
        <w:autoSpaceDN w:val="0"/>
        <w:adjustRightInd w:val="0"/>
        <w:ind w:left="900"/>
      </w:pPr>
      <w:r w:rsidRPr="00D323E7">
        <w:t xml:space="preserve">Assess for risk of human immunodeficiency virus annually starting at the 11-year preventive healthcare visit, and test as indicated by the results of the risk assessment. Adolescents should be tested as least once </w:t>
      </w:r>
      <w:r w:rsidRPr="00D323E7">
        <w:rPr>
          <w:rFonts w:eastAsia="MyriadPro-Regular"/>
        </w:rPr>
        <w:t>between the ages of 15 and 18. Those at increased risk of HIV infection, including those who are sexually active, participate in injection drug use, or are being tested for other STIs, should be tested for HIV and reassessed annually.</w:t>
      </w:r>
    </w:p>
    <w:p w14:paraId="388064DD" w14:textId="7AF9C266" w:rsidR="002957CC" w:rsidRDefault="002957CC">
      <w:r>
        <w:br w:type="page"/>
      </w:r>
    </w:p>
    <w:p w14:paraId="5AA3AFA0" w14:textId="77777777" w:rsidR="004F0AE5" w:rsidRPr="00D323E7" w:rsidRDefault="004F0AE5" w:rsidP="004F0AE5">
      <w:pPr>
        <w:autoSpaceDE w:val="0"/>
        <w:autoSpaceDN w:val="0"/>
        <w:adjustRightInd w:val="0"/>
      </w:pPr>
    </w:p>
    <w:p w14:paraId="30AA569E" w14:textId="77777777" w:rsidR="004F0AE5" w:rsidRPr="00D323E7" w:rsidRDefault="004F0AE5" w:rsidP="004F0AE5">
      <w:pPr>
        <w:pStyle w:val="ListParagraph"/>
        <w:numPr>
          <w:ilvl w:val="0"/>
          <w:numId w:val="12"/>
        </w:numPr>
        <w:spacing w:after="0" w:line="241" w:lineRule="auto"/>
        <w:ind w:right="237"/>
        <w:rPr>
          <w:rFonts w:ascii="Times New Roman" w:hAnsi="Times New Roman"/>
          <w:b/>
        </w:rPr>
      </w:pPr>
      <w:r w:rsidRPr="00D323E7">
        <w:rPr>
          <w:rFonts w:ascii="Times New Roman" w:hAnsi="Times New Roman"/>
          <w:b/>
        </w:rPr>
        <w:t>Cervical Dysplasia Screening</w:t>
      </w:r>
    </w:p>
    <w:p w14:paraId="11C9A732" w14:textId="77777777" w:rsidR="004F0AE5" w:rsidRPr="00D323E7" w:rsidRDefault="004F0AE5" w:rsidP="004F0AE5">
      <w:pPr>
        <w:autoSpaceDE w:val="0"/>
        <w:autoSpaceDN w:val="0"/>
        <w:adjustRightInd w:val="0"/>
        <w:ind w:left="900"/>
      </w:pPr>
      <w:r w:rsidRPr="00D323E7">
        <w:t>Cytology screening for cervical cancer should begin at the 21</w:t>
      </w:r>
      <w:r w:rsidRPr="00D323E7">
        <w:rPr>
          <w:vertAlign w:val="superscript"/>
        </w:rPr>
        <w:t>st</w:t>
      </w:r>
      <w:r w:rsidRPr="00D323E7">
        <w:t xml:space="preserve"> year preventive healthcare visit. </w:t>
      </w:r>
      <w:r>
        <w:t xml:space="preserve">In compliance with guidance from </w:t>
      </w:r>
      <w:r w:rsidRPr="00D323E7">
        <w:t xml:space="preserve">the </w:t>
      </w:r>
      <w:r w:rsidRPr="00BC7CE4">
        <w:rPr>
          <w:shd w:val="clear" w:color="auto" w:fill="FFFFFF"/>
        </w:rPr>
        <w:t>U.S. Preventive Services Task Force</w:t>
      </w:r>
      <w:r w:rsidRPr="00D323E7">
        <w:t xml:space="preserve">, </w:t>
      </w:r>
      <w:r>
        <w:t>human papillomavirus (H</w:t>
      </w:r>
      <w:r w:rsidRPr="00D323E7">
        <w:t>PV</w:t>
      </w:r>
      <w:r>
        <w:t>)</w:t>
      </w:r>
      <w:r w:rsidRPr="00D323E7">
        <w:t xml:space="preserve"> testing is not recommended at age 21 (</w:t>
      </w:r>
      <w:hyperlink r:id="rId28" w:history="1">
        <w:r w:rsidRPr="00F03331">
          <w:rPr>
            <w:rStyle w:val="Hyperlink"/>
          </w:rPr>
          <w:t>www.uspreventiveservicestaskforce.org/uspstf/recommendation/cervical-cancer-screening</w:t>
        </w:r>
      </w:hyperlink>
      <w:r>
        <w:t>).</w:t>
      </w:r>
    </w:p>
    <w:p w14:paraId="001FDAB2" w14:textId="77777777" w:rsidR="004F0AE5" w:rsidRPr="00D323E7" w:rsidRDefault="004F0AE5" w:rsidP="004F0AE5">
      <w:pPr>
        <w:autoSpaceDE w:val="0"/>
        <w:autoSpaceDN w:val="0"/>
        <w:adjustRightInd w:val="0"/>
      </w:pPr>
    </w:p>
    <w:p w14:paraId="6115949C" w14:textId="77777777" w:rsidR="004F0AE5" w:rsidRPr="00D323E7" w:rsidRDefault="004F0AE5" w:rsidP="004F0AE5">
      <w:pPr>
        <w:pStyle w:val="ListParagraph"/>
        <w:numPr>
          <w:ilvl w:val="0"/>
          <w:numId w:val="11"/>
        </w:numPr>
        <w:tabs>
          <w:tab w:val="left" w:pos="9810"/>
        </w:tabs>
        <w:spacing w:after="0" w:line="240" w:lineRule="auto"/>
        <w:ind w:left="720" w:right="10" w:hanging="244"/>
        <w:rPr>
          <w:rFonts w:ascii="Times New Roman" w:hAnsi="Times New Roman"/>
          <w:b/>
          <w:bCs/>
        </w:rPr>
      </w:pPr>
      <w:r w:rsidRPr="00D323E7">
        <w:rPr>
          <w:rFonts w:ascii="Times New Roman" w:hAnsi="Times New Roman"/>
          <w:b/>
          <w:bCs/>
        </w:rPr>
        <w:t>ORAL HEALTH</w:t>
      </w:r>
    </w:p>
    <w:p w14:paraId="13F31C7D" w14:textId="77777777" w:rsidR="004F0AE5" w:rsidRPr="00D323E7" w:rsidRDefault="004F0AE5" w:rsidP="004F0AE5">
      <w:pPr>
        <w:tabs>
          <w:tab w:val="left" w:pos="9810"/>
        </w:tabs>
        <w:ind w:right="10"/>
        <w:rPr>
          <w:b/>
          <w:bCs/>
        </w:rPr>
      </w:pPr>
    </w:p>
    <w:p w14:paraId="709893EA" w14:textId="77777777" w:rsidR="004F0AE5" w:rsidRPr="00D323E7" w:rsidRDefault="004F0AE5" w:rsidP="004F0AE5">
      <w:pPr>
        <w:tabs>
          <w:tab w:val="left" w:pos="9810"/>
        </w:tabs>
        <w:ind w:left="476" w:right="10"/>
      </w:pPr>
      <w:r w:rsidRPr="00D323E7">
        <w:t xml:space="preserve">By </w:t>
      </w:r>
      <w:r>
        <w:t>one</w:t>
      </w:r>
      <w:r w:rsidRPr="00D323E7">
        <w:t xml:space="preserve"> year of age, it is recommended that every child have a dental home. </w:t>
      </w:r>
      <w:r w:rsidRPr="00795491">
        <w:t>A dental</w:t>
      </w:r>
      <w:r w:rsidRPr="00D323E7">
        <w:t xml:space="preserve"> </w:t>
      </w:r>
      <w:r w:rsidRPr="00795491">
        <w:t xml:space="preserve">home is the ongoing relationship between </w:t>
      </w:r>
      <w:r w:rsidRPr="00D323E7">
        <w:t>a</w:t>
      </w:r>
      <w:r w:rsidRPr="00795491">
        <w:t xml:space="preserve"> dentist and</w:t>
      </w:r>
      <w:r w:rsidRPr="00D323E7">
        <w:t xml:space="preserve"> a child</w:t>
      </w:r>
      <w:r w:rsidRPr="00795491">
        <w:t>, in</w:t>
      </w:r>
      <w:r w:rsidRPr="00D323E7">
        <w:t>c</w:t>
      </w:r>
      <w:r w:rsidRPr="00795491">
        <w:t>lusive of all aspects of oral health care</w:t>
      </w:r>
      <w:r w:rsidRPr="00D323E7">
        <w:t xml:space="preserve"> </w:t>
      </w:r>
      <w:r w:rsidRPr="00795491">
        <w:t>delivered in a comprehensive, continuously accessible, coordinated, and</w:t>
      </w:r>
      <w:r w:rsidRPr="00D323E7">
        <w:t xml:space="preserve"> </w:t>
      </w:r>
      <w:r w:rsidRPr="00795491">
        <w:t>family-centered way.</w:t>
      </w:r>
    </w:p>
    <w:p w14:paraId="286F742A" w14:textId="77777777" w:rsidR="004F0AE5" w:rsidRPr="00D323E7" w:rsidRDefault="004F0AE5" w:rsidP="004F0AE5">
      <w:pPr>
        <w:tabs>
          <w:tab w:val="left" w:pos="9810"/>
        </w:tabs>
        <w:ind w:left="476" w:right="10"/>
        <w:rPr>
          <w:bCs/>
        </w:rPr>
      </w:pPr>
    </w:p>
    <w:p w14:paraId="56C84859" w14:textId="77777777" w:rsidR="004F0AE5" w:rsidRPr="00D323E7" w:rsidRDefault="004F0AE5" w:rsidP="004F0AE5">
      <w:pPr>
        <w:tabs>
          <w:tab w:val="left" w:pos="9810"/>
        </w:tabs>
        <w:ind w:left="476" w:right="10"/>
        <w:rPr>
          <w:b/>
          <w:bCs/>
        </w:rPr>
      </w:pPr>
      <w:r w:rsidRPr="00D323E7">
        <w:t>More details regarding oral health appear in Section II of this Appendix W, regarding the Dental Schedule. Fluoride varnish and fluoride supplementation are two aspects of oral health that are addressed by both primary care providers and dental providers.</w:t>
      </w:r>
    </w:p>
    <w:p w14:paraId="5C8C570C" w14:textId="77777777" w:rsidR="004F0AE5" w:rsidRPr="00D323E7" w:rsidRDefault="004F0AE5" w:rsidP="004F0AE5">
      <w:pPr>
        <w:tabs>
          <w:tab w:val="left" w:pos="9810"/>
        </w:tabs>
        <w:ind w:left="476" w:right="10"/>
        <w:rPr>
          <w:b/>
          <w:bCs/>
        </w:rPr>
      </w:pPr>
      <w:r w:rsidRPr="00D323E7">
        <w:t xml:space="preserve"> </w:t>
      </w:r>
    </w:p>
    <w:p w14:paraId="0EF44399" w14:textId="77777777" w:rsidR="004F0AE5" w:rsidRPr="00D323E7" w:rsidRDefault="004F0AE5" w:rsidP="004F0AE5">
      <w:pPr>
        <w:pStyle w:val="ListParagraph"/>
        <w:numPr>
          <w:ilvl w:val="0"/>
          <w:numId w:val="14"/>
        </w:numPr>
        <w:spacing w:after="0" w:line="241" w:lineRule="auto"/>
        <w:ind w:right="237"/>
        <w:rPr>
          <w:rFonts w:ascii="Times New Roman" w:hAnsi="Times New Roman"/>
        </w:rPr>
      </w:pPr>
      <w:r w:rsidRPr="00D323E7">
        <w:rPr>
          <w:rFonts w:ascii="Times New Roman" w:hAnsi="Times New Roman"/>
          <w:b/>
          <w:bCs/>
        </w:rPr>
        <w:t>Fluoride Varnish</w:t>
      </w:r>
    </w:p>
    <w:p w14:paraId="4BD20F0F" w14:textId="77777777" w:rsidR="004F0AE5" w:rsidRPr="00023764" w:rsidRDefault="004F0AE5" w:rsidP="004F0AE5">
      <w:pPr>
        <w:autoSpaceDE w:val="0"/>
        <w:autoSpaceDN w:val="0"/>
        <w:adjustRightInd w:val="0"/>
        <w:ind w:left="900"/>
      </w:pPr>
      <w:r w:rsidRPr="00795491">
        <w:t xml:space="preserve">Assess the need for fluoride varnish at all preventive visits from </w:t>
      </w:r>
      <w:r>
        <w:t>six</w:t>
      </w:r>
      <w:r w:rsidRPr="00795491">
        <w:t xml:space="preserve"> months to </w:t>
      </w:r>
      <w:r>
        <w:t>five</w:t>
      </w:r>
      <w:r w:rsidRPr="00795491">
        <w:t xml:space="preserve"> years old. Once teeth are present, fluoride varnish may be applied to all children every </w:t>
      </w:r>
      <w:r>
        <w:t>three to six</w:t>
      </w:r>
      <w:r w:rsidRPr="00023764">
        <w:t xml:space="preserve"> months in the primary care or dental office. </w:t>
      </w:r>
    </w:p>
    <w:p w14:paraId="5498A16B" w14:textId="77777777" w:rsidR="004F0AE5" w:rsidRPr="00DE1C14" w:rsidRDefault="004F0AE5" w:rsidP="004F0AE5">
      <w:pPr>
        <w:tabs>
          <w:tab w:val="left" w:pos="9810"/>
        </w:tabs>
        <w:ind w:left="900" w:right="10"/>
        <w:rPr>
          <w:sz w:val="16"/>
          <w:szCs w:val="16"/>
        </w:rPr>
      </w:pPr>
    </w:p>
    <w:p w14:paraId="7E756015" w14:textId="77777777" w:rsidR="004F0AE5" w:rsidRPr="005C2A26" w:rsidRDefault="004F0AE5" w:rsidP="004F0AE5">
      <w:pPr>
        <w:pStyle w:val="ListParagraph"/>
        <w:numPr>
          <w:ilvl w:val="0"/>
          <w:numId w:val="14"/>
        </w:numPr>
        <w:spacing w:after="0" w:line="241" w:lineRule="auto"/>
        <w:ind w:right="237"/>
        <w:rPr>
          <w:rFonts w:ascii="Times New Roman" w:hAnsi="Times New Roman"/>
        </w:rPr>
      </w:pPr>
      <w:r w:rsidRPr="00D323E7">
        <w:rPr>
          <w:rFonts w:ascii="Times New Roman" w:hAnsi="Times New Roman"/>
          <w:b/>
          <w:bCs/>
        </w:rPr>
        <w:t>Fluoride Supplementation</w:t>
      </w:r>
    </w:p>
    <w:p w14:paraId="77F3FA24" w14:textId="77777777" w:rsidR="004F0AE5" w:rsidRPr="005C2A26" w:rsidRDefault="004F0AE5" w:rsidP="004F0AE5">
      <w:pPr>
        <w:autoSpaceDE w:val="0"/>
        <w:autoSpaceDN w:val="0"/>
        <w:adjustRightInd w:val="0"/>
        <w:ind w:left="900"/>
      </w:pPr>
      <w:r w:rsidRPr="00D323E7">
        <w:t xml:space="preserve">Assess the need for dietary fluoride supplementation at </w:t>
      </w:r>
      <w:r>
        <w:t>six months, nine months, 12 months, and then at all preventive visits from 18 months to 16 years old</w:t>
      </w:r>
      <w:r w:rsidRPr="00D323E7">
        <w:t xml:space="preserve">. </w:t>
      </w:r>
      <w:r w:rsidRPr="00E0114D">
        <w:t>Dietary</w:t>
      </w:r>
      <w:r w:rsidRPr="00D323E7">
        <w:t xml:space="preserve"> </w:t>
      </w:r>
      <w:r w:rsidRPr="00E0114D">
        <w:t>fluoride supplements should be</w:t>
      </w:r>
      <w:r w:rsidRPr="00D323E7">
        <w:t xml:space="preserve"> </w:t>
      </w:r>
      <w:r w:rsidRPr="00E0114D">
        <w:t xml:space="preserve">considered for children </w:t>
      </w:r>
      <w:r w:rsidRPr="00D323E7">
        <w:t>if their primary water source is deficient in fluoride.</w:t>
      </w:r>
    </w:p>
    <w:p w14:paraId="65D0224C" w14:textId="77777777" w:rsidR="004F0AE5" w:rsidRPr="00E0114D" w:rsidRDefault="004F0AE5" w:rsidP="004F0AE5">
      <w:pPr>
        <w:tabs>
          <w:tab w:val="left" w:pos="9810"/>
        </w:tabs>
        <w:ind w:right="10"/>
        <w:rPr>
          <w:b/>
          <w:bCs/>
        </w:rPr>
      </w:pPr>
    </w:p>
    <w:p w14:paraId="7CC0BB1C" w14:textId="77777777" w:rsidR="004F0AE5" w:rsidRPr="005C2A26" w:rsidRDefault="004F0AE5" w:rsidP="004F0AE5">
      <w:pPr>
        <w:pStyle w:val="ListParagraph"/>
        <w:numPr>
          <w:ilvl w:val="0"/>
          <w:numId w:val="11"/>
        </w:numPr>
        <w:tabs>
          <w:tab w:val="left" w:pos="9810"/>
        </w:tabs>
        <w:spacing w:after="0" w:line="240" w:lineRule="auto"/>
        <w:ind w:left="720" w:right="10" w:hanging="244"/>
        <w:rPr>
          <w:rFonts w:ascii="Times New Roman" w:hAnsi="Times New Roman"/>
          <w:b/>
          <w:bCs/>
        </w:rPr>
      </w:pPr>
      <w:r w:rsidRPr="005C2A26">
        <w:rPr>
          <w:rFonts w:ascii="Times New Roman" w:hAnsi="Times New Roman"/>
          <w:b/>
          <w:bCs/>
        </w:rPr>
        <w:t>ANTICIPATORY GUIDANCE</w:t>
      </w:r>
    </w:p>
    <w:p w14:paraId="08D72AE5" w14:textId="77777777" w:rsidR="004F0AE5" w:rsidRPr="00D323E7" w:rsidRDefault="004F0AE5" w:rsidP="004F0AE5">
      <w:pPr>
        <w:pStyle w:val="ListParagraph"/>
        <w:tabs>
          <w:tab w:val="left" w:pos="9810"/>
        </w:tabs>
        <w:spacing w:after="0" w:line="240" w:lineRule="auto"/>
        <w:ind w:right="10"/>
        <w:rPr>
          <w:rFonts w:ascii="Times New Roman" w:hAnsi="Times New Roman"/>
          <w:b/>
          <w:bCs/>
        </w:rPr>
      </w:pPr>
    </w:p>
    <w:p w14:paraId="41954146" w14:textId="77777777" w:rsidR="004F0AE5" w:rsidRPr="00D323E7" w:rsidRDefault="004F0AE5" w:rsidP="004F0AE5">
      <w:pPr>
        <w:spacing w:after="120"/>
        <w:ind w:left="476" w:right="-20"/>
      </w:pPr>
      <w:r w:rsidRPr="00D323E7">
        <w:rPr>
          <w:bCs/>
        </w:rPr>
        <w:t>Anticipatory guidance should be provided at every preventive healthcare visit with discussion topics including,</w:t>
      </w:r>
      <w:r w:rsidRPr="00D323E7">
        <w:t xml:space="preserve"> but not be limited to</w:t>
      </w:r>
    </w:p>
    <w:p w14:paraId="15F5E91B" w14:textId="77777777" w:rsidR="004F0AE5" w:rsidRPr="00B81B42"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sidRPr="00B81B42">
        <w:rPr>
          <w:rFonts w:ascii="Times New Roman" w:hAnsi="Times New Roman"/>
        </w:rPr>
        <w:t>developmental expectations and sound parenting practices;</w:t>
      </w:r>
    </w:p>
    <w:p w14:paraId="15FC8003" w14:textId="77777777" w:rsidR="004F0AE5" w:rsidRPr="00023764"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sidRPr="00B81B42">
        <w:rPr>
          <w:rFonts w:ascii="Times New Roman" w:hAnsi="Times New Roman"/>
        </w:rPr>
        <w:t>behavioral risks, such as avoidance of the use of alcohol, drugs, tobacco, e-cigarettes</w:t>
      </w:r>
      <w:r w:rsidRPr="00D323E7">
        <w:rPr>
          <w:rFonts w:ascii="Times New Roman" w:hAnsi="Times New Roman"/>
        </w:rPr>
        <w:t xml:space="preserve"> (also known as vaping)</w:t>
      </w:r>
      <w:r>
        <w:rPr>
          <w:rFonts w:ascii="Times New Roman" w:hAnsi="Times New Roman"/>
        </w:rPr>
        <w:t>,</w:t>
      </w:r>
      <w:r w:rsidRPr="00023764">
        <w:rPr>
          <w:rFonts w:ascii="Times New Roman" w:hAnsi="Times New Roman"/>
        </w:rPr>
        <w:t xml:space="preserve"> opiates</w:t>
      </w:r>
      <w:r w:rsidRPr="00D323E7">
        <w:rPr>
          <w:rFonts w:ascii="Times New Roman" w:hAnsi="Times New Roman"/>
        </w:rPr>
        <w:t>, cannabis,</w:t>
      </w:r>
      <w:r w:rsidRPr="005C2A26">
        <w:rPr>
          <w:rFonts w:ascii="Times New Roman" w:hAnsi="Times New Roman"/>
        </w:rPr>
        <w:t xml:space="preserve"> and other substances;</w:t>
      </w:r>
      <w:r w:rsidRPr="00023764">
        <w:rPr>
          <w:rFonts w:ascii="Times New Roman" w:hAnsi="Times New Roman"/>
        </w:rPr>
        <w:t xml:space="preserve"> </w:t>
      </w:r>
    </w:p>
    <w:p w14:paraId="12C7A658" w14:textId="77777777" w:rsidR="004F0AE5" w:rsidRPr="001D4AA8"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sidRPr="00023764">
        <w:rPr>
          <w:rFonts w:ascii="Times New Roman" w:hAnsi="Times New Roman"/>
        </w:rPr>
        <w:t>safe environment</w:t>
      </w:r>
      <w:r>
        <w:rPr>
          <w:rFonts w:ascii="Times New Roman" w:hAnsi="Times New Roman"/>
        </w:rPr>
        <w:t>s</w:t>
      </w:r>
      <w:r w:rsidRPr="00E16589">
        <w:rPr>
          <w:rFonts w:ascii="Times New Roman" w:hAnsi="Times New Roman"/>
        </w:rPr>
        <w:t xml:space="preserve"> at home, in school</w:t>
      </w:r>
      <w:r>
        <w:rPr>
          <w:rFonts w:ascii="Times New Roman" w:hAnsi="Times New Roman"/>
        </w:rPr>
        <w:t>,</w:t>
      </w:r>
      <w:r w:rsidRPr="001D4AA8">
        <w:rPr>
          <w:rFonts w:ascii="Times New Roman" w:hAnsi="Times New Roman"/>
        </w:rPr>
        <w:t xml:space="preserve"> and in the community, which </w:t>
      </w:r>
      <w:r>
        <w:rPr>
          <w:rFonts w:ascii="Times New Roman" w:hAnsi="Times New Roman"/>
        </w:rPr>
        <w:t xml:space="preserve">are </w:t>
      </w:r>
      <w:r w:rsidRPr="001D4AA8">
        <w:rPr>
          <w:rFonts w:ascii="Times New Roman" w:hAnsi="Times New Roman"/>
        </w:rPr>
        <w:t>free of violence, toxic stress, bullying</w:t>
      </w:r>
      <w:r>
        <w:rPr>
          <w:rFonts w:ascii="Times New Roman" w:hAnsi="Times New Roman"/>
        </w:rPr>
        <w:t>,</w:t>
      </w:r>
      <w:r w:rsidRPr="001D4AA8">
        <w:rPr>
          <w:rFonts w:ascii="Times New Roman" w:hAnsi="Times New Roman"/>
        </w:rPr>
        <w:t xml:space="preserve"> and ostracism</w:t>
      </w:r>
      <w:r>
        <w:rPr>
          <w:rFonts w:ascii="Times New Roman" w:hAnsi="Times New Roman"/>
        </w:rPr>
        <w:t>;</w:t>
      </w:r>
    </w:p>
    <w:p w14:paraId="10453ABD" w14:textId="77777777" w:rsidR="004F0AE5" w:rsidRPr="005C2A26"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sidRPr="001D4AA8">
        <w:rPr>
          <w:rFonts w:ascii="Times New Roman" w:hAnsi="Times New Roman"/>
        </w:rPr>
        <w:t>mental health</w:t>
      </w:r>
      <w:r>
        <w:rPr>
          <w:rFonts w:ascii="Times New Roman" w:hAnsi="Times New Roman"/>
        </w:rPr>
        <w:t>,</w:t>
      </w:r>
      <w:r w:rsidRPr="001D4AA8">
        <w:rPr>
          <w:rFonts w:ascii="Times New Roman" w:hAnsi="Times New Roman"/>
        </w:rPr>
        <w:t xml:space="preserve"> including depression and anxiety</w:t>
      </w:r>
      <w:r>
        <w:rPr>
          <w:rFonts w:ascii="Times New Roman" w:hAnsi="Times New Roman"/>
        </w:rPr>
        <w:t>, based on risk factors and individual patient presentation in adolescence;</w:t>
      </w:r>
    </w:p>
    <w:p w14:paraId="4AEB240D" w14:textId="77777777" w:rsidR="004F0AE5"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Pr>
          <w:rFonts w:ascii="Times New Roman" w:hAnsi="Times New Roman"/>
        </w:rPr>
        <w:t>academic or behavioral problems that may be signs of attention deficit hyperactivity disorder (ADHD);</w:t>
      </w:r>
    </w:p>
    <w:p w14:paraId="39D2D3D3" w14:textId="77777777" w:rsidR="004F0AE5" w:rsidRPr="005C2A26"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sidRPr="005C2A26">
        <w:rPr>
          <w:rFonts w:ascii="Times New Roman" w:hAnsi="Times New Roman"/>
        </w:rPr>
        <w:t xml:space="preserve">safe and healthy sexual behaviors, including abstinence and contraception, with sensitivity to sexual orientation and gender identity; </w:t>
      </w:r>
    </w:p>
    <w:p w14:paraId="68151BF8" w14:textId="77777777" w:rsidR="004F0AE5" w:rsidRPr="005C2A26"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sidRPr="005C2A26">
        <w:rPr>
          <w:rFonts w:ascii="Times New Roman" w:hAnsi="Times New Roman"/>
        </w:rPr>
        <w:t>benefits and components of a healthy diet and safe weight management</w:t>
      </w:r>
      <w:r>
        <w:rPr>
          <w:rFonts w:ascii="Times New Roman" w:hAnsi="Times New Roman"/>
        </w:rPr>
        <w:t>,</w:t>
      </w:r>
      <w:r w:rsidRPr="005C2A26">
        <w:rPr>
          <w:rFonts w:ascii="Times New Roman" w:hAnsi="Times New Roman"/>
        </w:rPr>
        <w:t xml:space="preserve"> ways to maintain adequate calcium and vitamin D</w:t>
      </w:r>
      <w:r>
        <w:rPr>
          <w:rFonts w:ascii="Times New Roman" w:hAnsi="Times New Roman"/>
        </w:rPr>
        <w:t>,</w:t>
      </w:r>
      <w:r w:rsidRPr="005C2A26">
        <w:rPr>
          <w:rFonts w:ascii="Times New Roman" w:hAnsi="Times New Roman"/>
        </w:rPr>
        <w:t xml:space="preserve"> and counsel</w:t>
      </w:r>
      <w:r>
        <w:rPr>
          <w:rFonts w:ascii="Times New Roman" w:hAnsi="Times New Roman"/>
        </w:rPr>
        <w:t>ing</w:t>
      </w:r>
      <w:r w:rsidRPr="005C2A26">
        <w:rPr>
          <w:rFonts w:ascii="Times New Roman" w:hAnsi="Times New Roman"/>
        </w:rPr>
        <w:t xml:space="preserve"> against sugar-sweetened and caffeinated drinks;</w:t>
      </w:r>
    </w:p>
    <w:p w14:paraId="0CDEDC87" w14:textId="217DF0A8" w:rsidR="002957CC"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sidRPr="005C2A26">
        <w:rPr>
          <w:rFonts w:ascii="Times New Roman" w:hAnsi="Times New Roman"/>
        </w:rPr>
        <w:t xml:space="preserve">benefits of daily physical activity, opportunities for daily physical activity, </w:t>
      </w:r>
      <w:r>
        <w:rPr>
          <w:rFonts w:ascii="Times New Roman" w:hAnsi="Times New Roman"/>
        </w:rPr>
        <w:t xml:space="preserve">and </w:t>
      </w:r>
      <w:r w:rsidRPr="005C2A26">
        <w:rPr>
          <w:rFonts w:ascii="Times New Roman" w:hAnsi="Times New Roman"/>
        </w:rPr>
        <w:t>parents as role models;</w:t>
      </w:r>
    </w:p>
    <w:p w14:paraId="77862B1A" w14:textId="77777777" w:rsidR="002957CC" w:rsidRDefault="002957CC">
      <w:pPr>
        <w:rPr>
          <w:sz w:val="22"/>
          <w:szCs w:val="22"/>
        </w:rPr>
      </w:pPr>
      <w:r>
        <w:br w:type="page"/>
      </w:r>
    </w:p>
    <w:p w14:paraId="5CBEDBF1" w14:textId="77777777" w:rsidR="004F0AE5" w:rsidRPr="005C2A26"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sidRPr="005C2A26">
        <w:rPr>
          <w:rFonts w:ascii="Times New Roman" w:hAnsi="Times New Roman"/>
        </w:rPr>
        <w:lastRenderedPageBreak/>
        <w:t>healthy sleep habits and encouraging proper sleep amounts and safe sleep practices, including placing infants on their backs when putting them to sleep, avoiding co-sleeping, and use of a firm sleep surface without soft bedding or toys;</w:t>
      </w:r>
    </w:p>
    <w:p w14:paraId="21088F89" w14:textId="77777777" w:rsidR="004F0AE5" w:rsidRPr="005C2A26"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sidRPr="005C2A26">
        <w:rPr>
          <w:rFonts w:ascii="Times New Roman" w:hAnsi="Times New Roman"/>
        </w:rPr>
        <w:t>impact of electronic media as a risk factor for being overweight, low school performance, and violent behavior. Encourage limiting of screen time. Discourage placement of computers and TVs in bedrooms;</w:t>
      </w:r>
    </w:p>
    <w:p w14:paraId="60772C38" w14:textId="77777777" w:rsidR="004F0AE5" w:rsidRPr="005C2A26"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sidRPr="005C2A26">
        <w:rPr>
          <w:rFonts w:ascii="Times New Roman" w:hAnsi="Times New Roman"/>
        </w:rPr>
        <w:t xml:space="preserve">safety related to online activity, social networking, and use of smartphones and other handheld devices; </w:t>
      </w:r>
    </w:p>
    <w:p w14:paraId="56E85C0D" w14:textId="77777777" w:rsidR="004F0AE5" w:rsidRPr="005C2A26"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sidRPr="005C2A26">
        <w:rPr>
          <w:rFonts w:ascii="Times New Roman" w:hAnsi="Times New Roman"/>
        </w:rPr>
        <w:t>chronic and communicable disease prevention;</w:t>
      </w:r>
    </w:p>
    <w:p w14:paraId="2B20344B" w14:textId="77777777" w:rsidR="004F0AE5" w:rsidRPr="00B81B42"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sidRPr="005C2A26">
        <w:rPr>
          <w:rFonts w:ascii="Times New Roman" w:hAnsi="Times New Roman"/>
        </w:rPr>
        <w:t xml:space="preserve">safety measures and injury prevention, including childproofing, car seats and seat belts, bike and motorcycle helmets, poison prevention, </w:t>
      </w:r>
      <w:r w:rsidRPr="00D323E7">
        <w:rPr>
          <w:rFonts w:ascii="Times New Roman" w:hAnsi="Times New Roman"/>
        </w:rPr>
        <w:t xml:space="preserve">firearm </w:t>
      </w:r>
      <w:r w:rsidRPr="00B81B42">
        <w:rPr>
          <w:rFonts w:ascii="Times New Roman" w:hAnsi="Times New Roman"/>
        </w:rPr>
        <w:t>safety, and other age-appropriate counseling;</w:t>
      </w:r>
    </w:p>
    <w:p w14:paraId="0D82E55C" w14:textId="77777777" w:rsidR="004F0AE5" w:rsidRPr="00B81B42" w:rsidRDefault="004F0AE5" w:rsidP="004F0AE5">
      <w:pPr>
        <w:pStyle w:val="ListParagraph"/>
        <w:numPr>
          <w:ilvl w:val="0"/>
          <w:numId w:val="13"/>
        </w:numPr>
        <w:tabs>
          <w:tab w:val="left" w:pos="9810"/>
        </w:tabs>
        <w:spacing w:before="4" w:after="120" w:line="240" w:lineRule="auto"/>
        <w:ind w:right="10"/>
        <w:contextualSpacing w:val="0"/>
        <w:rPr>
          <w:rFonts w:ascii="Times New Roman" w:hAnsi="Times New Roman"/>
        </w:rPr>
      </w:pPr>
      <w:r w:rsidRPr="00B81B42">
        <w:rPr>
          <w:rFonts w:ascii="Times New Roman" w:hAnsi="Times New Roman"/>
        </w:rPr>
        <w:t>skin protection</w:t>
      </w:r>
      <w:r>
        <w:rPr>
          <w:rFonts w:ascii="Times New Roman" w:hAnsi="Times New Roman"/>
        </w:rPr>
        <w:t>,</w:t>
      </w:r>
      <w:r w:rsidRPr="00B81B42">
        <w:rPr>
          <w:rFonts w:ascii="Times New Roman" w:hAnsi="Times New Roman"/>
        </w:rPr>
        <w:t xml:space="preserve"> including using sunscreen, minimizing exposure to the sun, and discouraging use of indoor tanning;</w:t>
      </w:r>
    </w:p>
    <w:p w14:paraId="71A5B22A" w14:textId="77777777" w:rsidR="004F0AE5" w:rsidRDefault="004F0AE5" w:rsidP="004F0AE5">
      <w:pPr>
        <w:pStyle w:val="ListParagraph"/>
        <w:numPr>
          <w:ilvl w:val="0"/>
          <w:numId w:val="13"/>
        </w:numPr>
        <w:tabs>
          <w:tab w:val="left" w:pos="9810"/>
        </w:tabs>
        <w:spacing w:before="4" w:after="120" w:line="240" w:lineRule="auto"/>
        <w:ind w:left="1195" w:right="14"/>
        <w:contextualSpacing w:val="0"/>
        <w:rPr>
          <w:rFonts w:ascii="Times New Roman" w:hAnsi="Times New Roman"/>
        </w:rPr>
      </w:pPr>
      <w:r w:rsidRPr="00B81B42">
        <w:rPr>
          <w:rFonts w:ascii="Times New Roman" w:hAnsi="Times New Roman"/>
        </w:rPr>
        <w:t>potential risks of body piercing and tattooing</w:t>
      </w:r>
      <w:r>
        <w:rPr>
          <w:rFonts w:ascii="Times New Roman" w:hAnsi="Times New Roman"/>
        </w:rPr>
        <w:t>;</w:t>
      </w:r>
    </w:p>
    <w:p w14:paraId="7CB0FADA" w14:textId="77777777" w:rsidR="004F0AE5" w:rsidRPr="00F544E0" w:rsidRDefault="004F0AE5" w:rsidP="004F0AE5">
      <w:pPr>
        <w:pStyle w:val="ListParagraph"/>
        <w:numPr>
          <w:ilvl w:val="0"/>
          <w:numId w:val="13"/>
        </w:numPr>
        <w:tabs>
          <w:tab w:val="left" w:pos="9810"/>
        </w:tabs>
        <w:spacing w:before="4" w:after="120" w:line="240" w:lineRule="auto"/>
        <w:ind w:right="14"/>
        <w:contextualSpacing w:val="0"/>
        <w:rPr>
          <w:rFonts w:ascii="Times New Roman" w:hAnsi="Times New Roman"/>
          <w:b/>
          <w:bCs/>
        </w:rPr>
      </w:pPr>
      <w:r>
        <w:rPr>
          <w:rFonts w:ascii="Times New Roman" w:hAnsi="Times New Roman"/>
        </w:rPr>
        <w:t>nutrition, which primary care providers may assess and promote by doing the following:</w:t>
      </w:r>
    </w:p>
    <w:p w14:paraId="2C94784E" w14:textId="77777777" w:rsidR="004F0AE5" w:rsidRPr="00F544E0" w:rsidRDefault="004F0AE5" w:rsidP="004F0AE5">
      <w:pPr>
        <w:pStyle w:val="ListParagraph"/>
        <w:numPr>
          <w:ilvl w:val="0"/>
          <w:numId w:val="16"/>
        </w:numPr>
        <w:tabs>
          <w:tab w:val="left" w:pos="9810"/>
        </w:tabs>
        <w:spacing w:before="4" w:after="120" w:line="240" w:lineRule="auto"/>
        <w:ind w:right="14"/>
        <w:contextualSpacing w:val="0"/>
        <w:rPr>
          <w:rFonts w:ascii="Times New Roman" w:hAnsi="Times New Roman"/>
          <w:bCs/>
        </w:rPr>
      </w:pPr>
      <w:r w:rsidRPr="00F544E0">
        <w:rPr>
          <w:rFonts w:ascii="Times New Roman" w:hAnsi="Times New Roman"/>
          <w:bCs/>
        </w:rPr>
        <w:t>Ask about dietary habits;</w:t>
      </w:r>
    </w:p>
    <w:p w14:paraId="56D80C98" w14:textId="77777777" w:rsidR="004F0AE5" w:rsidRPr="00F544E0" w:rsidRDefault="004F0AE5" w:rsidP="004F0AE5">
      <w:pPr>
        <w:pStyle w:val="ListParagraph"/>
        <w:numPr>
          <w:ilvl w:val="0"/>
          <w:numId w:val="16"/>
        </w:numPr>
        <w:tabs>
          <w:tab w:val="left" w:pos="9810"/>
        </w:tabs>
        <w:spacing w:before="4" w:after="120" w:line="240" w:lineRule="auto"/>
        <w:ind w:right="14"/>
        <w:contextualSpacing w:val="0"/>
        <w:rPr>
          <w:rFonts w:ascii="Times New Roman" w:hAnsi="Times New Roman"/>
          <w:bCs/>
        </w:rPr>
      </w:pPr>
      <w:r w:rsidRPr="00F544E0">
        <w:rPr>
          <w:rFonts w:ascii="Times New Roman" w:hAnsi="Times New Roman"/>
          <w:bCs/>
        </w:rPr>
        <w:t>Promote breastfeeding as the best form of infant nutrition and assess breastfed infants between two and five days of age;</w:t>
      </w:r>
    </w:p>
    <w:p w14:paraId="39680F44" w14:textId="77777777" w:rsidR="004F0AE5" w:rsidRPr="00F544E0" w:rsidRDefault="004F0AE5" w:rsidP="004F0AE5">
      <w:pPr>
        <w:pStyle w:val="ListParagraph"/>
        <w:numPr>
          <w:ilvl w:val="0"/>
          <w:numId w:val="16"/>
        </w:numPr>
        <w:tabs>
          <w:tab w:val="left" w:pos="9810"/>
        </w:tabs>
        <w:spacing w:before="4" w:after="120" w:line="240" w:lineRule="auto"/>
        <w:ind w:right="14"/>
        <w:contextualSpacing w:val="0"/>
        <w:rPr>
          <w:rFonts w:ascii="Times New Roman" w:hAnsi="Times New Roman"/>
          <w:bCs/>
        </w:rPr>
      </w:pPr>
      <w:r w:rsidRPr="00F544E0">
        <w:rPr>
          <w:rFonts w:ascii="Times New Roman" w:hAnsi="Times New Roman"/>
          <w:bCs/>
        </w:rPr>
        <w:t>Starting in middle childhood, screen annually for eating disorders and ask about body image and dieting patters;</w:t>
      </w:r>
      <w:r>
        <w:rPr>
          <w:rFonts w:ascii="Times New Roman" w:hAnsi="Times New Roman"/>
          <w:bCs/>
        </w:rPr>
        <w:t xml:space="preserve"> and</w:t>
      </w:r>
    </w:p>
    <w:p w14:paraId="681E7AB1" w14:textId="77777777" w:rsidR="004F0AE5" w:rsidRPr="00732CB1" w:rsidRDefault="004F0AE5" w:rsidP="004F0AE5">
      <w:pPr>
        <w:pStyle w:val="ListParagraph"/>
        <w:numPr>
          <w:ilvl w:val="0"/>
          <w:numId w:val="16"/>
        </w:numPr>
        <w:tabs>
          <w:tab w:val="left" w:pos="9810"/>
        </w:tabs>
        <w:spacing w:before="4" w:after="120" w:line="240" w:lineRule="auto"/>
        <w:ind w:right="14"/>
        <w:contextualSpacing w:val="0"/>
        <w:rPr>
          <w:rFonts w:ascii="Times New Roman" w:hAnsi="Times New Roman"/>
          <w:bCs/>
        </w:rPr>
      </w:pPr>
      <w:r w:rsidRPr="00F544E0">
        <w:rPr>
          <w:rFonts w:ascii="Times New Roman" w:hAnsi="Times New Roman"/>
          <w:bCs/>
        </w:rPr>
        <w:t>Make every effort to inform a potentially eligible member or the parent or guardian about the Women, Infants, and Children (WIC) nutrition program</w:t>
      </w:r>
      <w:r>
        <w:rPr>
          <w:rFonts w:ascii="Times New Roman" w:hAnsi="Times New Roman"/>
          <w:bCs/>
        </w:rPr>
        <w:t xml:space="preserve">. </w:t>
      </w:r>
      <w:r w:rsidRPr="00732CB1">
        <w:rPr>
          <w:rFonts w:ascii="Times New Roman" w:hAnsi="Times New Roman"/>
          <w:bCs/>
        </w:rPr>
        <w:t>A referral to WIC should be made using the WIC Medical Referral Form (MRF) from the Massachusetts WIC Program. In addition, the member, parent, or guardian may also be referred to the Supplemental Nutrition Assistance Program (SNAP), which is administered by the Department of Transitional Assistance.</w:t>
      </w:r>
    </w:p>
    <w:p w14:paraId="7455D414" w14:textId="77777777" w:rsidR="004F0AE5" w:rsidRPr="007940ED" w:rsidRDefault="004F0AE5">
      <w:pPr>
        <w:rPr>
          <w:b/>
          <w:bCs/>
          <w:position w:val="-1"/>
        </w:rPr>
      </w:pPr>
      <w:r w:rsidRPr="007940ED">
        <w:rPr>
          <w:b/>
          <w:bCs/>
          <w:position w:val="-1"/>
        </w:rPr>
        <w:br w:type="page"/>
      </w:r>
    </w:p>
    <w:p w14:paraId="1BB6062B" w14:textId="77777777" w:rsidR="004F0AE5" w:rsidRPr="005C2A26" w:rsidRDefault="004F0AE5" w:rsidP="004F0AE5">
      <w:pPr>
        <w:pStyle w:val="ListParagraph"/>
        <w:numPr>
          <w:ilvl w:val="0"/>
          <w:numId w:val="6"/>
        </w:numPr>
        <w:spacing w:after="0" w:line="271" w:lineRule="exact"/>
        <w:ind w:left="540" w:right="-20" w:hanging="424"/>
        <w:rPr>
          <w:rFonts w:ascii="Times New Roman" w:hAnsi="Times New Roman"/>
          <w:b/>
          <w:bCs/>
          <w:position w:val="-1"/>
          <w:sz w:val="24"/>
          <w:szCs w:val="24"/>
          <w:u w:val="single" w:color="000000"/>
        </w:rPr>
      </w:pPr>
      <w:r w:rsidRPr="005C2A26">
        <w:rPr>
          <w:rFonts w:ascii="Times New Roman" w:hAnsi="Times New Roman"/>
          <w:b/>
          <w:bCs/>
          <w:position w:val="-1"/>
          <w:sz w:val="24"/>
          <w:szCs w:val="24"/>
          <w:u w:val="single" w:color="000000"/>
        </w:rPr>
        <w:lastRenderedPageBreak/>
        <w:t>The Dental Schedule</w:t>
      </w:r>
    </w:p>
    <w:p w14:paraId="31175FB0" w14:textId="77777777" w:rsidR="004F0AE5" w:rsidRPr="002957CC" w:rsidRDefault="004F0AE5" w:rsidP="004F0AE5">
      <w:pPr>
        <w:spacing w:before="11" w:line="200" w:lineRule="exact"/>
        <w:rPr>
          <w:sz w:val="16"/>
          <w:szCs w:val="16"/>
        </w:rPr>
      </w:pPr>
    </w:p>
    <w:p w14:paraId="68BEA206" w14:textId="77777777" w:rsidR="004F0AE5" w:rsidRPr="00D323E7" w:rsidRDefault="004F0AE5" w:rsidP="004F0AE5">
      <w:pPr>
        <w:ind w:left="540"/>
      </w:pPr>
      <w:r w:rsidRPr="00D323E7">
        <w:t xml:space="preserve">The EPSDT Dental Protocol and Periodicity Schedule (the Dental Schedule) consists of procedures arranged according to the intervals or age levels at which each procedure is to be provided. The Dental Schedule is based on the </w:t>
      </w:r>
      <w:r w:rsidRPr="005C2A26">
        <w:rPr>
          <w:i/>
          <w:iCs/>
        </w:rPr>
        <w:t>Recommendations for Pediatric Oral Health Assessment, Preventive Services, and Anticipatory Guidance/Counseling</w:t>
      </w:r>
      <w:r w:rsidRPr="00D323E7">
        <w:t xml:space="preserve"> from the American Academy of Pediatric Dentistry (AAPD) Reference Manual 201</w:t>
      </w:r>
      <w:r>
        <w:t>9</w:t>
      </w:r>
      <w:r w:rsidRPr="00D323E7">
        <w:t>-20</w:t>
      </w:r>
      <w:r>
        <w:t>20</w:t>
      </w:r>
      <w:r w:rsidRPr="00D323E7">
        <w:t xml:space="preserve">. See 130 CMR 450.140 through 450.150 for more information about Early and Periodic Screening, Diagnostic, and Treatment (EPSDT) services and Preventive Pediatric Healthcare Screening and Diagnosis (PPHSD) services. This schedule reflects recommended well and preventive child healthcare screening services. If the clinical needs of a child justify deviation from this schedule, the provider must document this fact in the member’s dental record, including the provider’s clinical judgment and justification for that deviation. </w:t>
      </w:r>
    </w:p>
    <w:p w14:paraId="745ABE22" w14:textId="77777777" w:rsidR="004F0AE5" w:rsidRPr="00D323E7" w:rsidRDefault="004F0AE5" w:rsidP="000B2831">
      <w:pPr>
        <w:tabs>
          <w:tab w:val="left" w:pos="9810"/>
        </w:tabs>
        <w:spacing w:before="120"/>
        <w:ind w:left="115" w:right="14"/>
        <w:rPr>
          <w:b/>
          <w:bCs/>
        </w:rPr>
      </w:pPr>
      <w:r w:rsidRPr="00D323E7">
        <w:rPr>
          <w:b/>
          <w:bCs/>
        </w:rPr>
        <w:t>II.</w:t>
      </w:r>
      <w:r w:rsidRPr="00D5581B">
        <w:rPr>
          <w:b/>
          <w:bCs/>
        </w:rPr>
        <w:t>A.</w:t>
      </w:r>
      <w:r w:rsidRPr="00D323E7">
        <w:rPr>
          <w:b/>
          <w:bCs/>
        </w:rPr>
        <w:t xml:space="preserve"> </w:t>
      </w:r>
      <w:r>
        <w:rPr>
          <w:b/>
          <w:bCs/>
        </w:rPr>
        <w:t xml:space="preserve"> </w:t>
      </w:r>
      <w:r w:rsidRPr="00D323E7">
        <w:rPr>
          <w:b/>
          <w:bCs/>
        </w:rPr>
        <w:t>Dental Schedule Table</w:t>
      </w:r>
    </w:p>
    <w:p w14:paraId="583D0527" w14:textId="77777777" w:rsidR="004F0AE5" w:rsidRPr="002957CC" w:rsidRDefault="004F0AE5" w:rsidP="004F0AE5">
      <w:pPr>
        <w:tabs>
          <w:tab w:val="left" w:pos="9810"/>
        </w:tabs>
        <w:ind w:left="116" w:right="10"/>
        <w:rPr>
          <w:b/>
          <w:bCs/>
          <w:sz w:val="16"/>
          <w:szCs w:val="16"/>
        </w:rPr>
      </w:pPr>
    </w:p>
    <w:p w14:paraId="37FB8B1A" w14:textId="77777777" w:rsidR="004F0AE5" w:rsidRDefault="004F0AE5" w:rsidP="004F0AE5">
      <w:pPr>
        <w:ind w:left="720"/>
      </w:pPr>
      <w:r w:rsidRPr="00D323E7">
        <w:t>The Dental Schedule is included in the following table. Explanations of each component are included in section II.B.</w:t>
      </w:r>
    </w:p>
    <w:tbl>
      <w:tblPr>
        <w:tblStyle w:val="TableGrid"/>
        <w:tblW w:w="9478" w:type="dxa"/>
        <w:tblInd w:w="170" w:type="dxa"/>
        <w:tblLayout w:type="fixed"/>
        <w:tblLook w:val="01E0" w:firstRow="1" w:lastRow="1" w:firstColumn="1" w:lastColumn="1" w:noHBand="0" w:noVBand="0"/>
      </w:tblPr>
      <w:tblGrid>
        <w:gridCol w:w="3240"/>
        <w:gridCol w:w="1080"/>
        <w:gridCol w:w="1170"/>
        <w:gridCol w:w="1350"/>
        <w:gridCol w:w="1350"/>
        <w:gridCol w:w="1288"/>
      </w:tblGrid>
      <w:tr w:rsidR="004F0AE5" w:rsidRPr="00D323E7" w14:paraId="3050D00B" w14:textId="77777777" w:rsidTr="004F0AE5">
        <w:trPr>
          <w:trHeight w:val="525"/>
          <w:tblHeader/>
        </w:trPr>
        <w:tc>
          <w:tcPr>
            <w:tcW w:w="3240" w:type="dxa"/>
            <w:tcBorders>
              <w:top w:val="single" w:sz="8" w:space="0" w:color="auto"/>
              <w:left w:val="single" w:sz="8" w:space="0" w:color="auto"/>
              <w:bottom w:val="single" w:sz="8" w:space="0" w:color="auto"/>
              <w:right w:val="single" w:sz="8" w:space="0" w:color="auto"/>
            </w:tcBorders>
          </w:tcPr>
          <w:p w14:paraId="4814276E" w14:textId="77777777" w:rsidR="004F0AE5" w:rsidRPr="00D5581B" w:rsidRDefault="004F0AE5" w:rsidP="004F0AE5">
            <w:pPr>
              <w:rPr>
                <w:rFonts w:ascii="Times New Roman" w:hAnsi="Times New Roman"/>
              </w:rPr>
            </w:pPr>
          </w:p>
        </w:tc>
        <w:tc>
          <w:tcPr>
            <w:tcW w:w="1080" w:type="dxa"/>
            <w:tcBorders>
              <w:top w:val="single" w:sz="8" w:space="0" w:color="auto"/>
              <w:left w:val="single" w:sz="8" w:space="0" w:color="auto"/>
              <w:bottom w:val="single" w:sz="8" w:space="0" w:color="auto"/>
              <w:right w:val="single" w:sz="8" w:space="0" w:color="auto"/>
            </w:tcBorders>
          </w:tcPr>
          <w:p w14:paraId="48398FA3" w14:textId="77777777" w:rsidR="004F0AE5" w:rsidRDefault="004F0AE5" w:rsidP="004F0AE5">
            <w:pPr>
              <w:jc w:val="center"/>
              <w:rPr>
                <w:rFonts w:ascii="Times New Roman" w:hAnsi="Times New Roman"/>
                <w:b/>
                <w:bCs/>
              </w:rPr>
            </w:pPr>
            <w:r w:rsidRPr="00D323E7">
              <w:rPr>
                <w:rFonts w:ascii="Times New Roman" w:hAnsi="Times New Roman"/>
                <w:b/>
                <w:bCs/>
              </w:rPr>
              <w:t xml:space="preserve">6 </w:t>
            </w:r>
            <w:r>
              <w:rPr>
                <w:rFonts w:ascii="Times New Roman" w:hAnsi="Times New Roman"/>
                <w:b/>
                <w:bCs/>
              </w:rPr>
              <w:t>–</w:t>
            </w:r>
            <w:r w:rsidRPr="00D323E7">
              <w:rPr>
                <w:rFonts w:ascii="Times New Roman" w:hAnsi="Times New Roman"/>
                <w:b/>
                <w:bCs/>
              </w:rPr>
              <w:t xml:space="preserve"> 12</w:t>
            </w:r>
          </w:p>
          <w:p w14:paraId="63483089" w14:textId="77777777" w:rsidR="004F0AE5" w:rsidRPr="00D323E7" w:rsidRDefault="004F0AE5" w:rsidP="004F0AE5">
            <w:pPr>
              <w:jc w:val="center"/>
              <w:rPr>
                <w:rFonts w:ascii="Times New Roman" w:hAnsi="Times New Roman"/>
                <w:b/>
                <w:bCs/>
              </w:rPr>
            </w:pPr>
            <w:r w:rsidRPr="00D323E7">
              <w:rPr>
                <w:rFonts w:ascii="Times New Roman" w:hAnsi="Times New Roman"/>
                <w:b/>
                <w:bCs/>
              </w:rPr>
              <w:t xml:space="preserve"> Months</w:t>
            </w:r>
          </w:p>
        </w:tc>
        <w:tc>
          <w:tcPr>
            <w:tcW w:w="1170" w:type="dxa"/>
            <w:tcBorders>
              <w:top w:val="single" w:sz="8" w:space="0" w:color="auto"/>
              <w:left w:val="single" w:sz="8" w:space="0" w:color="auto"/>
              <w:bottom w:val="single" w:sz="8" w:space="0" w:color="auto"/>
              <w:right w:val="single" w:sz="8" w:space="0" w:color="auto"/>
            </w:tcBorders>
          </w:tcPr>
          <w:p w14:paraId="637AED2E" w14:textId="77777777" w:rsidR="004F0AE5" w:rsidRPr="00D323E7" w:rsidRDefault="004F0AE5" w:rsidP="004F0AE5">
            <w:pPr>
              <w:jc w:val="center"/>
              <w:rPr>
                <w:rFonts w:ascii="Times New Roman" w:hAnsi="Times New Roman"/>
                <w:b/>
                <w:bCs/>
              </w:rPr>
            </w:pPr>
            <w:r w:rsidRPr="00D323E7">
              <w:rPr>
                <w:rFonts w:ascii="Times New Roman" w:hAnsi="Times New Roman"/>
                <w:b/>
                <w:bCs/>
              </w:rPr>
              <w:t>12 -24</w:t>
            </w:r>
          </w:p>
          <w:p w14:paraId="7DE9EFC0" w14:textId="77777777" w:rsidR="004F0AE5" w:rsidRPr="00D323E7" w:rsidRDefault="004F0AE5" w:rsidP="004F0AE5">
            <w:pPr>
              <w:jc w:val="center"/>
              <w:rPr>
                <w:rFonts w:ascii="Times New Roman" w:hAnsi="Times New Roman"/>
                <w:b/>
                <w:bCs/>
              </w:rPr>
            </w:pPr>
            <w:r w:rsidRPr="00D323E7">
              <w:rPr>
                <w:rFonts w:ascii="Times New Roman" w:hAnsi="Times New Roman"/>
                <w:b/>
                <w:bCs/>
              </w:rPr>
              <w:t>Months</w:t>
            </w:r>
          </w:p>
        </w:tc>
        <w:tc>
          <w:tcPr>
            <w:tcW w:w="1350" w:type="dxa"/>
            <w:tcBorders>
              <w:top w:val="single" w:sz="8" w:space="0" w:color="auto"/>
              <w:left w:val="single" w:sz="8" w:space="0" w:color="auto"/>
              <w:bottom w:val="single" w:sz="8" w:space="0" w:color="auto"/>
              <w:right w:val="single" w:sz="8" w:space="0" w:color="auto"/>
            </w:tcBorders>
          </w:tcPr>
          <w:p w14:paraId="129F8420" w14:textId="77777777" w:rsidR="004F0AE5" w:rsidRPr="00D323E7" w:rsidRDefault="004F0AE5" w:rsidP="004F0AE5">
            <w:pPr>
              <w:jc w:val="center"/>
              <w:rPr>
                <w:rFonts w:ascii="Times New Roman" w:hAnsi="Times New Roman"/>
                <w:b/>
                <w:bCs/>
              </w:rPr>
            </w:pPr>
            <w:r w:rsidRPr="00D323E7">
              <w:rPr>
                <w:rFonts w:ascii="Times New Roman" w:hAnsi="Times New Roman"/>
                <w:b/>
                <w:bCs/>
              </w:rPr>
              <w:t>2 - 6</w:t>
            </w:r>
          </w:p>
          <w:p w14:paraId="0C9C7E58" w14:textId="77777777" w:rsidR="004F0AE5" w:rsidRPr="00D323E7" w:rsidRDefault="004F0AE5" w:rsidP="004F0AE5">
            <w:pPr>
              <w:jc w:val="center"/>
              <w:rPr>
                <w:rFonts w:ascii="Times New Roman" w:hAnsi="Times New Roman"/>
                <w:b/>
                <w:bCs/>
              </w:rPr>
            </w:pPr>
            <w:r w:rsidRPr="00D323E7">
              <w:rPr>
                <w:rFonts w:ascii="Times New Roman" w:hAnsi="Times New Roman"/>
                <w:b/>
                <w:bCs/>
              </w:rPr>
              <w:t>Years</w:t>
            </w:r>
          </w:p>
        </w:tc>
        <w:tc>
          <w:tcPr>
            <w:tcW w:w="1350" w:type="dxa"/>
            <w:tcBorders>
              <w:top w:val="single" w:sz="8" w:space="0" w:color="auto"/>
              <w:left w:val="single" w:sz="8" w:space="0" w:color="auto"/>
              <w:bottom w:val="single" w:sz="8" w:space="0" w:color="auto"/>
              <w:right w:val="single" w:sz="8" w:space="0" w:color="auto"/>
            </w:tcBorders>
          </w:tcPr>
          <w:p w14:paraId="6AA7AAB7" w14:textId="77777777" w:rsidR="004F0AE5" w:rsidRPr="00D323E7" w:rsidRDefault="004F0AE5" w:rsidP="004F0AE5">
            <w:pPr>
              <w:jc w:val="center"/>
              <w:rPr>
                <w:rFonts w:ascii="Times New Roman" w:hAnsi="Times New Roman"/>
                <w:b/>
                <w:bCs/>
              </w:rPr>
            </w:pPr>
            <w:r w:rsidRPr="00D323E7">
              <w:rPr>
                <w:rFonts w:ascii="Times New Roman" w:hAnsi="Times New Roman"/>
                <w:b/>
                <w:bCs/>
              </w:rPr>
              <w:t>6 - 12</w:t>
            </w:r>
          </w:p>
          <w:p w14:paraId="3D4D29E3" w14:textId="77777777" w:rsidR="004F0AE5" w:rsidRPr="00D323E7" w:rsidRDefault="004F0AE5" w:rsidP="004F0AE5">
            <w:pPr>
              <w:jc w:val="center"/>
              <w:rPr>
                <w:rFonts w:ascii="Times New Roman" w:hAnsi="Times New Roman"/>
                <w:b/>
                <w:bCs/>
              </w:rPr>
            </w:pPr>
            <w:r w:rsidRPr="00D323E7">
              <w:rPr>
                <w:rFonts w:ascii="Times New Roman" w:hAnsi="Times New Roman"/>
                <w:b/>
                <w:bCs/>
              </w:rPr>
              <w:t>Years</w:t>
            </w:r>
          </w:p>
        </w:tc>
        <w:tc>
          <w:tcPr>
            <w:tcW w:w="1288" w:type="dxa"/>
            <w:tcBorders>
              <w:top w:val="single" w:sz="8" w:space="0" w:color="auto"/>
              <w:left w:val="single" w:sz="8" w:space="0" w:color="auto"/>
              <w:bottom w:val="single" w:sz="8" w:space="0" w:color="auto"/>
              <w:right w:val="single" w:sz="8" w:space="0" w:color="auto"/>
            </w:tcBorders>
          </w:tcPr>
          <w:p w14:paraId="544CC986" w14:textId="77777777" w:rsidR="004F0AE5" w:rsidRPr="00D323E7" w:rsidRDefault="004F0AE5" w:rsidP="004F0AE5">
            <w:pPr>
              <w:jc w:val="center"/>
              <w:rPr>
                <w:rFonts w:ascii="Times New Roman" w:hAnsi="Times New Roman"/>
                <w:b/>
                <w:bCs/>
              </w:rPr>
            </w:pPr>
            <w:r w:rsidRPr="00D323E7">
              <w:rPr>
                <w:rFonts w:ascii="Times New Roman" w:hAnsi="Times New Roman"/>
                <w:b/>
                <w:bCs/>
              </w:rPr>
              <w:t>12 - 20</w:t>
            </w:r>
          </w:p>
          <w:p w14:paraId="20DBEE47" w14:textId="77777777" w:rsidR="004F0AE5" w:rsidRPr="00D323E7" w:rsidRDefault="004F0AE5" w:rsidP="004F0AE5">
            <w:pPr>
              <w:jc w:val="center"/>
              <w:rPr>
                <w:rFonts w:ascii="Times New Roman" w:hAnsi="Times New Roman"/>
                <w:b/>
                <w:bCs/>
              </w:rPr>
            </w:pPr>
            <w:r w:rsidRPr="00D323E7">
              <w:rPr>
                <w:rFonts w:ascii="Times New Roman" w:hAnsi="Times New Roman"/>
                <w:b/>
                <w:bCs/>
              </w:rPr>
              <w:t>Years</w:t>
            </w:r>
          </w:p>
        </w:tc>
      </w:tr>
      <w:tr w:rsidR="004F0AE5" w:rsidRPr="00D323E7" w14:paraId="48AD4D5F" w14:textId="77777777" w:rsidTr="004F0AE5">
        <w:trPr>
          <w:trHeight w:val="345"/>
        </w:trPr>
        <w:tc>
          <w:tcPr>
            <w:tcW w:w="3240" w:type="dxa"/>
            <w:tcBorders>
              <w:top w:val="single" w:sz="8" w:space="0" w:color="auto"/>
              <w:left w:val="single" w:sz="8" w:space="0" w:color="auto"/>
              <w:bottom w:val="single" w:sz="8" w:space="0" w:color="auto"/>
              <w:right w:val="single" w:sz="8" w:space="0" w:color="auto"/>
            </w:tcBorders>
          </w:tcPr>
          <w:p w14:paraId="2749FCF4" w14:textId="77777777" w:rsidR="004F0AE5" w:rsidRPr="00D5581B" w:rsidRDefault="004F0AE5" w:rsidP="004F0AE5">
            <w:pPr>
              <w:rPr>
                <w:rFonts w:ascii="Times New Roman" w:hAnsi="Times New Roman"/>
              </w:rPr>
            </w:pPr>
            <w:r w:rsidRPr="00D323E7">
              <w:rPr>
                <w:rFonts w:ascii="Times New Roman" w:hAnsi="Times New Roman"/>
              </w:rPr>
              <w:t>Clinical oral examination</w:t>
            </w:r>
            <w:r w:rsidRPr="00D323E7">
              <w:rPr>
                <w:rFonts w:ascii="Times New Roman" w:hAnsi="Times New Roman"/>
                <w:vertAlign w:val="superscript"/>
              </w:rPr>
              <w:t xml:space="preserve"> (1)</w:t>
            </w:r>
          </w:p>
        </w:tc>
        <w:tc>
          <w:tcPr>
            <w:tcW w:w="1080" w:type="dxa"/>
            <w:tcBorders>
              <w:top w:val="single" w:sz="8" w:space="0" w:color="auto"/>
              <w:left w:val="single" w:sz="8" w:space="0" w:color="auto"/>
              <w:bottom w:val="single" w:sz="8" w:space="0" w:color="auto"/>
              <w:right w:val="single" w:sz="8" w:space="0" w:color="auto"/>
            </w:tcBorders>
          </w:tcPr>
          <w:p w14:paraId="5C79F701"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170" w:type="dxa"/>
            <w:tcBorders>
              <w:top w:val="single" w:sz="8" w:space="0" w:color="auto"/>
              <w:left w:val="single" w:sz="8" w:space="0" w:color="auto"/>
              <w:bottom w:val="single" w:sz="8" w:space="0" w:color="auto"/>
              <w:right w:val="single" w:sz="8" w:space="0" w:color="auto"/>
            </w:tcBorders>
          </w:tcPr>
          <w:p w14:paraId="4E05BD73"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4D41C7AF"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6F96556B"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7557E9B2"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301FEFAA" w14:textId="77777777" w:rsidTr="004F0AE5">
        <w:trPr>
          <w:trHeight w:val="525"/>
        </w:trPr>
        <w:tc>
          <w:tcPr>
            <w:tcW w:w="3240" w:type="dxa"/>
            <w:tcBorders>
              <w:top w:val="single" w:sz="8" w:space="0" w:color="auto"/>
              <w:left w:val="single" w:sz="8" w:space="0" w:color="auto"/>
              <w:bottom w:val="single" w:sz="8" w:space="0" w:color="auto"/>
              <w:right w:val="single" w:sz="8" w:space="0" w:color="auto"/>
            </w:tcBorders>
          </w:tcPr>
          <w:p w14:paraId="3B7E0B28" w14:textId="77777777" w:rsidR="004F0AE5" w:rsidRPr="00D5581B" w:rsidRDefault="004F0AE5" w:rsidP="004F0AE5">
            <w:pPr>
              <w:rPr>
                <w:rFonts w:ascii="Times New Roman" w:hAnsi="Times New Roman"/>
              </w:rPr>
            </w:pPr>
            <w:r w:rsidRPr="00D323E7">
              <w:rPr>
                <w:rFonts w:ascii="Times New Roman" w:hAnsi="Times New Roman"/>
              </w:rPr>
              <w:t>Assess</w:t>
            </w:r>
            <w:r>
              <w:rPr>
                <w:rFonts w:ascii="Times New Roman" w:hAnsi="Times New Roman"/>
              </w:rPr>
              <w:t>ment of</w:t>
            </w:r>
            <w:r w:rsidRPr="00D323E7">
              <w:rPr>
                <w:rFonts w:ascii="Times New Roman" w:hAnsi="Times New Roman"/>
              </w:rPr>
              <w:t xml:space="preserve"> oral growth and development </w:t>
            </w:r>
            <w:r w:rsidRPr="00D323E7">
              <w:rPr>
                <w:rFonts w:ascii="Times New Roman" w:hAnsi="Times New Roman"/>
                <w:vertAlign w:val="superscript"/>
              </w:rPr>
              <w:t>(2)</w:t>
            </w:r>
            <w:r w:rsidRPr="00D323E7">
              <w:rPr>
                <w:rFonts w:ascii="Times New Roman" w:hAnsi="Times New Roman"/>
              </w:rPr>
              <w:t xml:space="preserve"> </w:t>
            </w:r>
          </w:p>
        </w:tc>
        <w:tc>
          <w:tcPr>
            <w:tcW w:w="1080" w:type="dxa"/>
            <w:tcBorders>
              <w:top w:val="single" w:sz="8" w:space="0" w:color="auto"/>
              <w:left w:val="single" w:sz="8" w:space="0" w:color="auto"/>
              <w:bottom w:val="single" w:sz="8" w:space="0" w:color="auto"/>
              <w:right w:val="single" w:sz="8" w:space="0" w:color="auto"/>
            </w:tcBorders>
          </w:tcPr>
          <w:p w14:paraId="6D7EC89B"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170" w:type="dxa"/>
            <w:tcBorders>
              <w:top w:val="single" w:sz="8" w:space="0" w:color="auto"/>
              <w:left w:val="single" w:sz="8" w:space="0" w:color="auto"/>
              <w:bottom w:val="single" w:sz="8" w:space="0" w:color="auto"/>
              <w:right w:val="single" w:sz="8" w:space="0" w:color="auto"/>
            </w:tcBorders>
          </w:tcPr>
          <w:p w14:paraId="33E2E2A9"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221E4D15"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7F7FD061"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656A0A74"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7347ABBC" w14:textId="77777777" w:rsidTr="004F0AE5">
        <w:trPr>
          <w:trHeight w:val="330"/>
        </w:trPr>
        <w:tc>
          <w:tcPr>
            <w:tcW w:w="3240" w:type="dxa"/>
            <w:tcBorders>
              <w:top w:val="single" w:sz="8" w:space="0" w:color="auto"/>
              <w:left w:val="single" w:sz="8" w:space="0" w:color="auto"/>
              <w:bottom w:val="single" w:sz="8" w:space="0" w:color="auto"/>
              <w:right w:val="single" w:sz="8" w:space="0" w:color="auto"/>
            </w:tcBorders>
          </w:tcPr>
          <w:p w14:paraId="543A1955" w14:textId="77777777" w:rsidR="004F0AE5" w:rsidRPr="00D5581B" w:rsidRDefault="004F0AE5" w:rsidP="004F0AE5">
            <w:pPr>
              <w:rPr>
                <w:rFonts w:ascii="Times New Roman" w:hAnsi="Times New Roman"/>
              </w:rPr>
            </w:pPr>
            <w:r w:rsidRPr="00D323E7">
              <w:rPr>
                <w:rFonts w:ascii="Times New Roman" w:hAnsi="Times New Roman"/>
              </w:rPr>
              <w:t xml:space="preserve">Caries-risk assessment </w:t>
            </w:r>
            <w:r w:rsidRPr="00D323E7">
              <w:rPr>
                <w:rFonts w:ascii="Times New Roman" w:hAnsi="Times New Roman"/>
                <w:vertAlign w:val="superscript"/>
              </w:rPr>
              <w:t>(3)</w:t>
            </w:r>
            <w:r w:rsidRPr="00D323E7">
              <w:rPr>
                <w:rFonts w:ascii="Times New Roman" w:hAnsi="Times New Roman"/>
              </w:rPr>
              <w:t xml:space="preserve"> </w:t>
            </w:r>
          </w:p>
        </w:tc>
        <w:tc>
          <w:tcPr>
            <w:tcW w:w="1080" w:type="dxa"/>
            <w:tcBorders>
              <w:top w:val="single" w:sz="8" w:space="0" w:color="auto"/>
              <w:left w:val="single" w:sz="8" w:space="0" w:color="auto"/>
              <w:bottom w:val="single" w:sz="8" w:space="0" w:color="auto"/>
              <w:right w:val="single" w:sz="8" w:space="0" w:color="auto"/>
            </w:tcBorders>
          </w:tcPr>
          <w:p w14:paraId="53EAC425"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170" w:type="dxa"/>
            <w:tcBorders>
              <w:top w:val="single" w:sz="8" w:space="0" w:color="auto"/>
              <w:left w:val="single" w:sz="8" w:space="0" w:color="auto"/>
              <w:bottom w:val="single" w:sz="8" w:space="0" w:color="auto"/>
              <w:right w:val="single" w:sz="8" w:space="0" w:color="auto"/>
            </w:tcBorders>
          </w:tcPr>
          <w:p w14:paraId="7073995A"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1DCF10B4"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2BC0785F"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11D6AA15"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4E0B9A71" w14:textId="77777777" w:rsidTr="004F0AE5">
        <w:trPr>
          <w:trHeight w:val="345"/>
        </w:trPr>
        <w:tc>
          <w:tcPr>
            <w:tcW w:w="3240" w:type="dxa"/>
            <w:tcBorders>
              <w:top w:val="single" w:sz="8" w:space="0" w:color="auto"/>
              <w:left w:val="single" w:sz="8" w:space="0" w:color="auto"/>
              <w:bottom w:val="single" w:sz="8" w:space="0" w:color="auto"/>
              <w:right w:val="single" w:sz="8" w:space="0" w:color="auto"/>
            </w:tcBorders>
          </w:tcPr>
          <w:p w14:paraId="1F944FC6" w14:textId="77777777" w:rsidR="004F0AE5" w:rsidRPr="00D5581B" w:rsidRDefault="004F0AE5" w:rsidP="004F0AE5">
            <w:pPr>
              <w:rPr>
                <w:rFonts w:ascii="Times New Roman" w:hAnsi="Times New Roman"/>
              </w:rPr>
            </w:pPr>
            <w:r w:rsidRPr="00D323E7">
              <w:rPr>
                <w:rFonts w:ascii="Times New Roman" w:hAnsi="Times New Roman"/>
              </w:rPr>
              <w:t xml:space="preserve">Radiograph assessment </w:t>
            </w:r>
            <w:r w:rsidRPr="00D323E7">
              <w:rPr>
                <w:rFonts w:ascii="Times New Roman" w:hAnsi="Times New Roman"/>
                <w:vertAlign w:val="superscript"/>
              </w:rPr>
              <w:t xml:space="preserve">(4) </w:t>
            </w:r>
          </w:p>
        </w:tc>
        <w:tc>
          <w:tcPr>
            <w:tcW w:w="1080" w:type="dxa"/>
            <w:tcBorders>
              <w:top w:val="single" w:sz="8" w:space="0" w:color="auto"/>
              <w:left w:val="single" w:sz="8" w:space="0" w:color="auto"/>
              <w:bottom w:val="single" w:sz="8" w:space="0" w:color="auto"/>
              <w:right w:val="single" w:sz="8" w:space="0" w:color="auto"/>
            </w:tcBorders>
          </w:tcPr>
          <w:p w14:paraId="17C517CE"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170" w:type="dxa"/>
            <w:tcBorders>
              <w:top w:val="single" w:sz="8" w:space="0" w:color="auto"/>
              <w:left w:val="single" w:sz="8" w:space="0" w:color="auto"/>
              <w:bottom w:val="single" w:sz="8" w:space="0" w:color="auto"/>
              <w:right w:val="single" w:sz="8" w:space="0" w:color="auto"/>
            </w:tcBorders>
          </w:tcPr>
          <w:p w14:paraId="7F2EE823"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350" w:type="dxa"/>
            <w:tcBorders>
              <w:top w:val="single" w:sz="8" w:space="0" w:color="auto"/>
              <w:left w:val="single" w:sz="8" w:space="0" w:color="auto"/>
              <w:bottom w:val="single" w:sz="8" w:space="0" w:color="auto"/>
              <w:right w:val="single" w:sz="8" w:space="0" w:color="auto"/>
            </w:tcBorders>
          </w:tcPr>
          <w:p w14:paraId="458C90A8"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3C96664E"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70DFA00A"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66E371A6" w14:textId="77777777" w:rsidTr="004F0AE5">
        <w:trPr>
          <w:trHeight w:val="295"/>
        </w:trPr>
        <w:tc>
          <w:tcPr>
            <w:tcW w:w="3240" w:type="dxa"/>
            <w:tcBorders>
              <w:top w:val="single" w:sz="8" w:space="0" w:color="auto"/>
              <w:left w:val="single" w:sz="8" w:space="0" w:color="auto"/>
              <w:bottom w:val="single" w:sz="8" w:space="0" w:color="auto"/>
              <w:right w:val="single" w:sz="8" w:space="0" w:color="auto"/>
            </w:tcBorders>
          </w:tcPr>
          <w:p w14:paraId="2E30AFCD" w14:textId="77777777" w:rsidR="004F0AE5" w:rsidRPr="00D5581B" w:rsidRDefault="004F0AE5" w:rsidP="004F0AE5">
            <w:pPr>
              <w:rPr>
                <w:rFonts w:ascii="Times New Roman" w:hAnsi="Times New Roman"/>
              </w:rPr>
            </w:pPr>
            <w:r w:rsidRPr="00D323E7">
              <w:rPr>
                <w:rFonts w:ascii="Times New Roman" w:hAnsi="Times New Roman"/>
              </w:rPr>
              <w:t>Prophylaxis and topical</w:t>
            </w:r>
            <w:r>
              <w:rPr>
                <w:rFonts w:ascii="Times New Roman" w:hAnsi="Times New Roman"/>
              </w:rPr>
              <w:t xml:space="preserve"> </w:t>
            </w:r>
            <w:r w:rsidRPr="00D323E7">
              <w:rPr>
                <w:rFonts w:ascii="Times New Roman" w:hAnsi="Times New Roman"/>
              </w:rPr>
              <w:t xml:space="preserve">fluoride </w:t>
            </w:r>
            <w:r w:rsidRPr="00D323E7">
              <w:rPr>
                <w:rFonts w:ascii="Times New Roman" w:hAnsi="Times New Roman"/>
                <w:vertAlign w:val="superscript"/>
              </w:rPr>
              <w:t>(5)</w:t>
            </w:r>
            <w:r w:rsidRPr="00D323E7">
              <w:rPr>
                <w:rFonts w:ascii="Times New Roman" w:hAnsi="Times New Roman"/>
              </w:rPr>
              <w:t xml:space="preserve"> </w:t>
            </w:r>
          </w:p>
        </w:tc>
        <w:tc>
          <w:tcPr>
            <w:tcW w:w="1080" w:type="dxa"/>
            <w:tcBorders>
              <w:top w:val="single" w:sz="8" w:space="0" w:color="auto"/>
              <w:left w:val="single" w:sz="8" w:space="0" w:color="auto"/>
              <w:bottom w:val="single" w:sz="8" w:space="0" w:color="auto"/>
              <w:right w:val="single" w:sz="8" w:space="0" w:color="auto"/>
            </w:tcBorders>
          </w:tcPr>
          <w:p w14:paraId="1CD521A5"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170" w:type="dxa"/>
            <w:tcBorders>
              <w:top w:val="single" w:sz="8" w:space="0" w:color="auto"/>
              <w:left w:val="single" w:sz="8" w:space="0" w:color="auto"/>
              <w:bottom w:val="single" w:sz="8" w:space="0" w:color="auto"/>
              <w:right w:val="single" w:sz="8" w:space="0" w:color="auto"/>
            </w:tcBorders>
          </w:tcPr>
          <w:p w14:paraId="37786612"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20F0A40C"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4AD21C3A"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7991BBED"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7E694991" w14:textId="77777777" w:rsidTr="004F0AE5">
        <w:trPr>
          <w:trHeight w:val="330"/>
        </w:trPr>
        <w:tc>
          <w:tcPr>
            <w:tcW w:w="3240" w:type="dxa"/>
            <w:tcBorders>
              <w:top w:val="single" w:sz="8" w:space="0" w:color="auto"/>
              <w:left w:val="single" w:sz="8" w:space="0" w:color="auto"/>
              <w:bottom w:val="single" w:sz="8" w:space="0" w:color="auto"/>
              <w:right w:val="single" w:sz="8" w:space="0" w:color="auto"/>
            </w:tcBorders>
          </w:tcPr>
          <w:p w14:paraId="3E8BE591" w14:textId="77777777" w:rsidR="004F0AE5" w:rsidRPr="00D5581B" w:rsidRDefault="004F0AE5" w:rsidP="004F0AE5">
            <w:pPr>
              <w:rPr>
                <w:rFonts w:ascii="Times New Roman" w:hAnsi="Times New Roman"/>
              </w:rPr>
            </w:pPr>
            <w:r w:rsidRPr="00D323E7">
              <w:rPr>
                <w:rFonts w:ascii="Times New Roman" w:hAnsi="Times New Roman"/>
              </w:rPr>
              <w:t xml:space="preserve">Fluoride supplementation </w:t>
            </w:r>
            <w:r w:rsidRPr="00D323E7">
              <w:rPr>
                <w:rFonts w:ascii="Times New Roman" w:hAnsi="Times New Roman"/>
                <w:vertAlign w:val="superscript"/>
              </w:rPr>
              <w:t>(6)</w:t>
            </w:r>
          </w:p>
        </w:tc>
        <w:tc>
          <w:tcPr>
            <w:tcW w:w="1080" w:type="dxa"/>
            <w:tcBorders>
              <w:top w:val="single" w:sz="8" w:space="0" w:color="auto"/>
              <w:left w:val="single" w:sz="8" w:space="0" w:color="auto"/>
              <w:bottom w:val="single" w:sz="8" w:space="0" w:color="auto"/>
              <w:right w:val="single" w:sz="8" w:space="0" w:color="auto"/>
            </w:tcBorders>
          </w:tcPr>
          <w:p w14:paraId="17F2B39C"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170" w:type="dxa"/>
            <w:tcBorders>
              <w:top w:val="single" w:sz="8" w:space="0" w:color="auto"/>
              <w:left w:val="single" w:sz="8" w:space="0" w:color="auto"/>
              <w:bottom w:val="single" w:sz="8" w:space="0" w:color="auto"/>
              <w:right w:val="single" w:sz="8" w:space="0" w:color="auto"/>
            </w:tcBorders>
          </w:tcPr>
          <w:p w14:paraId="54E12988"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5D0339A5"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5FC756B7"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7D569A45"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556931D1" w14:textId="77777777" w:rsidTr="004F0AE5">
        <w:trPr>
          <w:trHeight w:val="285"/>
        </w:trPr>
        <w:tc>
          <w:tcPr>
            <w:tcW w:w="3240" w:type="dxa"/>
            <w:tcBorders>
              <w:top w:val="single" w:sz="8" w:space="0" w:color="auto"/>
              <w:left w:val="single" w:sz="8" w:space="0" w:color="auto"/>
              <w:bottom w:val="single" w:sz="8" w:space="0" w:color="auto"/>
              <w:right w:val="single" w:sz="8" w:space="0" w:color="auto"/>
            </w:tcBorders>
          </w:tcPr>
          <w:p w14:paraId="28382D4C" w14:textId="77777777" w:rsidR="004F0AE5" w:rsidRPr="00D5581B" w:rsidRDefault="004F0AE5" w:rsidP="004F0AE5">
            <w:pPr>
              <w:rPr>
                <w:rFonts w:ascii="Times New Roman" w:hAnsi="Times New Roman"/>
              </w:rPr>
            </w:pPr>
            <w:r w:rsidRPr="00D323E7">
              <w:rPr>
                <w:rFonts w:ascii="Times New Roman" w:hAnsi="Times New Roman"/>
              </w:rPr>
              <w:t xml:space="preserve">Fluoride </w:t>
            </w:r>
            <w:r>
              <w:rPr>
                <w:rFonts w:ascii="Times New Roman" w:hAnsi="Times New Roman"/>
              </w:rPr>
              <w:t>v</w:t>
            </w:r>
            <w:r w:rsidRPr="00D323E7">
              <w:rPr>
                <w:rFonts w:ascii="Times New Roman" w:hAnsi="Times New Roman"/>
              </w:rPr>
              <w:t xml:space="preserve">arnish </w:t>
            </w:r>
            <w:r w:rsidRPr="00D323E7">
              <w:rPr>
                <w:rFonts w:ascii="Times New Roman" w:hAnsi="Times New Roman"/>
                <w:vertAlign w:val="superscript"/>
              </w:rPr>
              <w:t>(7)</w:t>
            </w:r>
          </w:p>
        </w:tc>
        <w:tc>
          <w:tcPr>
            <w:tcW w:w="1080" w:type="dxa"/>
            <w:tcBorders>
              <w:top w:val="single" w:sz="8" w:space="0" w:color="auto"/>
              <w:left w:val="single" w:sz="8" w:space="0" w:color="auto"/>
              <w:bottom w:val="single" w:sz="8" w:space="0" w:color="auto"/>
              <w:right w:val="single" w:sz="8" w:space="0" w:color="auto"/>
            </w:tcBorders>
          </w:tcPr>
          <w:p w14:paraId="0E2E8C90"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170" w:type="dxa"/>
            <w:tcBorders>
              <w:top w:val="single" w:sz="8" w:space="0" w:color="auto"/>
              <w:left w:val="single" w:sz="8" w:space="0" w:color="auto"/>
              <w:bottom w:val="single" w:sz="8" w:space="0" w:color="auto"/>
              <w:right w:val="single" w:sz="8" w:space="0" w:color="auto"/>
            </w:tcBorders>
          </w:tcPr>
          <w:p w14:paraId="2AD31C86"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7FF9FA98"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340FA915"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57D65AE0"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52B6666B" w14:textId="77777777" w:rsidTr="004F0AE5">
        <w:trPr>
          <w:trHeight w:val="525"/>
        </w:trPr>
        <w:tc>
          <w:tcPr>
            <w:tcW w:w="3240" w:type="dxa"/>
            <w:tcBorders>
              <w:top w:val="single" w:sz="8" w:space="0" w:color="auto"/>
              <w:left w:val="single" w:sz="8" w:space="0" w:color="auto"/>
              <w:bottom w:val="single" w:sz="8" w:space="0" w:color="auto"/>
              <w:right w:val="single" w:sz="8" w:space="0" w:color="auto"/>
            </w:tcBorders>
          </w:tcPr>
          <w:p w14:paraId="3FA91517" w14:textId="77777777" w:rsidR="004F0AE5" w:rsidRDefault="004F0AE5" w:rsidP="004F0AE5">
            <w:pPr>
              <w:rPr>
                <w:rFonts w:ascii="Times New Roman" w:hAnsi="Times New Roman"/>
              </w:rPr>
            </w:pPr>
            <w:r w:rsidRPr="00D323E7">
              <w:rPr>
                <w:rFonts w:ascii="Times New Roman" w:hAnsi="Times New Roman"/>
              </w:rPr>
              <w:t>Anticipatory</w:t>
            </w:r>
            <w:r>
              <w:rPr>
                <w:rFonts w:ascii="Times New Roman" w:hAnsi="Times New Roman"/>
              </w:rPr>
              <w:t xml:space="preserve"> </w:t>
            </w:r>
            <w:r w:rsidRPr="00D323E7">
              <w:rPr>
                <w:rFonts w:ascii="Times New Roman" w:hAnsi="Times New Roman"/>
              </w:rPr>
              <w:t>guidance/</w:t>
            </w:r>
          </w:p>
          <w:p w14:paraId="549AD7FD" w14:textId="77777777" w:rsidR="004F0AE5" w:rsidRPr="00D5581B" w:rsidRDefault="004F0AE5" w:rsidP="004F0AE5">
            <w:pPr>
              <w:rPr>
                <w:rFonts w:ascii="Times New Roman" w:hAnsi="Times New Roman"/>
              </w:rPr>
            </w:pPr>
            <w:r w:rsidRPr="00D323E7">
              <w:rPr>
                <w:rFonts w:ascii="Times New Roman" w:hAnsi="Times New Roman"/>
              </w:rPr>
              <w:t xml:space="preserve">counseling </w:t>
            </w:r>
            <w:r w:rsidRPr="00D323E7">
              <w:rPr>
                <w:rFonts w:ascii="Times New Roman" w:hAnsi="Times New Roman"/>
                <w:vertAlign w:val="superscript"/>
              </w:rPr>
              <w:t xml:space="preserve">(8) </w:t>
            </w:r>
          </w:p>
        </w:tc>
        <w:tc>
          <w:tcPr>
            <w:tcW w:w="1080" w:type="dxa"/>
            <w:tcBorders>
              <w:top w:val="single" w:sz="8" w:space="0" w:color="auto"/>
              <w:left w:val="single" w:sz="8" w:space="0" w:color="auto"/>
              <w:bottom w:val="single" w:sz="8" w:space="0" w:color="auto"/>
              <w:right w:val="single" w:sz="8" w:space="0" w:color="auto"/>
            </w:tcBorders>
          </w:tcPr>
          <w:p w14:paraId="535CED6F"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170" w:type="dxa"/>
            <w:tcBorders>
              <w:top w:val="single" w:sz="8" w:space="0" w:color="auto"/>
              <w:left w:val="single" w:sz="8" w:space="0" w:color="auto"/>
              <w:bottom w:val="single" w:sz="8" w:space="0" w:color="auto"/>
              <w:right w:val="single" w:sz="8" w:space="0" w:color="auto"/>
            </w:tcBorders>
          </w:tcPr>
          <w:p w14:paraId="2F0DA413"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395C4432"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23B0FD18"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57EA4DC5"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1BED26C3" w14:textId="77777777" w:rsidTr="004F0AE5">
        <w:trPr>
          <w:trHeight w:val="270"/>
        </w:trPr>
        <w:tc>
          <w:tcPr>
            <w:tcW w:w="3240" w:type="dxa"/>
            <w:tcBorders>
              <w:top w:val="single" w:sz="8" w:space="0" w:color="auto"/>
              <w:left w:val="single" w:sz="8" w:space="0" w:color="auto"/>
              <w:bottom w:val="single" w:sz="8" w:space="0" w:color="auto"/>
              <w:right w:val="single" w:sz="8" w:space="0" w:color="auto"/>
            </w:tcBorders>
          </w:tcPr>
          <w:p w14:paraId="3A83E745" w14:textId="77777777" w:rsidR="004F0AE5" w:rsidRPr="00D5581B" w:rsidRDefault="004F0AE5" w:rsidP="004F0AE5">
            <w:pPr>
              <w:rPr>
                <w:rFonts w:ascii="Times New Roman" w:hAnsi="Times New Roman"/>
              </w:rPr>
            </w:pPr>
            <w:r w:rsidRPr="00D323E7">
              <w:rPr>
                <w:rFonts w:ascii="Times New Roman" w:hAnsi="Times New Roman"/>
              </w:rPr>
              <w:t xml:space="preserve">Oral hygiene counseling </w:t>
            </w:r>
            <w:r w:rsidRPr="00D323E7">
              <w:rPr>
                <w:rFonts w:ascii="Times New Roman" w:hAnsi="Times New Roman"/>
                <w:vertAlign w:val="superscript"/>
              </w:rPr>
              <w:t>(9)</w:t>
            </w:r>
            <w:r w:rsidRPr="00D323E7">
              <w:rPr>
                <w:rFonts w:ascii="Times New Roman" w:hAnsi="Times New Roman"/>
              </w:rPr>
              <w:t xml:space="preserve"> </w:t>
            </w:r>
          </w:p>
        </w:tc>
        <w:tc>
          <w:tcPr>
            <w:tcW w:w="1080" w:type="dxa"/>
            <w:tcBorders>
              <w:top w:val="single" w:sz="8" w:space="0" w:color="auto"/>
              <w:left w:val="single" w:sz="8" w:space="0" w:color="auto"/>
              <w:bottom w:val="single" w:sz="8" w:space="0" w:color="auto"/>
              <w:right w:val="single" w:sz="8" w:space="0" w:color="auto"/>
            </w:tcBorders>
          </w:tcPr>
          <w:p w14:paraId="714C1815" w14:textId="77777777" w:rsidR="004F0AE5" w:rsidRPr="00D323E7" w:rsidRDefault="004F0AE5" w:rsidP="004F0AE5">
            <w:pPr>
              <w:jc w:val="center"/>
              <w:rPr>
                <w:rFonts w:ascii="Times New Roman" w:hAnsi="Times New Roman"/>
              </w:rPr>
            </w:pPr>
            <w:r w:rsidRPr="00D323E7">
              <w:rPr>
                <w:rFonts w:ascii="Times New Roman" w:hAnsi="Times New Roman"/>
              </w:rPr>
              <w:t>Parent</w:t>
            </w:r>
          </w:p>
        </w:tc>
        <w:tc>
          <w:tcPr>
            <w:tcW w:w="1170" w:type="dxa"/>
            <w:tcBorders>
              <w:top w:val="single" w:sz="8" w:space="0" w:color="auto"/>
              <w:left w:val="single" w:sz="8" w:space="0" w:color="auto"/>
              <w:bottom w:val="single" w:sz="8" w:space="0" w:color="auto"/>
              <w:right w:val="single" w:sz="8" w:space="0" w:color="auto"/>
            </w:tcBorders>
          </w:tcPr>
          <w:p w14:paraId="0F44CB8D" w14:textId="77777777" w:rsidR="004F0AE5" w:rsidRPr="00D323E7" w:rsidRDefault="004F0AE5" w:rsidP="004F0AE5">
            <w:pPr>
              <w:jc w:val="center"/>
              <w:rPr>
                <w:rFonts w:ascii="Times New Roman" w:hAnsi="Times New Roman"/>
              </w:rPr>
            </w:pPr>
            <w:r w:rsidRPr="00D323E7">
              <w:rPr>
                <w:rFonts w:ascii="Times New Roman" w:hAnsi="Times New Roman"/>
              </w:rPr>
              <w:t>Parent</w:t>
            </w:r>
          </w:p>
        </w:tc>
        <w:tc>
          <w:tcPr>
            <w:tcW w:w="1350" w:type="dxa"/>
            <w:tcBorders>
              <w:top w:val="single" w:sz="8" w:space="0" w:color="auto"/>
              <w:left w:val="single" w:sz="8" w:space="0" w:color="auto"/>
              <w:bottom w:val="single" w:sz="8" w:space="0" w:color="auto"/>
              <w:right w:val="single" w:sz="8" w:space="0" w:color="auto"/>
            </w:tcBorders>
          </w:tcPr>
          <w:p w14:paraId="5D41A5AE" w14:textId="77777777" w:rsidR="004F0AE5" w:rsidRPr="00D323E7" w:rsidRDefault="004F0AE5" w:rsidP="004F0AE5">
            <w:pPr>
              <w:jc w:val="center"/>
              <w:rPr>
                <w:rFonts w:ascii="Times New Roman" w:hAnsi="Times New Roman"/>
              </w:rPr>
            </w:pPr>
            <w:r w:rsidRPr="00D323E7">
              <w:rPr>
                <w:rFonts w:ascii="Times New Roman" w:hAnsi="Times New Roman"/>
              </w:rPr>
              <w:t>Patient/parent</w:t>
            </w:r>
          </w:p>
        </w:tc>
        <w:tc>
          <w:tcPr>
            <w:tcW w:w="1350" w:type="dxa"/>
            <w:tcBorders>
              <w:top w:val="single" w:sz="8" w:space="0" w:color="auto"/>
              <w:left w:val="single" w:sz="8" w:space="0" w:color="auto"/>
              <w:bottom w:val="single" w:sz="8" w:space="0" w:color="auto"/>
              <w:right w:val="single" w:sz="8" w:space="0" w:color="auto"/>
            </w:tcBorders>
          </w:tcPr>
          <w:p w14:paraId="3A7DECA9" w14:textId="77777777" w:rsidR="004F0AE5" w:rsidRPr="00D323E7" w:rsidRDefault="004F0AE5" w:rsidP="004F0AE5">
            <w:pPr>
              <w:jc w:val="center"/>
              <w:rPr>
                <w:rFonts w:ascii="Times New Roman" w:hAnsi="Times New Roman"/>
              </w:rPr>
            </w:pPr>
            <w:r w:rsidRPr="00D323E7">
              <w:rPr>
                <w:rFonts w:ascii="Times New Roman" w:hAnsi="Times New Roman"/>
              </w:rPr>
              <w:t>Patient/parent</w:t>
            </w:r>
          </w:p>
        </w:tc>
        <w:tc>
          <w:tcPr>
            <w:tcW w:w="1288" w:type="dxa"/>
            <w:tcBorders>
              <w:top w:val="single" w:sz="8" w:space="0" w:color="auto"/>
              <w:left w:val="single" w:sz="8" w:space="0" w:color="auto"/>
              <w:bottom w:val="single" w:sz="8" w:space="0" w:color="auto"/>
              <w:right w:val="single" w:sz="8" w:space="0" w:color="auto"/>
            </w:tcBorders>
          </w:tcPr>
          <w:p w14:paraId="0BECF12E" w14:textId="77777777" w:rsidR="004F0AE5" w:rsidRPr="00D323E7" w:rsidRDefault="004F0AE5" w:rsidP="004F0AE5">
            <w:pPr>
              <w:jc w:val="center"/>
              <w:rPr>
                <w:rFonts w:ascii="Times New Roman" w:hAnsi="Times New Roman"/>
              </w:rPr>
            </w:pPr>
            <w:r w:rsidRPr="00D323E7">
              <w:rPr>
                <w:rFonts w:ascii="Times New Roman" w:hAnsi="Times New Roman"/>
              </w:rPr>
              <w:t>Patient</w:t>
            </w:r>
          </w:p>
        </w:tc>
      </w:tr>
      <w:tr w:rsidR="004F0AE5" w:rsidRPr="00D323E7" w14:paraId="5068E877" w14:textId="77777777" w:rsidTr="004F0AE5">
        <w:trPr>
          <w:trHeight w:val="270"/>
        </w:trPr>
        <w:tc>
          <w:tcPr>
            <w:tcW w:w="3240" w:type="dxa"/>
            <w:tcBorders>
              <w:top w:val="single" w:sz="8" w:space="0" w:color="auto"/>
              <w:left w:val="single" w:sz="8" w:space="0" w:color="auto"/>
              <w:bottom w:val="single" w:sz="8" w:space="0" w:color="auto"/>
              <w:right w:val="single" w:sz="8" w:space="0" w:color="auto"/>
            </w:tcBorders>
          </w:tcPr>
          <w:p w14:paraId="73F4D164" w14:textId="77777777" w:rsidR="004F0AE5" w:rsidRPr="00D5581B" w:rsidRDefault="004F0AE5" w:rsidP="004F0AE5">
            <w:pPr>
              <w:rPr>
                <w:rFonts w:ascii="Times New Roman" w:hAnsi="Times New Roman"/>
              </w:rPr>
            </w:pPr>
            <w:r w:rsidRPr="00D323E7">
              <w:rPr>
                <w:rFonts w:ascii="Times New Roman" w:hAnsi="Times New Roman"/>
              </w:rPr>
              <w:t xml:space="preserve">Dietary counseling </w:t>
            </w:r>
            <w:r w:rsidRPr="00D323E7">
              <w:rPr>
                <w:rFonts w:ascii="Times New Roman" w:hAnsi="Times New Roman"/>
                <w:vertAlign w:val="superscript"/>
              </w:rPr>
              <w:t>(10)</w:t>
            </w:r>
            <w:r w:rsidRPr="00D323E7">
              <w:rPr>
                <w:rFonts w:ascii="Times New Roman" w:hAnsi="Times New Roman"/>
              </w:rPr>
              <w:t xml:space="preserve"> </w:t>
            </w:r>
          </w:p>
        </w:tc>
        <w:tc>
          <w:tcPr>
            <w:tcW w:w="1080" w:type="dxa"/>
            <w:tcBorders>
              <w:top w:val="single" w:sz="8" w:space="0" w:color="auto"/>
              <w:left w:val="single" w:sz="8" w:space="0" w:color="auto"/>
              <w:bottom w:val="single" w:sz="8" w:space="0" w:color="auto"/>
              <w:right w:val="single" w:sz="8" w:space="0" w:color="auto"/>
            </w:tcBorders>
          </w:tcPr>
          <w:p w14:paraId="1211DF45" w14:textId="77777777" w:rsidR="004F0AE5" w:rsidRPr="00D323E7" w:rsidRDefault="004F0AE5" w:rsidP="004F0AE5">
            <w:pPr>
              <w:jc w:val="center"/>
              <w:rPr>
                <w:rFonts w:ascii="Times New Roman" w:hAnsi="Times New Roman"/>
              </w:rPr>
            </w:pPr>
            <w:r w:rsidRPr="00D323E7">
              <w:rPr>
                <w:rFonts w:ascii="Times New Roman" w:hAnsi="Times New Roman"/>
              </w:rPr>
              <w:t>Parent</w:t>
            </w:r>
          </w:p>
        </w:tc>
        <w:tc>
          <w:tcPr>
            <w:tcW w:w="1170" w:type="dxa"/>
            <w:tcBorders>
              <w:top w:val="single" w:sz="8" w:space="0" w:color="auto"/>
              <w:left w:val="single" w:sz="8" w:space="0" w:color="auto"/>
              <w:bottom w:val="single" w:sz="8" w:space="0" w:color="auto"/>
              <w:right w:val="single" w:sz="8" w:space="0" w:color="auto"/>
            </w:tcBorders>
          </w:tcPr>
          <w:p w14:paraId="52AF09F2" w14:textId="77777777" w:rsidR="004F0AE5" w:rsidRPr="00D323E7" w:rsidRDefault="004F0AE5" w:rsidP="004F0AE5">
            <w:pPr>
              <w:jc w:val="center"/>
              <w:rPr>
                <w:rFonts w:ascii="Times New Roman" w:hAnsi="Times New Roman"/>
              </w:rPr>
            </w:pPr>
            <w:r w:rsidRPr="00D323E7">
              <w:rPr>
                <w:rFonts w:ascii="Times New Roman" w:hAnsi="Times New Roman"/>
              </w:rPr>
              <w:t>Parent</w:t>
            </w:r>
          </w:p>
        </w:tc>
        <w:tc>
          <w:tcPr>
            <w:tcW w:w="1350" w:type="dxa"/>
            <w:tcBorders>
              <w:top w:val="single" w:sz="8" w:space="0" w:color="auto"/>
              <w:left w:val="single" w:sz="8" w:space="0" w:color="auto"/>
              <w:bottom w:val="single" w:sz="8" w:space="0" w:color="auto"/>
              <w:right w:val="single" w:sz="8" w:space="0" w:color="auto"/>
            </w:tcBorders>
          </w:tcPr>
          <w:p w14:paraId="201D6561" w14:textId="77777777" w:rsidR="004F0AE5" w:rsidRPr="00D323E7" w:rsidRDefault="004F0AE5" w:rsidP="004F0AE5">
            <w:pPr>
              <w:jc w:val="center"/>
              <w:rPr>
                <w:rFonts w:ascii="Times New Roman" w:hAnsi="Times New Roman"/>
              </w:rPr>
            </w:pPr>
            <w:r w:rsidRPr="00D323E7">
              <w:rPr>
                <w:rFonts w:ascii="Times New Roman" w:hAnsi="Times New Roman"/>
              </w:rPr>
              <w:t>Patient/Parent</w:t>
            </w:r>
          </w:p>
        </w:tc>
        <w:tc>
          <w:tcPr>
            <w:tcW w:w="1350" w:type="dxa"/>
            <w:tcBorders>
              <w:top w:val="single" w:sz="8" w:space="0" w:color="auto"/>
              <w:left w:val="single" w:sz="8" w:space="0" w:color="auto"/>
              <w:bottom w:val="single" w:sz="8" w:space="0" w:color="auto"/>
              <w:right w:val="single" w:sz="8" w:space="0" w:color="auto"/>
            </w:tcBorders>
          </w:tcPr>
          <w:p w14:paraId="22C6F343" w14:textId="77777777" w:rsidR="004F0AE5" w:rsidRPr="00D323E7" w:rsidRDefault="004F0AE5" w:rsidP="004F0AE5">
            <w:pPr>
              <w:jc w:val="center"/>
              <w:rPr>
                <w:rFonts w:ascii="Times New Roman" w:hAnsi="Times New Roman"/>
              </w:rPr>
            </w:pPr>
            <w:r w:rsidRPr="00D323E7">
              <w:rPr>
                <w:rFonts w:ascii="Times New Roman" w:hAnsi="Times New Roman"/>
              </w:rPr>
              <w:t>Patient/Parent</w:t>
            </w:r>
          </w:p>
        </w:tc>
        <w:tc>
          <w:tcPr>
            <w:tcW w:w="1288" w:type="dxa"/>
            <w:tcBorders>
              <w:top w:val="single" w:sz="8" w:space="0" w:color="auto"/>
              <w:left w:val="single" w:sz="8" w:space="0" w:color="auto"/>
              <w:bottom w:val="single" w:sz="8" w:space="0" w:color="auto"/>
              <w:right w:val="single" w:sz="8" w:space="0" w:color="auto"/>
            </w:tcBorders>
          </w:tcPr>
          <w:p w14:paraId="456F0D95" w14:textId="77777777" w:rsidR="004F0AE5" w:rsidRPr="00D323E7" w:rsidRDefault="004F0AE5" w:rsidP="004F0AE5">
            <w:pPr>
              <w:jc w:val="center"/>
              <w:rPr>
                <w:rFonts w:ascii="Times New Roman" w:hAnsi="Times New Roman"/>
              </w:rPr>
            </w:pPr>
            <w:r w:rsidRPr="00D323E7">
              <w:rPr>
                <w:rFonts w:ascii="Times New Roman" w:hAnsi="Times New Roman"/>
              </w:rPr>
              <w:t>Patient</w:t>
            </w:r>
          </w:p>
        </w:tc>
      </w:tr>
      <w:tr w:rsidR="004F0AE5" w:rsidRPr="00D323E7" w14:paraId="630B2A49" w14:textId="77777777" w:rsidTr="004F0AE5">
        <w:trPr>
          <w:trHeight w:val="315"/>
        </w:trPr>
        <w:tc>
          <w:tcPr>
            <w:tcW w:w="3240" w:type="dxa"/>
            <w:tcBorders>
              <w:top w:val="single" w:sz="8" w:space="0" w:color="auto"/>
              <w:left w:val="single" w:sz="8" w:space="0" w:color="auto"/>
              <w:bottom w:val="single" w:sz="8" w:space="0" w:color="auto"/>
              <w:right w:val="single" w:sz="8" w:space="0" w:color="auto"/>
            </w:tcBorders>
          </w:tcPr>
          <w:p w14:paraId="63AB072D" w14:textId="77777777" w:rsidR="004F0AE5" w:rsidRPr="00D5581B" w:rsidRDefault="004F0AE5" w:rsidP="004F0AE5">
            <w:pPr>
              <w:rPr>
                <w:rFonts w:ascii="Times New Roman" w:hAnsi="Times New Roman"/>
              </w:rPr>
            </w:pPr>
            <w:r w:rsidRPr="00D323E7">
              <w:rPr>
                <w:rFonts w:ascii="Times New Roman" w:hAnsi="Times New Roman"/>
              </w:rPr>
              <w:t xml:space="preserve">Injury prevention counseling </w:t>
            </w:r>
            <w:r w:rsidRPr="00D323E7">
              <w:rPr>
                <w:rFonts w:ascii="Times New Roman" w:hAnsi="Times New Roman"/>
                <w:vertAlign w:val="superscript"/>
              </w:rPr>
              <w:t>(11)</w:t>
            </w:r>
            <w:r w:rsidRPr="00D323E7">
              <w:rPr>
                <w:rFonts w:ascii="Times New Roman" w:hAnsi="Times New Roman"/>
              </w:rPr>
              <w:t xml:space="preserve"> </w:t>
            </w:r>
          </w:p>
        </w:tc>
        <w:tc>
          <w:tcPr>
            <w:tcW w:w="1080" w:type="dxa"/>
            <w:tcBorders>
              <w:top w:val="single" w:sz="8" w:space="0" w:color="auto"/>
              <w:left w:val="single" w:sz="8" w:space="0" w:color="auto"/>
              <w:bottom w:val="single" w:sz="8" w:space="0" w:color="auto"/>
              <w:right w:val="single" w:sz="8" w:space="0" w:color="auto"/>
            </w:tcBorders>
          </w:tcPr>
          <w:p w14:paraId="333F4368"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170" w:type="dxa"/>
            <w:tcBorders>
              <w:top w:val="single" w:sz="8" w:space="0" w:color="auto"/>
              <w:left w:val="single" w:sz="8" w:space="0" w:color="auto"/>
              <w:bottom w:val="single" w:sz="8" w:space="0" w:color="auto"/>
              <w:right w:val="single" w:sz="8" w:space="0" w:color="auto"/>
            </w:tcBorders>
          </w:tcPr>
          <w:p w14:paraId="1D09C280"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1A777A8D"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74A522B9"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7E32198D"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165099F6" w14:textId="77777777" w:rsidTr="004F0AE5">
        <w:trPr>
          <w:trHeight w:val="525"/>
        </w:trPr>
        <w:tc>
          <w:tcPr>
            <w:tcW w:w="3240" w:type="dxa"/>
            <w:tcBorders>
              <w:top w:val="single" w:sz="8" w:space="0" w:color="auto"/>
              <w:left w:val="single" w:sz="8" w:space="0" w:color="auto"/>
              <w:bottom w:val="single" w:sz="8" w:space="0" w:color="auto"/>
              <w:right w:val="single" w:sz="8" w:space="0" w:color="auto"/>
            </w:tcBorders>
          </w:tcPr>
          <w:p w14:paraId="3E621A4C" w14:textId="77777777" w:rsidR="004F0AE5" w:rsidRPr="00D5581B" w:rsidRDefault="004F0AE5" w:rsidP="004F0AE5">
            <w:pPr>
              <w:rPr>
                <w:rFonts w:ascii="Times New Roman" w:hAnsi="Times New Roman"/>
              </w:rPr>
            </w:pPr>
            <w:bookmarkStart w:id="3" w:name="_Hlk57719955"/>
            <w:r w:rsidRPr="00D323E7">
              <w:rPr>
                <w:rFonts w:ascii="Times New Roman" w:hAnsi="Times New Roman"/>
              </w:rPr>
              <w:t xml:space="preserve">Counseling for nonnutritive habits </w:t>
            </w:r>
            <w:r w:rsidRPr="00D323E7">
              <w:rPr>
                <w:rFonts w:ascii="Times New Roman" w:hAnsi="Times New Roman"/>
                <w:vertAlign w:val="superscript"/>
              </w:rPr>
              <w:t>(12)</w:t>
            </w:r>
          </w:p>
        </w:tc>
        <w:tc>
          <w:tcPr>
            <w:tcW w:w="1080" w:type="dxa"/>
            <w:tcBorders>
              <w:top w:val="single" w:sz="8" w:space="0" w:color="auto"/>
              <w:left w:val="single" w:sz="8" w:space="0" w:color="auto"/>
              <w:bottom w:val="single" w:sz="8" w:space="0" w:color="auto"/>
              <w:right w:val="single" w:sz="8" w:space="0" w:color="auto"/>
            </w:tcBorders>
          </w:tcPr>
          <w:p w14:paraId="54979F0A"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170" w:type="dxa"/>
            <w:tcBorders>
              <w:top w:val="single" w:sz="8" w:space="0" w:color="auto"/>
              <w:left w:val="single" w:sz="8" w:space="0" w:color="auto"/>
              <w:bottom w:val="single" w:sz="8" w:space="0" w:color="auto"/>
              <w:right w:val="single" w:sz="8" w:space="0" w:color="auto"/>
            </w:tcBorders>
          </w:tcPr>
          <w:p w14:paraId="57BD1CC5"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0D059F1D"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2BB5E471"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7C0992C5"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55D26143" w14:textId="77777777" w:rsidTr="004F0AE5">
        <w:trPr>
          <w:trHeight w:val="255"/>
        </w:trPr>
        <w:tc>
          <w:tcPr>
            <w:tcW w:w="3240" w:type="dxa"/>
            <w:tcBorders>
              <w:top w:val="single" w:sz="8" w:space="0" w:color="auto"/>
              <w:left w:val="single" w:sz="8" w:space="0" w:color="auto"/>
              <w:bottom w:val="single" w:sz="8" w:space="0" w:color="auto"/>
              <w:right w:val="single" w:sz="8" w:space="0" w:color="auto"/>
            </w:tcBorders>
          </w:tcPr>
          <w:p w14:paraId="2D2F38BA" w14:textId="77777777" w:rsidR="004F0AE5" w:rsidRPr="00D5581B" w:rsidRDefault="004F0AE5" w:rsidP="004F0AE5">
            <w:pPr>
              <w:rPr>
                <w:rFonts w:ascii="Times New Roman" w:hAnsi="Times New Roman"/>
              </w:rPr>
            </w:pPr>
            <w:r w:rsidRPr="00D323E7">
              <w:rPr>
                <w:rFonts w:ascii="Times New Roman" w:hAnsi="Times New Roman"/>
              </w:rPr>
              <w:t xml:space="preserve">Pit and </w:t>
            </w:r>
            <w:r>
              <w:rPr>
                <w:rFonts w:ascii="Times New Roman" w:hAnsi="Times New Roman"/>
              </w:rPr>
              <w:t>f</w:t>
            </w:r>
            <w:r w:rsidRPr="00D323E7">
              <w:rPr>
                <w:rFonts w:ascii="Times New Roman" w:hAnsi="Times New Roman"/>
              </w:rPr>
              <w:t xml:space="preserve">issure </w:t>
            </w:r>
            <w:r>
              <w:rPr>
                <w:rFonts w:ascii="Times New Roman" w:hAnsi="Times New Roman"/>
              </w:rPr>
              <w:t>s</w:t>
            </w:r>
            <w:r w:rsidRPr="00D323E7">
              <w:rPr>
                <w:rFonts w:ascii="Times New Roman" w:hAnsi="Times New Roman"/>
              </w:rPr>
              <w:t xml:space="preserve">ealants </w:t>
            </w:r>
            <w:r w:rsidRPr="00D323E7">
              <w:rPr>
                <w:rFonts w:ascii="Times New Roman" w:hAnsi="Times New Roman"/>
                <w:vertAlign w:val="superscript"/>
              </w:rPr>
              <w:t>(13)</w:t>
            </w:r>
          </w:p>
        </w:tc>
        <w:tc>
          <w:tcPr>
            <w:tcW w:w="1080" w:type="dxa"/>
            <w:tcBorders>
              <w:top w:val="single" w:sz="8" w:space="0" w:color="auto"/>
              <w:left w:val="single" w:sz="8" w:space="0" w:color="auto"/>
              <w:bottom w:val="single" w:sz="8" w:space="0" w:color="auto"/>
              <w:right w:val="single" w:sz="8" w:space="0" w:color="auto"/>
            </w:tcBorders>
          </w:tcPr>
          <w:p w14:paraId="07A0008E"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170" w:type="dxa"/>
            <w:tcBorders>
              <w:top w:val="single" w:sz="8" w:space="0" w:color="auto"/>
              <w:left w:val="single" w:sz="8" w:space="0" w:color="auto"/>
              <w:bottom w:val="single" w:sz="8" w:space="0" w:color="auto"/>
              <w:right w:val="single" w:sz="8" w:space="0" w:color="auto"/>
            </w:tcBorders>
          </w:tcPr>
          <w:p w14:paraId="2041F7EB"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350" w:type="dxa"/>
            <w:tcBorders>
              <w:top w:val="single" w:sz="8" w:space="0" w:color="auto"/>
              <w:left w:val="single" w:sz="8" w:space="0" w:color="auto"/>
              <w:bottom w:val="single" w:sz="8" w:space="0" w:color="auto"/>
              <w:right w:val="single" w:sz="8" w:space="0" w:color="auto"/>
            </w:tcBorders>
          </w:tcPr>
          <w:p w14:paraId="1DD0ABEB"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69601D07"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27467A66"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1B8BF3CB" w14:textId="77777777" w:rsidTr="004F0AE5">
        <w:trPr>
          <w:trHeight w:val="540"/>
        </w:trPr>
        <w:tc>
          <w:tcPr>
            <w:tcW w:w="3240" w:type="dxa"/>
            <w:tcBorders>
              <w:top w:val="single" w:sz="8" w:space="0" w:color="auto"/>
              <w:left w:val="single" w:sz="8" w:space="0" w:color="auto"/>
              <w:bottom w:val="single" w:sz="8" w:space="0" w:color="auto"/>
              <w:right w:val="single" w:sz="8" w:space="0" w:color="auto"/>
            </w:tcBorders>
          </w:tcPr>
          <w:p w14:paraId="02EA28C0" w14:textId="77777777" w:rsidR="004F0AE5" w:rsidRPr="00D5581B" w:rsidRDefault="004F0AE5" w:rsidP="004F0AE5">
            <w:pPr>
              <w:rPr>
                <w:rFonts w:ascii="Times New Roman" w:hAnsi="Times New Roman"/>
              </w:rPr>
            </w:pPr>
            <w:r w:rsidRPr="00D323E7">
              <w:rPr>
                <w:rFonts w:ascii="Times New Roman" w:hAnsi="Times New Roman"/>
              </w:rPr>
              <w:t>Counseling for</w:t>
            </w:r>
            <w:r>
              <w:rPr>
                <w:rFonts w:ascii="Times New Roman" w:hAnsi="Times New Roman"/>
              </w:rPr>
              <w:t xml:space="preserve"> </w:t>
            </w:r>
            <w:r w:rsidRPr="00D323E7">
              <w:rPr>
                <w:rFonts w:ascii="Times New Roman" w:hAnsi="Times New Roman"/>
              </w:rPr>
              <w:t xml:space="preserve">speech/language development </w:t>
            </w:r>
            <w:r w:rsidRPr="00D323E7">
              <w:rPr>
                <w:rFonts w:ascii="Times New Roman" w:hAnsi="Times New Roman"/>
                <w:vertAlign w:val="superscript"/>
              </w:rPr>
              <w:t>(14)</w:t>
            </w:r>
          </w:p>
        </w:tc>
        <w:tc>
          <w:tcPr>
            <w:tcW w:w="1080" w:type="dxa"/>
            <w:tcBorders>
              <w:top w:val="single" w:sz="8" w:space="0" w:color="auto"/>
              <w:left w:val="single" w:sz="8" w:space="0" w:color="auto"/>
              <w:bottom w:val="single" w:sz="8" w:space="0" w:color="auto"/>
              <w:right w:val="single" w:sz="8" w:space="0" w:color="auto"/>
            </w:tcBorders>
          </w:tcPr>
          <w:p w14:paraId="6C2A0652"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170" w:type="dxa"/>
            <w:tcBorders>
              <w:top w:val="single" w:sz="8" w:space="0" w:color="auto"/>
              <w:left w:val="single" w:sz="8" w:space="0" w:color="auto"/>
              <w:bottom w:val="single" w:sz="8" w:space="0" w:color="auto"/>
              <w:right w:val="single" w:sz="8" w:space="0" w:color="auto"/>
            </w:tcBorders>
          </w:tcPr>
          <w:p w14:paraId="234156F4"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1CB18D0F"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627D37B0"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288" w:type="dxa"/>
            <w:tcBorders>
              <w:top w:val="single" w:sz="8" w:space="0" w:color="auto"/>
              <w:left w:val="single" w:sz="8" w:space="0" w:color="auto"/>
              <w:bottom w:val="single" w:sz="8" w:space="0" w:color="auto"/>
              <w:right w:val="single" w:sz="8" w:space="0" w:color="auto"/>
            </w:tcBorders>
          </w:tcPr>
          <w:p w14:paraId="78CE4076"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r>
      <w:tr w:rsidR="004F0AE5" w:rsidRPr="00D323E7" w14:paraId="25366659" w14:textId="77777777" w:rsidTr="004F0AE5">
        <w:trPr>
          <w:trHeight w:val="520"/>
        </w:trPr>
        <w:tc>
          <w:tcPr>
            <w:tcW w:w="3240" w:type="dxa"/>
            <w:tcBorders>
              <w:top w:val="single" w:sz="8" w:space="0" w:color="auto"/>
              <w:left w:val="single" w:sz="8" w:space="0" w:color="auto"/>
              <w:bottom w:val="single" w:sz="8" w:space="0" w:color="auto"/>
              <w:right w:val="single" w:sz="8" w:space="0" w:color="auto"/>
            </w:tcBorders>
          </w:tcPr>
          <w:p w14:paraId="63146F36" w14:textId="77777777" w:rsidR="004F0AE5" w:rsidRPr="00D5581B" w:rsidRDefault="004F0AE5" w:rsidP="004F0AE5">
            <w:pPr>
              <w:rPr>
                <w:rFonts w:ascii="Times New Roman" w:hAnsi="Times New Roman"/>
              </w:rPr>
            </w:pPr>
            <w:r w:rsidRPr="00D323E7">
              <w:rPr>
                <w:rFonts w:ascii="Times New Roman" w:hAnsi="Times New Roman"/>
              </w:rPr>
              <w:t xml:space="preserve">Tobacco </w:t>
            </w:r>
            <w:r>
              <w:rPr>
                <w:rFonts w:ascii="Times New Roman" w:hAnsi="Times New Roman"/>
              </w:rPr>
              <w:t>c</w:t>
            </w:r>
            <w:r w:rsidRPr="00D323E7">
              <w:rPr>
                <w:rFonts w:ascii="Times New Roman" w:hAnsi="Times New Roman"/>
              </w:rPr>
              <w:t xml:space="preserve">ontrol education Substance abuse </w:t>
            </w:r>
            <w:r>
              <w:rPr>
                <w:rFonts w:ascii="Times New Roman" w:hAnsi="Times New Roman"/>
              </w:rPr>
              <w:t>s</w:t>
            </w:r>
            <w:r w:rsidRPr="00D323E7">
              <w:rPr>
                <w:rFonts w:ascii="Times New Roman" w:hAnsi="Times New Roman"/>
              </w:rPr>
              <w:t xml:space="preserve">creening </w:t>
            </w:r>
            <w:r w:rsidRPr="00D323E7">
              <w:rPr>
                <w:rFonts w:ascii="Times New Roman" w:hAnsi="Times New Roman"/>
                <w:vertAlign w:val="superscript"/>
              </w:rPr>
              <w:t>(15)</w:t>
            </w:r>
          </w:p>
        </w:tc>
        <w:tc>
          <w:tcPr>
            <w:tcW w:w="1080" w:type="dxa"/>
            <w:tcBorders>
              <w:top w:val="single" w:sz="8" w:space="0" w:color="auto"/>
              <w:left w:val="single" w:sz="8" w:space="0" w:color="auto"/>
              <w:bottom w:val="single" w:sz="8" w:space="0" w:color="auto"/>
              <w:right w:val="single" w:sz="8" w:space="0" w:color="auto"/>
            </w:tcBorders>
          </w:tcPr>
          <w:p w14:paraId="21FB5ADD"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170" w:type="dxa"/>
            <w:tcBorders>
              <w:top w:val="single" w:sz="8" w:space="0" w:color="auto"/>
              <w:left w:val="single" w:sz="8" w:space="0" w:color="auto"/>
              <w:bottom w:val="single" w:sz="8" w:space="0" w:color="auto"/>
              <w:right w:val="single" w:sz="8" w:space="0" w:color="auto"/>
            </w:tcBorders>
          </w:tcPr>
          <w:p w14:paraId="42D98782"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350" w:type="dxa"/>
            <w:tcBorders>
              <w:top w:val="single" w:sz="8" w:space="0" w:color="auto"/>
              <w:left w:val="single" w:sz="8" w:space="0" w:color="auto"/>
              <w:bottom w:val="single" w:sz="8" w:space="0" w:color="auto"/>
              <w:right w:val="single" w:sz="8" w:space="0" w:color="auto"/>
            </w:tcBorders>
          </w:tcPr>
          <w:p w14:paraId="2E305B0C"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350" w:type="dxa"/>
            <w:tcBorders>
              <w:top w:val="single" w:sz="8" w:space="0" w:color="auto"/>
              <w:left w:val="single" w:sz="8" w:space="0" w:color="auto"/>
              <w:bottom w:val="single" w:sz="8" w:space="0" w:color="auto"/>
              <w:right w:val="single" w:sz="8" w:space="0" w:color="auto"/>
            </w:tcBorders>
          </w:tcPr>
          <w:p w14:paraId="1021A684"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75FDD08B"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2367498E" w14:textId="77777777" w:rsidTr="004F0AE5">
        <w:trPr>
          <w:trHeight w:val="510"/>
        </w:trPr>
        <w:tc>
          <w:tcPr>
            <w:tcW w:w="3240" w:type="dxa"/>
            <w:tcBorders>
              <w:top w:val="single" w:sz="8" w:space="0" w:color="auto"/>
              <w:left w:val="single" w:sz="8" w:space="0" w:color="auto"/>
              <w:bottom w:val="single" w:sz="8" w:space="0" w:color="auto"/>
              <w:right w:val="single" w:sz="8" w:space="0" w:color="auto"/>
            </w:tcBorders>
          </w:tcPr>
          <w:p w14:paraId="330135EE" w14:textId="77777777" w:rsidR="004F0AE5" w:rsidRPr="00D5581B" w:rsidRDefault="004F0AE5" w:rsidP="004F0AE5">
            <w:pPr>
              <w:rPr>
                <w:rFonts w:ascii="Times New Roman" w:hAnsi="Times New Roman"/>
              </w:rPr>
            </w:pPr>
            <w:r w:rsidRPr="00D323E7">
              <w:rPr>
                <w:rFonts w:ascii="Times New Roman" w:hAnsi="Times New Roman"/>
              </w:rPr>
              <w:t>Screening for intraoral/perioral</w:t>
            </w:r>
            <w:r>
              <w:rPr>
                <w:rFonts w:ascii="Times New Roman" w:hAnsi="Times New Roman"/>
              </w:rPr>
              <w:t xml:space="preserve"> p</w:t>
            </w:r>
            <w:r w:rsidRPr="00D323E7">
              <w:rPr>
                <w:rFonts w:ascii="Times New Roman" w:hAnsi="Times New Roman"/>
              </w:rPr>
              <w:t xml:space="preserve">iercing </w:t>
            </w:r>
            <w:r w:rsidRPr="00D323E7">
              <w:rPr>
                <w:rFonts w:ascii="Times New Roman" w:hAnsi="Times New Roman"/>
                <w:vertAlign w:val="superscript"/>
              </w:rPr>
              <w:t>(16)</w:t>
            </w:r>
          </w:p>
        </w:tc>
        <w:tc>
          <w:tcPr>
            <w:tcW w:w="1080" w:type="dxa"/>
            <w:tcBorders>
              <w:top w:val="single" w:sz="8" w:space="0" w:color="auto"/>
              <w:left w:val="single" w:sz="8" w:space="0" w:color="auto"/>
              <w:bottom w:val="single" w:sz="8" w:space="0" w:color="auto"/>
              <w:right w:val="single" w:sz="8" w:space="0" w:color="auto"/>
            </w:tcBorders>
          </w:tcPr>
          <w:p w14:paraId="507EBDE2"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170" w:type="dxa"/>
            <w:tcBorders>
              <w:top w:val="single" w:sz="8" w:space="0" w:color="auto"/>
              <w:left w:val="single" w:sz="8" w:space="0" w:color="auto"/>
              <w:bottom w:val="single" w:sz="8" w:space="0" w:color="auto"/>
              <w:right w:val="single" w:sz="8" w:space="0" w:color="auto"/>
            </w:tcBorders>
          </w:tcPr>
          <w:p w14:paraId="29475973"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350" w:type="dxa"/>
            <w:tcBorders>
              <w:top w:val="single" w:sz="8" w:space="0" w:color="auto"/>
              <w:left w:val="single" w:sz="8" w:space="0" w:color="auto"/>
              <w:bottom w:val="single" w:sz="8" w:space="0" w:color="auto"/>
              <w:right w:val="single" w:sz="8" w:space="0" w:color="auto"/>
            </w:tcBorders>
          </w:tcPr>
          <w:p w14:paraId="313F5C28"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350" w:type="dxa"/>
            <w:tcBorders>
              <w:top w:val="single" w:sz="8" w:space="0" w:color="auto"/>
              <w:left w:val="single" w:sz="8" w:space="0" w:color="auto"/>
              <w:bottom w:val="single" w:sz="8" w:space="0" w:color="auto"/>
              <w:right w:val="single" w:sz="8" w:space="0" w:color="auto"/>
            </w:tcBorders>
          </w:tcPr>
          <w:p w14:paraId="66BF3A07"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51221408"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77693D9F" w14:textId="77777777" w:rsidTr="004F0AE5">
        <w:trPr>
          <w:trHeight w:val="525"/>
        </w:trPr>
        <w:tc>
          <w:tcPr>
            <w:tcW w:w="3240" w:type="dxa"/>
            <w:tcBorders>
              <w:top w:val="single" w:sz="8" w:space="0" w:color="auto"/>
              <w:left w:val="single" w:sz="8" w:space="0" w:color="auto"/>
              <w:bottom w:val="single" w:sz="8" w:space="0" w:color="auto"/>
              <w:right w:val="single" w:sz="8" w:space="0" w:color="auto"/>
            </w:tcBorders>
          </w:tcPr>
          <w:p w14:paraId="4C7D8D79" w14:textId="77777777" w:rsidR="004F0AE5" w:rsidRPr="00D5581B" w:rsidRDefault="004F0AE5" w:rsidP="004F0AE5">
            <w:pPr>
              <w:rPr>
                <w:rFonts w:ascii="Times New Roman" w:hAnsi="Times New Roman"/>
              </w:rPr>
            </w:pPr>
            <w:r w:rsidRPr="00D323E7">
              <w:rPr>
                <w:rFonts w:ascii="Times New Roman" w:hAnsi="Times New Roman"/>
              </w:rPr>
              <w:t xml:space="preserve">Assessment and treatment of developing malocclusion </w:t>
            </w:r>
            <w:r w:rsidRPr="00D323E7">
              <w:rPr>
                <w:rFonts w:ascii="Times New Roman" w:hAnsi="Times New Roman"/>
                <w:vertAlign w:val="superscript"/>
              </w:rPr>
              <w:t>(17)</w:t>
            </w:r>
          </w:p>
        </w:tc>
        <w:tc>
          <w:tcPr>
            <w:tcW w:w="1080" w:type="dxa"/>
            <w:tcBorders>
              <w:top w:val="single" w:sz="8" w:space="0" w:color="auto"/>
              <w:left w:val="single" w:sz="8" w:space="0" w:color="auto"/>
              <w:bottom w:val="single" w:sz="8" w:space="0" w:color="auto"/>
              <w:right w:val="single" w:sz="8" w:space="0" w:color="auto"/>
            </w:tcBorders>
          </w:tcPr>
          <w:p w14:paraId="07A94057"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170" w:type="dxa"/>
            <w:tcBorders>
              <w:top w:val="single" w:sz="8" w:space="0" w:color="auto"/>
              <w:left w:val="single" w:sz="8" w:space="0" w:color="auto"/>
              <w:bottom w:val="single" w:sz="8" w:space="0" w:color="auto"/>
              <w:right w:val="single" w:sz="8" w:space="0" w:color="auto"/>
            </w:tcBorders>
          </w:tcPr>
          <w:p w14:paraId="0315F3DE"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350" w:type="dxa"/>
            <w:tcBorders>
              <w:top w:val="single" w:sz="8" w:space="0" w:color="auto"/>
              <w:left w:val="single" w:sz="8" w:space="0" w:color="auto"/>
              <w:bottom w:val="single" w:sz="8" w:space="0" w:color="auto"/>
              <w:right w:val="single" w:sz="8" w:space="0" w:color="auto"/>
            </w:tcBorders>
          </w:tcPr>
          <w:p w14:paraId="7C395034"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350" w:type="dxa"/>
            <w:tcBorders>
              <w:top w:val="single" w:sz="8" w:space="0" w:color="auto"/>
              <w:left w:val="single" w:sz="8" w:space="0" w:color="auto"/>
              <w:bottom w:val="single" w:sz="8" w:space="0" w:color="auto"/>
              <w:right w:val="single" w:sz="8" w:space="0" w:color="auto"/>
            </w:tcBorders>
          </w:tcPr>
          <w:p w14:paraId="3DC6E2D0" w14:textId="77777777" w:rsidR="004F0AE5" w:rsidRPr="00D323E7" w:rsidRDefault="004F0AE5" w:rsidP="004F0AE5">
            <w:pPr>
              <w:jc w:val="center"/>
              <w:rPr>
                <w:rFonts w:ascii="Times New Roman" w:hAnsi="Times New Roman"/>
              </w:rPr>
            </w:pPr>
            <w:r w:rsidRPr="00D323E7">
              <w:rPr>
                <w:rFonts w:ascii="Times New Roman" w:hAnsi="Times New Roman"/>
              </w:rPr>
              <w:t>x</w:t>
            </w:r>
          </w:p>
        </w:tc>
        <w:tc>
          <w:tcPr>
            <w:tcW w:w="1288" w:type="dxa"/>
            <w:tcBorders>
              <w:top w:val="single" w:sz="8" w:space="0" w:color="auto"/>
              <w:left w:val="single" w:sz="8" w:space="0" w:color="auto"/>
              <w:bottom w:val="single" w:sz="8" w:space="0" w:color="auto"/>
              <w:right w:val="single" w:sz="8" w:space="0" w:color="auto"/>
            </w:tcBorders>
          </w:tcPr>
          <w:p w14:paraId="11F82327"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03EF9114" w14:textId="77777777" w:rsidTr="004F0AE5">
        <w:trPr>
          <w:trHeight w:val="510"/>
        </w:trPr>
        <w:tc>
          <w:tcPr>
            <w:tcW w:w="3240" w:type="dxa"/>
            <w:tcBorders>
              <w:top w:val="single" w:sz="8" w:space="0" w:color="auto"/>
              <w:left w:val="single" w:sz="8" w:space="0" w:color="auto"/>
              <w:bottom w:val="single" w:sz="8" w:space="0" w:color="auto"/>
              <w:right w:val="single" w:sz="8" w:space="0" w:color="auto"/>
            </w:tcBorders>
          </w:tcPr>
          <w:p w14:paraId="1B6DEE48" w14:textId="77777777" w:rsidR="004F0AE5" w:rsidRPr="00D5581B" w:rsidRDefault="004F0AE5" w:rsidP="004F0AE5">
            <w:pPr>
              <w:rPr>
                <w:rFonts w:ascii="Times New Roman" w:hAnsi="Times New Roman"/>
              </w:rPr>
            </w:pPr>
            <w:r w:rsidRPr="00D323E7">
              <w:rPr>
                <w:rFonts w:ascii="Times New Roman" w:hAnsi="Times New Roman"/>
              </w:rPr>
              <w:t xml:space="preserve">Assessment and/or removal </w:t>
            </w:r>
            <w:r>
              <w:rPr>
                <w:rFonts w:ascii="Times New Roman" w:hAnsi="Times New Roman"/>
              </w:rPr>
              <w:t xml:space="preserve">of </w:t>
            </w:r>
            <w:r w:rsidRPr="00D323E7">
              <w:rPr>
                <w:rFonts w:ascii="Times New Roman" w:hAnsi="Times New Roman"/>
              </w:rPr>
              <w:t xml:space="preserve">third molars </w:t>
            </w:r>
            <w:r w:rsidRPr="00D323E7">
              <w:rPr>
                <w:rFonts w:ascii="Times New Roman" w:hAnsi="Times New Roman"/>
                <w:vertAlign w:val="superscript"/>
              </w:rPr>
              <w:t>(18)</w:t>
            </w:r>
          </w:p>
        </w:tc>
        <w:tc>
          <w:tcPr>
            <w:tcW w:w="1080" w:type="dxa"/>
            <w:tcBorders>
              <w:top w:val="single" w:sz="8" w:space="0" w:color="auto"/>
              <w:left w:val="single" w:sz="8" w:space="0" w:color="auto"/>
              <w:bottom w:val="single" w:sz="8" w:space="0" w:color="auto"/>
              <w:right w:val="single" w:sz="8" w:space="0" w:color="auto"/>
            </w:tcBorders>
          </w:tcPr>
          <w:p w14:paraId="635AFAD3"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170" w:type="dxa"/>
            <w:tcBorders>
              <w:top w:val="single" w:sz="8" w:space="0" w:color="auto"/>
              <w:left w:val="single" w:sz="8" w:space="0" w:color="auto"/>
              <w:bottom w:val="single" w:sz="8" w:space="0" w:color="auto"/>
              <w:right w:val="single" w:sz="8" w:space="0" w:color="auto"/>
            </w:tcBorders>
          </w:tcPr>
          <w:p w14:paraId="3455531C"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350" w:type="dxa"/>
            <w:tcBorders>
              <w:top w:val="single" w:sz="8" w:space="0" w:color="auto"/>
              <w:left w:val="single" w:sz="8" w:space="0" w:color="auto"/>
              <w:bottom w:val="single" w:sz="8" w:space="0" w:color="auto"/>
              <w:right w:val="single" w:sz="8" w:space="0" w:color="auto"/>
            </w:tcBorders>
          </w:tcPr>
          <w:p w14:paraId="48622693"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350" w:type="dxa"/>
            <w:tcBorders>
              <w:top w:val="single" w:sz="8" w:space="0" w:color="auto"/>
              <w:left w:val="single" w:sz="8" w:space="0" w:color="auto"/>
              <w:bottom w:val="single" w:sz="8" w:space="0" w:color="auto"/>
              <w:right w:val="single" w:sz="8" w:space="0" w:color="auto"/>
            </w:tcBorders>
          </w:tcPr>
          <w:p w14:paraId="786EA13A"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288" w:type="dxa"/>
            <w:tcBorders>
              <w:top w:val="single" w:sz="8" w:space="0" w:color="auto"/>
              <w:left w:val="single" w:sz="8" w:space="0" w:color="auto"/>
              <w:bottom w:val="single" w:sz="8" w:space="0" w:color="auto"/>
              <w:right w:val="single" w:sz="8" w:space="0" w:color="auto"/>
            </w:tcBorders>
          </w:tcPr>
          <w:p w14:paraId="472C2761" w14:textId="77777777" w:rsidR="004F0AE5" w:rsidRPr="00D323E7" w:rsidRDefault="004F0AE5" w:rsidP="004F0AE5">
            <w:pPr>
              <w:jc w:val="center"/>
              <w:rPr>
                <w:rFonts w:ascii="Times New Roman" w:hAnsi="Times New Roman"/>
              </w:rPr>
            </w:pPr>
            <w:r w:rsidRPr="00D323E7">
              <w:rPr>
                <w:rFonts w:ascii="Times New Roman" w:hAnsi="Times New Roman"/>
              </w:rPr>
              <w:t>x</w:t>
            </w:r>
          </w:p>
        </w:tc>
      </w:tr>
      <w:tr w:rsidR="004F0AE5" w:rsidRPr="00D323E7" w14:paraId="11E7C5B7" w14:textId="77777777" w:rsidTr="004F0AE5">
        <w:trPr>
          <w:trHeight w:val="360"/>
        </w:trPr>
        <w:tc>
          <w:tcPr>
            <w:tcW w:w="3240" w:type="dxa"/>
            <w:tcBorders>
              <w:top w:val="single" w:sz="8" w:space="0" w:color="auto"/>
              <w:left w:val="single" w:sz="8" w:space="0" w:color="auto"/>
              <w:bottom w:val="single" w:sz="8" w:space="0" w:color="auto"/>
              <w:right w:val="single" w:sz="8" w:space="0" w:color="auto"/>
            </w:tcBorders>
          </w:tcPr>
          <w:p w14:paraId="189D61C4" w14:textId="77777777" w:rsidR="004F0AE5" w:rsidRPr="00D5581B" w:rsidRDefault="004F0AE5" w:rsidP="004F0AE5">
            <w:pPr>
              <w:rPr>
                <w:rFonts w:ascii="Times New Roman" w:hAnsi="Times New Roman"/>
              </w:rPr>
            </w:pPr>
            <w:r w:rsidRPr="00D323E7">
              <w:rPr>
                <w:rFonts w:ascii="Times New Roman" w:hAnsi="Times New Roman"/>
              </w:rPr>
              <w:t xml:space="preserve">Transition to adult dental care </w:t>
            </w:r>
            <w:r w:rsidRPr="00D323E7">
              <w:rPr>
                <w:rFonts w:ascii="Times New Roman" w:hAnsi="Times New Roman"/>
                <w:vertAlign w:val="superscript"/>
              </w:rPr>
              <w:t>(19)</w:t>
            </w:r>
          </w:p>
        </w:tc>
        <w:tc>
          <w:tcPr>
            <w:tcW w:w="1080" w:type="dxa"/>
            <w:tcBorders>
              <w:top w:val="single" w:sz="8" w:space="0" w:color="auto"/>
              <w:left w:val="single" w:sz="8" w:space="0" w:color="auto"/>
              <w:bottom w:val="single" w:sz="8" w:space="0" w:color="auto"/>
              <w:right w:val="single" w:sz="8" w:space="0" w:color="auto"/>
            </w:tcBorders>
          </w:tcPr>
          <w:p w14:paraId="68BC6A34"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170" w:type="dxa"/>
            <w:tcBorders>
              <w:top w:val="single" w:sz="8" w:space="0" w:color="auto"/>
              <w:left w:val="single" w:sz="8" w:space="0" w:color="auto"/>
              <w:bottom w:val="single" w:sz="8" w:space="0" w:color="auto"/>
              <w:right w:val="single" w:sz="8" w:space="0" w:color="auto"/>
            </w:tcBorders>
          </w:tcPr>
          <w:p w14:paraId="1F432A1B"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350" w:type="dxa"/>
            <w:tcBorders>
              <w:top w:val="single" w:sz="8" w:space="0" w:color="auto"/>
              <w:left w:val="single" w:sz="8" w:space="0" w:color="auto"/>
              <w:bottom w:val="single" w:sz="8" w:space="0" w:color="auto"/>
              <w:right w:val="single" w:sz="8" w:space="0" w:color="auto"/>
            </w:tcBorders>
          </w:tcPr>
          <w:p w14:paraId="6EB2FFC9"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350" w:type="dxa"/>
            <w:tcBorders>
              <w:top w:val="single" w:sz="8" w:space="0" w:color="auto"/>
              <w:left w:val="single" w:sz="8" w:space="0" w:color="auto"/>
              <w:bottom w:val="single" w:sz="8" w:space="0" w:color="auto"/>
              <w:right w:val="single" w:sz="8" w:space="0" w:color="auto"/>
            </w:tcBorders>
          </w:tcPr>
          <w:p w14:paraId="640BA1C7" w14:textId="77777777" w:rsidR="004F0AE5" w:rsidRPr="00D323E7" w:rsidRDefault="004F0AE5" w:rsidP="004F0AE5">
            <w:pPr>
              <w:jc w:val="center"/>
              <w:rPr>
                <w:rFonts w:ascii="Times New Roman" w:hAnsi="Times New Roman"/>
              </w:rPr>
            </w:pPr>
            <w:r w:rsidRPr="00D323E7">
              <w:rPr>
                <w:rFonts w:ascii="Times New Roman" w:hAnsi="Times New Roman"/>
              </w:rPr>
              <w:t xml:space="preserve"> </w:t>
            </w:r>
          </w:p>
        </w:tc>
        <w:tc>
          <w:tcPr>
            <w:tcW w:w="1288" w:type="dxa"/>
            <w:tcBorders>
              <w:top w:val="single" w:sz="8" w:space="0" w:color="auto"/>
              <w:left w:val="single" w:sz="8" w:space="0" w:color="auto"/>
              <w:bottom w:val="single" w:sz="8" w:space="0" w:color="auto"/>
              <w:right w:val="single" w:sz="8" w:space="0" w:color="auto"/>
            </w:tcBorders>
          </w:tcPr>
          <w:p w14:paraId="2D4A2E87" w14:textId="77777777" w:rsidR="004F0AE5" w:rsidRPr="00D323E7" w:rsidRDefault="004F0AE5" w:rsidP="004F0AE5">
            <w:pPr>
              <w:jc w:val="center"/>
              <w:rPr>
                <w:rFonts w:ascii="Times New Roman" w:hAnsi="Times New Roman"/>
              </w:rPr>
            </w:pPr>
            <w:r w:rsidRPr="00D323E7">
              <w:rPr>
                <w:rFonts w:ascii="Times New Roman" w:hAnsi="Times New Roman"/>
              </w:rPr>
              <w:t>x</w:t>
            </w:r>
          </w:p>
        </w:tc>
      </w:tr>
      <w:bookmarkEnd w:id="3"/>
    </w:tbl>
    <w:p w14:paraId="75CED0E8" w14:textId="77777777" w:rsidR="002957CC" w:rsidRDefault="002957CC">
      <w:pPr>
        <w:rPr>
          <w:b/>
          <w:bCs/>
        </w:rPr>
      </w:pPr>
      <w:r>
        <w:rPr>
          <w:b/>
          <w:bCs/>
        </w:rPr>
        <w:br w:type="page"/>
      </w:r>
    </w:p>
    <w:p w14:paraId="0398BAB3" w14:textId="47AC621A" w:rsidR="004F0AE5" w:rsidRPr="00D323E7" w:rsidRDefault="004F0AE5" w:rsidP="004F0AE5">
      <w:pPr>
        <w:tabs>
          <w:tab w:val="left" w:pos="9810"/>
        </w:tabs>
        <w:ind w:left="116" w:right="10"/>
        <w:rPr>
          <w:b/>
          <w:bCs/>
        </w:rPr>
      </w:pPr>
      <w:r w:rsidRPr="00D323E7">
        <w:rPr>
          <w:b/>
          <w:bCs/>
        </w:rPr>
        <w:lastRenderedPageBreak/>
        <w:t>II.B.  E</w:t>
      </w:r>
      <w:r w:rsidRPr="00D5581B">
        <w:rPr>
          <w:b/>
          <w:bCs/>
        </w:rPr>
        <w:t xml:space="preserve">xplanations </w:t>
      </w:r>
      <w:r w:rsidRPr="00D323E7">
        <w:rPr>
          <w:b/>
          <w:bCs/>
        </w:rPr>
        <w:t>of the Dental Schedule</w:t>
      </w:r>
      <w:r w:rsidRPr="00D5581B">
        <w:rPr>
          <w:b/>
          <w:bCs/>
        </w:rPr>
        <w:t xml:space="preserve"> </w:t>
      </w:r>
      <w:r w:rsidRPr="00D323E7">
        <w:rPr>
          <w:b/>
          <w:bCs/>
        </w:rPr>
        <w:t>T</w:t>
      </w:r>
      <w:r w:rsidRPr="00D5581B">
        <w:rPr>
          <w:b/>
          <w:bCs/>
        </w:rPr>
        <w:t>able</w:t>
      </w:r>
    </w:p>
    <w:p w14:paraId="153F27DE" w14:textId="77777777" w:rsidR="004F0AE5" w:rsidRPr="00D323E7" w:rsidRDefault="004F0AE5" w:rsidP="004F0AE5">
      <w:pPr>
        <w:tabs>
          <w:tab w:val="left" w:pos="9810"/>
        </w:tabs>
        <w:ind w:left="116" w:right="10"/>
        <w:rPr>
          <w:b/>
          <w:bCs/>
        </w:rPr>
      </w:pPr>
    </w:p>
    <w:p w14:paraId="32E92406" w14:textId="77777777" w:rsidR="004F0AE5" w:rsidRPr="00D5581B" w:rsidRDefault="004F0AE5" w:rsidP="004F0AE5">
      <w:pPr>
        <w:tabs>
          <w:tab w:val="left" w:pos="9810"/>
        </w:tabs>
        <w:ind w:left="360" w:right="10"/>
      </w:pPr>
      <w:r w:rsidRPr="00D5581B">
        <w:t xml:space="preserve">The explanations in this section are numbered and align with the numbers that appear in the </w:t>
      </w:r>
      <w:r w:rsidRPr="00D323E7">
        <w:t xml:space="preserve">Dental Schedule Table in </w:t>
      </w:r>
      <w:r>
        <w:t>s</w:t>
      </w:r>
      <w:r w:rsidRPr="00D323E7">
        <w:t>ection II.A.</w:t>
      </w:r>
    </w:p>
    <w:p w14:paraId="3517D2BF" w14:textId="77777777" w:rsidR="004F0AE5" w:rsidRPr="00D323E7" w:rsidRDefault="004F0AE5" w:rsidP="004F0AE5">
      <w:pPr>
        <w:tabs>
          <w:tab w:val="left" w:pos="9810"/>
        </w:tabs>
        <w:ind w:left="116" w:right="10"/>
        <w:rPr>
          <w:b/>
          <w:bCs/>
          <w:u w:val="single"/>
        </w:rPr>
      </w:pPr>
    </w:p>
    <w:p w14:paraId="6DFCB7AF" w14:textId="77777777" w:rsidR="004F0AE5" w:rsidRPr="00D5581B"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The first clinical oral examination should occur at the eruption of the first tooth and no later than 12 months of age. Clinical examinations should take place every six months or as indicated by the child’s risk status</w:t>
      </w:r>
      <w:r>
        <w:rPr>
          <w:rFonts w:ascii="Times New Roman" w:hAnsi="Times New Roman"/>
        </w:rPr>
        <w:t xml:space="preserve"> and </w:t>
      </w:r>
      <w:r w:rsidRPr="00D323E7">
        <w:rPr>
          <w:rFonts w:ascii="Times New Roman" w:hAnsi="Times New Roman"/>
        </w:rPr>
        <w:t xml:space="preserve">susceptibility to disease. </w:t>
      </w:r>
      <w:r>
        <w:rPr>
          <w:rFonts w:ascii="Times New Roman" w:hAnsi="Times New Roman"/>
        </w:rPr>
        <w:t>The</w:t>
      </w:r>
      <w:r w:rsidRPr="00D323E7">
        <w:rPr>
          <w:rFonts w:ascii="Times New Roman" w:hAnsi="Times New Roman"/>
        </w:rPr>
        <w:t xml:space="preserve"> clinical</w:t>
      </w:r>
      <w:r>
        <w:rPr>
          <w:rFonts w:ascii="Times New Roman" w:hAnsi="Times New Roman"/>
        </w:rPr>
        <w:t xml:space="preserve"> </w:t>
      </w:r>
      <w:r w:rsidRPr="00D323E7">
        <w:rPr>
          <w:rFonts w:ascii="Times New Roman" w:hAnsi="Times New Roman"/>
        </w:rPr>
        <w:t>examination includes assessment of all hard and soft tissues</w:t>
      </w:r>
      <w:r>
        <w:rPr>
          <w:rFonts w:ascii="Times New Roman" w:hAnsi="Times New Roman"/>
        </w:rPr>
        <w:t>,</w:t>
      </w:r>
      <w:r w:rsidRPr="00D323E7">
        <w:rPr>
          <w:rFonts w:ascii="Times New Roman" w:hAnsi="Times New Roman"/>
        </w:rPr>
        <w:t xml:space="preserve"> as well as pathology and injuries.</w:t>
      </w:r>
    </w:p>
    <w:p w14:paraId="131FADA9" w14:textId="77777777" w:rsidR="004F0AE5" w:rsidRPr="00D5581B"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Oral growth and development are assessed by clinical</w:t>
      </w:r>
      <w:r>
        <w:rPr>
          <w:rFonts w:ascii="Times New Roman" w:hAnsi="Times New Roman"/>
        </w:rPr>
        <w:t xml:space="preserve"> </w:t>
      </w:r>
      <w:r w:rsidRPr="00D323E7">
        <w:rPr>
          <w:rFonts w:ascii="Times New Roman" w:hAnsi="Times New Roman"/>
        </w:rPr>
        <w:t>examination.</w:t>
      </w:r>
    </w:p>
    <w:p w14:paraId="4155F440" w14:textId="77777777" w:rsidR="004F0AE5" w:rsidRPr="00D5581B"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Caries risk assessment should be repeated during each clinical examination to monitor changes in risk status.</w:t>
      </w:r>
    </w:p>
    <w:p w14:paraId="19881C82" w14:textId="77777777" w:rsidR="004F0AE5" w:rsidRPr="00D5581B"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Radiographic assessments are an important component of the clinical assessment. Timing, selection, and frequency are determined by child’s history, clinical findings, and susceptibility to oral disease and in compliance with FDA guidance (</w:t>
      </w:r>
      <w:hyperlink r:id="rId29" w:history="1">
        <w:r w:rsidRPr="001522EE">
          <w:rPr>
            <w:rStyle w:val="Hyperlink"/>
            <w:rFonts w:ascii="Times New Roman" w:hAnsi="Times New Roman"/>
          </w:rPr>
          <w:t>www.fda.gov/radiation-emitting-products/medical-x-ray-imaging/selection-patients-dental-radiographic-examinations</w:t>
        </w:r>
      </w:hyperlink>
      <w:r w:rsidRPr="00D323E7">
        <w:rPr>
          <w:rFonts w:ascii="Times New Roman" w:hAnsi="Times New Roman"/>
        </w:rPr>
        <w:t>).</w:t>
      </w:r>
    </w:p>
    <w:p w14:paraId="15BA783A" w14:textId="77777777" w:rsidR="004F0AE5" w:rsidRPr="00D5581B"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Prophylaxis and fluoride treatments are important preventive measures</w:t>
      </w:r>
      <w:r>
        <w:rPr>
          <w:rFonts w:ascii="Times New Roman" w:hAnsi="Times New Roman"/>
        </w:rPr>
        <w:t>. Prophylaxis and fluoride treatments</w:t>
      </w:r>
      <w:r w:rsidRPr="00D323E7">
        <w:rPr>
          <w:rFonts w:ascii="Times New Roman" w:hAnsi="Times New Roman"/>
        </w:rPr>
        <w:t xml:space="preserve"> should be a component of the periodic examination and assessment process.</w:t>
      </w:r>
    </w:p>
    <w:p w14:paraId="2DA30A1C" w14:textId="77777777" w:rsidR="004F0AE5" w:rsidRDefault="004F0AE5" w:rsidP="004F0AE5">
      <w:pPr>
        <w:pStyle w:val="ListParagraph"/>
        <w:numPr>
          <w:ilvl w:val="0"/>
          <w:numId w:val="4"/>
        </w:numPr>
        <w:spacing w:after="120" w:line="240" w:lineRule="auto"/>
        <w:contextualSpacing w:val="0"/>
        <w:rPr>
          <w:rFonts w:ascii="Times New Roman" w:hAnsi="Times New Roman"/>
        </w:rPr>
      </w:pPr>
      <w:r>
        <w:rPr>
          <w:rFonts w:ascii="Times New Roman" w:hAnsi="Times New Roman"/>
        </w:rPr>
        <w:t>Evaluate</w:t>
      </w:r>
      <w:r w:rsidRPr="00D323E7">
        <w:rPr>
          <w:rFonts w:ascii="Times New Roman" w:hAnsi="Times New Roman"/>
        </w:rPr>
        <w:t xml:space="preserve"> when systemic fluoride </w:t>
      </w:r>
      <w:r>
        <w:rPr>
          <w:rFonts w:ascii="Times New Roman" w:hAnsi="Times New Roman"/>
        </w:rPr>
        <w:t xml:space="preserve">exposure is suboptimal or fluoride </w:t>
      </w:r>
      <w:r w:rsidRPr="00D323E7">
        <w:rPr>
          <w:rFonts w:ascii="Times New Roman" w:hAnsi="Times New Roman"/>
        </w:rPr>
        <w:t xml:space="preserve">supplementation is </w:t>
      </w:r>
      <w:r>
        <w:rPr>
          <w:rFonts w:ascii="Times New Roman" w:hAnsi="Times New Roman"/>
        </w:rPr>
        <w:t xml:space="preserve">otherwise </w:t>
      </w:r>
      <w:r w:rsidRPr="00D323E7">
        <w:rPr>
          <w:rFonts w:ascii="Times New Roman" w:hAnsi="Times New Roman"/>
        </w:rPr>
        <w:t xml:space="preserve">indicated </w:t>
      </w:r>
      <w:r>
        <w:rPr>
          <w:rFonts w:ascii="Times New Roman" w:hAnsi="Times New Roman"/>
        </w:rPr>
        <w:t xml:space="preserve">by guidance </w:t>
      </w:r>
      <w:r w:rsidRPr="00D323E7">
        <w:rPr>
          <w:rFonts w:ascii="Times New Roman" w:hAnsi="Times New Roman"/>
        </w:rPr>
        <w:t xml:space="preserve">of the American Academy of Pediatric Dentistry and </w:t>
      </w:r>
      <w:r>
        <w:rPr>
          <w:rFonts w:ascii="Times New Roman" w:hAnsi="Times New Roman"/>
        </w:rPr>
        <w:t xml:space="preserve">the </w:t>
      </w:r>
      <w:r w:rsidRPr="00D323E7">
        <w:rPr>
          <w:rFonts w:ascii="Times New Roman" w:hAnsi="Times New Roman"/>
        </w:rPr>
        <w:t>Bright Futures Periodicity schedule</w:t>
      </w:r>
      <w:r>
        <w:rPr>
          <w:rFonts w:ascii="Times New Roman" w:hAnsi="Times New Roman"/>
        </w:rPr>
        <w:t>.</w:t>
      </w:r>
      <w:r w:rsidRPr="00D323E7">
        <w:rPr>
          <w:rFonts w:ascii="Times New Roman" w:hAnsi="Times New Roman"/>
        </w:rPr>
        <w:t xml:space="preserve"> See list of M</w:t>
      </w:r>
      <w:r>
        <w:rPr>
          <w:rFonts w:ascii="Times New Roman" w:hAnsi="Times New Roman"/>
        </w:rPr>
        <w:t>assachusetts</w:t>
      </w:r>
      <w:r w:rsidRPr="00D323E7">
        <w:rPr>
          <w:rFonts w:ascii="Times New Roman" w:hAnsi="Times New Roman"/>
        </w:rPr>
        <w:t xml:space="preserve"> fluoridated communities</w:t>
      </w:r>
      <w:r>
        <w:rPr>
          <w:rFonts w:ascii="Times New Roman" w:hAnsi="Times New Roman"/>
        </w:rPr>
        <w:t xml:space="preserve"> at </w:t>
      </w:r>
      <w:hyperlink r:id="rId30" w:history="1">
        <w:r w:rsidRPr="00ED2490">
          <w:rPr>
            <w:rStyle w:val="Hyperlink"/>
            <w:rFonts w:ascii="Times New Roman" w:hAnsi="Times New Roman"/>
          </w:rPr>
          <w:t>www.mass.gov/files/documents/2016/07/xv/fluoride-census.pdf</w:t>
        </w:r>
      </w:hyperlink>
      <w:r w:rsidRPr="00D323E7">
        <w:rPr>
          <w:rFonts w:ascii="Times New Roman" w:hAnsi="Times New Roman"/>
        </w:rPr>
        <w:t>.</w:t>
      </w:r>
      <w:r>
        <w:rPr>
          <w:rFonts w:ascii="Times New Roman" w:hAnsi="Times New Roman"/>
        </w:rPr>
        <w:t xml:space="preserve"> </w:t>
      </w:r>
      <w:r w:rsidRPr="00D323E7">
        <w:rPr>
          <w:rFonts w:ascii="Times New Roman" w:hAnsi="Times New Roman"/>
        </w:rPr>
        <w:t xml:space="preserve"> </w:t>
      </w:r>
    </w:p>
    <w:p w14:paraId="62C7A11F" w14:textId="77777777" w:rsidR="004F0AE5" w:rsidRPr="00126267" w:rsidRDefault="004F0AE5" w:rsidP="004F0AE5">
      <w:pPr>
        <w:pStyle w:val="ListParagraph"/>
        <w:numPr>
          <w:ilvl w:val="0"/>
          <w:numId w:val="4"/>
        </w:numPr>
        <w:spacing w:after="120" w:line="240" w:lineRule="auto"/>
        <w:contextualSpacing w:val="0"/>
        <w:rPr>
          <w:rFonts w:ascii="Times New Roman" w:eastAsiaTheme="minorEastAsia" w:hAnsi="Times New Roman"/>
          <w:color w:val="0000FF" w:themeColor="hyperlink"/>
          <w:u w:val="single"/>
        </w:rPr>
      </w:pPr>
      <w:r w:rsidRPr="00AB3D4E">
        <w:rPr>
          <w:rFonts w:ascii="Times New Roman" w:hAnsi="Times New Roman"/>
        </w:rPr>
        <w:t>Fluoride Varnish - Once teeth are present, fluoride varnish may be applied every three to six months in the dental office or primary care setting (</w:t>
      </w:r>
      <w:hyperlink r:id="rId31" w:history="1">
        <w:r w:rsidRPr="00594EAE">
          <w:rPr>
            <w:rStyle w:val="Hyperlink"/>
            <w:rFonts w:ascii="Times New Roman" w:hAnsi="Times New Roman"/>
          </w:rPr>
          <w:t>https://pediatrics.aappublications.org/content/pediatrics/134/3/626.full.pdf</w:t>
        </w:r>
      </w:hyperlink>
      <w:r w:rsidRPr="00AB3D4E">
        <w:rPr>
          <w:rFonts w:ascii="Times New Roman" w:hAnsi="Times New Roman"/>
        </w:rPr>
        <w:t>).</w:t>
      </w:r>
    </w:p>
    <w:p w14:paraId="1F7D1102" w14:textId="77777777" w:rsidR="004F0AE5" w:rsidRPr="00A12BBA"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 xml:space="preserve">Anticipatory guidance is an integral component of the initial </w:t>
      </w:r>
      <w:r>
        <w:rPr>
          <w:rFonts w:ascii="Times New Roman" w:hAnsi="Times New Roman"/>
        </w:rPr>
        <w:t>comprehensive exam and</w:t>
      </w:r>
      <w:r w:rsidRPr="00A12BBA">
        <w:rPr>
          <w:rFonts w:ascii="Times New Roman" w:hAnsi="Times New Roman"/>
        </w:rPr>
        <w:t xml:space="preserve"> each subsequent </w:t>
      </w:r>
      <w:r>
        <w:rPr>
          <w:rFonts w:ascii="Times New Roman" w:hAnsi="Times New Roman"/>
        </w:rPr>
        <w:t>exam</w:t>
      </w:r>
      <w:r w:rsidRPr="00A12BBA">
        <w:rPr>
          <w:rFonts w:ascii="Times New Roman" w:hAnsi="Times New Roman"/>
        </w:rPr>
        <w:t>.</w:t>
      </w:r>
    </w:p>
    <w:p w14:paraId="1C023F0A" w14:textId="77777777" w:rsidR="004F0AE5" w:rsidRPr="00D5581B"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Oral hygiene instruction should be provided to parents of young children. Age</w:t>
      </w:r>
      <w:r>
        <w:rPr>
          <w:rFonts w:ascii="Times New Roman" w:hAnsi="Times New Roman"/>
        </w:rPr>
        <w:t>-</w:t>
      </w:r>
      <w:r w:rsidRPr="00D323E7">
        <w:rPr>
          <w:rFonts w:ascii="Times New Roman" w:hAnsi="Times New Roman"/>
        </w:rPr>
        <w:t>appropriate instruction should be provided to the child throughout childhood and adolescence.</w:t>
      </w:r>
    </w:p>
    <w:p w14:paraId="1D3916C9" w14:textId="77777777" w:rsidR="004F0AE5" w:rsidRPr="00B81B42"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 xml:space="preserve">Dietary counseling is an integral component of each </w:t>
      </w:r>
      <w:r>
        <w:rPr>
          <w:rFonts w:ascii="Times New Roman" w:hAnsi="Times New Roman"/>
        </w:rPr>
        <w:t>dental visit</w:t>
      </w:r>
      <w:r w:rsidRPr="00D323E7">
        <w:rPr>
          <w:rFonts w:ascii="Times New Roman" w:hAnsi="Times New Roman"/>
        </w:rPr>
        <w:t>. For very young children, this should include a discussion of appropriate feeding practices and prevention of early childhood caries. By age one, the counseling should include the role of refined carbohydrates and frequency of snacking in caries development and childhood obesity.</w:t>
      </w:r>
    </w:p>
    <w:p w14:paraId="322BE0AE" w14:textId="77777777" w:rsidR="004F0AE5" w:rsidRPr="00B81B42"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Injury prevention counseling should initially include information about play objects, pacifiers</w:t>
      </w:r>
      <w:r>
        <w:rPr>
          <w:rFonts w:ascii="Times New Roman" w:hAnsi="Times New Roman"/>
        </w:rPr>
        <w:t>,</w:t>
      </w:r>
      <w:r w:rsidRPr="00D323E7">
        <w:rPr>
          <w:rFonts w:ascii="Times New Roman" w:hAnsi="Times New Roman"/>
        </w:rPr>
        <w:t xml:space="preserve"> and car seats for infants. As the child nears age one</w:t>
      </w:r>
      <w:r>
        <w:rPr>
          <w:rFonts w:ascii="Times New Roman" w:hAnsi="Times New Roman"/>
        </w:rPr>
        <w:t>,</w:t>
      </w:r>
      <w:r w:rsidRPr="00D323E7">
        <w:rPr>
          <w:rFonts w:ascii="Times New Roman" w:hAnsi="Times New Roman"/>
        </w:rPr>
        <w:t xml:space="preserve"> counseling should include learning to walk, sports</w:t>
      </w:r>
      <w:r>
        <w:rPr>
          <w:rFonts w:ascii="Times New Roman" w:hAnsi="Times New Roman"/>
        </w:rPr>
        <w:t>,</w:t>
      </w:r>
      <w:r w:rsidRPr="00D323E7">
        <w:rPr>
          <w:rFonts w:ascii="Times New Roman" w:hAnsi="Times New Roman"/>
        </w:rPr>
        <w:t xml:space="preserve"> and routine playing, </w:t>
      </w:r>
      <w:r>
        <w:rPr>
          <w:rFonts w:ascii="Times New Roman" w:hAnsi="Times New Roman"/>
        </w:rPr>
        <w:t>and</w:t>
      </w:r>
      <w:r w:rsidRPr="00D323E7">
        <w:rPr>
          <w:rFonts w:ascii="Times New Roman" w:hAnsi="Times New Roman"/>
        </w:rPr>
        <w:t xml:space="preserve"> the importance of mouth guards</w:t>
      </w:r>
      <w:r>
        <w:rPr>
          <w:rFonts w:ascii="Times New Roman" w:hAnsi="Times New Roman"/>
        </w:rPr>
        <w:t>.</w:t>
      </w:r>
    </w:p>
    <w:p w14:paraId="58574DDF" w14:textId="77777777" w:rsidR="000B2831" w:rsidRDefault="004F0AE5" w:rsidP="004F0AE5">
      <w:pPr>
        <w:pStyle w:val="ListParagraph"/>
        <w:numPr>
          <w:ilvl w:val="0"/>
          <w:numId w:val="4"/>
        </w:numPr>
        <w:spacing w:after="120" w:line="240" w:lineRule="auto"/>
        <w:contextualSpacing w:val="0"/>
        <w:rPr>
          <w:rFonts w:ascii="Times New Roman" w:hAnsi="Times New Roman"/>
        </w:rPr>
      </w:pPr>
      <w:r w:rsidRPr="00D323E7">
        <w:rPr>
          <w:rFonts w:ascii="Times New Roman" w:hAnsi="Times New Roman"/>
        </w:rPr>
        <w:t xml:space="preserve">Counseling related to non-nutritive sucking habits should include information about the need for additional sucking </w:t>
      </w:r>
      <w:r>
        <w:rPr>
          <w:rFonts w:ascii="Times New Roman" w:hAnsi="Times New Roman"/>
        </w:rPr>
        <w:t xml:space="preserve">(e.g. </w:t>
      </w:r>
      <w:r w:rsidRPr="00D323E7">
        <w:rPr>
          <w:rFonts w:ascii="Times New Roman" w:hAnsi="Times New Roman"/>
        </w:rPr>
        <w:t>pacifiers</w:t>
      </w:r>
      <w:r>
        <w:rPr>
          <w:rFonts w:ascii="Times New Roman" w:hAnsi="Times New Roman"/>
        </w:rPr>
        <w:t>)</w:t>
      </w:r>
      <w:r w:rsidRPr="00D323E7">
        <w:rPr>
          <w:rFonts w:ascii="Times New Roman" w:hAnsi="Times New Roman"/>
        </w:rPr>
        <w:t>. As the child grows, counseling should include the need to wean from the sucking habit before malocclusion or skeletal dysplasia occurs. For school-aged children and adolescent patients, counseling should include any existing habits such as fingernail biting, clenching, or bruxism.</w:t>
      </w:r>
    </w:p>
    <w:p w14:paraId="28535BF9" w14:textId="77777777" w:rsidR="000B2831" w:rsidRDefault="000B2831">
      <w:pPr>
        <w:rPr>
          <w:sz w:val="22"/>
          <w:szCs w:val="22"/>
        </w:rPr>
      </w:pPr>
      <w:r>
        <w:br w:type="page"/>
      </w:r>
    </w:p>
    <w:p w14:paraId="20FC31E1" w14:textId="77777777" w:rsidR="004F0AE5" w:rsidRPr="00B81B42"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lastRenderedPageBreak/>
        <w:t>For caries-susceptible primary molars, permanent molars, premolars, and anterior teeth with deep pits and fissures; dental sealants should be placed as soon as possible after eruption. Sealants are an essential component of preventive dental care.</w:t>
      </w:r>
    </w:p>
    <w:p w14:paraId="06125717" w14:textId="77777777" w:rsidR="004F0AE5" w:rsidRPr="00B81B42"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Appropriate referrals for speech and language development should be made at age</w:t>
      </w:r>
      <w:r>
        <w:rPr>
          <w:rFonts w:ascii="Times New Roman" w:hAnsi="Times New Roman"/>
        </w:rPr>
        <w:t>-</w:t>
      </w:r>
      <w:r w:rsidRPr="00D323E7">
        <w:rPr>
          <w:rFonts w:ascii="Times New Roman" w:hAnsi="Times New Roman"/>
        </w:rPr>
        <w:t>appropriate intervals.</w:t>
      </w:r>
    </w:p>
    <w:p w14:paraId="08A3B260" w14:textId="77777777" w:rsidR="004F0AE5" w:rsidRPr="00B81B42"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 xml:space="preserve">Education regarding prevention of tobacco use and substance abuse should begin as early as age </w:t>
      </w:r>
      <w:r>
        <w:rPr>
          <w:rFonts w:ascii="Times New Roman" w:hAnsi="Times New Roman"/>
        </w:rPr>
        <w:t>six</w:t>
      </w:r>
      <w:r w:rsidRPr="00D323E7">
        <w:rPr>
          <w:rFonts w:ascii="Times New Roman" w:hAnsi="Times New Roman"/>
        </w:rPr>
        <w:t xml:space="preserve"> according to the National Cancer Institute and American Dental Association</w:t>
      </w:r>
      <w:r>
        <w:rPr>
          <w:rFonts w:ascii="Times New Roman" w:hAnsi="Times New Roman"/>
        </w:rPr>
        <w:t>.</w:t>
      </w:r>
    </w:p>
    <w:p w14:paraId="0AFEB604" w14:textId="77777777" w:rsidR="004F0AE5" w:rsidRPr="00B81B42"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The oral health consequences of oral piercings should be discussed with pre-adolescents and adolescents</w:t>
      </w:r>
      <w:r>
        <w:rPr>
          <w:rFonts w:ascii="Times New Roman" w:hAnsi="Times New Roman"/>
        </w:rPr>
        <w:t>.</w:t>
      </w:r>
    </w:p>
    <w:p w14:paraId="68996036" w14:textId="77777777" w:rsidR="004F0AE5" w:rsidRPr="00B81B42"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 xml:space="preserve">Assessment and treatment of developing malocclusion should begin </w:t>
      </w:r>
      <w:r>
        <w:rPr>
          <w:rFonts w:ascii="Times New Roman" w:hAnsi="Times New Roman"/>
        </w:rPr>
        <w:t xml:space="preserve">in the two- to six-year age range </w:t>
      </w:r>
      <w:r w:rsidRPr="00D323E7">
        <w:rPr>
          <w:rFonts w:ascii="Times New Roman" w:hAnsi="Times New Roman"/>
        </w:rPr>
        <w:t>a</w:t>
      </w:r>
      <w:r>
        <w:rPr>
          <w:rFonts w:ascii="Times New Roman" w:hAnsi="Times New Roman"/>
        </w:rPr>
        <w:t>nd referrals made to an orthodontist as indicated by the patient’s needs.</w:t>
      </w:r>
      <w:r w:rsidRPr="00D323E7" w:rsidDel="00453FBB">
        <w:rPr>
          <w:rFonts w:ascii="Times New Roman" w:hAnsi="Times New Roman"/>
        </w:rPr>
        <w:t xml:space="preserve"> </w:t>
      </w:r>
    </w:p>
    <w:p w14:paraId="5F0CF0A0" w14:textId="77777777" w:rsidR="004F0AE5" w:rsidRPr="00B81B42" w:rsidRDefault="004F0AE5" w:rsidP="004F0AE5">
      <w:pPr>
        <w:pStyle w:val="ListParagraph"/>
        <w:numPr>
          <w:ilvl w:val="0"/>
          <w:numId w:val="4"/>
        </w:numPr>
        <w:spacing w:after="120" w:line="240" w:lineRule="auto"/>
        <w:contextualSpacing w:val="0"/>
        <w:rPr>
          <w:rFonts w:ascii="Times New Roman" w:eastAsiaTheme="minorEastAsia" w:hAnsi="Times New Roman"/>
        </w:rPr>
      </w:pPr>
      <w:r w:rsidRPr="00D323E7">
        <w:rPr>
          <w:rFonts w:ascii="Times New Roman" w:hAnsi="Times New Roman"/>
        </w:rPr>
        <w:t>Third molars erupt between ages 17-20. Clinical and radiographic evaluation of eruption pattern of third molars should begin at age 16 and assessments made for impactions and interference with periodontal health of adjacent teeth. A decision regarding extraction of third molars should occur after all four third molars are erupted, or radiographic assessment indicates impaction.</w:t>
      </w:r>
    </w:p>
    <w:p w14:paraId="0E781161" w14:textId="77777777" w:rsidR="004F0AE5" w:rsidRPr="004E4596" w:rsidRDefault="004F0AE5" w:rsidP="004F0AE5">
      <w:pPr>
        <w:pStyle w:val="ListParagraph"/>
        <w:numPr>
          <w:ilvl w:val="0"/>
          <w:numId w:val="4"/>
        </w:numPr>
        <w:spacing w:after="100" w:afterAutospacing="1" w:line="0" w:lineRule="atLeast"/>
        <w:rPr>
          <w:rFonts w:ascii="Times New Roman" w:hAnsi="Times New Roman"/>
          <w:sz w:val="20"/>
          <w:szCs w:val="20"/>
        </w:rPr>
      </w:pPr>
      <w:r w:rsidRPr="00F60653">
        <w:rPr>
          <w:rFonts w:ascii="Times New Roman" w:hAnsi="Times New Roman"/>
        </w:rPr>
        <w:t>Transition to adult dental care should occur before the 21st birthday of the child.</w:t>
      </w:r>
    </w:p>
    <w:p w14:paraId="2F3F7541" w14:textId="77777777" w:rsidR="00FB26EF" w:rsidRDefault="00FB26EF">
      <w:pPr>
        <w:widowControl w:val="0"/>
        <w:rPr>
          <w:rFonts w:ascii="Arial" w:hAnsi="Arial" w:cs="Arial"/>
          <w:sz w:val="22"/>
        </w:rPr>
      </w:pPr>
    </w:p>
    <w:sectPr w:rsidR="00FB26EF" w:rsidSect="004F0AE5">
      <w:headerReference w:type="default" r:id="rId32"/>
      <w:endnotePr>
        <w:numFmt w:val="decimal"/>
      </w:endnotePr>
      <w:type w:val="continuous"/>
      <w:pgSz w:w="12240" w:h="15840" w:code="1"/>
      <w:pgMar w:top="720" w:right="1440" w:bottom="432" w:left="1440" w:header="720" w:footer="432"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7FCD7" w14:textId="77777777" w:rsidR="00F44810" w:rsidRDefault="00F44810">
      <w:r>
        <w:separator/>
      </w:r>
    </w:p>
  </w:endnote>
  <w:endnote w:type="continuationSeparator" w:id="0">
    <w:p w14:paraId="6EF48F95" w14:textId="77777777" w:rsidR="00F44810" w:rsidRDefault="00F4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22C1F" w14:textId="77777777" w:rsidR="00F44810" w:rsidRDefault="00F44810">
      <w:r>
        <w:separator/>
      </w:r>
    </w:p>
  </w:footnote>
  <w:footnote w:type="continuationSeparator" w:id="0">
    <w:p w14:paraId="3E405FE9" w14:textId="77777777" w:rsidR="00F44810" w:rsidRDefault="00F44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884F7" w14:textId="77777777" w:rsidR="004F0AE5" w:rsidRPr="000B2831" w:rsidRDefault="004F0AE5">
    <w:pPr>
      <w:pStyle w:val="Header"/>
      <w:tabs>
        <w:tab w:val="clear" w:pos="4320"/>
        <w:tab w:val="clear" w:pos="8640"/>
        <w:tab w:val="left" w:pos="5760"/>
      </w:tabs>
      <w:rPr>
        <w:rFonts w:ascii="Helv" w:hAnsi="Helv"/>
        <w:sz w:val="22"/>
      </w:rPr>
    </w:pPr>
    <w:r>
      <w:rPr>
        <w:rFonts w:ascii="Helv" w:hAnsi="Helv"/>
        <w:sz w:val="22"/>
      </w:rPr>
      <w:tab/>
    </w:r>
    <w:r w:rsidRPr="000B2831">
      <w:rPr>
        <w:rFonts w:ascii="Helv" w:hAnsi="Helv"/>
        <w:sz w:val="22"/>
      </w:rPr>
      <w:t>MassHealth</w:t>
    </w:r>
  </w:p>
  <w:p w14:paraId="5F81EA98" w14:textId="77777777" w:rsidR="004F0AE5" w:rsidRPr="000B2831" w:rsidRDefault="004F0AE5">
    <w:pPr>
      <w:pStyle w:val="Header"/>
      <w:tabs>
        <w:tab w:val="clear" w:pos="4320"/>
        <w:tab w:val="clear" w:pos="8640"/>
        <w:tab w:val="left" w:pos="5760"/>
      </w:tabs>
      <w:rPr>
        <w:rFonts w:ascii="Helv" w:hAnsi="Helv"/>
        <w:sz w:val="22"/>
      </w:rPr>
    </w:pPr>
    <w:r w:rsidRPr="000B2831">
      <w:rPr>
        <w:rFonts w:ascii="Helv" w:hAnsi="Helv"/>
        <w:sz w:val="22"/>
      </w:rPr>
      <w:tab/>
      <w:t xml:space="preserve">Transmittal Letter </w:t>
    </w:r>
    <w:r w:rsidR="000B2831" w:rsidRPr="000B2831">
      <w:rPr>
        <w:rFonts w:ascii="Helv" w:hAnsi="Helv"/>
        <w:sz w:val="22"/>
      </w:rPr>
      <w:t>ALL-233</w:t>
    </w:r>
  </w:p>
  <w:p w14:paraId="1611B485" w14:textId="77777777" w:rsidR="004F0AE5" w:rsidRPr="000B2831" w:rsidRDefault="004F0AE5">
    <w:pPr>
      <w:pStyle w:val="Header"/>
      <w:tabs>
        <w:tab w:val="clear" w:pos="4320"/>
        <w:tab w:val="clear" w:pos="8640"/>
        <w:tab w:val="left" w:pos="5760"/>
      </w:tabs>
      <w:rPr>
        <w:rFonts w:ascii="Helv" w:hAnsi="Helv"/>
        <w:sz w:val="22"/>
      </w:rPr>
    </w:pPr>
    <w:r w:rsidRPr="000B2831">
      <w:rPr>
        <w:rFonts w:ascii="Helv" w:hAnsi="Helv"/>
        <w:sz w:val="22"/>
      </w:rPr>
      <w:tab/>
    </w:r>
    <w:r w:rsidR="000B2831" w:rsidRPr="000B2831">
      <w:rPr>
        <w:rFonts w:ascii="Helv" w:hAnsi="Helv"/>
        <w:sz w:val="22"/>
      </w:rPr>
      <w:t>December 2020</w:t>
    </w:r>
  </w:p>
  <w:p w14:paraId="404709FD" w14:textId="77777777" w:rsidR="004F0AE5" w:rsidRPr="000B2831" w:rsidRDefault="004F0AE5">
    <w:pPr>
      <w:pStyle w:val="Header"/>
      <w:tabs>
        <w:tab w:val="clear" w:pos="4320"/>
        <w:tab w:val="clear" w:pos="8640"/>
        <w:tab w:val="left" w:pos="5760"/>
      </w:tabs>
      <w:rPr>
        <w:rStyle w:val="PageNumber"/>
        <w:rFonts w:ascii="Helv" w:hAnsi="Helv"/>
        <w:sz w:val="22"/>
      </w:rPr>
    </w:pPr>
    <w:r w:rsidRPr="000B2831">
      <w:rPr>
        <w:rFonts w:ascii="Helv" w:hAnsi="Helv"/>
        <w:sz w:val="22"/>
      </w:rPr>
      <w:tab/>
      <w:t xml:space="preserve">Page </w:t>
    </w:r>
    <w:r w:rsidRPr="000B2831">
      <w:rPr>
        <w:rStyle w:val="PageNumber"/>
        <w:rFonts w:ascii="Helv" w:hAnsi="Helv"/>
        <w:sz w:val="22"/>
      </w:rPr>
      <w:fldChar w:fldCharType="begin"/>
    </w:r>
    <w:r w:rsidRPr="000B2831">
      <w:rPr>
        <w:rStyle w:val="PageNumber"/>
        <w:rFonts w:ascii="Helv" w:hAnsi="Helv"/>
        <w:sz w:val="22"/>
      </w:rPr>
      <w:instrText xml:space="preserve"> PAGE </w:instrText>
    </w:r>
    <w:r w:rsidRPr="000B2831">
      <w:rPr>
        <w:rStyle w:val="PageNumber"/>
        <w:rFonts w:ascii="Helv" w:hAnsi="Helv"/>
        <w:sz w:val="22"/>
      </w:rPr>
      <w:fldChar w:fldCharType="separate"/>
    </w:r>
    <w:r w:rsidR="0017191D">
      <w:rPr>
        <w:rStyle w:val="PageNumber"/>
        <w:rFonts w:ascii="Helv" w:hAnsi="Helv"/>
        <w:noProof/>
        <w:sz w:val="22"/>
      </w:rPr>
      <w:t>2</w:t>
    </w:r>
    <w:r w:rsidRPr="000B2831">
      <w:rPr>
        <w:rStyle w:val="PageNumber"/>
        <w:rFonts w:ascii="Helv" w:hAnsi="Helv"/>
        <w:sz w:val="22"/>
      </w:rPr>
      <w:fldChar w:fldCharType="end"/>
    </w:r>
  </w:p>
  <w:p w14:paraId="0057072E" w14:textId="77777777" w:rsidR="004F0AE5" w:rsidRDefault="004F0AE5">
    <w:pPr>
      <w:pStyle w:val="Header"/>
      <w:tabs>
        <w:tab w:val="clear" w:pos="4320"/>
        <w:tab w:val="clear" w:pos="8640"/>
        <w:tab w:val="left" w:pos="5760"/>
      </w:tabs>
      <w:rPr>
        <w:rFonts w:ascii="Helv" w:hAnsi="Helv"/>
        <w:sz w:val="22"/>
      </w:rPr>
    </w:pPr>
  </w:p>
  <w:p w14:paraId="25BB2224" w14:textId="77777777" w:rsidR="004F0AE5" w:rsidRDefault="004F0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1E0" w:firstRow="1" w:lastRow="1" w:firstColumn="1" w:lastColumn="1" w:noHBand="0" w:noVBand="0"/>
    </w:tblPr>
    <w:tblGrid>
      <w:gridCol w:w="4080"/>
      <w:gridCol w:w="3750"/>
      <w:gridCol w:w="1771"/>
    </w:tblGrid>
    <w:tr w:rsidR="004F0AE5" w:rsidRPr="004F0AE5" w14:paraId="1680BCEC" w14:textId="77777777" w:rsidTr="00556EE6">
      <w:trPr>
        <w:trHeight w:hRule="exact" w:val="915"/>
        <w:jc w:val="center"/>
      </w:trPr>
      <w:tc>
        <w:tcPr>
          <w:tcW w:w="4080" w:type="dxa"/>
          <w:vMerge w:val="restart"/>
          <w:tcBorders>
            <w:top w:val="single" w:sz="6" w:space="0" w:color="000000"/>
            <w:left w:val="single" w:sz="6" w:space="0" w:color="000000"/>
            <w:right w:val="single" w:sz="6" w:space="0" w:color="000000"/>
          </w:tcBorders>
        </w:tcPr>
        <w:p w14:paraId="47B3E17A" w14:textId="77777777" w:rsidR="004F0AE5" w:rsidRPr="004F0AE5" w:rsidRDefault="004F0AE5" w:rsidP="004F0AE5">
          <w:pPr>
            <w:widowControl w:val="0"/>
            <w:spacing w:before="9" w:line="110" w:lineRule="exact"/>
            <w:ind w:right="360"/>
            <w:rPr>
              <w:rFonts w:ascii="Calibri" w:hAnsi="Calibri"/>
              <w:sz w:val="11"/>
              <w:szCs w:val="11"/>
            </w:rPr>
          </w:pPr>
        </w:p>
        <w:p w14:paraId="5ADDEFDE" w14:textId="77777777" w:rsidR="004F0AE5" w:rsidRPr="004F0AE5" w:rsidRDefault="004F0AE5" w:rsidP="004F0AE5">
          <w:pPr>
            <w:widowControl w:val="0"/>
            <w:ind w:left="379" w:right="363"/>
            <w:jc w:val="center"/>
            <w:rPr>
              <w:rFonts w:ascii="Arial" w:hAnsi="Arial" w:cs="Arial"/>
            </w:rPr>
          </w:pPr>
          <w:r w:rsidRPr="004F0AE5">
            <w:rPr>
              <w:rFonts w:ascii="Arial" w:hAnsi="Arial" w:cs="Arial"/>
              <w:b/>
              <w:bCs/>
            </w:rPr>
            <w:t>Commo</w:t>
          </w:r>
          <w:r w:rsidRPr="004F0AE5">
            <w:rPr>
              <w:rFonts w:ascii="Arial" w:hAnsi="Arial" w:cs="Arial"/>
              <w:b/>
              <w:bCs/>
              <w:spacing w:val="-4"/>
            </w:rPr>
            <w:t>n</w:t>
          </w:r>
          <w:r w:rsidRPr="004F0AE5">
            <w:rPr>
              <w:rFonts w:ascii="Arial" w:hAnsi="Arial" w:cs="Arial"/>
              <w:b/>
              <w:bCs/>
              <w:spacing w:val="10"/>
            </w:rPr>
            <w:t>w</w:t>
          </w:r>
          <w:r w:rsidRPr="004F0AE5">
            <w:rPr>
              <w:rFonts w:ascii="Arial" w:hAnsi="Arial" w:cs="Arial"/>
              <w:b/>
              <w:bCs/>
              <w:spacing w:val="-2"/>
            </w:rPr>
            <w:t>e</w:t>
          </w:r>
          <w:r w:rsidRPr="004F0AE5">
            <w:rPr>
              <w:rFonts w:ascii="Arial" w:hAnsi="Arial" w:cs="Arial"/>
              <w:b/>
              <w:bCs/>
            </w:rPr>
            <w:t>alth</w:t>
          </w:r>
          <w:r w:rsidRPr="004F0AE5">
            <w:rPr>
              <w:rFonts w:ascii="Arial" w:hAnsi="Arial" w:cs="Arial"/>
              <w:b/>
              <w:bCs/>
              <w:spacing w:val="-2"/>
            </w:rPr>
            <w:t xml:space="preserve"> </w:t>
          </w:r>
          <w:r w:rsidRPr="004F0AE5">
            <w:rPr>
              <w:rFonts w:ascii="Arial" w:hAnsi="Arial" w:cs="Arial"/>
              <w:b/>
              <w:bCs/>
            </w:rPr>
            <w:t>of</w:t>
          </w:r>
          <w:r w:rsidRPr="004F0AE5">
            <w:rPr>
              <w:rFonts w:ascii="Arial" w:hAnsi="Arial" w:cs="Arial"/>
              <w:b/>
              <w:bCs/>
              <w:spacing w:val="-2"/>
            </w:rPr>
            <w:t xml:space="preserve"> </w:t>
          </w:r>
          <w:r w:rsidRPr="004F0AE5">
            <w:rPr>
              <w:rFonts w:ascii="Arial" w:hAnsi="Arial" w:cs="Arial"/>
              <w:b/>
              <w:bCs/>
            </w:rPr>
            <w:t>Ma</w:t>
          </w:r>
          <w:r w:rsidRPr="004F0AE5">
            <w:rPr>
              <w:rFonts w:ascii="Arial" w:hAnsi="Arial" w:cs="Arial"/>
              <w:b/>
              <w:bCs/>
              <w:spacing w:val="-1"/>
            </w:rPr>
            <w:t>ss</w:t>
          </w:r>
          <w:r w:rsidRPr="004F0AE5">
            <w:rPr>
              <w:rFonts w:ascii="Arial" w:hAnsi="Arial" w:cs="Arial"/>
              <w:b/>
              <w:bCs/>
            </w:rPr>
            <w:t>achu</w:t>
          </w:r>
          <w:r w:rsidRPr="004F0AE5">
            <w:rPr>
              <w:rFonts w:ascii="Arial" w:hAnsi="Arial" w:cs="Arial"/>
              <w:b/>
              <w:bCs/>
              <w:spacing w:val="-1"/>
            </w:rPr>
            <w:t>s</w:t>
          </w:r>
          <w:r w:rsidRPr="004F0AE5">
            <w:rPr>
              <w:rFonts w:ascii="Arial" w:hAnsi="Arial" w:cs="Arial"/>
              <w:b/>
              <w:bCs/>
            </w:rPr>
            <w:t>etts</w:t>
          </w:r>
        </w:p>
        <w:p w14:paraId="0F47FCBB" w14:textId="77777777" w:rsidR="004F0AE5" w:rsidRPr="004F0AE5" w:rsidRDefault="004F0AE5" w:rsidP="004F0AE5">
          <w:pPr>
            <w:widowControl w:val="0"/>
            <w:spacing w:before="4"/>
            <w:ind w:left="1438" w:right="1419"/>
            <w:jc w:val="center"/>
            <w:rPr>
              <w:rFonts w:ascii="Arial" w:hAnsi="Arial" w:cs="Arial"/>
            </w:rPr>
          </w:pPr>
          <w:r w:rsidRPr="004F0AE5">
            <w:rPr>
              <w:rFonts w:ascii="Arial" w:hAnsi="Arial" w:cs="Arial"/>
              <w:b/>
              <w:bCs/>
            </w:rPr>
            <w:t>Mas</w:t>
          </w:r>
          <w:r w:rsidRPr="004F0AE5">
            <w:rPr>
              <w:rFonts w:ascii="Arial" w:hAnsi="Arial" w:cs="Arial"/>
              <w:b/>
              <w:bCs/>
              <w:spacing w:val="-1"/>
            </w:rPr>
            <w:t>s</w:t>
          </w:r>
          <w:r w:rsidRPr="004F0AE5">
            <w:rPr>
              <w:rFonts w:ascii="Arial" w:hAnsi="Arial" w:cs="Arial"/>
              <w:b/>
              <w:bCs/>
            </w:rPr>
            <w:t>Hea</w:t>
          </w:r>
          <w:r w:rsidRPr="004F0AE5">
            <w:rPr>
              <w:rFonts w:ascii="Arial" w:hAnsi="Arial" w:cs="Arial"/>
              <w:b/>
              <w:bCs/>
              <w:spacing w:val="-2"/>
            </w:rPr>
            <w:t>l</w:t>
          </w:r>
          <w:r w:rsidRPr="004F0AE5">
            <w:rPr>
              <w:rFonts w:ascii="Arial" w:hAnsi="Arial" w:cs="Arial"/>
              <w:b/>
              <w:bCs/>
            </w:rPr>
            <w:t>th</w:t>
          </w:r>
        </w:p>
        <w:p w14:paraId="57B746AF" w14:textId="77777777" w:rsidR="004F0AE5" w:rsidRPr="004F0AE5" w:rsidRDefault="004F0AE5" w:rsidP="004F0AE5">
          <w:pPr>
            <w:widowControl w:val="0"/>
            <w:spacing w:before="4"/>
            <w:ind w:left="900" w:right="886"/>
            <w:jc w:val="center"/>
            <w:rPr>
              <w:rFonts w:ascii="Arial" w:hAnsi="Arial" w:cs="Arial"/>
            </w:rPr>
          </w:pPr>
          <w:r w:rsidRPr="004F0AE5">
            <w:rPr>
              <w:rFonts w:ascii="Arial" w:hAnsi="Arial" w:cs="Arial"/>
              <w:b/>
              <w:bCs/>
              <w:spacing w:val="-1"/>
            </w:rPr>
            <w:t>Pr</w:t>
          </w:r>
          <w:r w:rsidRPr="004F0AE5">
            <w:rPr>
              <w:rFonts w:ascii="Arial" w:hAnsi="Arial" w:cs="Arial"/>
              <w:b/>
              <w:bCs/>
            </w:rPr>
            <w:t>o</w:t>
          </w:r>
          <w:r w:rsidRPr="004F0AE5">
            <w:rPr>
              <w:rFonts w:ascii="Arial" w:hAnsi="Arial" w:cs="Arial"/>
              <w:b/>
              <w:bCs/>
              <w:spacing w:val="-5"/>
            </w:rPr>
            <w:t>v</w:t>
          </w:r>
          <w:r w:rsidRPr="004F0AE5">
            <w:rPr>
              <w:rFonts w:ascii="Arial" w:hAnsi="Arial" w:cs="Arial"/>
              <w:b/>
              <w:bCs/>
              <w:spacing w:val="-1"/>
            </w:rPr>
            <w:t>ide</w:t>
          </w:r>
          <w:r w:rsidRPr="004F0AE5">
            <w:rPr>
              <w:rFonts w:ascii="Arial" w:hAnsi="Arial" w:cs="Arial"/>
              <w:b/>
              <w:bCs/>
            </w:rPr>
            <w:t>r</w:t>
          </w:r>
          <w:r w:rsidRPr="004F0AE5">
            <w:rPr>
              <w:rFonts w:ascii="Arial" w:hAnsi="Arial" w:cs="Arial"/>
              <w:b/>
              <w:bCs/>
              <w:spacing w:val="-2"/>
            </w:rPr>
            <w:t xml:space="preserve"> </w:t>
          </w:r>
          <w:r w:rsidRPr="004F0AE5">
            <w:rPr>
              <w:rFonts w:ascii="Arial" w:hAnsi="Arial" w:cs="Arial"/>
              <w:b/>
              <w:bCs/>
              <w:spacing w:val="-1"/>
            </w:rPr>
            <w:t>M</w:t>
          </w:r>
          <w:r w:rsidRPr="004F0AE5">
            <w:rPr>
              <w:rFonts w:ascii="Arial" w:hAnsi="Arial" w:cs="Arial"/>
              <w:b/>
              <w:bCs/>
            </w:rPr>
            <w:t>a</w:t>
          </w:r>
          <w:r w:rsidRPr="004F0AE5">
            <w:rPr>
              <w:rFonts w:ascii="Arial" w:hAnsi="Arial" w:cs="Arial"/>
              <w:b/>
              <w:bCs/>
              <w:spacing w:val="-1"/>
            </w:rPr>
            <w:t>nua</w:t>
          </w:r>
          <w:r w:rsidRPr="004F0AE5">
            <w:rPr>
              <w:rFonts w:ascii="Arial" w:hAnsi="Arial" w:cs="Arial"/>
              <w:b/>
              <w:bCs/>
            </w:rPr>
            <w:t>l</w:t>
          </w:r>
          <w:r w:rsidRPr="004F0AE5">
            <w:rPr>
              <w:rFonts w:ascii="Arial" w:hAnsi="Arial" w:cs="Arial"/>
              <w:b/>
              <w:bCs/>
              <w:spacing w:val="-3"/>
            </w:rPr>
            <w:t xml:space="preserve"> </w:t>
          </w:r>
          <w:r w:rsidRPr="004F0AE5">
            <w:rPr>
              <w:rFonts w:ascii="Arial" w:hAnsi="Arial" w:cs="Arial"/>
              <w:b/>
              <w:bCs/>
              <w:spacing w:val="-1"/>
            </w:rPr>
            <w:t>Series</w:t>
          </w:r>
        </w:p>
        <w:p w14:paraId="2D1F7C9F" w14:textId="77777777" w:rsidR="004F0AE5" w:rsidRPr="004F0AE5" w:rsidRDefault="004F0AE5" w:rsidP="004F0AE5">
          <w:pPr>
            <w:widowControl w:val="0"/>
            <w:spacing w:line="200" w:lineRule="exact"/>
            <w:rPr>
              <w:rFonts w:ascii="Calibri" w:hAnsi="Calibri"/>
            </w:rPr>
          </w:pPr>
        </w:p>
        <w:p w14:paraId="2BFC9975" w14:textId="77777777" w:rsidR="004F0AE5" w:rsidRPr="004F0AE5" w:rsidRDefault="004F0AE5" w:rsidP="004F0AE5">
          <w:pPr>
            <w:widowControl w:val="0"/>
            <w:ind w:left="1080" w:right="1061"/>
            <w:jc w:val="center"/>
            <w:rPr>
              <w:rFonts w:ascii="Arial" w:hAnsi="Arial" w:cs="Arial"/>
            </w:rPr>
          </w:pPr>
        </w:p>
        <w:p w14:paraId="1497F21A" w14:textId="77777777" w:rsidR="004F0AE5" w:rsidRPr="004F0AE5" w:rsidRDefault="004F0AE5" w:rsidP="004F0AE5">
          <w:pPr>
            <w:widowControl w:val="0"/>
            <w:ind w:left="1080" w:right="1061"/>
            <w:jc w:val="center"/>
            <w:rPr>
              <w:rFonts w:ascii="Arial" w:hAnsi="Arial" w:cs="Arial"/>
            </w:rPr>
          </w:pPr>
          <w:r w:rsidRPr="004F0AE5">
            <w:rPr>
              <w:rFonts w:ascii="Arial" w:hAnsi="Arial" w:cs="Arial"/>
            </w:rPr>
            <w:t>All</w:t>
          </w:r>
          <w:r w:rsidRPr="004F0AE5">
            <w:rPr>
              <w:rFonts w:ascii="Arial" w:hAnsi="Arial" w:cs="Arial"/>
              <w:spacing w:val="-2"/>
            </w:rPr>
            <w:t xml:space="preserve"> </w:t>
          </w:r>
          <w:r w:rsidRPr="004F0AE5">
            <w:rPr>
              <w:rFonts w:ascii="Arial" w:hAnsi="Arial" w:cs="Arial"/>
            </w:rPr>
            <w:t>Provider</w:t>
          </w:r>
          <w:r w:rsidRPr="004F0AE5">
            <w:rPr>
              <w:rFonts w:ascii="Arial" w:hAnsi="Arial" w:cs="Arial"/>
              <w:spacing w:val="-2"/>
            </w:rPr>
            <w:t xml:space="preserve"> </w:t>
          </w:r>
          <w:r w:rsidRPr="004F0AE5">
            <w:rPr>
              <w:rFonts w:ascii="Arial" w:hAnsi="Arial" w:cs="Arial"/>
            </w:rPr>
            <w:t>Manua</w:t>
          </w:r>
          <w:r w:rsidRPr="004F0AE5">
            <w:rPr>
              <w:rFonts w:ascii="Arial" w:hAnsi="Arial" w:cs="Arial"/>
              <w:spacing w:val="-1"/>
            </w:rPr>
            <w:t>l</w:t>
          </w:r>
          <w:r w:rsidRPr="004F0AE5">
            <w:rPr>
              <w:rFonts w:ascii="Arial" w:hAnsi="Arial" w:cs="Arial"/>
            </w:rPr>
            <w:t>s</w:t>
          </w:r>
        </w:p>
      </w:tc>
      <w:tc>
        <w:tcPr>
          <w:tcW w:w="3750" w:type="dxa"/>
          <w:tcBorders>
            <w:top w:val="single" w:sz="6" w:space="0" w:color="000000"/>
            <w:left w:val="single" w:sz="6" w:space="0" w:color="000000"/>
            <w:bottom w:val="single" w:sz="6" w:space="0" w:color="000000"/>
            <w:right w:val="single" w:sz="6" w:space="0" w:color="000000"/>
          </w:tcBorders>
        </w:tcPr>
        <w:p w14:paraId="242F85B2" w14:textId="77777777" w:rsidR="004F0AE5" w:rsidRPr="004F0AE5" w:rsidRDefault="004F0AE5" w:rsidP="004F0AE5">
          <w:pPr>
            <w:widowControl w:val="0"/>
            <w:spacing w:line="120" w:lineRule="exact"/>
            <w:rPr>
              <w:rFonts w:ascii="Calibri" w:hAnsi="Calibri"/>
              <w:sz w:val="12"/>
              <w:szCs w:val="12"/>
            </w:rPr>
          </w:pPr>
        </w:p>
        <w:p w14:paraId="4E28C49F" w14:textId="77777777" w:rsidR="004F0AE5" w:rsidRDefault="004F0AE5" w:rsidP="004F0AE5">
          <w:pPr>
            <w:widowControl w:val="0"/>
            <w:spacing w:line="237" w:lineRule="auto"/>
            <w:ind w:left="188" w:right="170" w:hanging="2"/>
            <w:jc w:val="center"/>
            <w:rPr>
              <w:rFonts w:ascii="Arial" w:hAnsi="Arial" w:cs="Arial"/>
              <w:b/>
              <w:bCs/>
              <w:spacing w:val="-1"/>
            </w:rPr>
          </w:pPr>
          <w:r w:rsidRPr="004F0AE5">
            <w:rPr>
              <w:rFonts w:ascii="Arial" w:hAnsi="Arial" w:cs="Arial"/>
              <w:b/>
              <w:bCs/>
              <w:spacing w:val="-1"/>
            </w:rPr>
            <w:t>Subchapte</w:t>
          </w:r>
          <w:r w:rsidRPr="004F0AE5">
            <w:rPr>
              <w:rFonts w:ascii="Arial" w:hAnsi="Arial" w:cs="Arial"/>
              <w:b/>
              <w:bCs/>
            </w:rPr>
            <w:t>r</w:t>
          </w:r>
          <w:r w:rsidRPr="004F0AE5">
            <w:rPr>
              <w:rFonts w:ascii="Arial" w:hAnsi="Arial" w:cs="Arial"/>
              <w:b/>
              <w:bCs/>
              <w:spacing w:val="-2"/>
            </w:rPr>
            <w:t xml:space="preserve"> </w:t>
          </w:r>
          <w:r w:rsidRPr="004F0AE5">
            <w:rPr>
              <w:rFonts w:ascii="Arial" w:hAnsi="Arial" w:cs="Arial"/>
              <w:b/>
              <w:bCs/>
              <w:spacing w:val="-1"/>
            </w:rPr>
            <w:t>Numbe</w:t>
          </w:r>
          <w:r w:rsidRPr="004F0AE5">
            <w:rPr>
              <w:rFonts w:ascii="Arial" w:hAnsi="Arial" w:cs="Arial"/>
              <w:b/>
              <w:bCs/>
            </w:rPr>
            <w:t>r</w:t>
          </w:r>
          <w:r w:rsidRPr="004F0AE5">
            <w:rPr>
              <w:rFonts w:ascii="Arial" w:hAnsi="Arial" w:cs="Arial"/>
              <w:b/>
              <w:bCs/>
              <w:spacing w:val="-2"/>
            </w:rPr>
            <w:t xml:space="preserve"> </w:t>
          </w:r>
          <w:r w:rsidRPr="004F0AE5">
            <w:rPr>
              <w:rFonts w:ascii="Arial" w:hAnsi="Arial" w:cs="Arial"/>
              <w:b/>
              <w:bCs/>
              <w:spacing w:val="-1"/>
            </w:rPr>
            <w:t>an</w:t>
          </w:r>
          <w:r w:rsidRPr="004F0AE5">
            <w:rPr>
              <w:rFonts w:ascii="Arial" w:hAnsi="Arial" w:cs="Arial"/>
              <w:b/>
              <w:bCs/>
            </w:rPr>
            <w:t>d</w:t>
          </w:r>
          <w:r w:rsidRPr="004F0AE5">
            <w:rPr>
              <w:rFonts w:ascii="Arial" w:hAnsi="Arial" w:cs="Arial"/>
              <w:b/>
              <w:bCs/>
              <w:spacing w:val="-2"/>
            </w:rPr>
            <w:t xml:space="preserve"> </w:t>
          </w:r>
          <w:r w:rsidRPr="004F0AE5">
            <w:rPr>
              <w:rFonts w:ascii="Arial" w:hAnsi="Arial" w:cs="Arial"/>
              <w:b/>
              <w:bCs/>
              <w:spacing w:val="-1"/>
            </w:rPr>
            <w:t>Title</w:t>
          </w:r>
        </w:p>
        <w:p w14:paraId="0D0BE221" w14:textId="77777777" w:rsidR="004F0AE5" w:rsidRPr="004F0AE5" w:rsidRDefault="004F0AE5" w:rsidP="004F0AE5">
          <w:pPr>
            <w:widowControl w:val="0"/>
            <w:spacing w:before="120"/>
            <w:ind w:left="187" w:right="173"/>
            <w:jc w:val="center"/>
            <w:rPr>
              <w:rFonts w:ascii="Arial" w:hAnsi="Arial" w:cs="Arial"/>
              <w:sz w:val="19"/>
              <w:szCs w:val="19"/>
            </w:rPr>
          </w:pPr>
          <w:r w:rsidRPr="004F0AE5">
            <w:rPr>
              <w:rFonts w:ascii="Arial" w:hAnsi="Arial" w:cs="Arial"/>
              <w:sz w:val="17"/>
              <w:szCs w:val="17"/>
            </w:rPr>
            <w:t>Appendix</w:t>
          </w:r>
          <w:r w:rsidRPr="004F0AE5">
            <w:rPr>
              <w:rFonts w:ascii="Arial" w:hAnsi="Arial" w:cs="Arial"/>
              <w:spacing w:val="-16"/>
              <w:sz w:val="17"/>
              <w:szCs w:val="17"/>
            </w:rPr>
            <w:t xml:space="preserve"> </w:t>
          </w:r>
          <w:r w:rsidRPr="004F0AE5">
            <w:rPr>
              <w:rFonts w:ascii="Arial" w:hAnsi="Arial" w:cs="Arial"/>
              <w:sz w:val="17"/>
              <w:szCs w:val="17"/>
            </w:rPr>
            <w:t>W.</w:t>
          </w:r>
          <w:r w:rsidRPr="004F0AE5">
            <w:rPr>
              <w:rFonts w:ascii="Arial" w:hAnsi="Arial" w:cs="Arial"/>
              <w:spacing w:val="38"/>
              <w:sz w:val="17"/>
              <w:szCs w:val="17"/>
            </w:rPr>
            <w:t xml:space="preserve"> </w:t>
          </w:r>
          <w:r w:rsidRPr="004F0AE5">
            <w:rPr>
              <w:rFonts w:ascii="Arial" w:hAnsi="Arial" w:cs="Arial"/>
              <w:sz w:val="17"/>
              <w:szCs w:val="17"/>
            </w:rPr>
            <w:t>EPSDT</w:t>
          </w:r>
          <w:r w:rsidRPr="004F0AE5">
            <w:rPr>
              <w:rFonts w:ascii="Arial" w:hAnsi="Arial" w:cs="Arial"/>
              <w:spacing w:val="-12"/>
              <w:sz w:val="17"/>
              <w:szCs w:val="17"/>
            </w:rPr>
            <w:t xml:space="preserve"> </w:t>
          </w:r>
          <w:r w:rsidRPr="004F0AE5">
            <w:rPr>
              <w:rFonts w:ascii="Arial" w:hAnsi="Arial" w:cs="Arial"/>
              <w:sz w:val="17"/>
              <w:szCs w:val="17"/>
            </w:rPr>
            <w:t>Servi</w:t>
          </w:r>
          <w:r w:rsidRPr="004F0AE5">
            <w:rPr>
              <w:rFonts w:ascii="Arial" w:hAnsi="Arial" w:cs="Arial"/>
              <w:spacing w:val="1"/>
              <w:sz w:val="17"/>
              <w:szCs w:val="17"/>
            </w:rPr>
            <w:t>c</w:t>
          </w:r>
          <w:r w:rsidRPr="004F0AE5">
            <w:rPr>
              <w:rFonts w:ascii="Arial" w:hAnsi="Arial" w:cs="Arial"/>
              <w:sz w:val="17"/>
              <w:szCs w:val="17"/>
            </w:rPr>
            <w:t>es</w:t>
          </w:r>
          <w:r w:rsidRPr="004F0AE5">
            <w:rPr>
              <w:rFonts w:ascii="Arial" w:hAnsi="Arial" w:cs="Arial"/>
              <w:spacing w:val="-15"/>
              <w:sz w:val="17"/>
              <w:szCs w:val="17"/>
            </w:rPr>
            <w:t xml:space="preserve"> </w:t>
          </w:r>
          <w:r w:rsidRPr="004F0AE5">
            <w:rPr>
              <w:rFonts w:ascii="Arial" w:hAnsi="Arial" w:cs="Arial"/>
              <w:w w:val="99"/>
              <w:sz w:val="17"/>
              <w:szCs w:val="17"/>
            </w:rPr>
            <w:t xml:space="preserve">Medical </w:t>
          </w:r>
          <w:r w:rsidRPr="004F0AE5">
            <w:rPr>
              <w:rFonts w:ascii="Arial" w:hAnsi="Arial" w:cs="Arial"/>
              <w:sz w:val="17"/>
              <w:szCs w:val="17"/>
            </w:rPr>
            <w:t>and</w:t>
          </w:r>
          <w:r w:rsidRPr="004F0AE5">
            <w:rPr>
              <w:rFonts w:ascii="Arial" w:hAnsi="Arial" w:cs="Arial"/>
              <w:spacing w:val="-11"/>
              <w:sz w:val="17"/>
              <w:szCs w:val="17"/>
            </w:rPr>
            <w:t xml:space="preserve"> </w:t>
          </w:r>
          <w:r w:rsidRPr="004F0AE5">
            <w:rPr>
              <w:rFonts w:ascii="Arial" w:hAnsi="Arial" w:cs="Arial"/>
              <w:sz w:val="17"/>
              <w:szCs w:val="17"/>
            </w:rPr>
            <w:t>Dental</w:t>
          </w:r>
          <w:r w:rsidRPr="004F0AE5">
            <w:rPr>
              <w:rFonts w:ascii="Arial" w:hAnsi="Arial" w:cs="Arial"/>
              <w:spacing w:val="-11"/>
              <w:sz w:val="17"/>
              <w:szCs w:val="17"/>
            </w:rPr>
            <w:t xml:space="preserve"> </w:t>
          </w:r>
          <w:r w:rsidRPr="004F0AE5">
            <w:rPr>
              <w:rFonts w:ascii="Arial" w:hAnsi="Arial" w:cs="Arial"/>
              <w:sz w:val="17"/>
              <w:szCs w:val="17"/>
            </w:rPr>
            <w:t>P</w:t>
          </w:r>
          <w:r w:rsidRPr="004F0AE5">
            <w:rPr>
              <w:rFonts w:ascii="Arial" w:hAnsi="Arial" w:cs="Arial"/>
              <w:spacing w:val="2"/>
              <w:sz w:val="17"/>
              <w:szCs w:val="17"/>
            </w:rPr>
            <w:t>r</w:t>
          </w:r>
          <w:r w:rsidRPr="004F0AE5">
            <w:rPr>
              <w:rFonts w:ascii="Arial" w:hAnsi="Arial" w:cs="Arial"/>
              <w:sz w:val="17"/>
              <w:szCs w:val="17"/>
            </w:rPr>
            <w:t>otocols</w:t>
          </w:r>
          <w:r w:rsidRPr="004F0AE5">
            <w:rPr>
              <w:rFonts w:ascii="Arial" w:hAnsi="Arial" w:cs="Arial"/>
              <w:spacing w:val="-15"/>
              <w:sz w:val="17"/>
              <w:szCs w:val="17"/>
            </w:rPr>
            <w:t xml:space="preserve"> </w:t>
          </w:r>
          <w:r w:rsidRPr="004F0AE5">
            <w:rPr>
              <w:rFonts w:ascii="Arial" w:hAnsi="Arial" w:cs="Arial"/>
              <w:sz w:val="17"/>
              <w:szCs w:val="17"/>
            </w:rPr>
            <w:t>and</w:t>
          </w:r>
          <w:r w:rsidRPr="004F0AE5">
            <w:rPr>
              <w:rFonts w:ascii="Arial" w:hAnsi="Arial" w:cs="Arial"/>
              <w:spacing w:val="-9"/>
              <w:sz w:val="17"/>
              <w:szCs w:val="17"/>
            </w:rPr>
            <w:t xml:space="preserve"> </w:t>
          </w:r>
          <w:r w:rsidRPr="004F0AE5">
            <w:rPr>
              <w:rFonts w:ascii="Arial" w:hAnsi="Arial" w:cs="Arial"/>
              <w:w w:val="99"/>
              <w:sz w:val="17"/>
              <w:szCs w:val="17"/>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1BEEC1B7" w14:textId="77777777" w:rsidR="004F0AE5" w:rsidRPr="004F0AE5" w:rsidRDefault="004F0AE5" w:rsidP="004F0AE5">
          <w:pPr>
            <w:widowControl w:val="0"/>
            <w:spacing w:before="9" w:line="110" w:lineRule="exact"/>
            <w:rPr>
              <w:rFonts w:ascii="Calibri" w:hAnsi="Calibri"/>
              <w:sz w:val="11"/>
              <w:szCs w:val="11"/>
            </w:rPr>
          </w:pPr>
        </w:p>
        <w:p w14:paraId="318A4606" w14:textId="77777777" w:rsidR="004F0AE5" w:rsidRPr="004F0AE5" w:rsidRDefault="004F0AE5" w:rsidP="004F0AE5">
          <w:pPr>
            <w:widowControl w:val="0"/>
            <w:ind w:left="603" w:right="584"/>
            <w:jc w:val="center"/>
            <w:rPr>
              <w:rFonts w:ascii="Arial" w:hAnsi="Arial" w:cs="Arial"/>
            </w:rPr>
          </w:pPr>
          <w:r w:rsidRPr="004F0AE5">
            <w:rPr>
              <w:rFonts w:ascii="Arial" w:hAnsi="Arial" w:cs="Arial"/>
              <w:b/>
              <w:bCs/>
              <w:spacing w:val="-1"/>
            </w:rPr>
            <w:t>Page</w:t>
          </w:r>
        </w:p>
        <w:p w14:paraId="20AD2508" w14:textId="77777777" w:rsidR="004F0AE5" w:rsidRPr="004F0AE5" w:rsidRDefault="004F0AE5" w:rsidP="004F0AE5">
          <w:pPr>
            <w:widowControl w:val="0"/>
            <w:spacing w:before="8" w:line="110" w:lineRule="exact"/>
            <w:rPr>
              <w:rFonts w:ascii="Calibri" w:hAnsi="Calibri"/>
              <w:sz w:val="11"/>
              <w:szCs w:val="11"/>
            </w:rPr>
          </w:pPr>
        </w:p>
        <w:p w14:paraId="2D725702" w14:textId="3ABE9C7D" w:rsidR="004F0AE5" w:rsidRPr="004F0AE5" w:rsidRDefault="002957CC" w:rsidP="002957CC">
          <w:pPr>
            <w:widowControl w:val="0"/>
            <w:ind w:right="630"/>
            <w:jc w:val="center"/>
            <w:rPr>
              <w:rFonts w:ascii="Arial" w:hAnsi="Arial" w:cs="Arial"/>
            </w:rPr>
          </w:pPr>
          <w:r>
            <w:rPr>
              <w:rFonts w:ascii="Arial" w:hAnsi="Arial" w:cs="Arial"/>
            </w:rPr>
            <w:t xml:space="preserve">           W-</w:t>
          </w:r>
          <w:r w:rsidR="004F0AE5" w:rsidRPr="004F0AE5">
            <w:rPr>
              <w:rFonts w:ascii="Arial" w:hAnsi="Arial" w:cs="Arial"/>
            </w:rPr>
            <w:fldChar w:fldCharType="begin"/>
          </w:r>
          <w:r w:rsidR="004F0AE5" w:rsidRPr="004F0AE5">
            <w:rPr>
              <w:rFonts w:ascii="Arial" w:hAnsi="Arial" w:cs="Arial"/>
            </w:rPr>
            <w:instrText xml:space="preserve"> PAGE   \* MERGEFORMAT </w:instrText>
          </w:r>
          <w:r w:rsidR="004F0AE5" w:rsidRPr="004F0AE5">
            <w:rPr>
              <w:rFonts w:ascii="Arial" w:hAnsi="Arial" w:cs="Arial"/>
            </w:rPr>
            <w:fldChar w:fldCharType="separate"/>
          </w:r>
          <w:r w:rsidR="0017191D">
            <w:rPr>
              <w:rFonts w:ascii="Arial" w:hAnsi="Arial" w:cs="Arial"/>
              <w:noProof/>
            </w:rPr>
            <w:t>11</w:t>
          </w:r>
          <w:r w:rsidR="004F0AE5" w:rsidRPr="004F0AE5">
            <w:rPr>
              <w:rFonts w:ascii="Arial" w:hAnsi="Arial" w:cs="Arial"/>
              <w:noProof/>
            </w:rPr>
            <w:fldChar w:fldCharType="end"/>
          </w:r>
        </w:p>
      </w:tc>
    </w:tr>
    <w:tr w:rsidR="004F0AE5" w:rsidRPr="004F0AE5" w14:paraId="65D7C3ED" w14:textId="77777777" w:rsidTr="000B2831">
      <w:trPr>
        <w:trHeight w:hRule="exact" w:val="866"/>
        <w:jc w:val="center"/>
      </w:trPr>
      <w:tc>
        <w:tcPr>
          <w:tcW w:w="4080" w:type="dxa"/>
          <w:vMerge/>
          <w:tcBorders>
            <w:left w:val="single" w:sz="6" w:space="0" w:color="000000"/>
            <w:bottom w:val="single" w:sz="6" w:space="0" w:color="000000"/>
            <w:right w:val="single" w:sz="6" w:space="0" w:color="000000"/>
          </w:tcBorders>
        </w:tcPr>
        <w:p w14:paraId="63DC715D" w14:textId="77777777" w:rsidR="004F0AE5" w:rsidRPr="004F0AE5" w:rsidRDefault="004F0AE5" w:rsidP="004F0AE5">
          <w:pPr>
            <w:widowControl w:val="0"/>
            <w:spacing w:after="200" w:line="276" w:lineRule="auto"/>
            <w:rPr>
              <w:rFonts w:ascii="Calibri" w:hAnsi="Calibri"/>
              <w:sz w:val="22"/>
              <w:szCs w:val="22"/>
            </w:rPr>
          </w:pPr>
        </w:p>
      </w:tc>
      <w:tc>
        <w:tcPr>
          <w:tcW w:w="3750" w:type="dxa"/>
          <w:tcBorders>
            <w:top w:val="single" w:sz="6" w:space="0" w:color="000000"/>
            <w:left w:val="single" w:sz="6" w:space="0" w:color="000000"/>
            <w:bottom w:val="single" w:sz="6" w:space="0" w:color="000000"/>
            <w:right w:val="single" w:sz="6" w:space="0" w:color="000000"/>
          </w:tcBorders>
        </w:tcPr>
        <w:p w14:paraId="1AF5EF81" w14:textId="77777777" w:rsidR="004F0AE5" w:rsidRPr="004F0AE5" w:rsidRDefault="004F0AE5" w:rsidP="004F0AE5">
          <w:pPr>
            <w:widowControl w:val="0"/>
            <w:spacing w:before="10" w:line="110" w:lineRule="exact"/>
            <w:rPr>
              <w:rFonts w:ascii="Calibri" w:hAnsi="Calibri"/>
              <w:sz w:val="11"/>
              <w:szCs w:val="11"/>
            </w:rPr>
          </w:pPr>
        </w:p>
        <w:p w14:paraId="67F1DEDC" w14:textId="77777777" w:rsidR="004F0AE5" w:rsidRPr="004F0AE5" w:rsidRDefault="004F0AE5" w:rsidP="004F0AE5">
          <w:pPr>
            <w:widowControl w:val="0"/>
            <w:ind w:left="985" w:right="966"/>
            <w:jc w:val="center"/>
            <w:rPr>
              <w:rFonts w:ascii="Arial" w:hAnsi="Arial" w:cs="Arial"/>
            </w:rPr>
          </w:pPr>
          <w:r w:rsidRPr="004F0AE5">
            <w:rPr>
              <w:rFonts w:ascii="Arial" w:hAnsi="Arial" w:cs="Arial"/>
              <w:b/>
              <w:bCs/>
            </w:rPr>
            <w:t>Trans</w:t>
          </w:r>
          <w:r w:rsidRPr="004F0AE5">
            <w:rPr>
              <w:rFonts w:ascii="Arial" w:hAnsi="Arial" w:cs="Arial"/>
              <w:b/>
              <w:bCs/>
              <w:spacing w:val="-2"/>
            </w:rPr>
            <w:t>m</w:t>
          </w:r>
          <w:r w:rsidRPr="004F0AE5">
            <w:rPr>
              <w:rFonts w:ascii="Arial" w:hAnsi="Arial" w:cs="Arial"/>
              <w:b/>
              <w:bCs/>
            </w:rPr>
            <w:t>ittal</w:t>
          </w:r>
          <w:r w:rsidRPr="004F0AE5">
            <w:rPr>
              <w:rFonts w:ascii="Arial" w:hAnsi="Arial" w:cs="Arial"/>
              <w:b/>
              <w:bCs/>
              <w:spacing w:val="-2"/>
            </w:rPr>
            <w:t xml:space="preserve"> </w:t>
          </w:r>
          <w:r w:rsidRPr="004F0AE5">
            <w:rPr>
              <w:rFonts w:ascii="Arial" w:hAnsi="Arial" w:cs="Arial"/>
              <w:b/>
              <w:bCs/>
            </w:rPr>
            <w:t>Letter</w:t>
          </w:r>
        </w:p>
        <w:p w14:paraId="44FF8433" w14:textId="77777777" w:rsidR="004F0AE5" w:rsidRPr="004F0AE5" w:rsidRDefault="004F0AE5" w:rsidP="004F0AE5">
          <w:pPr>
            <w:widowControl w:val="0"/>
            <w:spacing w:before="7" w:line="110" w:lineRule="exact"/>
            <w:rPr>
              <w:rFonts w:ascii="Calibri" w:hAnsi="Calibri"/>
              <w:sz w:val="11"/>
              <w:szCs w:val="11"/>
            </w:rPr>
          </w:pPr>
        </w:p>
        <w:p w14:paraId="197F700C" w14:textId="77777777" w:rsidR="004F0AE5" w:rsidRPr="004F0AE5" w:rsidRDefault="004F0AE5" w:rsidP="004F0AE5">
          <w:pPr>
            <w:widowControl w:val="0"/>
            <w:ind w:left="1452" w:right="1435"/>
            <w:jc w:val="center"/>
            <w:rPr>
              <w:rFonts w:ascii="Arial" w:hAnsi="Arial" w:cs="Arial"/>
            </w:rPr>
          </w:pPr>
          <w:r w:rsidRPr="004F0AE5">
            <w:rPr>
              <w:rFonts w:ascii="Arial" w:hAnsi="Arial" w:cs="Arial"/>
            </w:rPr>
            <w:t>ALL-</w:t>
          </w:r>
          <w:r w:rsidRPr="004F0AE5">
            <w:rPr>
              <w:rFonts w:ascii="Arial" w:hAnsi="Arial" w:cs="Arial"/>
              <w:spacing w:val="-1"/>
            </w:rPr>
            <w:t>233</w:t>
          </w:r>
        </w:p>
      </w:tc>
      <w:tc>
        <w:tcPr>
          <w:tcW w:w="1771" w:type="dxa"/>
          <w:tcBorders>
            <w:top w:val="single" w:sz="6" w:space="0" w:color="000000"/>
            <w:left w:val="single" w:sz="6" w:space="0" w:color="000000"/>
            <w:bottom w:val="single" w:sz="6" w:space="0" w:color="000000"/>
            <w:right w:val="single" w:sz="6" w:space="0" w:color="000000"/>
          </w:tcBorders>
        </w:tcPr>
        <w:p w14:paraId="48FA35D4" w14:textId="77777777" w:rsidR="004F0AE5" w:rsidRPr="004F0AE5" w:rsidRDefault="004F0AE5" w:rsidP="004F0AE5">
          <w:pPr>
            <w:widowControl w:val="0"/>
            <w:spacing w:before="10" w:line="110" w:lineRule="exact"/>
            <w:rPr>
              <w:rFonts w:ascii="Calibri" w:hAnsi="Calibri"/>
              <w:sz w:val="11"/>
              <w:szCs w:val="11"/>
            </w:rPr>
          </w:pPr>
        </w:p>
        <w:p w14:paraId="41EFEC11" w14:textId="77777777" w:rsidR="004F0AE5" w:rsidRPr="004F0AE5" w:rsidRDefault="004F0AE5" w:rsidP="004F0AE5">
          <w:pPr>
            <w:widowControl w:val="0"/>
            <w:ind w:left="624" w:right="607"/>
            <w:jc w:val="center"/>
            <w:rPr>
              <w:rFonts w:ascii="Arial" w:hAnsi="Arial" w:cs="Arial"/>
            </w:rPr>
          </w:pPr>
          <w:r w:rsidRPr="004F0AE5">
            <w:rPr>
              <w:rFonts w:ascii="Arial" w:hAnsi="Arial" w:cs="Arial"/>
              <w:b/>
              <w:bCs/>
            </w:rPr>
            <w:t>Da</w:t>
          </w:r>
          <w:r w:rsidRPr="004F0AE5">
            <w:rPr>
              <w:rFonts w:ascii="Arial" w:hAnsi="Arial" w:cs="Arial"/>
              <w:b/>
              <w:bCs/>
              <w:spacing w:val="-1"/>
            </w:rPr>
            <w:t>t</w:t>
          </w:r>
          <w:r w:rsidRPr="004F0AE5">
            <w:rPr>
              <w:rFonts w:ascii="Arial" w:hAnsi="Arial" w:cs="Arial"/>
              <w:b/>
              <w:bCs/>
            </w:rPr>
            <w:t>e</w:t>
          </w:r>
        </w:p>
        <w:p w14:paraId="2C403127" w14:textId="77777777" w:rsidR="004F0AE5" w:rsidRPr="004F0AE5" w:rsidRDefault="004F0AE5" w:rsidP="004F0AE5">
          <w:pPr>
            <w:widowControl w:val="0"/>
            <w:spacing w:before="7" w:line="110" w:lineRule="exact"/>
            <w:rPr>
              <w:rFonts w:ascii="Calibri" w:hAnsi="Calibri"/>
              <w:sz w:val="11"/>
              <w:szCs w:val="11"/>
            </w:rPr>
          </w:pPr>
        </w:p>
        <w:p w14:paraId="35AA6B01" w14:textId="77777777" w:rsidR="004F0AE5" w:rsidRPr="004F0AE5" w:rsidRDefault="004F0AE5" w:rsidP="004F0AE5">
          <w:pPr>
            <w:widowControl w:val="0"/>
            <w:ind w:left="452" w:right="433"/>
            <w:jc w:val="center"/>
            <w:rPr>
              <w:rFonts w:ascii="Arial" w:hAnsi="Arial" w:cs="Arial"/>
            </w:rPr>
          </w:pPr>
          <w:r w:rsidRPr="004F0AE5">
            <w:rPr>
              <w:rFonts w:ascii="Arial" w:hAnsi="Arial" w:cs="Arial"/>
            </w:rPr>
            <w:t>12/02/20</w:t>
          </w:r>
        </w:p>
      </w:tc>
    </w:tr>
  </w:tbl>
  <w:p w14:paraId="21844EA4" w14:textId="77777777" w:rsidR="004F0AE5" w:rsidRPr="004F0AE5" w:rsidRDefault="004F0AE5" w:rsidP="004F0AE5">
    <w:pPr>
      <w:widowControl w:val="0"/>
      <w:tabs>
        <w:tab w:val="center" w:pos="4680"/>
        <w:tab w:val="right" w:pos="9360"/>
      </w:tabs>
      <w:rPr>
        <w:rFonts w:ascii="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AE5"/>
    <w:multiLevelType w:val="hybridMultilevel"/>
    <w:tmpl w:val="025A7C12"/>
    <w:lvl w:ilvl="0" w:tplc="04090001">
      <w:start w:val="1"/>
      <w:numFmt w:val="bullet"/>
      <w:lvlText w:val=""/>
      <w:lvlJc w:val="left"/>
      <w:pPr>
        <w:ind w:left="476" w:hanging="360"/>
      </w:pPr>
      <w:rPr>
        <w:rFonts w:ascii="Symbol" w:hAnsi="Symbol" w:hint="default"/>
      </w:rPr>
    </w:lvl>
    <w:lvl w:ilvl="1" w:tplc="04090001">
      <w:start w:val="1"/>
      <w:numFmt w:val="bullet"/>
      <w:lvlText w:val=""/>
      <w:lvlJc w:val="left"/>
      <w:pPr>
        <w:ind w:left="1196" w:hanging="360"/>
      </w:pPr>
      <w:rPr>
        <w:rFonts w:ascii="Symbol" w:hAnsi="Symbol" w:hint="default"/>
      </w:rPr>
    </w:lvl>
    <w:lvl w:ilvl="2" w:tplc="04090005">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
    <w:nsid w:val="0788100F"/>
    <w:multiLevelType w:val="hybridMultilevel"/>
    <w:tmpl w:val="9F9CA9C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DC5C22"/>
    <w:multiLevelType w:val="hybridMultilevel"/>
    <w:tmpl w:val="1EE6DC6E"/>
    <w:lvl w:ilvl="0" w:tplc="14765364">
      <w:start w:val="1"/>
      <w:numFmt w:val="lowerRoman"/>
      <w:lvlText w:val="%1."/>
      <w:lvlJc w:val="right"/>
      <w:pPr>
        <w:ind w:left="836" w:hanging="360"/>
      </w:pPr>
      <w:rPr>
        <w:b/>
        <w:bCs/>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3">
    <w:nsid w:val="10B64B41"/>
    <w:multiLevelType w:val="hybridMultilevel"/>
    <w:tmpl w:val="2A984E56"/>
    <w:lvl w:ilvl="0" w:tplc="88824DC8">
      <w:start w:val="3"/>
      <w:numFmt w:val="lowerLetter"/>
      <w:lvlText w:val="%1)"/>
      <w:lvlJc w:val="left"/>
      <w:pPr>
        <w:ind w:left="836" w:hanging="360"/>
      </w:pPr>
      <w:rPr>
        <w:rFonts w:hint="default"/>
        <w:b/>
        <w:bCs/>
      </w:rPr>
    </w:lvl>
    <w:lvl w:ilvl="1" w:tplc="04090019" w:tentative="1">
      <w:start w:val="1"/>
      <w:numFmt w:val="lowerLetter"/>
      <w:lvlText w:val="%2."/>
      <w:lvlJc w:val="left"/>
      <w:pPr>
        <w:ind w:left="-354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2108" w:hanging="360"/>
      </w:pPr>
    </w:lvl>
    <w:lvl w:ilvl="4" w:tplc="04090019" w:tentative="1">
      <w:start w:val="1"/>
      <w:numFmt w:val="lowerLetter"/>
      <w:lvlText w:val="%5."/>
      <w:lvlJc w:val="left"/>
      <w:pPr>
        <w:ind w:left="-1388" w:hanging="360"/>
      </w:pPr>
    </w:lvl>
    <w:lvl w:ilvl="5" w:tplc="0409001B" w:tentative="1">
      <w:start w:val="1"/>
      <w:numFmt w:val="lowerRoman"/>
      <w:lvlText w:val="%6."/>
      <w:lvlJc w:val="right"/>
      <w:pPr>
        <w:ind w:left="-668" w:hanging="180"/>
      </w:pPr>
    </w:lvl>
    <w:lvl w:ilvl="6" w:tplc="0409000F" w:tentative="1">
      <w:start w:val="1"/>
      <w:numFmt w:val="decimal"/>
      <w:lvlText w:val="%7."/>
      <w:lvlJc w:val="left"/>
      <w:pPr>
        <w:ind w:left="52" w:hanging="360"/>
      </w:pPr>
    </w:lvl>
    <w:lvl w:ilvl="7" w:tplc="04090019" w:tentative="1">
      <w:start w:val="1"/>
      <w:numFmt w:val="lowerLetter"/>
      <w:lvlText w:val="%8."/>
      <w:lvlJc w:val="left"/>
      <w:pPr>
        <w:ind w:left="772" w:hanging="360"/>
      </w:pPr>
    </w:lvl>
    <w:lvl w:ilvl="8" w:tplc="0409001B" w:tentative="1">
      <w:start w:val="1"/>
      <w:numFmt w:val="lowerRoman"/>
      <w:lvlText w:val="%9."/>
      <w:lvlJc w:val="right"/>
      <w:pPr>
        <w:ind w:left="1492" w:hanging="180"/>
      </w:pPr>
    </w:lvl>
  </w:abstractNum>
  <w:abstractNum w:abstractNumId="4">
    <w:nsid w:val="1B4306A0"/>
    <w:multiLevelType w:val="hybridMultilevel"/>
    <w:tmpl w:val="A0CC5622"/>
    <w:lvl w:ilvl="0" w:tplc="DBE4342A">
      <w:start w:val="1"/>
      <w:numFmt w:val="lowerLetter"/>
      <w:lvlText w:val="%1)"/>
      <w:lvlJc w:val="left"/>
      <w:pPr>
        <w:ind w:left="900" w:hanging="360"/>
      </w:pPr>
      <w:rPr>
        <w:rFonts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57E1DAA"/>
    <w:multiLevelType w:val="hybridMultilevel"/>
    <w:tmpl w:val="5914A550"/>
    <w:lvl w:ilvl="0" w:tplc="1688DB3E">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89A5CE4"/>
    <w:multiLevelType w:val="hybridMultilevel"/>
    <w:tmpl w:val="DD0812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29B54828"/>
    <w:multiLevelType w:val="hybridMultilevel"/>
    <w:tmpl w:val="D58252DC"/>
    <w:lvl w:ilvl="0" w:tplc="58040950">
      <w:start w:val="1"/>
      <w:numFmt w:val="decimal"/>
      <w:lvlText w:val="%1."/>
      <w:lvlJc w:val="left"/>
      <w:pPr>
        <w:ind w:left="720" w:hanging="360"/>
      </w:pPr>
      <w:rPr>
        <w:rFonts w:ascii="Times New Roman" w:hAnsi="Times New Roman" w:cs="Times New Roman" w:hint="default"/>
        <w:b w:val="0"/>
        <w:bCs w:val="0"/>
        <w:color w:val="auto"/>
      </w:rPr>
    </w:lvl>
    <w:lvl w:ilvl="1" w:tplc="3392D58E">
      <w:start w:val="1"/>
      <w:numFmt w:val="lowerLetter"/>
      <w:lvlText w:val="%2."/>
      <w:lvlJc w:val="left"/>
      <w:pPr>
        <w:ind w:left="1440" w:hanging="360"/>
      </w:pPr>
    </w:lvl>
    <w:lvl w:ilvl="2" w:tplc="4488954E">
      <w:start w:val="1"/>
      <w:numFmt w:val="lowerRoman"/>
      <w:lvlText w:val="%3."/>
      <w:lvlJc w:val="right"/>
      <w:pPr>
        <w:ind w:left="2160" w:hanging="180"/>
      </w:pPr>
    </w:lvl>
    <w:lvl w:ilvl="3" w:tplc="5DFAA8E2">
      <w:start w:val="1"/>
      <w:numFmt w:val="decimal"/>
      <w:lvlText w:val="%4."/>
      <w:lvlJc w:val="left"/>
      <w:pPr>
        <w:ind w:left="2880" w:hanging="360"/>
      </w:pPr>
    </w:lvl>
    <w:lvl w:ilvl="4" w:tplc="6840CDB4">
      <w:start w:val="1"/>
      <w:numFmt w:val="lowerLetter"/>
      <w:lvlText w:val="%5."/>
      <w:lvlJc w:val="left"/>
      <w:pPr>
        <w:ind w:left="3600" w:hanging="360"/>
      </w:pPr>
    </w:lvl>
    <w:lvl w:ilvl="5" w:tplc="25AC8F8A">
      <w:start w:val="1"/>
      <w:numFmt w:val="lowerRoman"/>
      <w:lvlText w:val="%6."/>
      <w:lvlJc w:val="right"/>
      <w:pPr>
        <w:ind w:left="4320" w:hanging="180"/>
      </w:pPr>
    </w:lvl>
    <w:lvl w:ilvl="6" w:tplc="2BB4F7AE">
      <w:start w:val="1"/>
      <w:numFmt w:val="decimal"/>
      <w:lvlText w:val="%7."/>
      <w:lvlJc w:val="left"/>
      <w:pPr>
        <w:ind w:left="5040" w:hanging="360"/>
      </w:pPr>
    </w:lvl>
    <w:lvl w:ilvl="7" w:tplc="923A28A4">
      <w:start w:val="1"/>
      <w:numFmt w:val="lowerLetter"/>
      <w:lvlText w:val="%8."/>
      <w:lvlJc w:val="left"/>
      <w:pPr>
        <w:ind w:left="5760" w:hanging="360"/>
      </w:pPr>
    </w:lvl>
    <w:lvl w:ilvl="8" w:tplc="A1163962">
      <w:start w:val="1"/>
      <w:numFmt w:val="lowerRoman"/>
      <w:lvlText w:val="%9."/>
      <w:lvlJc w:val="right"/>
      <w:pPr>
        <w:ind w:left="6480" w:hanging="180"/>
      </w:pPr>
    </w:lvl>
  </w:abstractNum>
  <w:abstractNum w:abstractNumId="8">
    <w:nsid w:val="370D30D6"/>
    <w:multiLevelType w:val="hybridMultilevel"/>
    <w:tmpl w:val="836E840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9">
    <w:nsid w:val="385E2F6F"/>
    <w:multiLevelType w:val="hybridMultilevel"/>
    <w:tmpl w:val="EB3274C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8F42B05"/>
    <w:multiLevelType w:val="hybridMultilevel"/>
    <w:tmpl w:val="16867972"/>
    <w:lvl w:ilvl="0" w:tplc="A0765D58">
      <w:start w:val="5"/>
      <w:numFmt w:val="lowerRoman"/>
      <w:lvlText w:val="%1."/>
      <w:lvlJc w:val="right"/>
      <w:pPr>
        <w:ind w:left="8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77EF5"/>
    <w:multiLevelType w:val="hybridMultilevel"/>
    <w:tmpl w:val="B78C1F04"/>
    <w:lvl w:ilvl="0" w:tplc="F65E0964">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4C1830"/>
    <w:multiLevelType w:val="hybridMultilevel"/>
    <w:tmpl w:val="B73AB9D0"/>
    <w:lvl w:ilvl="0" w:tplc="04090001">
      <w:start w:val="1"/>
      <w:numFmt w:val="bullet"/>
      <w:lvlText w:val=""/>
      <w:lvlJc w:val="left"/>
      <w:pPr>
        <w:ind w:left="476" w:hanging="360"/>
      </w:pPr>
      <w:rPr>
        <w:rFonts w:ascii="Symbol" w:hAnsi="Symbol" w:hint="default"/>
      </w:rPr>
    </w:lvl>
    <w:lvl w:ilvl="1" w:tplc="04090003" w:tentative="1">
      <w:start w:val="1"/>
      <w:numFmt w:val="bullet"/>
      <w:lvlText w:val="o"/>
      <w:lvlJc w:val="left"/>
      <w:pPr>
        <w:ind w:left="1196" w:hanging="360"/>
      </w:pPr>
      <w:rPr>
        <w:rFonts w:ascii="Courier New" w:hAnsi="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3">
    <w:nsid w:val="4E0D15AD"/>
    <w:multiLevelType w:val="hybridMultilevel"/>
    <w:tmpl w:val="DF0C8E9E"/>
    <w:lvl w:ilvl="0" w:tplc="2402E182">
      <w:start w:val="1"/>
      <w:numFmt w:val="upperRoman"/>
      <w:lvlText w:val="%1."/>
      <w:lvlJc w:val="left"/>
      <w:pPr>
        <w:ind w:left="836" w:hanging="720"/>
      </w:pPr>
      <w:rPr>
        <w:rFonts w:hint="default"/>
        <w:b/>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4">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C65567"/>
    <w:multiLevelType w:val="hybridMultilevel"/>
    <w:tmpl w:val="9294A36E"/>
    <w:lvl w:ilvl="0" w:tplc="04090017">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53C61102"/>
    <w:multiLevelType w:val="hybridMultilevel"/>
    <w:tmpl w:val="D466FD6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AA00237"/>
    <w:multiLevelType w:val="hybridMultilevel"/>
    <w:tmpl w:val="EE7A5CBC"/>
    <w:lvl w:ilvl="0" w:tplc="FA60E85A">
      <w:start w:val="1"/>
      <w:numFmt w:val="lowerLetter"/>
      <w:lvlText w:val="%1)"/>
      <w:lvlJc w:val="left"/>
      <w:pPr>
        <w:ind w:left="900" w:hanging="360"/>
      </w:pPr>
      <w:rPr>
        <w:rFonts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5BC907DD"/>
    <w:multiLevelType w:val="hybridMultilevel"/>
    <w:tmpl w:val="CB6EC650"/>
    <w:lvl w:ilvl="0" w:tplc="04090001">
      <w:start w:val="1"/>
      <w:numFmt w:val="bullet"/>
      <w:lvlText w:val=""/>
      <w:lvlJc w:val="left"/>
      <w:pPr>
        <w:ind w:left="476" w:hanging="360"/>
      </w:pPr>
      <w:rPr>
        <w:rFonts w:ascii="Symbol" w:hAnsi="Symbol" w:hint="default"/>
      </w:rPr>
    </w:lvl>
    <w:lvl w:ilvl="1" w:tplc="04090001">
      <w:start w:val="1"/>
      <w:numFmt w:val="bullet"/>
      <w:lvlText w:val=""/>
      <w:lvlJc w:val="left"/>
      <w:pPr>
        <w:ind w:left="1196" w:hanging="360"/>
      </w:pPr>
      <w:rPr>
        <w:rFonts w:ascii="Symbol" w:hAnsi="Symbol" w:hint="default"/>
      </w:rPr>
    </w:lvl>
    <w:lvl w:ilvl="2" w:tplc="04090003">
      <w:start w:val="1"/>
      <w:numFmt w:val="bullet"/>
      <w:lvlText w:val="o"/>
      <w:lvlJc w:val="left"/>
      <w:pPr>
        <w:ind w:left="1916" w:hanging="360"/>
      </w:pPr>
      <w:rPr>
        <w:rFonts w:ascii="Courier New" w:hAnsi="Courier New" w:cs="Courier New"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9">
    <w:nsid w:val="611B1BD1"/>
    <w:multiLevelType w:val="hybridMultilevel"/>
    <w:tmpl w:val="C0D43E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nsid w:val="64D74ABB"/>
    <w:multiLevelType w:val="hybridMultilevel"/>
    <w:tmpl w:val="E96C5482"/>
    <w:lvl w:ilvl="0" w:tplc="AF34E424">
      <w:start w:val="1"/>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1">
    <w:nsid w:val="6F363CA9"/>
    <w:multiLevelType w:val="hybridMultilevel"/>
    <w:tmpl w:val="A8FC3B7C"/>
    <w:lvl w:ilvl="0" w:tplc="9124B36C">
      <w:start w:val="4"/>
      <w:numFmt w:val="lowerLetter"/>
      <w:lvlText w:val="%1)"/>
      <w:lvlJc w:val="left"/>
      <w:pPr>
        <w:ind w:left="836" w:hanging="360"/>
      </w:pPr>
      <w:rPr>
        <w:rFonts w:hint="default"/>
        <w:b/>
        <w:bCs w:val="0"/>
      </w:rPr>
    </w:lvl>
    <w:lvl w:ilvl="1" w:tplc="04090019" w:tentative="1">
      <w:start w:val="1"/>
      <w:numFmt w:val="lowerLetter"/>
      <w:lvlText w:val="%2."/>
      <w:lvlJc w:val="left"/>
      <w:pPr>
        <w:ind w:left="-354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2108" w:hanging="360"/>
      </w:pPr>
    </w:lvl>
    <w:lvl w:ilvl="4" w:tplc="04090019" w:tentative="1">
      <w:start w:val="1"/>
      <w:numFmt w:val="lowerLetter"/>
      <w:lvlText w:val="%5."/>
      <w:lvlJc w:val="left"/>
      <w:pPr>
        <w:ind w:left="-1388" w:hanging="360"/>
      </w:pPr>
    </w:lvl>
    <w:lvl w:ilvl="5" w:tplc="0409001B" w:tentative="1">
      <w:start w:val="1"/>
      <w:numFmt w:val="lowerRoman"/>
      <w:lvlText w:val="%6."/>
      <w:lvlJc w:val="right"/>
      <w:pPr>
        <w:ind w:left="-668" w:hanging="180"/>
      </w:pPr>
    </w:lvl>
    <w:lvl w:ilvl="6" w:tplc="0409000F" w:tentative="1">
      <w:start w:val="1"/>
      <w:numFmt w:val="decimal"/>
      <w:lvlText w:val="%7."/>
      <w:lvlJc w:val="left"/>
      <w:pPr>
        <w:ind w:left="52" w:hanging="360"/>
      </w:pPr>
    </w:lvl>
    <w:lvl w:ilvl="7" w:tplc="04090019" w:tentative="1">
      <w:start w:val="1"/>
      <w:numFmt w:val="lowerLetter"/>
      <w:lvlText w:val="%8."/>
      <w:lvlJc w:val="left"/>
      <w:pPr>
        <w:ind w:left="772" w:hanging="360"/>
      </w:pPr>
    </w:lvl>
    <w:lvl w:ilvl="8" w:tplc="0409001B" w:tentative="1">
      <w:start w:val="1"/>
      <w:numFmt w:val="lowerRoman"/>
      <w:lvlText w:val="%9."/>
      <w:lvlJc w:val="right"/>
      <w:pPr>
        <w:ind w:left="1492" w:hanging="180"/>
      </w:pPr>
    </w:lvl>
  </w:abstractNum>
  <w:abstractNum w:abstractNumId="22">
    <w:nsid w:val="705B22FC"/>
    <w:multiLevelType w:val="hybridMultilevel"/>
    <w:tmpl w:val="87F06402"/>
    <w:lvl w:ilvl="0" w:tplc="022C8F38">
      <w:start w:val="1"/>
      <w:numFmt w:val="lowerLetter"/>
      <w:lvlText w:val="%1)"/>
      <w:lvlJc w:val="left"/>
      <w:pPr>
        <w:ind w:left="1188" w:hanging="360"/>
      </w:pPr>
      <w:rPr>
        <w:b/>
        <w:bCs w:val="0"/>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14"/>
  </w:num>
  <w:num w:numId="2">
    <w:abstractNumId w:val="19"/>
  </w:num>
  <w:num w:numId="3">
    <w:abstractNumId w:val="12"/>
  </w:num>
  <w:num w:numId="4">
    <w:abstractNumId w:val="7"/>
  </w:num>
  <w:num w:numId="5">
    <w:abstractNumId w:val="20"/>
  </w:num>
  <w:num w:numId="6">
    <w:abstractNumId w:val="13"/>
  </w:num>
  <w:num w:numId="7">
    <w:abstractNumId w:val="2"/>
  </w:num>
  <w:num w:numId="8">
    <w:abstractNumId w:val="15"/>
  </w:num>
  <w:num w:numId="9">
    <w:abstractNumId w:val="5"/>
  </w:num>
  <w:num w:numId="10">
    <w:abstractNumId w:val="8"/>
  </w:num>
  <w:num w:numId="11">
    <w:abstractNumId w:val="10"/>
  </w:num>
  <w:num w:numId="12">
    <w:abstractNumId w:val="17"/>
  </w:num>
  <w:num w:numId="13">
    <w:abstractNumId w:val="22"/>
  </w:num>
  <w:num w:numId="14">
    <w:abstractNumId w:val="4"/>
  </w:num>
  <w:num w:numId="15">
    <w:abstractNumId w:val="6"/>
  </w:num>
  <w:num w:numId="16">
    <w:abstractNumId w:val="16"/>
  </w:num>
  <w:num w:numId="17">
    <w:abstractNumId w:val="11"/>
  </w:num>
  <w:num w:numId="18">
    <w:abstractNumId w:val="0"/>
  </w:num>
  <w:num w:numId="19">
    <w:abstractNumId w:val="9"/>
  </w:num>
  <w:num w:numId="20">
    <w:abstractNumId w:val="1"/>
  </w:num>
  <w:num w:numId="21">
    <w:abstractNumId w:val="18"/>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17B0"/>
    <w:rsid w:val="000B2575"/>
    <w:rsid w:val="000B2831"/>
    <w:rsid w:val="000D4E3B"/>
    <w:rsid w:val="000D6535"/>
    <w:rsid w:val="000E7FBC"/>
    <w:rsid w:val="00117119"/>
    <w:rsid w:val="0013717B"/>
    <w:rsid w:val="00153B4E"/>
    <w:rsid w:val="0017191D"/>
    <w:rsid w:val="00182255"/>
    <w:rsid w:val="001A17DC"/>
    <w:rsid w:val="001C0EA7"/>
    <w:rsid w:val="002957CC"/>
    <w:rsid w:val="002A2379"/>
    <w:rsid w:val="002B6E95"/>
    <w:rsid w:val="002E63AD"/>
    <w:rsid w:val="002F160F"/>
    <w:rsid w:val="002F1666"/>
    <w:rsid w:val="00334CF9"/>
    <w:rsid w:val="00355633"/>
    <w:rsid w:val="0037107D"/>
    <w:rsid w:val="00381BF3"/>
    <w:rsid w:val="003C4A8F"/>
    <w:rsid w:val="00406081"/>
    <w:rsid w:val="00413684"/>
    <w:rsid w:val="00455276"/>
    <w:rsid w:val="00486000"/>
    <w:rsid w:val="004A0D97"/>
    <w:rsid w:val="004C5316"/>
    <w:rsid w:val="004D0654"/>
    <w:rsid w:val="004F0AE5"/>
    <w:rsid w:val="005126BE"/>
    <w:rsid w:val="00531751"/>
    <w:rsid w:val="005367D0"/>
    <w:rsid w:val="00556EE6"/>
    <w:rsid w:val="00566B2C"/>
    <w:rsid w:val="00587E91"/>
    <w:rsid w:val="00592E32"/>
    <w:rsid w:val="005C3E29"/>
    <w:rsid w:val="005D5562"/>
    <w:rsid w:val="005E5542"/>
    <w:rsid w:val="005F496D"/>
    <w:rsid w:val="006151BF"/>
    <w:rsid w:val="00615AF4"/>
    <w:rsid w:val="00671602"/>
    <w:rsid w:val="00676ED1"/>
    <w:rsid w:val="00680F14"/>
    <w:rsid w:val="00683D2E"/>
    <w:rsid w:val="00687DB6"/>
    <w:rsid w:val="006961DC"/>
    <w:rsid w:val="006E7E9B"/>
    <w:rsid w:val="006F2F9E"/>
    <w:rsid w:val="00712925"/>
    <w:rsid w:val="007302DC"/>
    <w:rsid w:val="007303DB"/>
    <w:rsid w:val="007418F4"/>
    <w:rsid w:val="007543BB"/>
    <w:rsid w:val="00755FD3"/>
    <w:rsid w:val="007C6D6A"/>
    <w:rsid w:val="007C7A2A"/>
    <w:rsid w:val="00835285"/>
    <w:rsid w:val="00837E50"/>
    <w:rsid w:val="0086374B"/>
    <w:rsid w:val="00872976"/>
    <w:rsid w:val="008843EC"/>
    <w:rsid w:val="00893684"/>
    <w:rsid w:val="008C70A6"/>
    <w:rsid w:val="008F0772"/>
    <w:rsid w:val="008F6655"/>
    <w:rsid w:val="00906EFC"/>
    <w:rsid w:val="00911A2F"/>
    <w:rsid w:val="00914AA5"/>
    <w:rsid w:val="00931E7B"/>
    <w:rsid w:val="00973470"/>
    <w:rsid w:val="009751D4"/>
    <w:rsid w:val="00984211"/>
    <w:rsid w:val="009B08C0"/>
    <w:rsid w:val="009E5B61"/>
    <w:rsid w:val="00A3078E"/>
    <w:rsid w:val="00A36CFC"/>
    <w:rsid w:val="00A56596"/>
    <w:rsid w:val="00A65821"/>
    <w:rsid w:val="00AA56BA"/>
    <w:rsid w:val="00AD337E"/>
    <w:rsid w:val="00B20419"/>
    <w:rsid w:val="00B266CB"/>
    <w:rsid w:val="00B45EDD"/>
    <w:rsid w:val="00B849B6"/>
    <w:rsid w:val="00B877DD"/>
    <w:rsid w:val="00BB55FE"/>
    <w:rsid w:val="00C1164A"/>
    <w:rsid w:val="00C273D4"/>
    <w:rsid w:val="00C31515"/>
    <w:rsid w:val="00C63F69"/>
    <w:rsid w:val="00C812DC"/>
    <w:rsid w:val="00CA3C5E"/>
    <w:rsid w:val="00CA792D"/>
    <w:rsid w:val="00CB2598"/>
    <w:rsid w:val="00CF1593"/>
    <w:rsid w:val="00CF79FC"/>
    <w:rsid w:val="00D0210B"/>
    <w:rsid w:val="00D219D4"/>
    <w:rsid w:val="00D66A39"/>
    <w:rsid w:val="00DA2C0D"/>
    <w:rsid w:val="00DD4C29"/>
    <w:rsid w:val="00DF2A27"/>
    <w:rsid w:val="00E249E7"/>
    <w:rsid w:val="00E33B33"/>
    <w:rsid w:val="00E37878"/>
    <w:rsid w:val="00E5079A"/>
    <w:rsid w:val="00E60DC3"/>
    <w:rsid w:val="00EC5EFA"/>
    <w:rsid w:val="00EC695A"/>
    <w:rsid w:val="00F44810"/>
    <w:rsid w:val="00F72F61"/>
    <w:rsid w:val="00F87613"/>
    <w:rsid w:val="00FA2CED"/>
    <w:rsid w:val="00FB26EF"/>
    <w:rsid w:val="00FB3DEC"/>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AC2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table" w:styleId="TableGrid">
    <w:name w:val="Table Grid"/>
    <w:basedOn w:val="TableNormal"/>
    <w:uiPriority w:val="59"/>
    <w:rsid w:val="004F0AE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AE5"/>
    <w:pPr>
      <w:widowControl w:val="0"/>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table" w:styleId="TableGrid">
    <w:name w:val="Table Grid"/>
    <w:basedOn w:val="TableNormal"/>
    <w:uiPriority w:val="59"/>
    <w:rsid w:val="004F0AE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AE5"/>
    <w:pPr>
      <w:widowControl w:val="0"/>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s://brightfutures.aap.org/materials-and-tools/guidelines-and-pocket-guide/Pages/default.aspx" TargetMode="External"/><Relationship Id="rId26" Type="http://schemas.openxmlformats.org/officeDocument/2006/relationships/hyperlink" Target="http://www.mass.gov/dph/clppp" TargetMode="External"/><Relationship Id="rId3" Type="http://schemas.openxmlformats.org/officeDocument/2006/relationships/styles" Target="styles.xml"/><Relationship Id="rId21" Type="http://schemas.openxmlformats.org/officeDocument/2006/relationships/hyperlink" Target="http://www.mass.gov/eohhs/docs/dph/com-health/school/preschool-vision-protocols.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eader" Target="header1.xml"/><Relationship Id="rId25" Type="http://schemas.openxmlformats.org/officeDocument/2006/relationships/hyperlink" Target="http://www.mass.gov/lists/view-annual-screening-and-blood-lead-level-reports-and-high-risk-community-lis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vidersupport@mahealth.net,%20%20%20" TargetMode="External"/><Relationship Id="rId20" Type="http://schemas.openxmlformats.org/officeDocument/2006/relationships/hyperlink" Target="http://www.mhqp.org/resources-professionals/clinical-guidelines/pediatric-preventive-care-guidelines/" TargetMode="External"/><Relationship Id="rId29" Type="http://schemas.openxmlformats.org/officeDocument/2006/relationships/hyperlink" Target="http://www.fda.gov/radiation-emitting-products/medical-x-ray-imaging/selection-patients-dental-radiographic-examin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www.mass.gov/doc/lead-fact-sheet-for-providers-111417-0/download"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23" Type="http://schemas.openxmlformats.org/officeDocument/2006/relationships/hyperlink" Target="https://nensp.umassmed.edu/" TargetMode="External"/><Relationship Id="rId28" Type="http://schemas.openxmlformats.org/officeDocument/2006/relationships/hyperlink" Target="http://www.uspreventiveservicestaskforce.org/uspstf/recommendation/cervical-cancer-screening" TargetMode="External"/><Relationship Id="rId10" Type="http://schemas.openxmlformats.org/officeDocument/2006/relationships/image" Target="media/image2.wmf"/><Relationship Id="rId19" Type="http://schemas.openxmlformats.org/officeDocument/2006/relationships/hyperlink" Target="https://brightfutures.aap.org/materials-and-tools/Pages/default.aspx" TargetMode="External"/><Relationship Id="rId31" Type="http://schemas.openxmlformats.org/officeDocument/2006/relationships/hyperlink" Target="https://pediatrics.aappublications.org/content/pediatrics/134/3/626.full.pd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ass.gov/masshealth-transmittal-letters" TargetMode="External"/><Relationship Id="rId22" Type="http://schemas.openxmlformats.org/officeDocument/2006/relationships/hyperlink" Target="http://www.mass.gov/eohhs/docs/dph/com-health/school/preschool-vision-protocols.pdf" TargetMode="External"/><Relationship Id="rId27" Type="http://schemas.openxmlformats.org/officeDocument/2006/relationships/hyperlink" Target="https://malegislature.gov/Laws/GeneralLaws/PartI/TitleXVI/Chapter111/Section191" TargetMode="External"/><Relationship Id="rId30" Type="http://schemas.openxmlformats.org/officeDocument/2006/relationships/hyperlink" Target="http://www.mass.gov/files/documents/2016/07/xv/fluoride-cens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A25FF-2E50-4967-B3D4-4326A96A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4980</Words>
  <Characters>28387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33301</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EHS</cp:lastModifiedBy>
  <cp:revision>2</cp:revision>
  <cp:lastPrinted>2020-12-02T22:15:00Z</cp:lastPrinted>
  <dcterms:created xsi:type="dcterms:W3CDTF">2020-12-03T17:10:00Z</dcterms:created>
  <dcterms:modified xsi:type="dcterms:W3CDTF">2020-12-03T17:10:00Z</dcterms:modified>
</cp:coreProperties>
</file>