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197AC0DC"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E19F840">
                <wp:simplePos x="0" y="0"/>
                <wp:positionH relativeFrom="column">
                  <wp:posOffset>57150</wp:posOffset>
                </wp:positionH>
                <wp:positionV relativeFrom="paragraph">
                  <wp:posOffset>285750</wp:posOffset>
                </wp:positionV>
                <wp:extent cx="4936572" cy="727673"/>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F5435C">
        <w:t>ALL</w:t>
      </w:r>
      <w:r w:rsidR="00FD0055">
        <w:t>-249</w:t>
      </w:r>
    </w:p>
    <w:p w14:paraId="2C0EED1F" w14:textId="2DE9DDA5" w:rsidR="006B272D" w:rsidRPr="00C15254" w:rsidRDefault="006B272D" w:rsidP="006B272D">
      <w:pPr>
        <w:tabs>
          <w:tab w:val="left" w:pos="1080"/>
        </w:tabs>
        <w:spacing w:before="120" w:after="240"/>
        <w:ind w:left="1080" w:hanging="1080"/>
      </w:pPr>
      <w:r w:rsidRPr="00C15254">
        <w:rPr>
          <w:b/>
          <w:bCs/>
        </w:rPr>
        <w:t>DATE:</w:t>
      </w:r>
      <w:r w:rsidRPr="00C15254">
        <w:tab/>
      </w:r>
      <w:r w:rsidR="007A429C">
        <w:t>November</w:t>
      </w:r>
      <w:r w:rsidR="00F5435C">
        <w:t xml:space="preserve"> 2024</w:t>
      </w:r>
    </w:p>
    <w:p w14:paraId="70F4B555" w14:textId="1B76CB23" w:rsidR="004A612B" w:rsidRPr="00C15254" w:rsidRDefault="004A612B" w:rsidP="00FC443A">
      <w:pPr>
        <w:tabs>
          <w:tab w:val="left" w:pos="1080"/>
        </w:tabs>
        <w:spacing w:before="120" w:after="240"/>
        <w:ind w:left="1080" w:hanging="1080"/>
      </w:pPr>
      <w:r w:rsidRPr="00C15254">
        <w:rPr>
          <w:b/>
          <w:bCs/>
        </w:rPr>
        <w:t>TO:</w:t>
      </w:r>
      <w:r w:rsidRPr="00C15254">
        <w:tab/>
      </w:r>
      <w:r w:rsidR="00F5435C">
        <w:t>All Providers</w:t>
      </w:r>
      <w:r w:rsidRPr="00C15254">
        <w:t xml:space="preserve"> Participating in MassHealth</w:t>
      </w:r>
    </w:p>
    <w:p w14:paraId="76DD7C35" w14:textId="4ACEE8F9" w:rsidR="004A612B" w:rsidRPr="00C15254" w:rsidRDefault="004A612B" w:rsidP="00FC443A">
      <w:pPr>
        <w:tabs>
          <w:tab w:val="left" w:pos="1080"/>
        </w:tabs>
        <w:spacing w:before="120" w:after="240"/>
        <w:ind w:left="1080" w:hanging="1080"/>
      </w:pPr>
      <w:r w:rsidRPr="00C15254">
        <w:rPr>
          <w:b/>
          <w:bCs/>
        </w:rPr>
        <w:t>FROM:</w:t>
      </w:r>
      <w:r w:rsidRPr="00C15254">
        <w:tab/>
      </w:r>
      <w:r w:rsidR="00F5435C" w:rsidRPr="00120D2C">
        <w:t>Mike Levine, Assistant Secretary for MassHealth</w:t>
      </w:r>
      <w:r w:rsidR="00E325C5">
        <w:t xml:space="preserve"> [signature of Mike Levine]</w:t>
      </w:r>
    </w:p>
    <w:p w14:paraId="3A8085CC" w14:textId="77777777" w:rsidR="00544889" w:rsidRDefault="006B272D" w:rsidP="00905BA3">
      <w:pPr>
        <w:pStyle w:val="SubjectLine"/>
        <w:rPr>
          <w:i w:val="0"/>
          <w:iCs w:val="0"/>
        </w:rPr>
        <w:sectPr w:rsidR="00544889" w:rsidSect="00FD0055">
          <w:headerReference w:type="default" r:id="rId15"/>
          <w:footerReference w:type="default" r:id="rId16"/>
          <w:footerReference w:type="first" r:id="rId17"/>
          <w:pgSz w:w="12240" w:h="15840" w:code="1"/>
          <w:pgMar w:top="576" w:right="1440" w:bottom="1440" w:left="1440" w:header="446" w:footer="490" w:gutter="0"/>
          <w:cols w:space="720"/>
          <w:titlePg/>
          <w:docGrid w:linePitch="299"/>
        </w:sectPr>
      </w:pPr>
      <w:r w:rsidRPr="00FF37E6">
        <w:rPr>
          <w:i w:val="0"/>
          <w:iCs w:val="0"/>
        </w:rPr>
        <w:t>RE:</w:t>
      </w:r>
      <w:r w:rsidRPr="00FF37E6">
        <w:rPr>
          <w:i w:val="0"/>
          <w:iCs w:val="0"/>
        </w:rPr>
        <w:tab/>
      </w:r>
      <w:r w:rsidR="00F5435C" w:rsidRPr="0099221A">
        <w:rPr>
          <w:i w:val="0"/>
          <w:iCs w:val="0"/>
        </w:rPr>
        <w:t>All Provider</w:t>
      </w:r>
      <w:r w:rsidRPr="0099221A">
        <w:rPr>
          <w:i w:val="0"/>
          <w:iCs w:val="0"/>
        </w:rPr>
        <w:t xml:space="preserve"> Manual</w:t>
      </w:r>
      <w:r w:rsidR="00F5435C" w:rsidRPr="0099221A">
        <w:rPr>
          <w:i w:val="0"/>
          <w:iCs w:val="0"/>
        </w:rPr>
        <w:t>s</w:t>
      </w:r>
      <w:r w:rsidRPr="00F5435C">
        <w:rPr>
          <w:i w:val="0"/>
          <w:iCs w:val="0"/>
        </w:rPr>
        <w:t xml:space="preserve">: </w:t>
      </w:r>
      <w:r w:rsidR="00F5435C" w:rsidRPr="00F5435C">
        <w:rPr>
          <w:i w:val="0"/>
          <w:iCs w:val="0"/>
        </w:rPr>
        <w:t>Updates to Appendix W: EPSDT Services Medical and Dental Protocols and Periodicity Schedules and Appendix Z: EPSDT/PPHSD Screening Services Codes</w:t>
      </w:r>
    </w:p>
    <w:p w14:paraId="72CD5F03" w14:textId="0B992D78" w:rsidR="00D516D7" w:rsidRPr="00544889" w:rsidRDefault="00F5435C" w:rsidP="0099221A">
      <w:pPr>
        <w:pStyle w:val="Heading2"/>
        <w:spacing w:before="120"/>
      </w:pPr>
      <w:r w:rsidRPr="00544889">
        <w:t>Summary</w:t>
      </w:r>
    </w:p>
    <w:p w14:paraId="7433E6FF" w14:textId="6A293C5B" w:rsidR="00F5435C" w:rsidRPr="00120D2C" w:rsidRDefault="00F5435C" w:rsidP="0099221A">
      <w:pPr>
        <w:widowControl w:val="0"/>
        <w:spacing w:after="120"/>
        <w:rPr>
          <w:rFonts w:cs="Arial"/>
        </w:rPr>
      </w:pPr>
      <w:r w:rsidRPr="00120D2C">
        <w:rPr>
          <w:rFonts w:cs="Arial"/>
        </w:rPr>
        <w:t>This letter transmits a revised Appendix W: EPSDT Services Medical and Dental Protocols and Periodicity Schedules and a revised Appendix</w:t>
      </w:r>
      <w:r w:rsidRPr="00120D2C">
        <w:rPr>
          <w:rFonts w:cs="Arial"/>
          <w:color w:val="FF0000"/>
        </w:rPr>
        <w:t xml:space="preserve"> </w:t>
      </w:r>
      <w:r w:rsidRPr="00120D2C">
        <w:rPr>
          <w:rFonts w:cs="Arial"/>
        </w:rPr>
        <w:t xml:space="preserve">Z: </w:t>
      </w:r>
      <w:r w:rsidRPr="00120D2C">
        <w:t>EPSDT/PPHSD Screening Services Codes</w:t>
      </w:r>
      <w:r w:rsidRPr="00120D2C">
        <w:rPr>
          <w:rFonts w:cs="Arial"/>
        </w:rPr>
        <w:t xml:space="preserve"> for all provider manuals.</w:t>
      </w:r>
    </w:p>
    <w:p w14:paraId="3AFDC472" w14:textId="272A8F57" w:rsidR="00F5435C" w:rsidRDefault="00F5435C" w:rsidP="0099221A">
      <w:pPr>
        <w:widowControl w:val="0"/>
        <w:spacing w:after="120"/>
        <w:rPr>
          <w:rFonts w:cs="Arial"/>
        </w:rPr>
      </w:pPr>
      <w:r w:rsidRPr="00120D2C">
        <w:rPr>
          <w:rFonts w:cs="Arial"/>
        </w:rPr>
        <w:t>The updated Appendices W and Z are effective on</w:t>
      </w:r>
      <w:r w:rsidR="001C32AF">
        <w:rPr>
          <w:rFonts w:cs="Arial"/>
        </w:rPr>
        <w:t xml:space="preserve"> November 21, 2024</w:t>
      </w:r>
      <w:r w:rsidRPr="00120D2C">
        <w:rPr>
          <w:rFonts w:cs="Arial"/>
        </w:rPr>
        <w:t>.</w:t>
      </w:r>
    </w:p>
    <w:p w14:paraId="34E30110" w14:textId="57C81594" w:rsidR="00F664ED" w:rsidRDefault="00F5435C" w:rsidP="00544889">
      <w:pPr>
        <w:widowControl w:val="0"/>
        <w:rPr>
          <w:rFonts w:cs="Arial"/>
        </w:rPr>
      </w:pPr>
      <w:bookmarkStart w:id="0" w:name="_Hlk179283704"/>
      <w:r>
        <w:rPr>
          <w:rFonts w:cs="Arial"/>
        </w:rPr>
        <w:t xml:space="preserve">Please note that </w:t>
      </w:r>
      <w:hyperlink r:id="rId18" w:history="1">
        <w:r w:rsidRPr="00F872FF">
          <w:rPr>
            <w:rStyle w:val="Hyperlink"/>
            <w:rFonts w:cs="Arial"/>
          </w:rPr>
          <w:t>All Provider Bulletin 348</w:t>
        </w:r>
      </w:hyperlink>
      <w:r>
        <w:rPr>
          <w:rFonts w:cs="Arial"/>
        </w:rPr>
        <w:t xml:space="preserve"> (effective January 1, 2023), related to maternal and caregiver depression screening limitations and cadence, is hereby superseded by the transmittal of the revised Appendix W and</w:t>
      </w:r>
      <w:r w:rsidR="005F75D4">
        <w:rPr>
          <w:rFonts w:cs="Arial"/>
        </w:rPr>
        <w:t xml:space="preserve"> Appendix</w:t>
      </w:r>
      <w:r>
        <w:rPr>
          <w:rFonts w:cs="Arial"/>
        </w:rPr>
        <w:t xml:space="preserve"> Z.</w:t>
      </w:r>
      <w:r w:rsidR="00B97E25">
        <w:rPr>
          <w:rFonts w:cs="Arial"/>
        </w:rPr>
        <w:t xml:space="preserve"> </w:t>
      </w:r>
      <w:r w:rsidR="00523888">
        <w:rPr>
          <w:rFonts w:cs="Arial"/>
        </w:rPr>
        <w:t>S</w:t>
      </w:r>
      <w:r w:rsidR="00D219A8" w:rsidRPr="00D219A8">
        <w:rPr>
          <w:rFonts w:cs="Arial"/>
        </w:rPr>
        <w:t>creening the child’s parent(s) or caregiver(s) for postpartum depression should</w:t>
      </w:r>
      <w:r w:rsidR="00041686">
        <w:rPr>
          <w:rFonts w:cs="Arial"/>
        </w:rPr>
        <w:t xml:space="preserve"> now</w:t>
      </w:r>
      <w:r w:rsidR="00D219A8" w:rsidRPr="00D219A8">
        <w:rPr>
          <w:rFonts w:cs="Arial"/>
        </w:rPr>
        <w:t xml:space="preserve"> occur at every</w:t>
      </w:r>
      <w:r w:rsidR="00BF2446">
        <w:rPr>
          <w:rFonts w:cs="Arial"/>
        </w:rPr>
        <w:t xml:space="preserve"> preventive</w:t>
      </w:r>
      <w:r w:rsidR="00D219A8" w:rsidRPr="00D219A8">
        <w:rPr>
          <w:rFonts w:cs="Arial"/>
        </w:rPr>
        <w:t xml:space="preserve"> pediatric visit </w:t>
      </w:r>
      <w:r w:rsidR="00565DC9">
        <w:rPr>
          <w:rFonts w:cs="Arial"/>
        </w:rPr>
        <w:t xml:space="preserve">from </w:t>
      </w:r>
      <w:r w:rsidR="00BF2446">
        <w:rPr>
          <w:rFonts w:cs="Arial"/>
        </w:rPr>
        <w:t>the one</w:t>
      </w:r>
      <w:r w:rsidR="00F6078B">
        <w:rPr>
          <w:rFonts w:cs="Arial"/>
        </w:rPr>
        <w:t xml:space="preserve"> </w:t>
      </w:r>
      <w:r w:rsidR="00BF2446">
        <w:rPr>
          <w:rFonts w:cs="Arial"/>
        </w:rPr>
        <w:t xml:space="preserve">month visit </w:t>
      </w:r>
      <w:r w:rsidR="00F6078B">
        <w:rPr>
          <w:rFonts w:cs="Arial"/>
        </w:rPr>
        <w:t>to the twelve month visit.</w:t>
      </w:r>
      <w:r w:rsidR="00D219A8" w:rsidRPr="00D219A8">
        <w:rPr>
          <w:rFonts w:cs="Arial"/>
        </w:rPr>
        <w:t xml:space="preserve"> </w:t>
      </w:r>
    </w:p>
    <w:p w14:paraId="77BD500D" w14:textId="77777777" w:rsidR="00F5435C" w:rsidRPr="00120D2C" w:rsidRDefault="00F5435C" w:rsidP="0099221A">
      <w:pPr>
        <w:pStyle w:val="Heading2"/>
      </w:pPr>
      <w:r w:rsidRPr="00120D2C">
        <w:t>The Medical and Dental Schedules</w:t>
      </w:r>
    </w:p>
    <w:p w14:paraId="34B4EA46" w14:textId="27529CD2" w:rsidR="00F5435C" w:rsidRDefault="00F5435C" w:rsidP="00F5435C">
      <w:r>
        <w:t xml:space="preserve">With this transmittal letter, MassHealth is highlighting changes to the Medical Schedule and the Dental Schedule in Appendix W. These revisions further align the Medical Schedule with the Bright Futures </w:t>
      </w:r>
      <w:r w:rsidRPr="009D120C">
        <w:rPr>
          <w:i/>
          <w:iCs/>
        </w:rPr>
        <w:t>Guidelines and Periodicity Schedule</w:t>
      </w:r>
      <w:r>
        <w:t xml:space="preserve">, and the Massachusetts Health Quality Partners </w:t>
      </w:r>
      <w:r w:rsidRPr="009D120C">
        <w:rPr>
          <w:i/>
          <w:iCs/>
        </w:rPr>
        <w:t>Pediatric Preventive Care Guidelines</w:t>
      </w:r>
      <w:r>
        <w:t xml:space="preserve">. </w:t>
      </w:r>
      <w:r w:rsidR="00CF48FA" w:rsidRPr="00CF48FA">
        <w:t>The changes also update guidance regarding postpartum depression screening to be consistent with Chapter 186 of the Acts of 2024 and update</w:t>
      </w:r>
      <w:r>
        <w:t xml:space="preserve"> the Dental Schedule to be consistent with the </w:t>
      </w:r>
      <w:r w:rsidRPr="001130C2">
        <w:t>Periodicity of</w:t>
      </w:r>
      <w:r>
        <w:t xml:space="preserve"> </w:t>
      </w:r>
      <w:r w:rsidRPr="001130C2">
        <w:t>Examination, Preventive Dental Services, Anticipatory Guidance/Counseling, and Oral Treatment for</w:t>
      </w:r>
      <w:r>
        <w:t xml:space="preserve"> </w:t>
      </w:r>
      <w:r w:rsidRPr="001130C2">
        <w:t xml:space="preserve">Infants, Children, and Adolescents </w:t>
      </w:r>
      <w:r>
        <w:t>from the American Academy of Pediatric Dentistry.</w:t>
      </w:r>
    </w:p>
    <w:bookmarkEnd w:id="0"/>
    <w:p w14:paraId="1B8C5A78" w14:textId="77777777" w:rsidR="00F5435C" w:rsidRPr="00120D2C" w:rsidRDefault="00F5435C" w:rsidP="0099221A">
      <w:pPr>
        <w:pStyle w:val="Heading2"/>
      </w:pPr>
      <w:r w:rsidRPr="00A06357">
        <w:t>EPSDT/PPHSD</w:t>
      </w:r>
      <w:r>
        <w:t xml:space="preserve"> Service Codes</w:t>
      </w:r>
    </w:p>
    <w:p w14:paraId="72777BAB" w14:textId="77777777" w:rsidR="00F5435C" w:rsidRDefault="00F5435C" w:rsidP="00544889">
      <w:r>
        <w:t xml:space="preserve">This letter transmits revisions to the list of </w:t>
      </w:r>
      <w:r w:rsidRPr="00D954CE">
        <w:t xml:space="preserve">Early and Periodic Screening, Diagnosis and Treatment (EPSDT) or Preventive Pediatric Health-care Screening and Diagnosis (PPHSD) </w:t>
      </w:r>
      <w:r>
        <w:t>service codes contained Appendix Z.</w:t>
      </w:r>
      <w:r w:rsidRPr="00D954CE">
        <w:t xml:space="preserve"> </w:t>
      </w:r>
    </w:p>
    <w:p w14:paraId="3C717159" w14:textId="77777777" w:rsidR="00544889" w:rsidRDefault="00544889" w:rsidP="00544889"/>
    <w:p w14:paraId="3A36FAF9" w14:textId="77777777" w:rsidR="005B1804" w:rsidRDefault="00F5435C" w:rsidP="00544889">
      <w:pPr>
        <w:sectPr w:rsidR="005B1804" w:rsidSect="00544889">
          <w:type w:val="continuous"/>
          <w:pgSz w:w="12240" w:h="15840" w:code="1"/>
          <w:pgMar w:top="576" w:right="1440" w:bottom="1440" w:left="1440" w:header="446" w:footer="490" w:gutter="0"/>
          <w:cols w:space="720"/>
          <w:titlePg/>
          <w:docGrid w:linePitch="299"/>
        </w:sectPr>
      </w:pPr>
      <w:r>
        <w:t xml:space="preserve">Effective for dates of service beginning January 1, 2023, providers must use the following codes and modifiers for developmental and behavioral health screening during </w:t>
      </w:r>
      <w:r w:rsidR="002B2D2A">
        <w:t>preventive pediatric</w:t>
      </w:r>
      <w:r>
        <w:t xml:space="preserve"> visits: </w:t>
      </w:r>
    </w:p>
    <w:p w14:paraId="3D60CA05" w14:textId="77777777" w:rsidR="00F5435C" w:rsidRDefault="00F5435C" w:rsidP="00F5435C">
      <w:pPr>
        <w:rPr>
          <w:u w:val="single"/>
        </w:rPr>
      </w:pPr>
      <w:r>
        <w:rPr>
          <w:u w:val="single"/>
        </w:rPr>
        <w:t>Add</w:t>
      </w:r>
    </w:p>
    <w:p w14:paraId="4532FC68" w14:textId="77777777" w:rsidR="00F5435C" w:rsidRDefault="00F5435C" w:rsidP="00F5435C">
      <w:r>
        <w:t>-U1</w:t>
      </w:r>
    </w:p>
    <w:p w14:paraId="5009EC69" w14:textId="77777777" w:rsidR="00F5435C" w:rsidRDefault="00F5435C" w:rsidP="00F5435C">
      <w:r>
        <w:t>-U2</w:t>
      </w:r>
    </w:p>
    <w:p w14:paraId="5E8A319A" w14:textId="05FF4114" w:rsidR="005B1804" w:rsidRDefault="005B1804" w:rsidP="00F5435C"/>
    <w:p w14:paraId="27BF4EB0" w14:textId="16807A8C" w:rsidR="00F5435C" w:rsidRDefault="00B67C59" w:rsidP="00F5435C">
      <w:r>
        <w:t>-</w:t>
      </w:r>
      <w:r w:rsidR="00F5435C">
        <w:t>U3</w:t>
      </w:r>
    </w:p>
    <w:p w14:paraId="713A87E8" w14:textId="77777777" w:rsidR="00F5435C" w:rsidRDefault="00F5435C" w:rsidP="00F5435C">
      <w:r>
        <w:t>-U4</w:t>
      </w:r>
    </w:p>
    <w:p w14:paraId="0F91338B" w14:textId="77777777" w:rsidR="005B1804" w:rsidRDefault="005B1804" w:rsidP="00F5435C"/>
    <w:p w14:paraId="6D7CC48B" w14:textId="155240EB" w:rsidR="00F5435C" w:rsidRDefault="00F5435C" w:rsidP="00F5435C">
      <w:r>
        <w:t>-UD</w:t>
      </w:r>
    </w:p>
    <w:p w14:paraId="1B7D668F" w14:textId="0A55B8D8" w:rsidR="005B1804" w:rsidRDefault="00F5435C" w:rsidP="00F5435C">
      <w:r>
        <w:t>96127</w:t>
      </w:r>
    </w:p>
    <w:p w14:paraId="32B276B7" w14:textId="77777777" w:rsidR="005B1804" w:rsidRDefault="005B1804" w:rsidP="00F5435C">
      <w:pPr>
        <w:sectPr w:rsidR="005B1804" w:rsidSect="0099221A">
          <w:type w:val="continuous"/>
          <w:pgSz w:w="12240" w:h="15840" w:code="1"/>
          <w:pgMar w:top="576" w:right="1440" w:bottom="1440" w:left="1440" w:header="446" w:footer="490" w:gutter="0"/>
          <w:cols w:num="3" w:space="720"/>
          <w:titlePg/>
          <w:docGrid w:linePitch="299"/>
        </w:sectPr>
      </w:pPr>
    </w:p>
    <w:p w14:paraId="668CECAC" w14:textId="77777777" w:rsidR="00F5435C" w:rsidRDefault="00F5435C" w:rsidP="00F5435C"/>
    <w:p w14:paraId="5BADB52E" w14:textId="77777777" w:rsidR="00F5435C" w:rsidRDefault="00F5435C" w:rsidP="00F5435C">
      <w:pPr>
        <w:rPr>
          <w:u w:val="single"/>
        </w:rPr>
      </w:pPr>
      <w:r>
        <w:rPr>
          <w:u w:val="single"/>
        </w:rPr>
        <w:t>Modify</w:t>
      </w:r>
    </w:p>
    <w:p w14:paraId="320C7D27" w14:textId="77777777" w:rsidR="00F5435C" w:rsidRDefault="00F5435C" w:rsidP="00F5435C">
      <w:r>
        <w:t>96110</w:t>
      </w:r>
    </w:p>
    <w:p w14:paraId="249BF8BC" w14:textId="77777777" w:rsidR="004A6519" w:rsidRDefault="004A6519" w:rsidP="004A6519">
      <w:pPr>
        <w:ind w:left="6480"/>
      </w:pPr>
      <w:r>
        <w:lastRenderedPageBreak/>
        <w:t>MassHealth</w:t>
      </w:r>
    </w:p>
    <w:p w14:paraId="0EA1FF7E" w14:textId="77777777" w:rsidR="004A6519" w:rsidRDefault="004A6519" w:rsidP="004A6519">
      <w:pPr>
        <w:ind w:left="6480"/>
      </w:pPr>
      <w:r>
        <w:t>TL ALL-249</w:t>
      </w:r>
    </w:p>
    <w:p w14:paraId="77D34B47" w14:textId="77777777" w:rsidR="004A6519" w:rsidRDefault="004A6519" w:rsidP="004A6519">
      <w:pPr>
        <w:ind w:left="6480"/>
      </w:pPr>
      <w:r>
        <w:t>November 2024</w:t>
      </w:r>
    </w:p>
    <w:p w14:paraId="777D3E64" w14:textId="77777777" w:rsidR="00D614B5" w:rsidRDefault="00D614B5" w:rsidP="00544889">
      <w:pPr>
        <w:pStyle w:val="Heading2"/>
      </w:pPr>
    </w:p>
    <w:p w14:paraId="7767B119" w14:textId="3AFC2DFE" w:rsidR="004A612B" w:rsidRPr="002318A1" w:rsidRDefault="004A612B" w:rsidP="00544889">
      <w:pPr>
        <w:pStyle w:val="Heading2"/>
      </w:pPr>
      <w:r w:rsidRPr="002318A1">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9"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20" w:history="1">
        <w:r w:rsidRPr="00D64FF9">
          <w:rPr>
            <w:rStyle w:val="Hyperlink"/>
            <w:rFonts w:cs="Arial"/>
          </w:rPr>
          <w:t>Sign up</w:t>
        </w:r>
      </w:hyperlink>
      <w:r w:rsidRPr="00D64FF9">
        <w:rPr>
          <w:rFonts w:cs="Arial"/>
        </w:rPr>
        <w:t xml:space="preserve"> to receive email alerts when MassHealth issues new transmittal letters and provider bulletins.</w:t>
      </w:r>
    </w:p>
    <w:p w14:paraId="46D0D8E4" w14:textId="6A0A5E76" w:rsidR="004A612B" w:rsidRPr="00D64FF9" w:rsidRDefault="004A612B" w:rsidP="00544889">
      <w:pPr>
        <w:pStyle w:val="Heading2"/>
      </w:pPr>
      <w:r w:rsidRPr="00D64FF9">
        <w:t>Questions</w:t>
      </w:r>
      <w:r w:rsidR="00E26675">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21"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4889">
      <w:pPr>
        <w:pStyle w:val="Heading2"/>
      </w:pPr>
      <w:r w:rsidRPr="00D64FF9">
        <w:t>N</w:t>
      </w:r>
      <w:r>
        <w:t>ew</w:t>
      </w:r>
      <w:r w:rsidRPr="00D64FF9">
        <w:t xml:space="preserve"> M</w:t>
      </w:r>
      <w:r>
        <w:t>aterial</w:t>
      </w:r>
    </w:p>
    <w:p w14:paraId="394ABF28" w14:textId="77777777" w:rsidR="004A612B" w:rsidRPr="00D64FF9" w:rsidRDefault="004A612B" w:rsidP="004A612B">
      <w:r w:rsidRPr="00D64FF9">
        <w:t>The pages listed here contain new or revised language.</w:t>
      </w:r>
    </w:p>
    <w:p w14:paraId="3E29B3C9" w14:textId="77777777" w:rsidR="00F5435C" w:rsidRPr="00120D2C" w:rsidRDefault="00F5435C" w:rsidP="00544889">
      <w:pPr>
        <w:pStyle w:val="Heading3"/>
      </w:pPr>
      <w:r w:rsidRPr="00120D2C">
        <w:t>All Provider Manuals</w:t>
      </w:r>
    </w:p>
    <w:p w14:paraId="60E2F2E5" w14:textId="344DDDBD" w:rsidR="00F5435C" w:rsidRPr="00120D2C" w:rsidRDefault="00F5435C" w:rsidP="00F5435C">
      <w:pPr>
        <w:widowControl w:val="0"/>
        <w:tabs>
          <w:tab w:val="left" w:pos="360"/>
          <w:tab w:val="left" w:pos="720"/>
          <w:tab w:val="left" w:pos="1080"/>
        </w:tabs>
        <w:spacing w:after="120"/>
        <w:ind w:left="720"/>
        <w:rPr>
          <w:rFonts w:cs="Arial"/>
        </w:rPr>
      </w:pPr>
      <w:r w:rsidRPr="00120D2C">
        <w:rPr>
          <w:rFonts w:cs="Arial"/>
        </w:rPr>
        <w:t>Pages W-</w:t>
      </w:r>
      <w:proofErr w:type="spellStart"/>
      <w:r w:rsidR="0070553B">
        <w:rPr>
          <w:rFonts w:cs="Arial"/>
        </w:rPr>
        <w:t>i</w:t>
      </w:r>
      <w:proofErr w:type="spellEnd"/>
      <w:r w:rsidRPr="00120D2C">
        <w:rPr>
          <w:rFonts w:cs="Arial"/>
        </w:rPr>
        <w:t xml:space="preserve"> through W-1</w:t>
      </w:r>
      <w:r w:rsidR="0070553B">
        <w:rPr>
          <w:rFonts w:cs="Arial"/>
        </w:rPr>
        <w:t>3</w:t>
      </w:r>
    </w:p>
    <w:p w14:paraId="7D8D22F7" w14:textId="7A1EB53F" w:rsidR="00F5435C" w:rsidRPr="00120D2C" w:rsidRDefault="00F5435C" w:rsidP="00F5435C">
      <w:pPr>
        <w:widowControl w:val="0"/>
        <w:tabs>
          <w:tab w:val="left" w:pos="360"/>
          <w:tab w:val="left" w:pos="720"/>
          <w:tab w:val="left" w:pos="1080"/>
        </w:tabs>
        <w:ind w:left="720"/>
        <w:rPr>
          <w:rFonts w:cs="Arial"/>
        </w:rPr>
      </w:pPr>
      <w:r w:rsidRPr="00120D2C">
        <w:rPr>
          <w:rFonts w:cs="Arial"/>
        </w:rPr>
        <w:t xml:space="preserve">Pages Z-1 through </w:t>
      </w:r>
      <w:r>
        <w:rPr>
          <w:rFonts w:cs="Arial"/>
        </w:rPr>
        <w:t>Z-</w:t>
      </w:r>
      <w:r w:rsidR="005F7DD5">
        <w:rPr>
          <w:rFonts w:cs="Arial"/>
        </w:rPr>
        <w:t>4</w:t>
      </w:r>
    </w:p>
    <w:p w14:paraId="51F12021" w14:textId="77777777" w:rsidR="004A612B" w:rsidRPr="00D64FF9" w:rsidRDefault="004A612B" w:rsidP="00544889">
      <w:pPr>
        <w:pStyle w:val="Heading2"/>
      </w:pPr>
      <w:r w:rsidRPr="00D64FF9">
        <w:t>O</w:t>
      </w:r>
      <w:r>
        <w:t xml:space="preserve">bsolete </w:t>
      </w:r>
      <w:r w:rsidRPr="00D64FF9">
        <w:t>M</w:t>
      </w:r>
      <w:r>
        <w:t>aterial</w:t>
      </w:r>
    </w:p>
    <w:p w14:paraId="2A6A6622" w14:textId="77777777" w:rsidR="004A612B" w:rsidRPr="00D64FF9" w:rsidRDefault="004A612B" w:rsidP="004A612B">
      <w:r w:rsidRPr="00D64FF9">
        <w:t>The pages listed here are no longer in effect.</w:t>
      </w:r>
    </w:p>
    <w:p w14:paraId="67014A14" w14:textId="77777777" w:rsidR="00F5435C" w:rsidRPr="00120D2C" w:rsidRDefault="00F5435C" w:rsidP="00544889">
      <w:pPr>
        <w:pStyle w:val="Heading3"/>
      </w:pPr>
      <w:r w:rsidRPr="00120D2C">
        <w:t>All Provider Manuals</w:t>
      </w:r>
    </w:p>
    <w:p w14:paraId="3783C9F1" w14:textId="7D156F82" w:rsidR="00F5435C" w:rsidRPr="00120D2C" w:rsidRDefault="00F5435C" w:rsidP="00F5435C">
      <w:pPr>
        <w:widowControl w:val="0"/>
        <w:tabs>
          <w:tab w:val="left" w:pos="360"/>
          <w:tab w:val="left" w:pos="720"/>
          <w:tab w:val="left" w:pos="1080"/>
        </w:tabs>
        <w:spacing w:after="120"/>
        <w:ind w:left="720"/>
        <w:rPr>
          <w:rFonts w:cs="Arial"/>
        </w:rPr>
      </w:pPr>
      <w:r w:rsidRPr="00120D2C">
        <w:rPr>
          <w:rFonts w:cs="Arial"/>
        </w:rPr>
        <w:t xml:space="preserve">Pages W-1 through W-11 — transmitted by Transmittal Letter </w:t>
      </w:r>
      <w:r>
        <w:rPr>
          <w:rFonts w:cs="Arial"/>
        </w:rPr>
        <w:t>ALL-</w:t>
      </w:r>
      <w:r w:rsidRPr="00120D2C">
        <w:rPr>
          <w:rFonts w:cs="Arial"/>
        </w:rPr>
        <w:t>2</w:t>
      </w:r>
      <w:r>
        <w:rPr>
          <w:rFonts w:cs="Arial"/>
        </w:rPr>
        <w:t>3</w:t>
      </w:r>
      <w:r w:rsidRPr="00120D2C">
        <w:rPr>
          <w:rFonts w:cs="Arial"/>
        </w:rPr>
        <w:t>3</w:t>
      </w:r>
    </w:p>
    <w:p w14:paraId="55E6F2DF" w14:textId="10D0F298" w:rsidR="00F5435C" w:rsidRPr="00120D2C" w:rsidRDefault="00F5435C" w:rsidP="00F5435C">
      <w:pPr>
        <w:widowControl w:val="0"/>
        <w:tabs>
          <w:tab w:val="left" w:pos="360"/>
          <w:tab w:val="left" w:pos="720"/>
          <w:tab w:val="left" w:pos="1080"/>
        </w:tabs>
        <w:ind w:left="720"/>
        <w:rPr>
          <w:rFonts w:cs="Arial"/>
        </w:rPr>
      </w:pPr>
      <w:r w:rsidRPr="00120D2C">
        <w:rPr>
          <w:rFonts w:cs="Arial"/>
        </w:rPr>
        <w:t xml:space="preserve">Pages </w:t>
      </w:r>
      <w:r>
        <w:rPr>
          <w:rFonts w:cs="Arial"/>
        </w:rPr>
        <w:t>Z-1 through Z-2</w:t>
      </w:r>
      <w:r w:rsidRPr="00120D2C">
        <w:rPr>
          <w:rFonts w:cs="Arial"/>
        </w:rPr>
        <w:t xml:space="preserve"> — transmitted by Transmittal Letter </w:t>
      </w:r>
      <w:r>
        <w:rPr>
          <w:rFonts w:cs="Arial"/>
        </w:rPr>
        <w:t>ALL-207</w:t>
      </w:r>
    </w:p>
    <w:p w14:paraId="0C8AA2E0" w14:textId="77777777" w:rsidR="00E26675" w:rsidRPr="003E7C6D" w:rsidRDefault="00E26675" w:rsidP="003E7C6D"/>
    <w:p w14:paraId="2BC89694" w14:textId="1C52964A" w:rsidR="00E26675" w:rsidRDefault="00E26675" w:rsidP="0099221A">
      <w:pPr>
        <w:spacing w:before="1800"/>
        <w:rPr>
          <w:rStyle w:val="Hyperlink"/>
          <w:position w:val="10"/>
          <w:sz w:val="20"/>
          <w:szCs w:val="20"/>
        </w:r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4">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5"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sidRPr="00152EC6">
          <w:rPr>
            <w:rStyle w:val="Hyperlink"/>
            <w:position w:val="10"/>
            <w:sz w:val="20"/>
            <w:szCs w:val="20"/>
          </w:rPr>
          <w:t>MassHealth on YouTube</w:t>
        </w:r>
      </w:hyperlink>
    </w:p>
    <w:p w14:paraId="4398C293" w14:textId="6C16A98F" w:rsidR="004424A2" w:rsidRDefault="004424A2" w:rsidP="00815A53">
      <w:pPr>
        <w:pStyle w:val="BodyText"/>
      </w:pPr>
    </w:p>
    <w:p w14:paraId="64168883" w14:textId="77777777" w:rsidR="00E65281" w:rsidRDefault="00E65281" w:rsidP="00815A53">
      <w:pPr>
        <w:pStyle w:val="BodyText"/>
      </w:pPr>
    </w:p>
    <w:p w14:paraId="7C9D3295" w14:textId="77777777" w:rsidR="00E65281" w:rsidRDefault="00E65281" w:rsidP="00815A53">
      <w:pPr>
        <w:pStyle w:val="BodyText"/>
      </w:pPr>
    </w:p>
    <w:p w14:paraId="6561DB38" w14:textId="77777777" w:rsidR="00E65281" w:rsidRDefault="00E65281" w:rsidP="00815A53">
      <w:pPr>
        <w:pStyle w:val="BodyText"/>
      </w:pPr>
    </w:p>
    <w:p w14:paraId="57216EA2" w14:textId="77777777" w:rsidR="00E65281" w:rsidRDefault="00E65281" w:rsidP="00815A53">
      <w:pPr>
        <w:pStyle w:val="BodyText"/>
      </w:pPr>
    </w:p>
    <w:p w14:paraId="2452108B" w14:textId="77777777" w:rsidR="00E65281" w:rsidRDefault="00E65281" w:rsidP="00815A53">
      <w:pPr>
        <w:pStyle w:val="BodyText"/>
      </w:pPr>
    </w:p>
    <w:p w14:paraId="7D661D92" w14:textId="77777777" w:rsidR="00E65281" w:rsidRDefault="00E65281" w:rsidP="00815A53">
      <w:pPr>
        <w:pStyle w:val="BodyText"/>
      </w:pPr>
    </w:p>
    <w:p w14:paraId="1E7BACC2" w14:textId="77777777" w:rsidR="00E65281" w:rsidRDefault="00E65281" w:rsidP="00815A53">
      <w:pPr>
        <w:pStyle w:val="BodyText"/>
      </w:pPr>
    </w:p>
    <w:p w14:paraId="11A06A41" w14:textId="3431E363" w:rsidR="00D614B5" w:rsidRDefault="00D614B5">
      <w:r>
        <w:br w:type="page"/>
      </w:r>
    </w:p>
    <w:tbl>
      <w:tblPr>
        <w:tblW w:w="9601" w:type="dxa"/>
        <w:tblInd w:w="92" w:type="dxa"/>
        <w:tblLayout w:type="fixed"/>
        <w:tblCellMar>
          <w:left w:w="0" w:type="dxa"/>
          <w:right w:w="0" w:type="dxa"/>
        </w:tblCellMar>
        <w:tblLook w:val="01E0" w:firstRow="1" w:lastRow="1" w:firstColumn="1" w:lastColumn="1" w:noHBand="0" w:noVBand="0"/>
      </w:tblPr>
      <w:tblGrid>
        <w:gridCol w:w="4080"/>
        <w:gridCol w:w="3750"/>
        <w:gridCol w:w="1771"/>
      </w:tblGrid>
      <w:tr w:rsidR="00D614B5" w:rsidRPr="00AE57EC" w14:paraId="742D8730" w14:textId="77777777" w:rsidTr="00B938CD">
        <w:trPr>
          <w:trHeight w:hRule="exact" w:val="1095"/>
        </w:trPr>
        <w:tc>
          <w:tcPr>
            <w:tcW w:w="4080" w:type="dxa"/>
            <w:vMerge w:val="restart"/>
            <w:tcBorders>
              <w:top w:val="single" w:sz="6" w:space="0" w:color="000000"/>
              <w:left w:val="single" w:sz="6" w:space="0" w:color="000000"/>
              <w:right w:val="single" w:sz="6" w:space="0" w:color="000000"/>
            </w:tcBorders>
          </w:tcPr>
          <w:p w14:paraId="3C192877" w14:textId="77777777" w:rsidR="00D614B5" w:rsidRPr="00AE57EC" w:rsidRDefault="00D614B5" w:rsidP="00B938CD">
            <w:pPr>
              <w:spacing w:before="9" w:line="110" w:lineRule="exact"/>
              <w:ind w:right="360"/>
              <w:rPr>
                <w:sz w:val="11"/>
                <w:szCs w:val="11"/>
              </w:rPr>
            </w:pPr>
          </w:p>
          <w:p w14:paraId="2C32411D" w14:textId="77777777" w:rsidR="00D614B5" w:rsidRDefault="00D614B5" w:rsidP="00B938CD">
            <w:pPr>
              <w:ind w:left="379" w:right="363"/>
              <w:jc w:val="center"/>
              <w:rPr>
                <w:rFonts w:ascii="Arial" w:hAnsi="Arial" w:cs="Arial"/>
                <w:sz w:val="20"/>
                <w:szCs w:val="20"/>
              </w:rPr>
            </w:pPr>
            <w:r>
              <w:rPr>
                <w:rFonts w:ascii="Arial" w:hAnsi="Arial" w:cs="Arial"/>
                <w:b/>
                <w:bCs/>
                <w:sz w:val="20"/>
                <w:szCs w:val="20"/>
              </w:rPr>
              <w:t>Commo</w:t>
            </w:r>
            <w:r>
              <w:rPr>
                <w:rFonts w:ascii="Arial" w:hAnsi="Arial" w:cs="Arial"/>
                <w:b/>
                <w:bCs/>
                <w:spacing w:val="-4"/>
                <w:sz w:val="20"/>
                <w:szCs w:val="20"/>
              </w:rPr>
              <w:t>n</w:t>
            </w:r>
            <w:r>
              <w:rPr>
                <w:rFonts w:ascii="Arial" w:hAnsi="Arial" w:cs="Arial"/>
                <w:b/>
                <w:bCs/>
                <w:spacing w:val="10"/>
                <w:sz w:val="20"/>
                <w:szCs w:val="20"/>
              </w:rPr>
              <w:t>w</w:t>
            </w:r>
            <w:r>
              <w:rPr>
                <w:rFonts w:ascii="Arial" w:hAnsi="Arial" w:cs="Arial"/>
                <w:b/>
                <w:bCs/>
                <w:spacing w:val="-2"/>
                <w:sz w:val="20"/>
                <w:szCs w:val="20"/>
              </w:rPr>
              <w:t>e</w:t>
            </w:r>
            <w:r>
              <w:rPr>
                <w:rFonts w:ascii="Arial" w:hAnsi="Arial" w:cs="Arial"/>
                <w:b/>
                <w:bCs/>
                <w:sz w:val="20"/>
                <w:szCs w:val="20"/>
              </w:rPr>
              <w:t>alth</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spacing w:val="-2"/>
                <w:sz w:val="20"/>
                <w:szCs w:val="20"/>
              </w:rPr>
              <w:t xml:space="preserve"> </w:t>
            </w:r>
            <w:r>
              <w:rPr>
                <w:rFonts w:ascii="Arial" w:hAnsi="Arial" w:cs="Arial"/>
                <w:b/>
                <w:bCs/>
                <w:sz w:val="20"/>
                <w:szCs w:val="20"/>
              </w:rPr>
              <w:t>Ma</w:t>
            </w:r>
            <w:r>
              <w:rPr>
                <w:rFonts w:ascii="Arial" w:hAnsi="Arial" w:cs="Arial"/>
                <w:b/>
                <w:bCs/>
                <w:spacing w:val="-1"/>
                <w:sz w:val="20"/>
                <w:szCs w:val="20"/>
              </w:rPr>
              <w:t>ss</w:t>
            </w:r>
            <w:r>
              <w:rPr>
                <w:rFonts w:ascii="Arial" w:hAnsi="Arial" w:cs="Arial"/>
                <w:b/>
                <w:bCs/>
                <w:sz w:val="20"/>
                <w:szCs w:val="20"/>
              </w:rPr>
              <w:t>achu</w:t>
            </w:r>
            <w:r>
              <w:rPr>
                <w:rFonts w:ascii="Arial" w:hAnsi="Arial" w:cs="Arial"/>
                <w:b/>
                <w:bCs/>
                <w:spacing w:val="-1"/>
                <w:sz w:val="20"/>
                <w:szCs w:val="20"/>
              </w:rPr>
              <w:t>s</w:t>
            </w:r>
            <w:r>
              <w:rPr>
                <w:rFonts w:ascii="Arial" w:hAnsi="Arial" w:cs="Arial"/>
                <w:b/>
                <w:bCs/>
                <w:sz w:val="20"/>
                <w:szCs w:val="20"/>
              </w:rPr>
              <w:t>etts</w:t>
            </w:r>
          </w:p>
          <w:p w14:paraId="1EF8ADE2" w14:textId="77777777" w:rsidR="00D614B5" w:rsidRDefault="00D614B5" w:rsidP="00B938CD">
            <w:pPr>
              <w:spacing w:before="4"/>
              <w:ind w:left="1438" w:right="1419"/>
              <w:jc w:val="center"/>
              <w:rPr>
                <w:rFonts w:ascii="Arial" w:hAnsi="Arial" w:cs="Arial"/>
                <w:sz w:val="20"/>
                <w:szCs w:val="20"/>
              </w:rPr>
            </w:pPr>
            <w:r>
              <w:rPr>
                <w:rFonts w:ascii="Arial" w:hAnsi="Arial" w:cs="Arial"/>
                <w:b/>
                <w:bCs/>
                <w:sz w:val="20"/>
                <w:szCs w:val="20"/>
              </w:rPr>
              <w:t>Mas</w:t>
            </w:r>
            <w:r>
              <w:rPr>
                <w:rFonts w:ascii="Arial" w:hAnsi="Arial" w:cs="Arial"/>
                <w:b/>
                <w:bCs/>
                <w:spacing w:val="-1"/>
                <w:sz w:val="20"/>
                <w:szCs w:val="20"/>
              </w:rPr>
              <w:t>s</w:t>
            </w:r>
            <w:r>
              <w:rPr>
                <w:rFonts w:ascii="Arial" w:hAnsi="Arial" w:cs="Arial"/>
                <w:b/>
                <w:bCs/>
                <w:sz w:val="20"/>
                <w:szCs w:val="20"/>
              </w:rPr>
              <w:t>Hea</w:t>
            </w:r>
            <w:r>
              <w:rPr>
                <w:rFonts w:ascii="Arial" w:hAnsi="Arial" w:cs="Arial"/>
                <w:b/>
                <w:bCs/>
                <w:spacing w:val="-2"/>
                <w:sz w:val="20"/>
                <w:szCs w:val="20"/>
              </w:rPr>
              <w:t>l</w:t>
            </w:r>
            <w:r>
              <w:rPr>
                <w:rFonts w:ascii="Arial" w:hAnsi="Arial" w:cs="Arial"/>
                <w:b/>
                <w:bCs/>
                <w:sz w:val="20"/>
                <w:szCs w:val="20"/>
              </w:rPr>
              <w:t>th</w:t>
            </w:r>
          </w:p>
          <w:p w14:paraId="4533815B" w14:textId="77777777" w:rsidR="00D614B5" w:rsidRDefault="00D614B5" w:rsidP="00B938CD">
            <w:pPr>
              <w:spacing w:before="4"/>
              <w:ind w:left="900" w:right="886"/>
              <w:jc w:val="center"/>
              <w:rPr>
                <w:rFonts w:ascii="Arial" w:hAnsi="Arial" w:cs="Arial"/>
                <w:sz w:val="20"/>
                <w:szCs w:val="20"/>
              </w:rPr>
            </w:pPr>
            <w:r>
              <w:rPr>
                <w:rFonts w:ascii="Arial" w:hAnsi="Arial" w:cs="Arial"/>
                <w:b/>
                <w:bCs/>
                <w:spacing w:val="-1"/>
                <w:sz w:val="20"/>
                <w:szCs w:val="20"/>
              </w:rPr>
              <w:t>Pr</w:t>
            </w:r>
            <w:r>
              <w:rPr>
                <w:rFonts w:ascii="Arial" w:hAnsi="Arial" w:cs="Arial"/>
                <w:b/>
                <w:bCs/>
                <w:sz w:val="20"/>
                <w:szCs w:val="20"/>
              </w:rPr>
              <w:t>o</w:t>
            </w:r>
            <w:r>
              <w:rPr>
                <w:rFonts w:ascii="Arial" w:hAnsi="Arial" w:cs="Arial"/>
                <w:b/>
                <w:bCs/>
                <w:spacing w:val="-5"/>
                <w:sz w:val="20"/>
                <w:szCs w:val="20"/>
              </w:rPr>
              <w:t>v</w:t>
            </w:r>
            <w:r>
              <w:rPr>
                <w:rFonts w:ascii="Arial" w:hAnsi="Arial" w:cs="Arial"/>
                <w:b/>
                <w:bCs/>
                <w:spacing w:val="-1"/>
                <w:sz w:val="20"/>
                <w:szCs w:val="20"/>
              </w:rPr>
              <w:t>ide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M</w:t>
            </w:r>
            <w:r>
              <w:rPr>
                <w:rFonts w:ascii="Arial" w:hAnsi="Arial" w:cs="Arial"/>
                <w:b/>
                <w:bCs/>
                <w:sz w:val="20"/>
                <w:szCs w:val="20"/>
              </w:rPr>
              <w:t>a</w:t>
            </w:r>
            <w:r>
              <w:rPr>
                <w:rFonts w:ascii="Arial" w:hAnsi="Arial" w:cs="Arial"/>
                <w:b/>
                <w:bCs/>
                <w:spacing w:val="-1"/>
                <w:sz w:val="20"/>
                <w:szCs w:val="20"/>
              </w:rPr>
              <w:t>nua</w:t>
            </w:r>
            <w:r>
              <w:rPr>
                <w:rFonts w:ascii="Arial" w:hAnsi="Arial" w:cs="Arial"/>
                <w:b/>
                <w:bCs/>
                <w:sz w:val="20"/>
                <w:szCs w:val="20"/>
              </w:rPr>
              <w:t>l</w:t>
            </w:r>
            <w:r>
              <w:rPr>
                <w:rFonts w:ascii="Arial" w:hAnsi="Arial" w:cs="Arial"/>
                <w:b/>
                <w:bCs/>
                <w:spacing w:val="-3"/>
                <w:sz w:val="20"/>
                <w:szCs w:val="20"/>
              </w:rPr>
              <w:t xml:space="preserve"> </w:t>
            </w:r>
            <w:r>
              <w:rPr>
                <w:rFonts w:ascii="Arial" w:hAnsi="Arial" w:cs="Arial"/>
                <w:b/>
                <w:bCs/>
                <w:spacing w:val="-1"/>
                <w:sz w:val="20"/>
                <w:szCs w:val="20"/>
              </w:rPr>
              <w:t>Series</w:t>
            </w:r>
          </w:p>
          <w:p w14:paraId="63F65A1F" w14:textId="77777777" w:rsidR="00D614B5" w:rsidRPr="00AE57EC" w:rsidRDefault="00D614B5" w:rsidP="00B938CD">
            <w:pPr>
              <w:spacing w:line="200" w:lineRule="exact"/>
              <w:rPr>
                <w:sz w:val="20"/>
                <w:szCs w:val="20"/>
              </w:rPr>
            </w:pPr>
          </w:p>
          <w:p w14:paraId="7CEC3DD6" w14:textId="77777777" w:rsidR="00D614B5" w:rsidRDefault="00D614B5" w:rsidP="00B938CD">
            <w:pPr>
              <w:ind w:left="1080" w:right="1061"/>
              <w:jc w:val="center"/>
              <w:rPr>
                <w:rFonts w:ascii="Arial" w:hAnsi="Arial" w:cs="Arial"/>
                <w:sz w:val="20"/>
                <w:szCs w:val="20"/>
              </w:rPr>
            </w:pPr>
          </w:p>
          <w:p w14:paraId="0E0D2E23" w14:textId="77777777" w:rsidR="00D614B5" w:rsidRDefault="00D614B5" w:rsidP="00B938CD">
            <w:pPr>
              <w:ind w:left="1080" w:right="1061"/>
              <w:jc w:val="center"/>
              <w:rPr>
                <w:rFonts w:ascii="Arial" w:hAnsi="Arial" w:cs="Arial"/>
                <w:sz w:val="20"/>
                <w:szCs w:val="20"/>
              </w:rPr>
            </w:pPr>
            <w:r>
              <w:rPr>
                <w:rFonts w:ascii="Arial" w:hAnsi="Arial" w:cs="Arial"/>
                <w:sz w:val="20"/>
                <w:szCs w:val="20"/>
              </w:rPr>
              <w:t>All</w:t>
            </w:r>
            <w:r>
              <w:rPr>
                <w:rFonts w:ascii="Arial" w:hAnsi="Arial" w:cs="Arial"/>
                <w:spacing w:val="-2"/>
                <w:sz w:val="20"/>
                <w:szCs w:val="20"/>
              </w:rPr>
              <w:t xml:space="preserve"> </w:t>
            </w:r>
            <w:r>
              <w:rPr>
                <w:rFonts w:ascii="Arial" w:hAnsi="Arial" w:cs="Arial"/>
                <w:sz w:val="20"/>
                <w:szCs w:val="20"/>
              </w:rPr>
              <w:t>Provider</w:t>
            </w:r>
            <w:r>
              <w:rPr>
                <w:rFonts w:ascii="Arial" w:hAnsi="Arial" w:cs="Arial"/>
                <w:spacing w:val="-2"/>
                <w:sz w:val="20"/>
                <w:szCs w:val="20"/>
              </w:rPr>
              <w:t xml:space="preserve"> </w:t>
            </w:r>
            <w:r>
              <w:rPr>
                <w:rFonts w:ascii="Arial" w:hAnsi="Arial" w:cs="Arial"/>
                <w:sz w:val="20"/>
                <w:szCs w:val="20"/>
              </w:rPr>
              <w:t>Manua</w:t>
            </w:r>
            <w:r>
              <w:rPr>
                <w:rFonts w:ascii="Arial" w:hAnsi="Arial" w:cs="Arial"/>
                <w:spacing w:val="-1"/>
                <w:sz w:val="20"/>
                <w:szCs w:val="20"/>
              </w:rPr>
              <w:t>l</w:t>
            </w:r>
            <w:r>
              <w:rPr>
                <w:rFonts w:ascii="Arial" w:hAnsi="Arial" w:cs="Arial"/>
                <w:sz w:val="20"/>
                <w:szCs w:val="20"/>
              </w:rPr>
              <w:t>s</w:t>
            </w:r>
          </w:p>
        </w:tc>
        <w:tc>
          <w:tcPr>
            <w:tcW w:w="3750" w:type="dxa"/>
            <w:tcBorders>
              <w:top w:val="single" w:sz="6" w:space="0" w:color="000000"/>
              <w:left w:val="single" w:sz="6" w:space="0" w:color="000000"/>
              <w:bottom w:val="single" w:sz="6" w:space="0" w:color="000000"/>
              <w:right w:val="single" w:sz="6" w:space="0" w:color="000000"/>
            </w:tcBorders>
          </w:tcPr>
          <w:p w14:paraId="2AAF9DB4" w14:textId="77777777" w:rsidR="00D614B5" w:rsidRPr="00AE57EC" w:rsidRDefault="00D614B5" w:rsidP="00B938CD">
            <w:pPr>
              <w:spacing w:line="120" w:lineRule="exact"/>
              <w:rPr>
                <w:sz w:val="12"/>
                <w:szCs w:val="12"/>
              </w:rPr>
            </w:pPr>
          </w:p>
          <w:p w14:paraId="2E41C394" w14:textId="77777777" w:rsidR="00D614B5" w:rsidRDefault="00D614B5" w:rsidP="00B938CD">
            <w:pPr>
              <w:spacing w:line="237" w:lineRule="auto"/>
              <w:ind w:left="188" w:right="170" w:hanging="2"/>
              <w:jc w:val="center"/>
              <w:rPr>
                <w:rFonts w:ascii="Arial" w:hAnsi="Arial" w:cs="Arial"/>
                <w:sz w:val="19"/>
                <w:szCs w:val="19"/>
              </w:rPr>
            </w:pPr>
            <w:r>
              <w:rPr>
                <w:rFonts w:ascii="Arial" w:hAnsi="Arial" w:cs="Arial"/>
                <w:b/>
                <w:bCs/>
                <w:spacing w:val="-1"/>
                <w:sz w:val="20"/>
                <w:szCs w:val="20"/>
              </w:rPr>
              <w:t>Subchapte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Numbe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an</w:t>
            </w:r>
            <w:r>
              <w:rPr>
                <w:rFonts w:ascii="Arial" w:hAnsi="Arial" w:cs="Arial"/>
                <w:b/>
                <w:bCs/>
                <w:sz w:val="20"/>
                <w:szCs w:val="20"/>
              </w:rPr>
              <w:t>d</w:t>
            </w:r>
            <w:r>
              <w:rPr>
                <w:rFonts w:ascii="Arial" w:hAnsi="Arial" w:cs="Arial"/>
                <w:b/>
                <w:bCs/>
                <w:spacing w:val="-2"/>
                <w:sz w:val="20"/>
                <w:szCs w:val="20"/>
              </w:rPr>
              <w:t xml:space="preserve"> </w:t>
            </w:r>
            <w:r>
              <w:rPr>
                <w:rFonts w:ascii="Arial" w:hAnsi="Arial" w:cs="Arial"/>
                <w:b/>
                <w:bCs/>
                <w:spacing w:val="-1"/>
                <w:sz w:val="20"/>
                <w:szCs w:val="20"/>
              </w:rPr>
              <w:t xml:space="preserve">Title </w:t>
            </w:r>
            <w:r w:rsidRPr="006257D3">
              <w:rPr>
                <w:rFonts w:ascii="Arial" w:hAnsi="Arial" w:cs="Arial"/>
                <w:sz w:val="20"/>
                <w:szCs w:val="20"/>
              </w:rPr>
              <w:t>Appendix</w:t>
            </w:r>
            <w:r w:rsidRPr="006257D3">
              <w:rPr>
                <w:rFonts w:ascii="Arial" w:hAnsi="Arial" w:cs="Arial"/>
                <w:spacing w:val="-16"/>
                <w:sz w:val="20"/>
                <w:szCs w:val="20"/>
              </w:rPr>
              <w:t xml:space="preserve"> </w:t>
            </w:r>
            <w:r w:rsidRPr="006257D3">
              <w:rPr>
                <w:rFonts w:ascii="Arial" w:hAnsi="Arial" w:cs="Arial"/>
                <w:sz w:val="20"/>
                <w:szCs w:val="20"/>
              </w:rPr>
              <w:t>W.</w:t>
            </w:r>
            <w:r w:rsidRPr="006257D3">
              <w:rPr>
                <w:rFonts w:ascii="Arial" w:hAnsi="Arial" w:cs="Arial"/>
                <w:spacing w:val="38"/>
                <w:sz w:val="20"/>
                <w:szCs w:val="20"/>
              </w:rPr>
              <w:t xml:space="preserve"> </w:t>
            </w:r>
            <w:r w:rsidRPr="006257D3">
              <w:rPr>
                <w:rFonts w:ascii="Arial" w:hAnsi="Arial" w:cs="Arial"/>
                <w:sz w:val="20"/>
                <w:szCs w:val="20"/>
              </w:rPr>
              <w:t>EPSDT</w:t>
            </w:r>
            <w:r w:rsidRPr="006257D3">
              <w:rPr>
                <w:rFonts w:ascii="Arial" w:hAnsi="Arial" w:cs="Arial"/>
                <w:spacing w:val="-12"/>
                <w:sz w:val="20"/>
                <w:szCs w:val="20"/>
              </w:rPr>
              <w:t xml:space="preserve"> </w:t>
            </w:r>
            <w:r w:rsidRPr="006257D3">
              <w:rPr>
                <w:rFonts w:ascii="Arial" w:hAnsi="Arial" w:cs="Arial"/>
                <w:sz w:val="20"/>
                <w:szCs w:val="20"/>
              </w:rPr>
              <w:t>Servi</w:t>
            </w:r>
            <w:r w:rsidRPr="006257D3">
              <w:rPr>
                <w:rFonts w:ascii="Arial" w:hAnsi="Arial" w:cs="Arial"/>
                <w:spacing w:val="1"/>
                <w:sz w:val="20"/>
                <w:szCs w:val="20"/>
              </w:rPr>
              <w:t>c</w:t>
            </w:r>
            <w:r w:rsidRPr="006257D3">
              <w:rPr>
                <w:rFonts w:ascii="Arial" w:hAnsi="Arial" w:cs="Arial"/>
                <w:sz w:val="20"/>
                <w:szCs w:val="20"/>
              </w:rPr>
              <w:t>es</w:t>
            </w:r>
            <w:r w:rsidRPr="006257D3">
              <w:rPr>
                <w:rFonts w:ascii="Arial" w:hAnsi="Arial" w:cs="Arial"/>
                <w:spacing w:val="-15"/>
                <w:sz w:val="20"/>
                <w:szCs w:val="20"/>
              </w:rPr>
              <w:t xml:space="preserve"> </w:t>
            </w:r>
            <w:r w:rsidRPr="006257D3">
              <w:rPr>
                <w:rFonts w:ascii="Arial" w:hAnsi="Arial" w:cs="Arial"/>
                <w:w w:val="99"/>
                <w:sz w:val="20"/>
                <w:szCs w:val="20"/>
              </w:rPr>
              <w:t xml:space="preserve">Medical </w:t>
            </w:r>
            <w:r w:rsidRPr="006257D3">
              <w:rPr>
                <w:rFonts w:ascii="Arial" w:hAnsi="Arial" w:cs="Arial"/>
                <w:sz w:val="20"/>
                <w:szCs w:val="20"/>
              </w:rPr>
              <w:t>and</w:t>
            </w:r>
            <w:r w:rsidRPr="006257D3">
              <w:rPr>
                <w:rFonts w:ascii="Arial" w:hAnsi="Arial" w:cs="Arial"/>
                <w:spacing w:val="-11"/>
                <w:sz w:val="20"/>
                <w:szCs w:val="20"/>
              </w:rPr>
              <w:t xml:space="preserve"> </w:t>
            </w:r>
            <w:r w:rsidRPr="006257D3">
              <w:rPr>
                <w:rFonts w:ascii="Arial" w:hAnsi="Arial" w:cs="Arial"/>
                <w:sz w:val="20"/>
                <w:szCs w:val="20"/>
              </w:rPr>
              <w:t>Dental</w:t>
            </w:r>
            <w:r w:rsidRPr="006257D3">
              <w:rPr>
                <w:rFonts w:ascii="Arial" w:hAnsi="Arial" w:cs="Arial"/>
                <w:spacing w:val="-11"/>
                <w:sz w:val="20"/>
                <w:szCs w:val="20"/>
              </w:rPr>
              <w:t xml:space="preserve"> </w:t>
            </w:r>
            <w:r w:rsidRPr="006257D3">
              <w:rPr>
                <w:rFonts w:ascii="Arial" w:hAnsi="Arial" w:cs="Arial"/>
                <w:sz w:val="20"/>
                <w:szCs w:val="20"/>
              </w:rPr>
              <w:t>P</w:t>
            </w:r>
            <w:r w:rsidRPr="006257D3">
              <w:rPr>
                <w:rFonts w:ascii="Arial" w:hAnsi="Arial" w:cs="Arial"/>
                <w:spacing w:val="2"/>
                <w:sz w:val="20"/>
                <w:szCs w:val="20"/>
              </w:rPr>
              <w:t>r</w:t>
            </w:r>
            <w:r w:rsidRPr="006257D3">
              <w:rPr>
                <w:rFonts w:ascii="Arial" w:hAnsi="Arial" w:cs="Arial"/>
                <w:sz w:val="20"/>
                <w:szCs w:val="20"/>
              </w:rPr>
              <w:t>otocols</w:t>
            </w:r>
            <w:r w:rsidRPr="006257D3">
              <w:rPr>
                <w:rFonts w:ascii="Arial" w:hAnsi="Arial" w:cs="Arial"/>
                <w:spacing w:val="-15"/>
                <w:sz w:val="20"/>
                <w:szCs w:val="20"/>
              </w:rPr>
              <w:t xml:space="preserve"> </w:t>
            </w:r>
            <w:r w:rsidRPr="006257D3">
              <w:rPr>
                <w:rFonts w:ascii="Arial" w:hAnsi="Arial" w:cs="Arial"/>
                <w:sz w:val="20"/>
                <w:szCs w:val="20"/>
              </w:rPr>
              <w:t>and</w:t>
            </w:r>
            <w:r w:rsidRPr="006257D3">
              <w:rPr>
                <w:rFonts w:ascii="Arial" w:hAnsi="Arial" w:cs="Arial"/>
                <w:spacing w:val="-9"/>
                <w:sz w:val="20"/>
                <w:szCs w:val="20"/>
              </w:rPr>
              <w:t xml:space="preserve"> </w:t>
            </w:r>
            <w:r w:rsidRPr="006257D3">
              <w:rPr>
                <w:rFonts w:ascii="Arial" w:hAnsi="Arial" w:cs="Arial"/>
                <w:w w:val="99"/>
                <w:sz w:val="20"/>
                <w:szCs w:val="20"/>
              </w:rPr>
              <w:t>Periodicity Schedules</w:t>
            </w:r>
          </w:p>
        </w:tc>
        <w:tc>
          <w:tcPr>
            <w:tcW w:w="1771" w:type="dxa"/>
            <w:tcBorders>
              <w:top w:val="single" w:sz="6" w:space="0" w:color="000000"/>
              <w:left w:val="single" w:sz="6" w:space="0" w:color="000000"/>
              <w:bottom w:val="single" w:sz="6" w:space="0" w:color="000000"/>
              <w:right w:val="single" w:sz="6" w:space="0" w:color="000000"/>
            </w:tcBorders>
          </w:tcPr>
          <w:p w14:paraId="2BF8DFA8" w14:textId="77777777" w:rsidR="00D614B5" w:rsidRPr="00AE57EC" w:rsidRDefault="00D614B5" w:rsidP="00B938CD">
            <w:pPr>
              <w:spacing w:before="9" w:line="110" w:lineRule="exact"/>
              <w:rPr>
                <w:sz w:val="11"/>
                <w:szCs w:val="11"/>
              </w:rPr>
            </w:pPr>
          </w:p>
          <w:p w14:paraId="05A8F02C" w14:textId="77777777" w:rsidR="00D614B5" w:rsidRDefault="00D614B5" w:rsidP="00B938CD">
            <w:pPr>
              <w:ind w:left="603" w:right="584"/>
              <w:jc w:val="center"/>
              <w:rPr>
                <w:rFonts w:ascii="Arial" w:hAnsi="Arial" w:cs="Arial"/>
                <w:sz w:val="20"/>
                <w:szCs w:val="20"/>
              </w:rPr>
            </w:pPr>
            <w:r>
              <w:rPr>
                <w:rFonts w:ascii="Arial" w:hAnsi="Arial" w:cs="Arial"/>
                <w:b/>
                <w:bCs/>
                <w:spacing w:val="-1"/>
                <w:sz w:val="20"/>
                <w:szCs w:val="20"/>
              </w:rPr>
              <w:t>Page</w:t>
            </w:r>
          </w:p>
          <w:p w14:paraId="3D128E0B" w14:textId="77777777" w:rsidR="00D614B5" w:rsidRPr="00AE57EC" w:rsidRDefault="00D614B5" w:rsidP="00B938CD">
            <w:pPr>
              <w:spacing w:before="8" w:line="110" w:lineRule="exact"/>
              <w:rPr>
                <w:sz w:val="11"/>
                <w:szCs w:val="11"/>
              </w:rPr>
            </w:pPr>
          </w:p>
          <w:p w14:paraId="0BE00F78" w14:textId="77777777" w:rsidR="00D614B5" w:rsidRPr="00E65281" w:rsidRDefault="00D614B5" w:rsidP="00B938CD">
            <w:pPr>
              <w:pStyle w:val="Header"/>
              <w:jc w:val="center"/>
              <w:rPr>
                <w:rStyle w:val="PageNumber"/>
                <w:b w:val="0"/>
                <w:bCs/>
                <w:i w:val="0"/>
                <w:iCs w:val="0"/>
              </w:rPr>
            </w:pPr>
            <w:r w:rsidRPr="00E65281">
              <w:rPr>
                <w:rFonts w:ascii="Arial" w:hAnsi="Arial" w:cs="Arial"/>
                <w:b w:val="0"/>
                <w:bCs/>
                <w:i w:val="0"/>
                <w:iCs w:val="0"/>
              </w:rPr>
              <w:t>W-</w:t>
            </w:r>
            <w:proofErr w:type="spellStart"/>
            <w:r w:rsidRPr="00E65281">
              <w:rPr>
                <w:rFonts w:ascii="Arial" w:hAnsi="Arial" w:cs="Arial"/>
                <w:b w:val="0"/>
                <w:bCs/>
                <w:i w:val="0"/>
                <w:iCs w:val="0"/>
              </w:rPr>
              <w:t>i</w:t>
            </w:r>
            <w:proofErr w:type="spellEnd"/>
          </w:p>
          <w:p w14:paraId="2DBE2F68" w14:textId="77777777" w:rsidR="00D614B5" w:rsidRDefault="00D614B5" w:rsidP="00B938CD">
            <w:pPr>
              <w:ind w:left="650" w:right="630"/>
              <w:jc w:val="center"/>
              <w:rPr>
                <w:rFonts w:ascii="Arial" w:hAnsi="Arial" w:cs="Arial"/>
                <w:sz w:val="20"/>
                <w:szCs w:val="20"/>
              </w:rPr>
            </w:pPr>
          </w:p>
        </w:tc>
      </w:tr>
      <w:tr w:rsidR="00D614B5" w:rsidRPr="00AE57EC" w14:paraId="53756688" w14:textId="77777777" w:rsidTr="00B938CD">
        <w:trPr>
          <w:trHeight w:hRule="exact" w:val="866"/>
        </w:trPr>
        <w:tc>
          <w:tcPr>
            <w:tcW w:w="4080" w:type="dxa"/>
            <w:vMerge/>
            <w:tcBorders>
              <w:left w:val="single" w:sz="6" w:space="0" w:color="000000"/>
              <w:bottom w:val="single" w:sz="6" w:space="0" w:color="000000"/>
              <w:right w:val="single" w:sz="6" w:space="0" w:color="000000"/>
            </w:tcBorders>
          </w:tcPr>
          <w:p w14:paraId="11A8378C" w14:textId="77777777" w:rsidR="00D614B5" w:rsidRPr="00AE57EC" w:rsidRDefault="00D614B5" w:rsidP="00B938CD"/>
        </w:tc>
        <w:tc>
          <w:tcPr>
            <w:tcW w:w="3750" w:type="dxa"/>
            <w:tcBorders>
              <w:top w:val="single" w:sz="6" w:space="0" w:color="000000"/>
              <w:left w:val="single" w:sz="6" w:space="0" w:color="000000"/>
              <w:bottom w:val="single" w:sz="6" w:space="0" w:color="000000"/>
              <w:right w:val="single" w:sz="6" w:space="0" w:color="000000"/>
            </w:tcBorders>
          </w:tcPr>
          <w:p w14:paraId="7D67BA1E" w14:textId="77777777" w:rsidR="00D614B5" w:rsidRPr="00AE57EC" w:rsidRDefault="00D614B5" w:rsidP="00B938CD">
            <w:pPr>
              <w:spacing w:before="10" w:line="110" w:lineRule="exact"/>
              <w:rPr>
                <w:sz w:val="11"/>
                <w:szCs w:val="11"/>
              </w:rPr>
            </w:pPr>
          </w:p>
          <w:p w14:paraId="0F5BFCF3" w14:textId="77777777" w:rsidR="00D614B5" w:rsidRDefault="00D614B5" w:rsidP="00B938CD">
            <w:pPr>
              <w:ind w:left="985" w:right="966"/>
              <w:jc w:val="center"/>
              <w:rPr>
                <w:rFonts w:ascii="Arial" w:hAnsi="Arial" w:cs="Arial"/>
                <w:sz w:val="20"/>
                <w:szCs w:val="20"/>
              </w:rPr>
            </w:pPr>
            <w:r>
              <w:rPr>
                <w:rFonts w:ascii="Arial" w:hAnsi="Arial" w:cs="Arial"/>
                <w:b/>
                <w:bCs/>
                <w:sz w:val="20"/>
                <w:szCs w:val="20"/>
              </w:rPr>
              <w:t>Trans</w:t>
            </w:r>
            <w:r>
              <w:rPr>
                <w:rFonts w:ascii="Arial" w:hAnsi="Arial" w:cs="Arial"/>
                <w:b/>
                <w:bCs/>
                <w:spacing w:val="-2"/>
                <w:sz w:val="20"/>
                <w:szCs w:val="20"/>
              </w:rPr>
              <w:t>m</w:t>
            </w:r>
            <w:r>
              <w:rPr>
                <w:rFonts w:ascii="Arial" w:hAnsi="Arial" w:cs="Arial"/>
                <w:b/>
                <w:bCs/>
                <w:sz w:val="20"/>
                <w:szCs w:val="20"/>
              </w:rPr>
              <w:t>ittal</w:t>
            </w:r>
            <w:r>
              <w:rPr>
                <w:rFonts w:ascii="Arial" w:hAnsi="Arial" w:cs="Arial"/>
                <w:b/>
                <w:bCs/>
                <w:spacing w:val="-2"/>
                <w:sz w:val="20"/>
                <w:szCs w:val="20"/>
              </w:rPr>
              <w:t xml:space="preserve"> </w:t>
            </w:r>
            <w:r>
              <w:rPr>
                <w:rFonts w:ascii="Arial" w:hAnsi="Arial" w:cs="Arial"/>
                <w:b/>
                <w:bCs/>
                <w:sz w:val="20"/>
                <w:szCs w:val="20"/>
              </w:rPr>
              <w:t>Letter</w:t>
            </w:r>
          </w:p>
          <w:p w14:paraId="5703A70E" w14:textId="77777777" w:rsidR="00D614B5" w:rsidRPr="00AE57EC" w:rsidRDefault="00D614B5" w:rsidP="00B938CD">
            <w:pPr>
              <w:spacing w:before="7" w:line="110" w:lineRule="exact"/>
              <w:rPr>
                <w:sz w:val="11"/>
                <w:szCs w:val="11"/>
              </w:rPr>
            </w:pPr>
          </w:p>
          <w:p w14:paraId="422CA771" w14:textId="77777777" w:rsidR="00D614B5" w:rsidRPr="00DB19DD" w:rsidRDefault="00D614B5" w:rsidP="00B938CD">
            <w:pPr>
              <w:ind w:left="1452" w:right="1435"/>
              <w:jc w:val="center"/>
              <w:rPr>
                <w:rFonts w:ascii="Arial" w:hAnsi="Arial" w:cs="Arial"/>
                <w:sz w:val="20"/>
                <w:szCs w:val="20"/>
              </w:rPr>
            </w:pPr>
            <w:r>
              <w:rPr>
                <w:rFonts w:ascii="Arial" w:hAnsi="Arial" w:cs="Arial"/>
                <w:sz w:val="20"/>
                <w:szCs w:val="20"/>
              </w:rPr>
              <w:t>ALL-249</w:t>
            </w:r>
          </w:p>
        </w:tc>
        <w:tc>
          <w:tcPr>
            <w:tcW w:w="1771" w:type="dxa"/>
            <w:tcBorders>
              <w:top w:val="single" w:sz="6" w:space="0" w:color="000000"/>
              <w:left w:val="single" w:sz="6" w:space="0" w:color="000000"/>
              <w:bottom w:val="single" w:sz="6" w:space="0" w:color="000000"/>
              <w:right w:val="single" w:sz="6" w:space="0" w:color="000000"/>
            </w:tcBorders>
          </w:tcPr>
          <w:p w14:paraId="46206E58" w14:textId="77777777" w:rsidR="00D614B5" w:rsidRPr="00AE57EC" w:rsidRDefault="00D614B5" w:rsidP="00B938CD">
            <w:pPr>
              <w:spacing w:before="10" w:line="110" w:lineRule="exact"/>
              <w:rPr>
                <w:sz w:val="11"/>
                <w:szCs w:val="11"/>
              </w:rPr>
            </w:pPr>
          </w:p>
          <w:p w14:paraId="65360D11" w14:textId="77777777" w:rsidR="00D614B5" w:rsidRDefault="00D614B5" w:rsidP="00B938CD">
            <w:pPr>
              <w:ind w:left="624" w:right="607"/>
              <w:jc w:val="center"/>
              <w:rPr>
                <w:rFonts w:ascii="Arial" w:hAnsi="Arial" w:cs="Arial"/>
                <w:sz w:val="20"/>
                <w:szCs w:val="20"/>
              </w:rPr>
            </w:pPr>
            <w:r>
              <w:rPr>
                <w:rFonts w:ascii="Arial" w:hAnsi="Arial" w:cs="Arial"/>
                <w:b/>
                <w:bCs/>
                <w:sz w:val="20"/>
                <w:szCs w:val="20"/>
              </w:rPr>
              <w:t>Da</w:t>
            </w:r>
            <w:r>
              <w:rPr>
                <w:rFonts w:ascii="Arial" w:hAnsi="Arial" w:cs="Arial"/>
                <w:b/>
                <w:bCs/>
                <w:spacing w:val="-1"/>
                <w:sz w:val="20"/>
                <w:szCs w:val="20"/>
              </w:rPr>
              <w:t>t</w:t>
            </w:r>
            <w:r>
              <w:rPr>
                <w:rFonts w:ascii="Arial" w:hAnsi="Arial" w:cs="Arial"/>
                <w:b/>
                <w:bCs/>
                <w:sz w:val="20"/>
                <w:szCs w:val="20"/>
              </w:rPr>
              <w:t>e</w:t>
            </w:r>
          </w:p>
          <w:p w14:paraId="65A042FA" w14:textId="77777777" w:rsidR="00D614B5" w:rsidRPr="00AE57EC" w:rsidRDefault="00D614B5" w:rsidP="00B938CD">
            <w:pPr>
              <w:spacing w:before="7" w:line="110" w:lineRule="exact"/>
              <w:rPr>
                <w:sz w:val="11"/>
                <w:szCs w:val="11"/>
              </w:rPr>
            </w:pPr>
          </w:p>
          <w:p w14:paraId="5036700C" w14:textId="77777777" w:rsidR="00D614B5" w:rsidRPr="00DB19DD" w:rsidRDefault="00D614B5" w:rsidP="00B938CD">
            <w:pPr>
              <w:ind w:left="452" w:right="433"/>
              <w:jc w:val="center"/>
              <w:rPr>
                <w:rFonts w:ascii="Arial" w:hAnsi="Arial" w:cs="Arial"/>
                <w:sz w:val="20"/>
                <w:szCs w:val="20"/>
              </w:rPr>
            </w:pPr>
            <w:r>
              <w:rPr>
                <w:rFonts w:ascii="Arial" w:hAnsi="Arial" w:cs="Arial"/>
                <w:sz w:val="20"/>
                <w:szCs w:val="20"/>
              </w:rPr>
              <w:t>11/21/24</w:t>
            </w:r>
          </w:p>
        </w:tc>
      </w:tr>
    </w:tbl>
    <w:p w14:paraId="78ED2108" w14:textId="77777777" w:rsidR="00E65281" w:rsidRDefault="00E65281" w:rsidP="00815A53">
      <w:pPr>
        <w:pStyle w:val="BodyText"/>
      </w:pPr>
    </w:p>
    <w:sdt>
      <w:sdtPr>
        <w:rPr>
          <w:b w:val="0"/>
          <w:bCs/>
          <w:noProof w:val="0"/>
          <w:sz w:val="22"/>
          <w:szCs w:val="22"/>
          <w:lang w:bidi="ar-SA"/>
        </w:rPr>
        <w:id w:val="-687599387"/>
        <w:docPartObj>
          <w:docPartGallery w:val="Table of Contents"/>
          <w:docPartUnique/>
        </w:docPartObj>
      </w:sdtPr>
      <w:sdtEndPr>
        <w:rPr>
          <w:bCs w:val="0"/>
        </w:rPr>
      </w:sdtEndPr>
      <w:sdtContent>
        <w:p w14:paraId="069BB7E6" w14:textId="77777777" w:rsidR="00E65281" w:rsidRPr="001D528D" w:rsidRDefault="00E65281" w:rsidP="00424078">
          <w:pPr>
            <w:pStyle w:val="TOCHeading"/>
            <w:jc w:val="center"/>
            <w:rPr>
              <w:b w:val="0"/>
              <w:bCs/>
            </w:rPr>
          </w:pPr>
          <w:r w:rsidRPr="001D528D">
            <w:rPr>
              <w:bCs/>
            </w:rPr>
            <w:t>Table of Contents</w:t>
          </w:r>
        </w:p>
        <w:p w14:paraId="1EEAAC11" w14:textId="77777777" w:rsidR="00E65281" w:rsidRPr="001D528D" w:rsidRDefault="00E65281" w:rsidP="00D55C2B">
          <w:pPr>
            <w:pStyle w:val="TOC1"/>
          </w:pPr>
          <w:r w:rsidRPr="001D528D">
            <w:t>The Medical Schedule</w:t>
          </w:r>
          <w:r w:rsidRPr="001D528D">
            <w:ptab w:relativeTo="margin" w:alignment="right" w:leader="dot"/>
          </w:r>
          <w:r w:rsidRPr="001D528D">
            <w:t>W-</w:t>
          </w:r>
          <w:r>
            <w:t>1</w:t>
          </w:r>
        </w:p>
        <w:p w14:paraId="2BD7C3AA" w14:textId="77777777" w:rsidR="00E65281" w:rsidRPr="001D528D" w:rsidRDefault="00E65281" w:rsidP="00D55C2B">
          <w:pPr>
            <w:pStyle w:val="TOC1"/>
          </w:pPr>
          <w:r w:rsidRPr="001D528D">
            <w:t>Frequency of Pediatric Preventive Healthcare Visits</w:t>
          </w:r>
          <w:r w:rsidRPr="001D528D">
            <w:ptab w:relativeTo="margin" w:alignment="right" w:leader="dot"/>
          </w:r>
          <w:r w:rsidRPr="001D528D">
            <w:t>W-</w:t>
          </w:r>
          <w:r>
            <w:t>1</w:t>
          </w:r>
        </w:p>
        <w:p w14:paraId="0F7A2B80" w14:textId="77777777" w:rsidR="00E65281" w:rsidRPr="001D528D" w:rsidRDefault="00E65281" w:rsidP="00D55C2B">
          <w:pPr>
            <w:pStyle w:val="TOC1"/>
          </w:pPr>
          <w:r w:rsidRPr="001D528D">
            <w:t>Components of Pediatric Preventive Healthcare Visits</w:t>
          </w:r>
          <w:r w:rsidRPr="001D528D">
            <w:ptab w:relativeTo="margin" w:alignment="right" w:leader="dot"/>
          </w:r>
          <w:r w:rsidRPr="001D528D">
            <w:t>W-</w:t>
          </w:r>
          <w:r>
            <w:t>2</w:t>
          </w:r>
        </w:p>
        <w:p w14:paraId="5CE37FB3" w14:textId="77777777" w:rsidR="00E65281" w:rsidRPr="001104BD" w:rsidRDefault="00E65281" w:rsidP="001D528D">
          <w:pPr>
            <w:pStyle w:val="TOC2"/>
          </w:pPr>
          <w:r w:rsidRPr="001104BD">
            <w:t>History</w:t>
          </w:r>
          <w:r w:rsidRPr="001104BD">
            <w:ptab w:relativeTo="margin" w:alignment="right" w:leader="dot"/>
          </w:r>
          <w:r w:rsidRPr="001104BD">
            <w:t>W-</w:t>
          </w:r>
          <w:r>
            <w:t>2</w:t>
          </w:r>
        </w:p>
        <w:p w14:paraId="1EA6EAB1" w14:textId="77777777" w:rsidR="00E65281" w:rsidRPr="001104BD" w:rsidRDefault="00E65281" w:rsidP="001D528D">
          <w:pPr>
            <w:pStyle w:val="TOC2"/>
          </w:pPr>
          <w:r w:rsidRPr="001104BD">
            <w:t>Measurements</w:t>
          </w:r>
          <w:r w:rsidRPr="001104BD">
            <w:ptab w:relativeTo="margin" w:alignment="right" w:leader="dot"/>
          </w:r>
          <w:r w:rsidRPr="001104BD">
            <w:t>W-</w:t>
          </w:r>
          <w:r>
            <w:t>2</w:t>
          </w:r>
        </w:p>
        <w:p w14:paraId="04865B07" w14:textId="77777777" w:rsidR="00E65281" w:rsidRPr="001104BD" w:rsidRDefault="00E65281" w:rsidP="001D528D">
          <w:pPr>
            <w:pStyle w:val="TOC2"/>
          </w:pPr>
          <w:r w:rsidRPr="001104BD">
            <w:t xml:space="preserve">Sensory Screening </w:t>
          </w:r>
          <w:r w:rsidRPr="001104BD">
            <w:ptab w:relativeTo="margin" w:alignment="right" w:leader="dot"/>
          </w:r>
          <w:r w:rsidRPr="001104BD">
            <w:t>W-</w:t>
          </w:r>
          <w:r>
            <w:t>3</w:t>
          </w:r>
        </w:p>
        <w:p w14:paraId="315EBD0A" w14:textId="77777777" w:rsidR="00E65281" w:rsidRPr="001104BD" w:rsidRDefault="00E65281" w:rsidP="001D528D">
          <w:pPr>
            <w:pStyle w:val="TOC2"/>
          </w:pPr>
          <w:r w:rsidRPr="001104BD">
            <w:t xml:space="preserve">Developmental/Behavioral Health </w:t>
          </w:r>
          <w:r w:rsidRPr="001104BD">
            <w:ptab w:relativeTo="margin" w:alignment="right" w:leader="dot"/>
          </w:r>
          <w:r w:rsidRPr="001104BD">
            <w:t>W-</w:t>
          </w:r>
          <w:r>
            <w:t>3</w:t>
          </w:r>
        </w:p>
        <w:p w14:paraId="1A86E387" w14:textId="77777777" w:rsidR="00E65281" w:rsidRPr="001104BD" w:rsidRDefault="00E65281" w:rsidP="001D528D">
          <w:pPr>
            <w:pStyle w:val="TOC2"/>
          </w:pPr>
          <w:r w:rsidRPr="001104BD">
            <w:t>Physical Exam</w:t>
          </w:r>
          <w:r w:rsidRPr="001104BD">
            <w:ptab w:relativeTo="margin" w:alignment="right" w:leader="dot"/>
          </w:r>
          <w:r w:rsidRPr="001104BD">
            <w:t>W-</w:t>
          </w:r>
          <w:r>
            <w:t>6</w:t>
          </w:r>
        </w:p>
        <w:p w14:paraId="43D3830A" w14:textId="77777777" w:rsidR="00E65281" w:rsidRPr="001104BD" w:rsidRDefault="00E65281" w:rsidP="001D528D">
          <w:pPr>
            <w:pStyle w:val="TOC2"/>
          </w:pPr>
          <w:r w:rsidRPr="001104BD">
            <w:t xml:space="preserve">Procedures </w:t>
          </w:r>
          <w:r w:rsidRPr="001104BD">
            <w:ptab w:relativeTo="margin" w:alignment="right" w:leader="dot"/>
          </w:r>
          <w:r w:rsidRPr="001104BD">
            <w:t>W-</w:t>
          </w:r>
          <w:r>
            <w:t>6</w:t>
          </w:r>
        </w:p>
        <w:p w14:paraId="2456FE09" w14:textId="77777777" w:rsidR="00E65281" w:rsidRPr="001104BD" w:rsidRDefault="00E65281" w:rsidP="001D528D">
          <w:pPr>
            <w:pStyle w:val="TOC2"/>
          </w:pPr>
          <w:r w:rsidRPr="001104BD">
            <w:t>Oral Health</w:t>
          </w:r>
          <w:r w:rsidRPr="001104BD">
            <w:ptab w:relativeTo="margin" w:alignment="right" w:leader="dot"/>
          </w:r>
          <w:r w:rsidRPr="001104BD">
            <w:t>W-</w:t>
          </w:r>
          <w:r>
            <w:t>8</w:t>
          </w:r>
        </w:p>
        <w:p w14:paraId="385C6C39" w14:textId="77777777" w:rsidR="00E65281" w:rsidRPr="001104BD" w:rsidRDefault="00E65281" w:rsidP="001D528D">
          <w:pPr>
            <w:pStyle w:val="TOC2"/>
          </w:pPr>
          <w:r>
            <w:t xml:space="preserve">Anticipatory </w:t>
          </w:r>
          <w:r w:rsidRPr="001104BD">
            <w:t xml:space="preserve">Guidance </w:t>
          </w:r>
          <w:r w:rsidRPr="001104BD">
            <w:ptab w:relativeTo="margin" w:alignment="right" w:leader="dot"/>
          </w:r>
          <w:r w:rsidRPr="001104BD">
            <w:t>W-</w:t>
          </w:r>
          <w:r>
            <w:t>8</w:t>
          </w:r>
        </w:p>
        <w:p w14:paraId="4CB08F16" w14:textId="77777777" w:rsidR="00E65281" w:rsidRPr="001D528D" w:rsidRDefault="00E65281" w:rsidP="00D55C2B">
          <w:pPr>
            <w:pStyle w:val="TOC1"/>
          </w:pPr>
          <w:r>
            <w:t xml:space="preserve">IC </w:t>
          </w:r>
          <w:r w:rsidRPr="001D528D">
            <w:t>Medical Schedule Table</w:t>
          </w:r>
          <w:r w:rsidRPr="001D528D">
            <w:ptab w:relativeTo="margin" w:alignment="right" w:leader="dot"/>
          </w:r>
          <w:r w:rsidRPr="001D528D">
            <w:t>W-</w:t>
          </w:r>
          <w:r>
            <w:t>9</w:t>
          </w:r>
        </w:p>
        <w:p w14:paraId="2C6E2AAA" w14:textId="77777777" w:rsidR="00E65281" w:rsidRPr="001D528D" w:rsidRDefault="00E65281" w:rsidP="00D55C2B">
          <w:pPr>
            <w:pStyle w:val="TOC1"/>
          </w:pPr>
          <w:r w:rsidRPr="001D528D">
            <w:t>The Dental Schedule</w:t>
          </w:r>
          <w:r w:rsidRPr="001D528D">
            <w:ptab w:relativeTo="margin" w:alignment="right" w:leader="dot"/>
          </w:r>
          <w:r w:rsidRPr="001D528D">
            <w:t>W-1</w:t>
          </w:r>
          <w:r>
            <w:t>0</w:t>
          </w:r>
        </w:p>
        <w:p w14:paraId="19679646" w14:textId="77777777" w:rsidR="00E65281" w:rsidRPr="001D528D" w:rsidRDefault="00E65281" w:rsidP="00D55C2B">
          <w:pPr>
            <w:pStyle w:val="TOC1"/>
          </w:pPr>
          <w:r w:rsidRPr="001D528D">
            <w:t>Dental Schedule Table</w:t>
          </w:r>
          <w:r w:rsidRPr="001D528D">
            <w:ptab w:relativeTo="margin" w:alignment="right" w:leader="dot"/>
          </w:r>
          <w:r w:rsidRPr="001D528D">
            <w:t>W-1</w:t>
          </w:r>
          <w:r>
            <w:t>0</w:t>
          </w:r>
        </w:p>
        <w:p w14:paraId="35FCBF17" w14:textId="77777777" w:rsidR="00E65281" w:rsidRPr="001D528D" w:rsidRDefault="00E65281" w:rsidP="00D55C2B">
          <w:pPr>
            <w:pStyle w:val="TOC1"/>
          </w:pPr>
          <w:r w:rsidRPr="001D528D">
            <w:t>Explanations of the Dental Schedule Table</w:t>
          </w:r>
          <w:r w:rsidRPr="001D528D">
            <w:ptab w:relativeTo="margin" w:alignment="right" w:leader="dot"/>
          </w:r>
          <w:r w:rsidRPr="001D528D">
            <w:t>W-1</w:t>
          </w:r>
          <w:r>
            <w:t>1</w:t>
          </w:r>
        </w:p>
      </w:sdtContent>
    </w:sdt>
    <w:p w14:paraId="3C3BB005" w14:textId="77777777" w:rsidR="00E65281" w:rsidRDefault="00E65281" w:rsidP="001F1602">
      <w:pPr>
        <w:contextualSpacing/>
      </w:pPr>
    </w:p>
    <w:p w14:paraId="58DC816A" w14:textId="77777777" w:rsidR="00E65281" w:rsidRDefault="00E65281" w:rsidP="001F1602">
      <w:pPr>
        <w:contextualSpacing/>
      </w:pPr>
    </w:p>
    <w:p w14:paraId="1E5D91EE" w14:textId="77777777" w:rsidR="00E65281" w:rsidRDefault="00E65281" w:rsidP="001F1602">
      <w:pPr>
        <w:contextualSpacing/>
        <w:sectPr w:rsidR="00E65281" w:rsidSect="00E65281">
          <w:headerReference w:type="even" r:id="rId30"/>
          <w:headerReference w:type="default" r:id="rId31"/>
          <w:footerReference w:type="default" r:id="rId32"/>
          <w:type w:val="continuous"/>
          <w:pgSz w:w="12240" w:h="15840" w:code="1"/>
          <w:pgMar w:top="576" w:right="1440" w:bottom="1440" w:left="1440" w:header="446" w:footer="490" w:gutter="0"/>
          <w:cols w:space="720"/>
          <w:titlePg/>
          <w:docGrid w:linePitch="299"/>
        </w:sectPr>
      </w:pPr>
    </w:p>
    <w:tbl>
      <w:tblPr>
        <w:tblW w:w="9601" w:type="dxa"/>
        <w:tblInd w:w="92" w:type="dxa"/>
        <w:tblLayout w:type="fixed"/>
        <w:tblCellMar>
          <w:left w:w="0" w:type="dxa"/>
          <w:right w:w="0" w:type="dxa"/>
        </w:tblCellMar>
        <w:tblLook w:val="01E0" w:firstRow="1" w:lastRow="1" w:firstColumn="1" w:lastColumn="1" w:noHBand="0" w:noVBand="0"/>
      </w:tblPr>
      <w:tblGrid>
        <w:gridCol w:w="4080"/>
        <w:gridCol w:w="3750"/>
        <w:gridCol w:w="1771"/>
      </w:tblGrid>
      <w:tr w:rsidR="00122052" w:rsidRPr="00AE57EC" w14:paraId="1CB95947" w14:textId="77777777" w:rsidTr="00B938CD">
        <w:trPr>
          <w:trHeight w:hRule="exact" w:val="1095"/>
        </w:trPr>
        <w:tc>
          <w:tcPr>
            <w:tcW w:w="4080" w:type="dxa"/>
            <w:vMerge w:val="restart"/>
            <w:tcBorders>
              <w:top w:val="single" w:sz="6" w:space="0" w:color="000000"/>
              <w:left w:val="single" w:sz="6" w:space="0" w:color="000000"/>
              <w:right w:val="single" w:sz="6" w:space="0" w:color="000000"/>
            </w:tcBorders>
          </w:tcPr>
          <w:p w14:paraId="62095142" w14:textId="77777777" w:rsidR="00122052" w:rsidRPr="00AE57EC" w:rsidRDefault="00122052" w:rsidP="00B938CD">
            <w:pPr>
              <w:spacing w:before="9" w:line="110" w:lineRule="exact"/>
              <w:ind w:right="360"/>
              <w:rPr>
                <w:sz w:val="11"/>
                <w:szCs w:val="11"/>
              </w:rPr>
            </w:pPr>
          </w:p>
          <w:p w14:paraId="1A7F3C5A" w14:textId="77777777" w:rsidR="00122052" w:rsidRDefault="00122052" w:rsidP="00B938CD">
            <w:pPr>
              <w:ind w:left="379" w:right="363"/>
              <w:jc w:val="center"/>
              <w:rPr>
                <w:rFonts w:ascii="Arial" w:hAnsi="Arial" w:cs="Arial"/>
                <w:sz w:val="20"/>
                <w:szCs w:val="20"/>
              </w:rPr>
            </w:pPr>
            <w:r>
              <w:rPr>
                <w:rFonts w:ascii="Arial" w:hAnsi="Arial" w:cs="Arial"/>
                <w:b/>
                <w:bCs/>
                <w:sz w:val="20"/>
                <w:szCs w:val="20"/>
              </w:rPr>
              <w:t>Commo</w:t>
            </w:r>
            <w:r>
              <w:rPr>
                <w:rFonts w:ascii="Arial" w:hAnsi="Arial" w:cs="Arial"/>
                <w:b/>
                <w:bCs/>
                <w:spacing w:val="-4"/>
                <w:sz w:val="20"/>
                <w:szCs w:val="20"/>
              </w:rPr>
              <w:t>n</w:t>
            </w:r>
            <w:r>
              <w:rPr>
                <w:rFonts w:ascii="Arial" w:hAnsi="Arial" w:cs="Arial"/>
                <w:b/>
                <w:bCs/>
                <w:spacing w:val="10"/>
                <w:sz w:val="20"/>
                <w:szCs w:val="20"/>
              </w:rPr>
              <w:t>w</w:t>
            </w:r>
            <w:r>
              <w:rPr>
                <w:rFonts w:ascii="Arial" w:hAnsi="Arial" w:cs="Arial"/>
                <w:b/>
                <w:bCs/>
                <w:spacing w:val="-2"/>
                <w:sz w:val="20"/>
                <w:szCs w:val="20"/>
              </w:rPr>
              <w:t>e</w:t>
            </w:r>
            <w:r>
              <w:rPr>
                <w:rFonts w:ascii="Arial" w:hAnsi="Arial" w:cs="Arial"/>
                <w:b/>
                <w:bCs/>
                <w:sz w:val="20"/>
                <w:szCs w:val="20"/>
              </w:rPr>
              <w:t>alth</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spacing w:val="-2"/>
                <w:sz w:val="20"/>
                <w:szCs w:val="20"/>
              </w:rPr>
              <w:t xml:space="preserve"> </w:t>
            </w:r>
            <w:r>
              <w:rPr>
                <w:rFonts w:ascii="Arial" w:hAnsi="Arial" w:cs="Arial"/>
                <w:b/>
                <w:bCs/>
                <w:sz w:val="20"/>
                <w:szCs w:val="20"/>
              </w:rPr>
              <w:t>Ma</w:t>
            </w:r>
            <w:r>
              <w:rPr>
                <w:rFonts w:ascii="Arial" w:hAnsi="Arial" w:cs="Arial"/>
                <w:b/>
                <w:bCs/>
                <w:spacing w:val="-1"/>
                <w:sz w:val="20"/>
                <w:szCs w:val="20"/>
              </w:rPr>
              <w:t>ss</w:t>
            </w:r>
            <w:r>
              <w:rPr>
                <w:rFonts w:ascii="Arial" w:hAnsi="Arial" w:cs="Arial"/>
                <w:b/>
                <w:bCs/>
                <w:sz w:val="20"/>
                <w:szCs w:val="20"/>
              </w:rPr>
              <w:t>achu</w:t>
            </w:r>
            <w:r>
              <w:rPr>
                <w:rFonts w:ascii="Arial" w:hAnsi="Arial" w:cs="Arial"/>
                <w:b/>
                <w:bCs/>
                <w:spacing w:val="-1"/>
                <w:sz w:val="20"/>
                <w:szCs w:val="20"/>
              </w:rPr>
              <w:t>s</w:t>
            </w:r>
            <w:r>
              <w:rPr>
                <w:rFonts w:ascii="Arial" w:hAnsi="Arial" w:cs="Arial"/>
                <w:b/>
                <w:bCs/>
                <w:sz w:val="20"/>
                <w:szCs w:val="20"/>
              </w:rPr>
              <w:t>etts</w:t>
            </w:r>
          </w:p>
          <w:p w14:paraId="1E3B0756" w14:textId="77777777" w:rsidR="00122052" w:rsidRDefault="00122052" w:rsidP="00B938CD">
            <w:pPr>
              <w:spacing w:before="4"/>
              <w:ind w:left="1438" w:right="1419"/>
              <w:jc w:val="center"/>
              <w:rPr>
                <w:rFonts w:ascii="Arial" w:hAnsi="Arial" w:cs="Arial"/>
                <w:sz w:val="20"/>
                <w:szCs w:val="20"/>
              </w:rPr>
            </w:pPr>
            <w:r>
              <w:rPr>
                <w:rFonts w:ascii="Arial" w:hAnsi="Arial" w:cs="Arial"/>
                <w:b/>
                <w:bCs/>
                <w:sz w:val="20"/>
                <w:szCs w:val="20"/>
              </w:rPr>
              <w:t>Mas</w:t>
            </w:r>
            <w:r>
              <w:rPr>
                <w:rFonts w:ascii="Arial" w:hAnsi="Arial" w:cs="Arial"/>
                <w:b/>
                <w:bCs/>
                <w:spacing w:val="-1"/>
                <w:sz w:val="20"/>
                <w:szCs w:val="20"/>
              </w:rPr>
              <w:t>s</w:t>
            </w:r>
            <w:r>
              <w:rPr>
                <w:rFonts w:ascii="Arial" w:hAnsi="Arial" w:cs="Arial"/>
                <w:b/>
                <w:bCs/>
                <w:sz w:val="20"/>
                <w:szCs w:val="20"/>
              </w:rPr>
              <w:t>Hea</w:t>
            </w:r>
            <w:r>
              <w:rPr>
                <w:rFonts w:ascii="Arial" w:hAnsi="Arial" w:cs="Arial"/>
                <w:b/>
                <w:bCs/>
                <w:spacing w:val="-2"/>
                <w:sz w:val="20"/>
                <w:szCs w:val="20"/>
              </w:rPr>
              <w:t>l</w:t>
            </w:r>
            <w:r>
              <w:rPr>
                <w:rFonts w:ascii="Arial" w:hAnsi="Arial" w:cs="Arial"/>
                <w:b/>
                <w:bCs/>
                <w:sz w:val="20"/>
                <w:szCs w:val="20"/>
              </w:rPr>
              <w:t>th</w:t>
            </w:r>
          </w:p>
          <w:p w14:paraId="59954263" w14:textId="77777777" w:rsidR="00122052" w:rsidRDefault="00122052" w:rsidP="00B938CD">
            <w:pPr>
              <w:spacing w:before="4"/>
              <w:ind w:left="900" w:right="886"/>
              <w:jc w:val="center"/>
              <w:rPr>
                <w:rFonts w:ascii="Arial" w:hAnsi="Arial" w:cs="Arial"/>
                <w:sz w:val="20"/>
                <w:szCs w:val="20"/>
              </w:rPr>
            </w:pPr>
            <w:r>
              <w:rPr>
                <w:rFonts w:ascii="Arial" w:hAnsi="Arial" w:cs="Arial"/>
                <w:b/>
                <w:bCs/>
                <w:spacing w:val="-1"/>
                <w:sz w:val="20"/>
                <w:szCs w:val="20"/>
              </w:rPr>
              <w:t>Pr</w:t>
            </w:r>
            <w:r>
              <w:rPr>
                <w:rFonts w:ascii="Arial" w:hAnsi="Arial" w:cs="Arial"/>
                <w:b/>
                <w:bCs/>
                <w:sz w:val="20"/>
                <w:szCs w:val="20"/>
              </w:rPr>
              <w:t>o</w:t>
            </w:r>
            <w:r>
              <w:rPr>
                <w:rFonts w:ascii="Arial" w:hAnsi="Arial" w:cs="Arial"/>
                <w:b/>
                <w:bCs/>
                <w:spacing w:val="-5"/>
                <w:sz w:val="20"/>
                <w:szCs w:val="20"/>
              </w:rPr>
              <w:t>v</w:t>
            </w:r>
            <w:r>
              <w:rPr>
                <w:rFonts w:ascii="Arial" w:hAnsi="Arial" w:cs="Arial"/>
                <w:b/>
                <w:bCs/>
                <w:spacing w:val="-1"/>
                <w:sz w:val="20"/>
                <w:szCs w:val="20"/>
              </w:rPr>
              <w:t>ide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M</w:t>
            </w:r>
            <w:r>
              <w:rPr>
                <w:rFonts w:ascii="Arial" w:hAnsi="Arial" w:cs="Arial"/>
                <w:b/>
                <w:bCs/>
                <w:sz w:val="20"/>
                <w:szCs w:val="20"/>
              </w:rPr>
              <w:t>a</w:t>
            </w:r>
            <w:r>
              <w:rPr>
                <w:rFonts w:ascii="Arial" w:hAnsi="Arial" w:cs="Arial"/>
                <w:b/>
                <w:bCs/>
                <w:spacing w:val="-1"/>
                <w:sz w:val="20"/>
                <w:szCs w:val="20"/>
              </w:rPr>
              <w:t>nua</w:t>
            </w:r>
            <w:r>
              <w:rPr>
                <w:rFonts w:ascii="Arial" w:hAnsi="Arial" w:cs="Arial"/>
                <w:b/>
                <w:bCs/>
                <w:sz w:val="20"/>
                <w:szCs w:val="20"/>
              </w:rPr>
              <w:t>l</w:t>
            </w:r>
            <w:r>
              <w:rPr>
                <w:rFonts w:ascii="Arial" w:hAnsi="Arial" w:cs="Arial"/>
                <w:b/>
                <w:bCs/>
                <w:spacing w:val="-3"/>
                <w:sz w:val="20"/>
                <w:szCs w:val="20"/>
              </w:rPr>
              <w:t xml:space="preserve"> </w:t>
            </w:r>
            <w:r>
              <w:rPr>
                <w:rFonts w:ascii="Arial" w:hAnsi="Arial" w:cs="Arial"/>
                <w:b/>
                <w:bCs/>
                <w:spacing w:val="-1"/>
                <w:sz w:val="20"/>
                <w:szCs w:val="20"/>
              </w:rPr>
              <w:t>Series</w:t>
            </w:r>
          </w:p>
          <w:p w14:paraId="4E20A921" w14:textId="77777777" w:rsidR="00122052" w:rsidRPr="00AE57EC" w:rsidRDefault="00122052" w:rsidP="00B938CD">
            <w:pPr>
              <w:spacing w:line="200" w:lineRule="exact"/>
              <w:rPr>
                <w:sz w:val="20"/>
                <w:szCs w:val="20"/>
              </w:rPr>
            </w:pPr>
          </w:p>
          <w:p w14:paraId="560536AC" w14:textId="77777777" w:rsidR="00122052" w:rsidRDefault="00122052" w:rsidP="00B938CD">
            <w:pPr>
              <w:ind w:left="1080" w:right="1061"/>
              <w:jc w:val="center"/>
              <w:rPr>
                <w:rFonts w:ascii="Arial" w:hAnsi="Arial" w:cs="Arial"/>
                <w:sz w:val="20"/>
                <w:szCs w:val="20"/>
              </w:rPr>
            </w:pPr>
          </w:p>
          <w:p w14:paraId="210F3C9A" w14:textId="77777777" w:rsidR="00122052" w:rsidRDefault="00122052" w:rsidP="00B938CD">
            <w:pPr>
              <w:ind w:left="1080" w:right="1061"/>
              <w:jc w:val="center"/>
              <w:rPr>
                <w:rFonts w:ascii="Arial" w:hAnsi="Arial" w:cs="Arial"/>
                <w:sz w:val="20"/>
                <w:szCs w:val="20"/>
              </w:rPr>
            </w:pPr>
            <w:r>
              <w:rPr>
                <w:rFonts w:ascii="Arial" w:hAnsi="Arial" w:cs="Arial"/>
                <w:sz w:val="20"/>
                <w:szCs w:val="20"/>
              </w:rPr>
              <w:t>All</w:t>
            </w:r>
            <w:r>
              <w:rPr>
                <w:rFonts w:ascii="Arial" w:hAnsi="Arial" w:cs="Arial"/>
                <w:spacing w:val="-2"/>
                <w:sz w:val="20"/>
                <w:szCs w:val="20"/>
              </w:rPr>
              <w:t xml:space="preserve"> </w:t>
            </w:r>
            <w:r>
              <w:rPr>
                <w:rFonts w:ascii="Arial" w:hAnsi="Arial" w:cs="Arial"/>
                <w:sz w:val="20"/>
                <w:szCs w:val="20"/>
              </w:rPr>
              <w:t>Provider</w:t>
            </w:r>
            <w:r>
              <w:rPr>
                <w:rFonts w:ascii="Arial" w:hAnsi="Arial" w:cs="Arial"/>
                <w:spacing w:val="-2"/>
                <w:sz w:val="20"/>
                <w:szCs w:val="20"/>
              </w:rPr>
              <w:t xml:space="preserve"> </w:t>
            </w:r>
            <w:r>
              <w:rPr>
                <w:rFonts w:ascii="Arial" w:hAnsi="Arial" w:cs="Arial"/>
                <w:sz w:val="20"/>
                <w:szCs w:val="20"/>
              </w:rPr>
              <w:t>Manua</w:t>
            </w:r>
            <w:r>
              <w:rPr>
                <w:rFonts w:ascii="Arial" w:hAnsi="Arial" w:cs="Arial"/>
                <w:spacing w:val="-1"/>
                <w:sz w:val="20"/>
                <w:szCs w:val="20"/>
              </w:rPr>
              <w:t>l</w:t>
            </w:r>
            <w:r>
              <w:rPr>
                <w:rFonts w:ascii="Arial" w:hAnsi="Arial" w:cs="Arial"/>
                <w:sz w:val="20"/>
                <w:szCs w:val="20"/>
              </w:rPr>
              <w:t>s</w:t>
            </w:r>
          </w:p>
        </w:tc>
        <w:tc>
          <w:tcPr>
            <w:tcW w:w="3750" w:type="dxa"/>
            <w:tcBorders>
              <w:top w:val="single" w:sz="6" w:space="0" w:color="000000"/>
              <w:left w:val="single" w:sz="6" w:space="0" w:color="000000"/>
              <w:bottom w:val="single" w:sz="6" w:space="0" w:color="000000"/>
              <w:right w:val="single" w:sz="6" w:space="0" w:color="000000"/>
            </w:tcBorders>
          </w:tcPr>
          <w:p w14:paraId="6094AACC" w14:textId="77777777" w:rsidR="00122052" w:rsidRPr="00AE57EC" w:rsidRDefault="00122052" w:rsidP="00B938CD">
            <w:pPr>
              <w:spacing w:line="120" w:lineRule="exact"/>
              <w:rPr>
                <w:sz w:val="12"/>
                <w:szCs w:val="12"/>
              </w:rPr>
            </w:pPr>
          </w:p>
          <w:p w14:paraId="42693F8F" w14:textId="77777777" w:rsidR="00122052" w:rsidRDefault="00122052" w:rsidP="00B938CD">
            <w:pPr>
              <w:spacing w:line="237" w:lineRule="auto"/>
              <w:ind w:left="188" w:right="170" w:hanging="2"/>
              <w:jc w:val="center"/>
              <w:rPr>
                <w:rFonts w:ascii="Arial" w:hAnsi="Arial" w:cs="Arial"/>
                <w:sz w:val="19"/>
                <w:szCs w:val="19"/>
              </w:rPr>
            </w:pPr>
            <w:r>
              <w:rPr>
                <w:rFonts w:ascii="Arial" w:hAnsi="Arial" w:cs="Arial"/>
                <w:b/>
                <w:bCs/>
                <w:spacing w:val="-1"/>
                <w:sz w:val="20"/>
                <w:szCs w:val="20"/>
              </w:rPr>
              <w:t>Subchapte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Numbe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an</w:t>
            </w:r>
            <w:r>
              <w:rPr>
                <w:rFonts w:ascii="Arial" w:hAnsi="Arial" w:cs="Arial"/>
                <w:b/>
                <w:bCs/>
                <w:sz w:val="20"/>
                <w:szCs w:val="20"/>
              </w:rPr>
              <w:t>d</w:t>
            </w:r>
            <w:r>
              <w:rPr>
                <w:rFonts w:ascii="Arial" w:hAnsi="Arial" w:cs="Arial"/>
                <w:b/>
                <w:bCs/>
                <w:spacing w:val="-2"/>
                <w:sz w:val="20"/>
                <w:szCs w:val="20"/>
              </w:rPr>
              <w:t xml:space="preserve"> </w:t>
            </w:r>
            <w:r>
              <w:rPr>
                <w:rFonts w:ascii="Arial" w:hAnsi="Arial" w:cs="Arial"/>
                <w:b/>
                <w:bCs/>
                <w:spacing w:val="-1"/>
                <w:sz w:val="20"/>
                <w:szCs w:val="20"/>
              </w:rPr>
              <w:t xml:space="preserve">Title </w:t>
            </w:r>
            <w:r w:rsidRPr="006257D3">
              <w:rPr>
                <w:rFonts w:ascii="Arial" w:hAnsi="Arial" w:cs="Arial"/>
                <w:sz w:val="20"/>
                <w:szCs w:val="20"/>
              </w:rPr>
              <w:t>Appendix</w:t>
            </w:r>
            <w:r w:rsidRPr="006257D3">
              <w:rPr>
                <w:rFonts w:ascii="Arial" w:hAnsi="Arial" w:cs="Arial"/>
                <w:spacing w:val="-16"/>
                <w:sz w:val="20"/>
                <w:szCs w:val="20"/>
              </w:rPr>
              <w:t xml:space="preserve"> </w:t>
            </w:r>
            <w:r w:rsidRPr="006257D3">
              <w:rPr>
                <w:rFonts w:ascii="Arial" w:hAnsi="Arial" w:cs="Arial"/>
                <w:sz w:val="20"/>
                <w:szCs w:val="20"/>
              </w:rPr>
              <w:t>W.</w:t>
            </w:r>
            <w:r w:rsidRPr="006257D3">
              <w:rPr>
                <w:rFonts w:ascii="Arial" w:hAnsi="Arial" w:cs="Arial"/>
                <w:spacing w:val="38"/>
                <w:sz w:val="20"/>
                <w:szCs w:val="20"/>
              </w:rPr>
              <w:t xml:space="preserve"> </w:t>
            </w:r>
            <w:r w:rsidRPr="006257D3">
              <w:rPr>
                <w:rFonts w:ascii="Arial" w:hAnsi="Arial" w:cs="Arial"/>
                <w:sz w:val="20"/>
                <w:szCs w:val="20"/>
              </w:rPr>
              <w:t>EPSDT</w:t>
            </w:r>
            <w:r w:rsidRPr="006257D3">
              <w:rPr>
                <w:rFonts w:ascii="Arial" w:hAnsi="Arial" w:cs="Arial"/>
                <w:spacing w:val="-12"/>
                <w:sz w:val="20"/>
                <w:szCs w:val="20"/>
              </w:rPr>
              <w:t xml:space="preserve"> </w:t>
            </w:r>
            <w:r w:rsidRPr="006257D3">
              <w:rPr>
                <w:rFonts w:ascii="Arial" w:hAnsi="Arial" w:cs="Arial"/>
                <w:sz w:val="20"/>
                <w:szCs w:val="20"/>
              </w:rPr>
              <w:t>Servi</w:t>
            </w:r>
            <w:r w:rsidRPr="006257D3">
              <w:rPr>
                <w:rFonts w:ascii="Arial" w:hAnsi="Arial" w:cs="Arial"/>
                <w:spacing w:val="1"/>
                <w:sz w:val="20"/>
                <w:szCs w:val="20"/>
              </w:rPr>
              <w:t>c</w:t>
            </w:r>
            <w:r w:rsidRPr="006257D3">
              <w:rPr>
                <w:rFonts w:ascii="Arial" w:hAnsi="Arial" w:cs="Arial"/>
                <w:sz w:val="20"/>
                <w:szCs w:val="20"/>
              </w:rPr>
              <w:t>es</w:t>
            </w:r>
            <w:r w:rsidRPr="006257D3">
              <w:rPr>
                <w:rFonts w:ascii="Arial" w:hAnsi="Arial" w:cs="Arial"/>
                <w:spacing w:val="-15"/>
                <w:sz w:val="20"/>
                <w:szCs w:val="20"/>
              </w:rPr>
              <w:t xml:space="preserve"> </w:t>
            </w:r>
            <w:r w:rsidRPr="006257D3">
              <w:rPr>
                <w:rFonts w:ascii="Arial" w:hAnsi="Arial" w:cs="Arial"/>
                <w:w w:val="99"/>
                <w:sz w:val="20"/>
                <w:szCs w:val="20"/>
              </w:rPr>
              <w:t xml:space="preserve">Medical </w:t>
            </w:r>
            <w:r w:rsidRPr="006257D3">
              <w:rPr>
                <w:rFonts w:ascii="Arial" w:hAnsi="Arial" w:cs="Arial"/>
                <w:sz w:val="20"/>
                <w:szCs w:val="20"/>
              </w:rPr>
              <w:t>and</w:t>
            </w:r>
            <w:r w:rsidRPr="006257D3">
              <w:rPr>
                <w:rFonts w:ascii="Arial" w:hAnsi="Arial" w:cs="Arial"/>
                <w:spacing w:val="-11"/>
                <w:sz w:val="20"/>
                <w:szCs w:val="20"/>
              </w:rPr>
              <w:t xml:space="preserve"> </w:t>
            </w:r>
            <w:r w:rsidRPr="006257D3">
              <w:rPr>
                <w:rFonts w:ascii="Arial" w:hAnsi="Arial" w:cs="Arial"/>
                <w:sz w:val="20"/>
                <w:szCs w:val="20"/>
              </w:rPr>
              <w:t>Dental</w:t>
            </w:r>
            <w:r w:rsidRPr="006257D3">
              <w:rPr>
                <w:rFonts w:ascii="Arial" w:hAnsi="Arial" w:cs="Arial"/>
                <w:spacing w:val="-11"/>
                <w:sz w:val="20"/>
                <w:szCs w:val="20"/>
              </w:rPr>
              <w:t xml:space="preserve"> </w:t>
            </w:r>
            <w:r w:rsidRPr="006257D3">
              <w:rPr>
                <w:rFonts w:ascii="Arial" w:hAnsi="Arial" w:cs="Arial"/>
                <w:sz w:val="20"/>
                <w:szCs w:val="20"/>
              </w:rPr>
              <w:t>P</w:t>
            </w:r>
            <w:r w:rsidRPr="006257D3">
              <w:rPr>
                <w:rFonts w:ascii="Arial" w:hAnsi="Arial" w:cs="Arial"/>
                <w:spacing w:val="2"/>
                <w:sz w:val="20"/>
                <w:szCs w:val="20"/>
              </w:rPr>
              <w:t>r</w:t>
            </w:r>
            <w:r w:rsidRPr="006257D3">
              <w:rPr>
                <w:rFonts w:ascii="Arial" w:hAnsi="Arial" w:cs="Arial"/>
                <w:sz w:val="20"/>
                <w:szCs w:val="20"/>
              </w:rPr>
              <w:t>otocols</w:t>
            </w:r>
            <w:r w:rsidRPr="006257D3">
              <w:rPr>
                <w:rFonts w:ascii="Arial" w:hAnsi="Arial" w:cs="Arial"/>
                <w:spacing w:val="-15"/>
                <w:sz w:val="20"/>
                <w:szCs w:val="20"/>
              </w:rPr>
              <w:t xml:space="preserve"> </w:t>
            </w:r>
            <w:r w:rsidRPr="006257D3">
              <w:rPr>
                <w:rFonts w:ascii="Arial" w:hAnsi="Arial" w:cs="Arial"/>
                <w:sz w:val="20"/>
                <w:szCs w:val="20"/>
              </w:rPr>
              <w:t>and</w:t>
            </w:r>
            <w:r w:rsidRPr="006257D3">
              <w:rPr>
                <w:rFonts w:ascii="Arial" w:hAnsi="Arial" w:cs="Arial"/>
                <w:spacing w:val="-9"/>
                <w:sz w:val="20"/>
                <w:szCs w:val="20"/>
              </w:rPr>
              <w:t xml:space="preserve"> </w:t>
            </w:r>
            <w:r w:rsidRPr="006257D3">
              <w:rPr>
                <w:rFonts w:ascii="Arial" w:hAnsi="Arial" w:cs="Arial"/>
                <w:w w:val="99"/>
                <w:sz w:val="20"/>
                <w:szCs w:val="20"/>
              </w:rPr>
              <w:t>Periodicity Schedules</w:t>
            </w:r>
          </w:p>
        </w:tc>
        <w:tc>
          <w:tcPr>
            <w:tcW w:w="1771" w:type="dxa"/>
            <w:tcBorders>
              <w:top w:val="single" w:sz="6" w:space="0" w:color="000000"/>
              <w:left w:val="single" w:sz="6" w:space="0" w:color="000000"/>
              <w:bottom w:val="single" w:sz="6" w:space="0" w:color="000000"/>
              <w:right w:val="single" w:sz="6" w:space="0" w:color="000000"/>
            </w:tcBorders>
          </w:tcPr>
          <w:p w14:paraId="5AB8168E" w14:textId="77777777" w:rsidR="00122052" w:rsidRPr="00AE57EC" w:rsidRDefault="00122052" w:rsidP="00B938CD">
            <w:pPr>
              <w:spacing w:before="9" w:line="110" w:lineRule="exact"/>
              <w:rPr>
                <w:sz w:val="11"/>
                <w:szCs w:val="11"/>
              </w:rPr>
            </w:pPr>
          </w:p>
          <w:p w14:paraId="63463BF9" w14:textId="77777777" w:rsidR="00122052" w:rsidRDefault="00122052" w:rsidP="00B938CD">
            <w:pPr>
              <w:ind w:left="603" w:right="584"/>
              <w:jc w:val="center"/>
              <w:rPr>
                <w:rFonts w:ascii="Arial" w:hAnsi="Arial" w:cs="Arial"/>
                <w:sz w:val="20"/>
                <w:szCs w:val="20"/>
              </w:rPr>
            </w:pPr>
            <w:r>
              <w:rPr>
                <w:rFonts w:ascii="Arial" w:hAnsi="Arial" w:cs="Arial"/>
                <w:b/>
                <w:bCs/>
                <w:spacing w:val="-1"/>
                <w:sz w:val="20"/>
                <w:szCs w:val="20"/>
              </w:rPr>
              <w:t>Page</w:t>
            </w:r>
          </w:p>
          <w:p w14:paraId="18779900" w14:textId="77777777" w:rsidR="00122052" w:rsidRPr="00AE57EC" w:rsidRDefault="00122052" w:rsidP="00B938CD">
            <w:pPr>
              <w:spacing w:before="8" w:line="110" w:lineRule="exact"/>
              <w:rPr>
                <w:sz w:val="11"/>
                <w:szCs w:val="11"/>
              </w:rPr>
            </w:pPr>
          </w:p>
          <w:p w14:paraId="3F354ACD" w14:textId="2EA8131F" w:rsidR="00122052" w:rsidRPr="004A6519" w:rsidRDefault="00122052" w:rsidP="00B938CD">
            <w:pPr>
              <w:pStyle w:val="Header"/>
              <w:jc w:val="center"/>
              <w:rPr>
                <w:rStyle w:val="PageNumber"/>
                <w:b w:val="0"/>
                <w:bCs/>
                <w:i w:val="0"/>
                <w:iCs w:val="0"/>
              </w:rPr>
            </w:pPr>
            <w:r w:rsidRPr="004A6519">
              <w:rPr>
                <w:rFonts w:ascii="Arial" w:hAnsi="Arial" w:cs="Arial"/>
                <w:b w:val="0"/>
                <w:bCs/>
                <w:i w:val="0"/>
                <w:iCs w:val="0"/>
              </w:rPr>
              <w:t>W-</w:t>
            </w:r>
            <w:r w:rsidRPr="004A6519">
              <w:rPr>
                <w:rFonts w:ascii="Arial" w:hAnsi="Arial" w:cs="Arial"/>
                <w:b w:val="0"/>
                <w:bCs/>
                <w:i w:val="0"/>
                <w:iCs w:val="0"/>
              </w:rPr>
              <w:fldChar w:fldCharType="begin"/>
            </w:r>
            <w:r w:rsidRPr="004A6519">
              <w:rPr>
                <w:rFonts w:ascii="Arial" w:hAnsi="Arial" w:cs="Arial"/>
                <w:b w:val="0"/>
                <w:bCs/>
                <w:i w:val="0"/>
                <w:iCs w:val="0"/>
              </w:rPr>
              <w:instrText xml:space="preserve"> PAGE   \* MERGEFORMAT </w:instrText>
            </w:r>
            <w:r w:rsidRPr="004A6519">
              <w:rPr>
                <w:rFonts w:ascii="Arial" w:hAnsi="Arial" w:cs="Arial"/>
                <w:b w:val="0"/>
                <w:bCs/>
                <w:i w:val="0"/>
                <w:iCs w:val="0"/>
              </w:rPr>
              <w:fldChar w:fldCharType="separate"/>
            </w:r>
            <w:r w:rsidR="00ED05A2">
              <w:rPr>
                <w:rFonts w:ascii="Arial" w:hAnsi="Arial" w:cs="Arial"/>
                <w:b w:val="0"/>
                <w:bCs/>
                <w:i w:val="0"/>
                <w:iCs w:val="0"/>
                <w:noProof/>
              </w:rPr>
              <w:t>1</w:t>
            </w:r>
            <w:r w:rsidRPr="004A6519">
              <w:rPr>
                <w:rFonts w:ascii="Arial" w:hAnsi="Arial" w:cs="Arial"/>
                <w:b w:val="0"/>
                <w:bCs/>
                <w:i w:val="0"/>
                <w:iCs w:val="0"/>
                <w:noProof/>
              </w:rPr>
              <w:fldChar w:fldCharType="end"/>
            </w:r>
          </w:p>
          <w:p w14:paraId="7A835DFB" w14:textId="77777777" w:rsidR="00122052" w:rsidRDefault="00122052" w:rsidP="00B938CD">
            <w:pPr>
              <w:ind w:left="650" w:right="630"/>
              <w:jc w:val="center"/>
              <w:rPr>
                <w:rFonts w:ascii="Arial" w:hAnsi="Arial" w:cs="Arial"/>
                <w:sz w:val="20"/>
                <w:szCs w:val="20"/>
              </w:rPr>
            </w:pPr>
          </w:p>
        </w:tc>
      </w:tr>
      <w:tr w:rsidR="00122052" w:rsidRPr="00AE57EC" w14:paraId="648C6A5E" w14:textId="77777777" w:rsidTr="00B938CD">
        <w:trPr>
          <w:trHeight w:hRule="exact" w:val="866"/>
        </w:trPr>
        <w:tc>
          <w:tcPr>
            <w:tcW w:w="4080" w:type="dxa"/>
            <w:vMerge/>
            <w:tcBorders>
              <w:left w:val="single" w:sz="6" w:space="0" w:color="000000"/>
              <w:bottom w:val="single" w:sz="6" w:space="0" w:color="000000"/>
              <w:right w:val="single" w:sz="6" w:space="0" w:color="000000"/>
            </w:tcBorders>
          </w:tcPr>
          <w:p w14:paraId="0DA2AC46" w14:textId="77777777" w:rsidR="00122052" w:rsidRPr="00AE57EC" w:rsidRDefault="00122052" w:rsidP="00B938CD"/>
        </w:tc>
        <w:tc>
          <w:tcPr>
            <w:tcW w:w="3750" w:type="dxa"/>
            <w:tcBorders>
              <w:top w:val="single" w:sz="6" w:space="0" w:color="000000"/>
              <w:left w:val="single" w:sz="6" w:space="0" w:color="000000"/>
              <w:bottom w:val="single" w:sz="6" w:space="0" w:color="000000"/>
              <w:right w:val="single" w:sz="6" w:space="0" w:color="000000"/>
            </w:tcBorders>
          </w:tcPr>
          <w:p w14:paraId="34B7A4BD" w14:textId="77777777" w:rsidR="00122052" w:rsidRPr="00AE57EC" w:rsidRDefault="00122052" w:rsidP="00B938CD">
            <w:pPr>
              <w:spacing w:before="10" w:line="110" w:lineRule="exact"/>
              <w:rPr>
                <w:sz w:val="11"/>
                <w:szCs w:val="11"/>
              </w:rPr>
            </w:pPr>
          </w:p>
          <w:p w14:paraId="0437C00E" w14:textId="77777777" w:rsidR="00122052" w:rsidRDefault="00122052" w:rsidP="00B938CD">
            <w:pPr>
              <w:ind w:left="985" w:right="966"/>
              <w:jc w:val="center"/>
              <w:rPr>
                <w:rFonts w:ascii="Arial" w:hAnsi="Arial" w:cs="Arial"/>
                <w:sz w:val="20"/>
                <w:szCs w:val="20"/>
              </w:rPr>
            </w:pPr>
            <w:r>
              <w:rPr>
                <w:rFonts w:ascii="Arial" w:hAnsi="Arial" w:cs="Arial"/>
                <w:b/>
                <w:bCs/>
                <w:sz w:val="20"/>
                <w:szCs w:val="20"/>
              </w:rPr>
              <w:t>Trans</w:t>
            </w:r>
            <w:r>
              <w:rPr>
                <w:rFonts w:ascii="Arial" w:hAnsi="Arial" w:cs="Arial"/>
                <w:b/>
                <w:bCs/>
                <w:spacing w:val="-2"/>
                <w:sz w:val="20"/>
                <w:szCs w:val="20"/>
              </w:rPr>
              <w:t>m</w:t>
            </w:r>
            <w:r>
              <w:rPr>
                <w:rFonts w:ascii="Arial" w:hAnsi="Arial" w:cs="Arial"/>
                <w:b/>
                <w:bCs/>
                <w:sz w:val="20"/>
                <w:szCs w:val="20"/>
              </w:rPr>
              <w:t>ittal</w:t>
            </w:r>
            <w:r>
              <w:rPr>
                <w:rFonts w:ascii="Arial" w:hAnsi="Arial" w:cs="Arial"/>
                <w:b/>
                <w:bCs/>
                <w:spacing w:val="-2"/>
                <w:sz w:val="20"/>
                <w:szCs w:val="20"/>
              </w:rPr>
              <w:t xml:space="preserve"> </w:t>
            </w:r>
            <w:r>
              <w:rPr>
                <w:rFonts w:ascii="Arial" w:hAnsi="Arial" w:cs="Arial"/>
                <w:b/>
                <w:bCs/>
                <w:sz w:val="20"/>
                <w:szCs w:val="20"/>
              </w:rPr>
              <w:t>Letter</w:t>
            </w:r>
          </w:p>
          <w:p w14:paraId="69CF80F2" w14:textId="77777777" w:rsidR="00122052" w:rsidRPr="00AE57EC" w:rsidRDefault="00122052" w:rsidP="00B938CD">
            <w:pPr>
              <w:spacing w:before="7" w:line="110" w:lineRule="exact"/>
              <w:rPr>
                <w:sz w:val="11"/>
                <w:szCs w:val="11"/>
              </w:rPr>
            </w:pPr>
          </w:p>
          <w:p w14:paraId="5892B607" w14:textId="77777777" w:rsidR="00122052" w:rsidRPr="00DB19DD" w:rsidRDefault="00122052" w:rsidP="00B938CD">
            <w:pPr>
              <w:ind w:left="1452" w:right="1435"/>
              <w:jc w:val="center"/>
              <w:rPr>
                <w:rFonts w:ascii="Arial" w:hAnsi="Arial" w:cs="Arial"/>
                <w:sz w:val="20"/>
                <w:szCs w:val="20"/>
              </w:rPr>
            </w:pPr>
            <w:r>
              <w:rPr>
                <w:rFonts w:ascii="Arial" w:hAnsi="Arial" w:cs="Arial"/>
                <w:sz w:val="20"/>
                <w:szCs w:val="20"/>
              </w:rPr>
              <w:t>ALL-249</w:t>
            </w:r>
          </w:p>
        </w:tc>
        <w:tc>
          <w:tcPr>
            <w:tcW w:w="1771" w:type="dxa"/>
            <w:tcBorders>
              <w:top w:val="single" w:sz="6" w:space="0" w:color="000000"/>
              <w:left w:val="single" w:sz="6" w:space="0" w:color="000000"/>
              <w:bottom w:val="single" w:sz="6" w:space="0" w:color="000000"/>
              <w:right w:val="single" w:sz="6" w:space="0" w:color="000000"/>
            </w:tcBorders>
          </w:tcPr>
          <w:p w14:paraId="0F5E1CE3" w14:textId="77777777" w:rsidR="00122052" w:rsidRPr="00AE57EC" w:rsidRDefault="00122052" w:rsidP="00B938CD">
            <w:pPr>
              <w:spacing w:before="10" w:line="110" w:lineRule="exact"/>
              <w:rPr>
                <w:sz w:val="11"/>
                <w:szCs w:val="11"/>
              </w:rPr>
            </w:pPr>
          </w:p>
          <w:p w14:paraId="2886EAFC" w14:textId="77777777" w:rsidR="00122052" w:rsidRDefault="00122052" w:rsidP="00B938CD">
            <w:pPr>
              <w:ind w:left="624" w:right="607"/>
              <w:jc w:val="center"/>
              <w:rPr>
                <w:rFonts w:ascii="Arial" w:hAnsi="Arial" w:cs="Arial"/>
                <w:sz w:val="20"/>
                <w:szCs w:val="20"/>
              </w:rPr>
            </w:pPr>
            <w:r>
              <w:rPr>
                <w:rFonts w:ascii="Arial" w:hAnsi="Arial" w:cs="Arial"/>
                <w:b/>
                <w:bCs/>
                <w:sz w:val="20"/>
                <w:szCs w:val="20"/>
              </w:rPr>
              <w:t>Da</w:t>
            </w:r>
            <w:r>
              <w:rPr>
                <w:rFonts w:ascii="Arial" w:hAnsi="Arial" w:cs="Arial"/>
                <w:b/>
                <w:bCs/>
                <w:spacing w:val="-1"/>
                <w:sz w:val="20"/>
                <w:szCs w:val="20"/>
              </w:rPr>
              <w:t>t</w:t>
            </w:r>
            <w:r>
              <w:rPr>
                <w:rFonts w:ascii="Arial" w:hAnsi="Arial" w:cs="Arial"/>
                <w:b/>
                <w:bCs/>
                <w:sz w:val="20"/>
                <w:szCs w:val="20"/>
              </w:rPr>
              <w:t>e</w:t>
            </w:r>
          </w:p>
          <w:p w14:paraId="5AF19A11" w14:textId="77777777" w:rsidR="00122052" w:rsidRPr="00AE57EC" w:rsidRDefault="00122052" w:rsidP="00B938CD">
            <w:pPr>
              <w:spacing w:before="7" w:line="110" w:lineRule="exact"/>
              <w:rPr>
                <w:sz w:val="11"/>
                <w:szCs w:val="11"/>
              </w:rPr>
            </w:pPr>
          </w:p>
          <w:p w14:paraId="01B053D3" w14:textId="77777777" w:rsidR="00122052" w:rsidRPr="00DB19DD" w:rsidRDefault="00122052" w:rsidP="00B938CD">
            <w:pPr>
              <w:ind w:left="452" w:right="433"/>
              <w:jc w:val="center"/>
              <w:rPr>
                <w:rFonts w:ascii="Arial" w:hAnsi="Arial" w:cs="Arial"/>
                <w:sz w:val="20"/>
                <w:szCs w:val="20"/>
              </w:rPr>
            </w:pPr>
            <w:r>
              <w:rPr>
                <w:rFonts w:ascii="Arial" w:hAnsi="Arial" w:cs="Arial"/>
                <w:sz w:val="20"/>
                <w:szCs w:val="20"/>
              </w:rPr>
              <w:t>11/21/24</w:t>
            </w:r>
          </w:p>
        </w:tc>
      </w:tr>
    </w:tbl>
    <w:p w14:paraId="25F27899" w14:textId="77777777" w:rsidR="00122052" w:rsidRPr="00122052" w:rsidRDefault="00122052" w:rsidP="005D135E">
      <w:pPr>
        <w:pStyle w:val="Heading1"/>
        <w:spacing w:before="120"/>
        <w:jc w:val="center"/>
        <w:rPr>
          <w:sz w:val="22"/>
          <w:szCs w:val="22"/>
        </w:rPr>
      </w:pPr>
    </w:p>
    <w:p w14:paraId="48B4B594" w14:textId="19351EFC" w:rsidR="00E65281" w:rsidRPr="001D528D" w:rsidRDefault="00E65281" w:rsidP="005D135E">
      <w:pPr>
        <w:pStyle w:val="Heading1"/>
        <w:spacing w:before="120"/>
        <w:jc w:val="center"/>
      </w:pPr>
      <w:r w:rsidRPr="001D528D">
        <w:t>Early and Periodic Screening, Diagnostic, and Treatment (EPSDT)Medical Protocol and Periodicity Schedule (the Medical Schedule) and EPSDT Dental Protocol and Periodicity Schedule (the Dental Schedule)</w:t>
      </w:r>
    </w:p>
    <w:p w14:paraId="57A6BE43" w14:textId="77777777" w:rsidR="00E65281" w:rsidRPr="001D528D" w:rsidRDefault="00E65281" w:rsidP="00D97B6B">
      <w:pPr>
        <w:spacing w:line="240" w:lineRule="exact"/>
      </w:pPr>
    </w:p>
    <w:p w14:paraId="32DE05D4" w14:textId="77777777" w:rsidR="00E65281" w:rsidRPr="001D528D" w:rsidRDefault="00E65281" w:rsidP="005D135E">
      <w:pPr>
        <w:pStyle w:val="Heading2"/>
        <w:spacing w:before="0"/>
      </w:pPr>
      <w:r w:rsidRPr="001D528D">
        <w:t>The Medical Schedule</w:t>
      </w:r>
    </w:p>
    <w:p w14:paraId="2DC602A6" w14:textId="77777777" w:rsidR="00E65281" w:rsidRPr="001D528D" w:rsidRDefault="00E65281" w:rsidP="00324FB3">
      <w:pPr>
        <w:tabs>
          <w:tab w:val="left" w:pos="9810"/>
        </w:tabs>
        <w:spacing w:before="31" w:line="241" w:lineRule="auto"/>
        <w:ind w:right="10"/>
      </w:pPr>
      <w:r w:rsidRPr="001D528D">
        <w:t xml:space="preserve">The EPSDT Medical Protocol and Periodicity Schedule (the Medical Schedule) consists of screening procedures arranged according to the intervals or age levels at which each procedure should be provided. See </w:t>
      </w:r>
      <w:hyperlink r:id="rId33" w:history="1">
        <w:r w:rsidRPr="001D528D">
          <w:rPr>
            <w:rStyle w:val="Hyperlink"/>
          </w:rPr>
          <w:t>130 CMR 450.140 through 450.150</w:t>
        </w:r>
      </w:hyperlink>
      <w:r w:rsidRPr="001D528D">
        <w:t xml:space="preserve"> for more information about Early and Periodic Screening, Diagnostic, and Treatment (EPSDT) services and Preventive Pediatric Healthcare Screening and Diagnosis (PPHSD) services. This schedule reflects recommended well and preventive child healthcare screening services. If the clinical needs of a child justify deviation from this schedule, the provider must document this fact in the member’s medical record, including the provider’s clinical judgment and justification for that deviation. </w:t>
      </w:r>
    </w:p>
    <w:p w14:paraId="20605952" w14:textId="77777777" w:rsidR="00E65281" w:rsidRPr="001D528D" w:rsidRDefault="00E65281" w:rsidP="00324FB3">
      <w:pPr>
        <w:tabs>
          <w:tab w:val="left" w:pos="9810"/>
        </w:tabs>
        <w:spacing w:before="31" w:line="241" w:lineRule="auto"/>
        <w:ind w:right="10"/>
        <w:rPr>
          <w:sz w:val="16"/>
          <w:szCs w:val="16"/>
        </w:rPr>
      </w:pPr>
    </w:p>
    <w:p w14:paraId="2B4F6F6A" w14:textId="77777777" w:rsidR="00E65281" w:rsidRPr="001D528D" w:rsidRDefault="00E65281" w:rsidP="00324FB3">
      <w:pPr>
        <w:tabs>
          <w:tab w:val="left" w:pos="9810"/>
        </w:tabs>
        <w:spacing w:before="31" w:after="120"/>
        <w:ind w:right="14"/>
      </w:pPr>
      <w:r w:rsidRPr="001D528D">
        <w:t>The Medical Schedule reflects guidance from several sources, including, but not limited to:</w:t>
      </w:r>
    </w:p>
    <w:p w14:paraId="2171FA12" w14:textId="77777777" w:rsidR="00E65281" w:rsidRPr="001D528D" w:rsidRDefault="00E65281" w:rsidP="00E65281">
      <w:pPr>
        <w:pStyle w:val="ListParagraph"/>
        <w:widowControl w:val="0"/>
        <w:numPr>
          <w:ilvl w:val="0"/>
          <w:numId w:val="24"/>
        </w:numPr>
        <w:tabs>
          <w:tab w:val="left" w:pos="9810"/>
        </w:tabs>
        <w:spacing w:before="31" w:after="120"/>
        <w:ind w:right="14"/>
        <w:contextualSpacing w:val="0"/>
      </w:pPr>
      <w:r w:rsidRPr="001D528D">
        <w:t xml:space="preserve">The United States </w:t>
      </w:r>
      <w:hyperlink r:id="rId34" w:history="1">
        <w:r w:rsidRPr="001D528D">
          <w:rPr>
            <w:rStyle w:val="Hyperlink"/>
          </w:rPr>
          <w:t>Centers for Disease Control and Prevention (CDC)</w:t>
        </w:r>
      </w:hyperlink>
      <w:r w:rsidRPr="001D528D">
        <w:t>.</w:t>
      </w:r>
    </w:p>
    <w:p w14:paraId="2C933FBC" w14:textId="77777777" w:rsidR="00E65281" w:rsidRPr="001D528D" w:rsidRDefault="00E65281" w:rsidP="00E65281">
      <w:pPr>
        <w:pStyle w:val="ListParagraph"/>
        <w:widowControl w:val="0"/>
        <w:numPr>
          <w:ilvl w:val="0"/>
          <w:numId w:val="24"/>
        </w:numPr>
        <w:tabs>
          <w:tab w:val="left" w:pos="9810"/>
        </w:tabs>
        <w:spacing w:before="31" w:after="120"/>
        <w:ind w:right="14"/>
        <w:contextualSpacing w:val="0"/>
      </w:pPr>
      <w:r w:rsidRPr="001D528D">
        <w:t xml:space="preserve">The </w:t>
      </w:r>
      <w:hyperlink r:id="rId35" w:history="1">
        <w:r w:rsidRPr="001D528D">
          <w:rPr>
            <w:rStyle w:val="Hyperlink"/>
          </w:rPr>
          <w:t>Bright Futures Guidelines</w:t>
        </w:r>
      </w:hyperlink>
      <w:r w:rsidRPr="001D528D">
        <w:t xml:space="preserve"> and the </w:t>
      </w:r>
      <w:hyperlink r:id="rId36" w:history="1">
        <w:r w:rsidRPr="001D528D">
          <w:rPr>
            <w:rStyle w:val="Hyperlink"/>
          </w:rPr>
          <w:t>Bright Futures/American Academy of Pediatrics (AAP) Periodicity Schedule</w:t>
        </w:r>
      </w:hyperlink>
      <w:r w:rsidRPr="001D528D">
        <w:t>. The Periodicity Schedule presents recommendations for each age-related visit in the Bright Futures Guidelines, including recommendations for screenings, assessments, physical exams, and procedures. The Periodicity Schedule is updated between editions of the Bright Futures Guidelines.</w:t>
      </w:r>
    </w:p>
    <w:p w14:paraId="2800D5CE" w14:textId="77777777" w:rsidR="00E65281" w:rsidRPr="001D528D" w:rsidRDefault="00E65281" w:rsidP="00E65281">
      <w:pPr>
        <w:pStyle w:val="ListParagraph"/>
        <w:widowControl w:val="0"/>
        <w:numPr>
          <w:ilvl w:val="0"/>
          <w:numId w:val="24"/>
        </w:numPr>
        <w:tabs>
          <w:tab w:val="left" w:pos="9810"/>
        </w:tabs>
        <w:spacing w:before="31" w:after="120"/>
        <w:ind w:right="14"/>
        <w:contextualSpacing w:val="0"/>
      </w:pPr>
      <w:hyperlink r:id="rId37" w:history="1">
        <w:r w:rsidRPr="001D528D">
          <w:rPr>
            <w:rStyle w:val="Hyperlink"/>
          </w:rPr>
          <w:t>The Massachusetts Health Quality Partners (MHQP) Pediatric Preventive Care Guidelines</w:t>
        </w:r>
      </w:hyperlink>
      <w:r w:rsidRPr="001D528D">
        <w:t xml:space="preserve">. MHQP is an independent, nonprofit organization that includes healthcare providers, payers, and patients in Massachusetts with the goal of improving patient care in the state of Massachusetts. </w:t>
      </w:r>
    </w:p>
    <w:p w14:paraId="431716C1" w14:textId="77777777" w:rsidR="00E65281" w:rsidRPr="001D528D" w:rsidRDefault="00E65281" w:rsidP="00D97B6B">
      <w:pPr>
        <w:tabs>
          <w:tab w:val="left" w:pos="9810"/>
        </w:tabs>
        <w:spacing w:before="31" w:line="241" w:lineRule="auto"/>
        <w:ind w:left="116" w:right="10"/>
      </w:pPr>
    </w:p>
    <w:p w14:paraId="67D0B890" w14:textId="77777777" w:rsidR="00E65281" w:rsidRPr="001D528D" w:rsidRDefault="00E65281" w:rsidP="004A6519">
      <w:pPr>
        <w:pStyle w:val="Heading2"/>
        <w:spacing w:before="0"/>
        <w:rPr>
          <w:sz w:val="28"/>
          <w:szCs w:val="28"/>
        </w:rPr>
      </w:pPr>
      <w:r w:rsidRPr="001D528D">
        <w:t>Frequency of Pediatric Preventive Healthcare Visits</w:t>
      </w:r>
    </w:p>
    <w:p w14:paraId="4D454CF8" w14:textId="77777777" w:rsidR="00E65281" w:rsidRPr="001D528D" w:rsidRDefault="00E65281" w:rsidP="00D97B6B">
      <w:pPr>
        <w:tabs>
          <w:tab w:val="left" w:pos="9810"/>
        </w:tabs>
        <w:ind w:left="116" w:right="10"/>
        <w:rPr>
          <w:sz w:val="16"/>
          <w:szCs w:val="16"/>
        </w:rPr>
      </w:pPr>
    </w:p>
    <w:p w14:paraId="76A6AC11" w14:textId="77777777" w:rsidR="00E65281" w:rsidRPr="001D528D" w:rsidRDefault="00E65281" w:rsidP="00772459">
      <w:pPr>
        <w:tabs>
          <w:tab w:val="left" w:pos="9810"/>
        </w:tabs>
      </w:pPr>
      <w:r w:rsidRPr="001D528D">
        <w:t>Pediatric preventive healthcare visits should contain the parts explained in the descriptions in the Medical Schedule and, at a minimum, occur at the following ages:</w:t>
      </w:r>
    </w:p>
    <w:p w14:paraId="7324108B" w14:textId="77777777" w:rsidR="00E65281" w:rsidRPr="001D528D" w:rsidRDefault="00E65281" w:rsidP="00E65281">
      <w:pPr>
        <w:pStyle w:val="ListParagraph"/>
        <w:widowControl w:val="0"/>
        <w:numPr>
          <w:ilvl w:val="1"/>
          <w:numId w:val="27"/>
        </w:numPr>
        <w:tabs>
          <w:tab w:val="left" w:pos="9810"/>
        </w:tabs>
        <w:spacing w:before="13"/>
        <w:ind w:left="720" w:right="14"/>
      </w:pPr>
      <w:r w:rsidRPr="001D528D">
        <w:t>newborn;</w:t>
      </w:r>
    </w:p>
    <w:p w14:paraId="499B94D0" w14:textId="77777777" w:rsidR="00E65281" w:rsidRPr="001D528D" w:rsidRDefault="00E65281" w:rsidP="00E65281">
      <w:pPr>
        <w:pStyle w:val="ListParagraph"/>
        <w:widowControl w:val="0"/>
        <w:numPr>
          <w:ilvl w:val="1"/>
          <w:numId w:val="27"/>
        </w:numPr>
        <w:tabs>
          <w:tab w:val="left" w:pos="9810"/>
        </w:tabs>
        <w:spacing w:before="13"/>
        <w:ind w:left="720" w:right="14"/>
      </w:pPr>
      <w:r w:rsidRPr="001D528D">
        <w:t xml:space="preserve">three to five days; </w:t>
      </w:r>
    </w:p>
    <w:p w14:paraId="70A8D430" w14:textId="77777777" w:rsidR="00E65281" w:rsidRPr="001D528D" w:rsidRDefault="00E65281" w:rsidP="00E65281">
      <w:pPr>
        <w:pStyle w:val="ListParagraph"/>
        <w:widowControl w:val="0"/>
        <w:numPr>
          <w:ilvl w:val="2"/>
          <w:numId w:val="30"/>
        </w:numPr>
        <w:tabs>
          <w:tab w:val="left" w:pos="9810"/>
        </w:tabs>
        <w:spacing w:before="13"/>
        <w:ind w:left="1080" w:right="14"/>
      </w:pPr>
      <w:r w:rsidRPr="001D528D">
        <w:t xml:space="preserve">newborns sent home from the hospital </w:t>
      </w:r>
      <w:r w:rsidRPr="001D528D">
        <w:rPr>
          <w:b/>
          <w:bCs/>
        </w:rPr>
        <w:t>fewer than 48 hours after delivery</w:t>
      </w:r>
      <w:r w:rsidRPr="001D528D">
        <w:t xml:space="preserve"> should be evaluated within 48 hours of discharge;</w:t>
      </w:r>
    </w:p>
    <w:p w14:paraId="17E13378" w14:textId="77777777" w:rsidR="00E65281" w:rsidRPr="001D528D" w:rsidRDefault="00E65281" w:rsidP="00E65281">
      <w:pPr>
        <w:pStyle w:val="ListParagraph"/>
        <w:widowControl w:val="0"/>
        <w:numPr>
          <w:ilvl w:val="2"/>
          <w:numId w:val="30"/>
        </w:numPr>
        <w:tabs>
          <w:tab w:val="left" w:pos="9810"/>
        </w:tabs>
        <w:spacing w:before="13"/>
        <w:ind w:left="1080" w:right="14"/>
      </w:pPr>
      <w:r w:rsidRPr="001D528D">
        <w:t xml:space="preserve">newborns sent home from the hospital </w:t>
      </w:r>
      <w:r w:rsidRPr="001D528D">
        <w:rPr>
          <w:b/>
          <w:bCs/>
        </w:rPr>
        <w:t>48 hours or more after delivery</w:t>
      </w:r>
      <w:r w:rsidRPr="001D528D">
        <w:t xml:space="preserve"> should be evaluated within 48 to 72 hours after discharge; </w:t>
      </w:r>
    </w:p>
    <w:p w14:paraId="35804A27" w14:textId="77777777" w:rsidR="00E65281" w:rsidRDefault="00E65281" w:rsidP="00E65281">
      <w:pPr>
        <w:pStyle w:val="ListParagraph"/>
        <w:widowControl w:val="0"/>
        <w:numPr>
          <w:ilvl w:val="1"/>
          <w:numId w:val="27"/>
        </w:numPr>
        <w:tabs>
          <w:tab w:val="left" w:pos="9810"/>
        </w:tabs>
        <w:spacing w:before="13"/>
        <w:ind w:left="720" w:right="14"/>
      </w:pPr>
      <w:r>
        <w:t xml:space="preserve">by </w:t>
      </w:r>
      <w:r w:rsidRPr="001D528D">
        <w:t>one</w:t>
      </w:r>
      <w:r>
        <w:t xml:space="preserve"> month;</w:t>
      </w:r>
      <w:r w:rsidRPr="001D528D">
        <w:t xml:space="preserve"> </w:t>
      </w:r>
    </w:p>
    <w:p w14:paraId="15A97F8E" w14:textId="77777777" w:rsidR="00E65281" w:rsidRPr="001D528D" w:rsidRDefault="00E65281" w:rsidP="00E65281">
      <w:pPr>
        <w:pStyle w:val="ListParagraph"/>
        <w:widowControl w:val="0"/>
        <w:numPr>
          <w:ilvl w:val="1"/>
          <w:numId w:val="27"/>
        </w:numPr>
        <w:tabs>
          <w:tab w:val="left" w:pos="9810"/>
        </w:tabs>
        <w:spacing w:before="13"/>
        <w:ind w:left="720" w:right="14"/>
      </w:pPr>
      <w:r w:rsidRPr="001D528D">
        <w:t>two, four, six, and nine months;</w:t>
      </w:r>
    </w:p>
    <w:p w14:paraId="228F25B5" w14:textId="77777777" w:rsidR="00E65281" w:rsidRPr="001D528D" w:rsidRDefault="00E65281" w:rsidP="00E65281">
      <w:pPr>
        <w:pStyle w:val="ListParagraph"/>
        <w:widowControl w:val="0"/>
        <w:numPr>
          <w:ilvl w:val="1"/>
          <w:numId w:val="27"/>
        </w:numPr>
        <w:tabs>
          <w:tab w:val="left" w:pos="9810"/>
        </w:tabs>
        <w:spacing w:before="13"/>
        <w:ind w:left="720" w:right="14"/>
      </w:pPr>
      <w:r w:rsidRPr="001D528D">
        <w:t>12, 15, 18, 24, and 30 months; and</w:t>
      </w:r>
    </w:p>
    <w:p w14:paraId="68A6504A" w14:textId="77777777" w:rsidR="00E65281" w:rsidRPr="001D528D" w:rsidRDefault="00E65281" w:rsidP="00E65281">
      <w:pPr>
        <w:pStyle w:val="ListParagraph"/>
        <w:widowControl w:val="0"/>
        <w:numPr>
          <w:ilvl w:val="1"/>
          <w:numId w:val="27"/>
        </w:numPr>
        <w:tabs>
          <w:tab w:val="left" w:pos="9810"/>
        </w:tabs>
        <w:ind w:left="720" w:right="10"/>
      </w:pPr>
      <w:r w:rsidRPr="001D528D">
        <w:t>annually from three to 21 years.</w:t>
      </w:r>
    </w:p>
    <w:p w14:paraId="4F632849" w14:textId="77777777" w:rsidR="00E65281" w:rsidRPr="001D528D" w:rsidRDefault="00E65281" w:rsidP="00A73205">
      <w:pPr>
        <w:tabs>
          <w:tab w:val="left" w:pos="9810"/>
        </w:tabs>
        <w:ind w:left="180" w:right="10"/>
      </w:pPr>
    </w:p>
    <w:tbl>
      <w:tblPr>
        <w:tblW w:w="9601" w:type="dxa"/>
        <w:tblInd w:w="92" w:type="dxa"/>
        <w:tblLayout w:type="fixed"/>
        <w:tblCellMar>
          <w:left w:w="0" w:type="dxa"/>
          <w:right w:w="0" w:type="dxa"/>
        </w:tblCellMar>
        <w:tblLook w:val="01E0" w:firstRow="1" w:lastRow="1" w:firstColumn="1" w:lastColumn="1" w:noHBand="0" w:noVBand="0"/>
      </w:tblPr>
      <w:tblGrid>
        <w:gridCol w:w="4080"/>
        <w:gridCol w:w="3750"/>
        <w:gridCol w:w="1771"/>
      </w:tblGrid>
      <w:tr w:rsidR="00122052" w:rsidRPr="00AE57EC" w14:paraId="5441654C" w14:textId="77777777" w:rsidTr="00B938CD">
        <w:trPr>
          <w:trHeight w:hRule="exact" w:val="1095"/>
        </w:trPr>
        <w:tc>
          <w:tcPr>
            <w:tcW w:w="4080" w:type="dxa"/>
            <w:vMerge w:val="restart"/>
            <w:tcBorders>
              <w:top w:val="single" w:sz="6" w:space="0" w:color="000000"/>
              <w:left w:val="single" w:sz="6" w:space="0" w:color="000000"/>
              <w:right w:val="single" w:sz="6" w:space="0" w:color="000000"/>
            </w:tcBorders>
          </w:tcPr>
          <w:p w14:paraId="288EB1B4" w14:textId="77777777" w:rsidR="00122052" w:rsidRPr="00AE57EC" w:rsidRDefault="00122052" w:rsidP="00B938CD">
            <w:pPr>
              <w:spacing w:before="9" w:line="110" w:lineRule="exact"/>
              <w:ind w:right="360"/>
              <w:rPr>
                <w:sz w:val="11"/>
                <w:szCs w:val="11"/>
              </w:rPr>
            </w:pPr>
            <w:bookmarkStart w:id="1" w:name="_Hlk106800560"/>
          </w:p>
          <w:p w14:paraId="0543FBD2" w14:textId="77777777" w:rsidR="00122052" w:rsidRDefault="00122052" w:rsidP="00B938CD">
            <w:pPr>
              <w:ind w:left="379" w:right="363"/>
              <w:jc w:val="center"/>
              <w:rPr>
                <w:rFonts w:ascii="Arial" w:hAnsi="Arial" w:cs="Arial"/>
                <w:sz w:val="20"/>
                <w:szCs w:val="20"/>
              </w:rPr>
            </w:pPr>
            <w:r>
              <w:rPr>
                <w:rFonts w:ascii="Arial" w:hAnsi="Arial" w:cs="Arial"/>
                <w:b/>
                <w:bCs/>
                <w:sz w:val="20"/>
                <w:szCs w:val="20"/>
              </w:rPr>
              <w:t>Commo</w:t>
            </w:r>
            <w:r>
              <w:rPr>
                <w:rFonts w:ascii="Arial" w:hAnsi="Arial" w:cs="Arial"/>
                <w:b/>
                <w:bCs/>
                <w:spacing w:val="-4"/>
                <w:sz w:val="20"/>
                <w:szCs w:val="20"/>
              </w:rPr>
              <w:t>n</w:t>
            </w:r>
            <w:r>
              <w:rPr>
                <w:rFonts w:ascii="Arial" w:hAnsi="Arial" w:cs="Arial"/>
                <w:b/>
                <w:bCs/>
                <w:spacing w:val="10"/>
                <w:sz w:val="20"/>
                <w:szCs w:val="20"/>
              </w:rPr>
              <w:t>w</w:t>
            </w:r>
            <w:r>
              <w:rPr>
                <w:rFonts w:ascii="Arial" w:hAnsi="Arial" w:cs="Arial"/>
                <w:b/>
                <w:bCs/>
                <w:spacing w:val="-2"/>
                <w:sz w:val="20"/>
                <w:szCs w:val="20"/>
              </w:rPr>
              <w:t>e</w:t>
            </w:r>
            <w:r>
              <w:rPr>
                <w:rFonts w:ascii="Arial" w:hAnsi="Arial" w:cs="Arial"/>
                <w:b/>
                <w:bCs/>
                <w:sz w:val="20"/>
                <w:szCs w:val="20"/>
              </w:rPr>
              <w:t>alth</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spacing w:val="-2"/>
                <w:sz w:val="20"/>
                <w:szCs w:val="20"/>
              </w:rPr>
              <w:t xml:space="preserve"> </w:t>
            </w:r>
            <w:r>
              <w:rPr>
                <w:rFonts w:ascii="Arial" w:hAnsi="Arial" w:cs="Arial"/>
                <w:b/>
                <w:bCs/>
                <w:sz w:val="20"/>
                <w:szCs w:val="20"/>
              </w:rPr>
              <w:t>Ma</w:t>
            </w:r>
            <w:r>
              <w:rPr>
                <w:rFonts w:ascii="Arial" w:hAnsi="Arial" w:cs="Arial"/>
                <w:b/>
                <w:bCs/>
                <w:spacing w:val="-1"/>
                <w:sz w:val="20"/>
                <w:szCs w:val="20"/>
              </w:rPr>
              <w:t>ss</w:t>
            </w:r>
            <w:r>
              <w:rPr>
                <w:rFonts w:ascii="Arial" w:hAnsi="Arial" w:cs="Arial"/>
                <w:b/>
                <w:bCs/>
                <w:sz w:val="20"/>
                <w:szCs w:val="20"/>
              </w:rPr>
              <w:t>achu</w:t>
            </w:r>
            <w:r>
              <w:rPr>
                <w:rFonts w:ascii="Arial" w:hAnsi="Arial" w:cs="Arial"/>
                <w:b/>
                <w:bCs/>
                <w:spacing w:val="-1"/>
                <w:sz w:val="20"/>
                <w:szCs w:val="20"/>
              </w:rPr>
              <w:t>s</w:t>
            </w:r>
            <w:r>
              <w:rPr>
                <w:rFonts w:ascii="Arial" w:hAnsi="Arial" w:cs="Arial"/>
                <w:b/>
                <w:bCs/>
                <w:sz w:val="20"/>
                <w:szCs w:val="20"/>
              </w:rPr>
              <w:t>etts</w:t>
            </w:r>
          </w:p>
          <w:p w14:paraId="1C2047F6" w14:textId="77777777" w:rsidR="00122052" w:rsidRDefault="00122052" w:rsidP="00B938CD">
            <w:pPr>
              <w:spacing w:before="4"/>
              <w:ind w:left="1438" w:right="1419"/>
              <w:jc w:val="center"/>
              <w:rPr>
                <w:rFonts w:ascii="Arial" w:hAnsi="Arial" w:cs="Arial"/>
                <w:sz w:val="20"/>
                <w:szCs w:val="20"/>
              </w:rPr>
            </w:pPr>
            <w:r>
              <w:rPr>
                <w:rFonts w:ascii="Arial" w:hAnsi="Arial" w:cs="Arial"/>
                <w:b/>
                <w:bCs/>
                <w:sz w:val="20"/>
                <w:szCs w:val="20"/>
              </w:rPr>
              <w:t>Mas</w:t>
            </w:r>
            <w:r>
              <w:rPr>
                <w:rFonts w:ascii="Arial" w:hAnsi="Arial" w:cs="Arial"/>
                <w:b/>
                <w:bCs/>
                <w:spacing w:val="-1"/>
                <w:sz w:val="20"/>
                <w:szCs w:val="20"/>
              </w:rPr>
              <w:t>s</w:t>
            </w:r>
            <w:r>
              <w:rPr>
                <w:rFonts w:ascii="Arial" w:hAnsi="Arial" w:cs="Arial"/>
                <w:b/>
                <w:bCs/>
                <w:sz w:val="20"/>
                <w:szCs w:val="20"/>
              </w:rPr>
              <w:t>Hea</w:t>
            </w:r>
            <w:r>
              <w:rPr>
                <w:rFonts w:ascii="Arial" w:hAnsi="Arial" w:cs="Arial"/>
                <w:b/>
                <w:bCs/>
                <w:spacing w:val="-2"/>
                <w:sz w:val="20"/>
                <w:szCs w:val="20"/>
              </w:rPr>
              <w:t>l</w:t>
            </w:r>
            <w:r>
              <w:rPr>
                <w:rFonts w:ascii="Arial" w:hAnsi="Arial" w:cs="Arial"/>
                <w:b/>
                <w:bCs/>
                <w:sz w:val="20"/>
                <w:szCs w:val="20"/>
              </w:rPr>
              <w:t>th</w:t>
            </w:r>
          </w:p>
          <w:p w14:paraId="1D756357" w14:textId="77777777" w:rsidR="00122052" w:rsidRDefault="00122052" w:rsidP="00B938CD">
            <w:pPr>
              <w:spacing w:before="4"/>
              <w:ind w:left="900" w:right="886"/>
              <w:jc w:val="center"/>
              <w:rPr>
                <w:rFonts w:ascii="Arial" w:hAnsi="Arial" w:cs="Arial"/>
                <w:sz w:val="20"/>
                <w:szCs w:val="20"/>
              </w:rPr>
            </w:pPr>
            <w:r>
              <w:rPr>
                <w:rFonts w:ascii="Arial" w:hAnsi="Arial" w:cs="Arial"/>
                <w:b/>
                <w:bCs/>
                <w:spacing w:val="-1"/>
                <w:sz w:val="20"/>
                <w:szCs w:val="20"/>
              </w:rPr>
              <w:t>Pr</w:t>
            </w:r>
            <w:r>
              <w:rPr>
                <w:rFonts w:ascii="Arial" w:hAnsi="Arial" w:cs="Arial"/>
                <w:b/>
                <w:bCs/>
                <w:sz w:val="20"/>
                <w:szCs w:val="20"/>
              </w:rPr>
              <w:t>o</w:t>
            </w:r>
            <w:r>
              <w:rPr>
                <w:rFonts w:ascii="Arial" w:hAnsi="Arial" w:cs="Arial"/>
                <w:b/>
                <w:bCs/>
                <w:spacing w:val="-5"/>
                <w:sz w:val="20"/>
                <w:szCs w:val="20"/>
              </w:rPr>
              <w:t>v</w:t>
            </w:r>
            <w:r>
              <w:rPr>
                <w:rFonts w:ascii="Arial" w:hAnsi="Arial" w:cs="Arial"/>
                <w:b/>
                <w:bCs/>
                <w:spacing w:val="-1"/>
                <w:sz w:val="20"/>
                <w:szCs w:val="20"/>
              </w:rPr>
              <w:t>ide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M</w:t>
            </w:r>
            <w:r>
              <w:rPr>
                <w:rFonts w:ascii="Arial" w:hAnsi="Arial" w:cs="Arial"/>
                <w:b/>
                <w:bCs/>
                <w:sz w:val="20"/>
                <w:szCs w:val="20"/>
              </w:rPr>
              <w:t>a</w:t>
            </w:r>
            <w:r>
              <w:rPr>
                <w:rFonts w:ascii="Arial" w:hAnsi="Arial" w:cs="Arial"/>
                <w:b/>
                <w:bCs/>
                <w:spacing w:val="-1"/>
                <w:sz w:val="20"/>
                <w:szCs w:val="20"/>
              </w:rPr>
              <w:t>nua</w:t>
            </w:r>
            <w:r>
              <w:rPr>
                <w:rFonts w:ascii="Arial" w:hAnsi="Arial" w:cs="Arial"/>
                <w:b/>
                <w:bCs/>
                <w:sz w:val="20"/>
                <w:szCs w:val="20"/>
              </w:rPr>
              <w:t>l</w:t>
            </w:r>
            <w:r>
              <w:rPr>
                <w:rFonts w:ascii="Arial" w:hAnsi="Arial" w:cs="Arial"/>
                <w:b/>
                <w:bCs/>
                <w:spacing w:val="-3"/>
                <w:sz w:val="20"/>
                <w:szCs w:val="20"/>
              </w:rPr>
              <w:t xml:space="preserve"> </w:t>
            </w:r>
            <w:r>
              <w:rPr>
                <w:rFonts w:ascii="Arial" w:hAnsi="Arial" w:cs="Arial"/>
                <w:b/>
                <w:bCs/>
                <w:spacing w:val="-1"/>
                <w:sz w:val="20"/>
                <w:szCs w:val="20"/>
              </w:rPr>
              <w:t>Series</w:t>
            </w:r>
          </w:p>
          <w:p w14:paraId="3B70B235" w14:textId="77777777" w:rsidR="00122052" w:rsidRPr="00AE57EC" w:rsidRDefault="00122052" w:rsidP="00B938CD">
            <w:pPr>
              <w:spacing w:line="200" w:lineRule="exact"/>
              <w:rPr>
                <w:sz w:val="20"/>
                <w:szCs w:val="20"/>
              </w:rPr>
            </w:pPr>
          </w:p>
          <w:p w14:paraId="6D717E88" w14:textId="77777777" w:rsidR="00122052" w:rsidRDefault="00122052" w:rsidP="00B938CD">
            <w:pPr>
              <w:ind w:left="1080" w:right="1061"/>
              <w:jc w:val="center"/>
              <w:rPr>
                <w:rFonts w:ascii="Arial" w:hAnsi="Arial" w:cs="Arial"/>
                <w:sz w:val="20"/>
                <w:szCs w:val="20"/>
              </w:rPr>
            </w:pPr>
          </w:p>
          <w:p w14:paraId="36101B19" w14:textId="77777777" w:rsidR="00122052" w:rsidRDefault="00122052" w:rsidP="00B938CD">
            <w:pPr>
              <w:ind w:left="1080" w:right="1061"/>
              <w:jc w:val="center"/>
              <w:rPr>
                <w:rFonts w:ascii="Arial" w:hAnsi="Arial" w:cs="Arial"/>
                <w:sz w:val="20"/>
                <w:szCs w:val="20"/>
              </w:rPr>
            </w:pPr>
            <w:r>
              <w:rPr>
                <w:rFonts w:ascii="Arial" w:hAnsi="Arial" w:cs="Arial"/>
                <w:sz w:val="20"/>
                <w:szCs w:val="20"/>
              </w:rPr>
              <w:t>All</w:t>
            </w:r>
            <w:r>
              <w:rPr>
                <w:rFonts w:ascii="Arial" w:hAnsi="Arial" w:cs="Arial"/>
                <w:spacing w:val="-2"/>
                <w:sz w:val="20"/>
                <w:szCs w:val="20"/>
              </w:rPr>
              <w:t xml:space="preserve"> </w:t>
            </w:r>
            <w:r>
              <w:rPr>
                <w:rFonts w:ascii="Arial" w:hAnsi="Arial" w:cs="Arial"/>
                <w:sz w:val="20"/>
                <w:szCs w:val="20"/>
              </w:rPr>
              <w:t>Provider</w:t>
            </w:r>
            <w:r>
              <w:rPr>
                <w:rFonts w:ascii="Arial" w:hAnsi="Arial" w:cs="Arial"/>
                <w:spacing w:val="-2"/>
                <w:sz w:val="20"/>
                <w:szCs w:val="20"/>
              </w:rPr>
              <w:t xml:space="preserve"> </w:t>
            </w:r>
            <w:r>
              <w:rPr>
                <w:rFonts w:ascii="Arial" w:hAnsi="Arial" w:cs="Arial"/>
                <w:sz w:val="20"/>
                <w:szCs w:val="20"/>
              </w:rPr>
              <w:t>Manua</w:t>
            </w:r>
            <w:r>
              <w:rPr>
                <w:rFonts w:ascii="Arial" w:hAnsi="Arial" w:cs="Arial"/>
                <w:spacing w:val="-1"/>
                <w:sz w:val="20"/>
                <w:szCs w:val="20"/>
              </w:rPr>
              <w:t>l</w:t>
            </w:r>
            <w:r>
              <w:rPr>
                <w:rFonts w:ascii="Arial" w:hAnsi="Arial" w:cs="Arial"/>
                <w:sz w:val="20"/>
                <w:szCs w:val="20"/>
              </w:rPr>
              <w:t>s</w:t>
            </w:r>
          </w:p>
        </w:tc>
        <w:tc>
          <w:tcPr>
            <w:tcW w:w="3750" w:type="dxa"/>
            <w:tcBorders>
              <w:top w:val="single" w:sz="6" w:space="0" w:color="000000"/>
              <w:left w:val="single" w:sz="6" w:space="0" w:color="000000"/>
              <w:bottom w:val="single" w:sz="6" w:space="0" w:color="000000"/>
              <w:right w:val="single" w:sz="6" w:space="0" w:color="000000"/>
            </w:tcBorders>
          </w:tcPr>
          <w:p w14:paraId="22EC52F1" w14:textId="77777777" w:rsidR="00122052" w:rsidRPr="00AE57EC" w:rsidRDefault="00122052" w:rsidP="00B938CD">
            <w:pPr>
              <w:spacing w:line="120" w:lineRule="exact"/>
              <w:rPr>
                <w:sz w:val="12"/>
                <w:szCs w:val="12"/>
              </w:rPr>
            </w:pPr>
          </w:p>
          <w:p w14:paraId="5F36BE9E" w14:textId="77777777" w:rsidR="00122052" w:rsidRDefault="00122052" w:rsidP="00B938CD">
            <w:pPr>
              <w:spacing w:line="237" w:lineRule="auto"/>
              <w:ind w:left="188" w:right="170" w:hanging="2"/>
              <w:jc w:val="center"/>
              <w:rPr>
                <w:rFonts w:ascii="Arial" w:hAnsi="Arial" w:cs="Arial"/>
                <w:sz w:val="19"/>
                <w:szCs w:val="19"/>
              </w:rPr>
            </w:pPr>
            <w:r>
              <w:rPr>
                <w:rFonts w:ascii="Arial" w:hAnsi="Arial" w:cs="Arial"/>
                <w:b/>
                <w:bCs/>
                <w:spacing w:val="-1"/>
                <w:sz w:val="20"/>
                <w:szCs w:val="20"/>
              </w:rPr>
              <w:t>Subchapte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Numbe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an</w:t>
            </w:r>
            <w:r>
              <w:rPr>
                <w:rFonts w:ascii="Arial" w:hAnsi="Arial" w:cs="Arial"/>
                <w:b/>
                <w:bCs/>
                <w:sz w:val="20"/>
                <w:szCs w:val="20"/>
              </w:rPr>
              <w:t>d</w:t>
            </w:r>
            <w:r>
              <w:rPr>
                <w:rFonts w:ascii="Arial" w:hAnsi="Arial" w:cs="Arial"/>
                <w:b/>
                <w:bCs/>
                <w:spacing w:val="-2"/>
                <w:sz w:val="20"/>
                <w:szCs w:val="20"/>
              </w:rPr>
              <w:t xml:space="preserve"> </w:t>
            </w:r>
            <w:r>
              <w:rPr>
                <w:rFonts w:ascii="Arial" w:hAnsi="Arial" w:cs="Arial"/>
                <w:b/>
                <w:bCs/>
                <w:spacing w:val="-1"/>
                <w:sz w:val="20"/>
                <w:szCs w:val="20"/>
              </w:rPr>
              <w:t xml:space="preserve">Title </w:t>
            </w:r>
            <w:r w:rsidRPr="006257D3">
              <w:rPr>
                <w:rFonts w:ascii="Arial" w:hAnsi="Arial" w:cs="Arial"/>
                <w:sz w:val="20"/>
                <w:szCs w:val="20"/>
              </w:rPr>
              <w:t>Appendix</w:t>
            </w:r>
            <w:r w:rsidRPr="006257D3">
              <w:rPr>
                <w:rFonts w:ascii="Arial" w:hAnsi="Arial" w:cs="Arial"/>
                <w:spacing w:val="-16"/>
                <w:sz w:val="20"/>
                <w:szCs w:val="20"/>
              </w:rPr>
              <w:t xml:space="preserve"> </w:t>
            </w:r>
            <w:r w:rsidRPr="006257D3">
              <w:rPr>
                <w:rFonts w:ascii="Arial" w:hAnsi="Arial" w:cs="Arial"/>
                <w:sz w:val="20"/>
                <w:szCs w:val="20"/>
              </w:rPr>
              <w:t>W.</w:t>
            </w:r>
            <w:r w:rsidRPr="006257D3">
              <w:rPr>
                <w:rFonts w:ascii="Arial" w:hAnsi="Arial" w:cs="Arial"/>
                <w:spacing w:val="38"/>
                <w:sz w:val="20"/>
                <w:szCs w:val="20"/>
              </w:rPr>
              <w:t xml:space="preserve"> </w:t>
            </w:r>
            <w:r w:rsidRPr="006257D3">
              <w:rPr>
                <w:rFonts w:ascii="Arial" w:hAnsi="Arial" w:cs="Arial"/>
                <w:sz w:val="20"/>
                <w:szCs w:val="20"/>
              </w:rPr>
              <w:t>EPSDT</w:t>
            </w:r>
            <w:r w:rsidRPr="006257D3">
              <w:rPr>
                <w:rFonts w:ascii="Arial" w:hAnsi="Arial" w:cs="Arial"/>
                <w:spacing w:val="-12"/>
                <w:sz w:val="20"/>
                <w:szCs w:val="20"/>
              </w:rPr>
              <w:t xml:space="preserve"> </w:t>
            </w:r>
            <w:r w:rsidRPr="006257D3">
              <w:rPr>
                <w:rFonts w:ascii="Arial" w:hAnsi="Arial" w:cs="Arial"/>
                <w:sz w:val="20"/>
                <w:szCs w:val="20"/>
              </w:rPr>
              <w:t>Servi</w:t>
            </w:r>
            <w:r w:rsidRPr="006257D3">
              <w:rPr>
                <w:rFonts w:ascii="Arial" w:hAnsi="Arial" w:cs="Arial"/>
                <w:spacing w:val="1"/>
                <w:sz w:val="20"/>
                <w:szCs w:val="20"/>
              </w:rPr>
              <w:t>c</w:t>
            </w:r>
            <w:r w:rsidRPr="006257D3">
              <w:rPr>
                <w:rFonts w:ascii="Arial" w:hAnsi="Arial" w:cs="Arial"/>
                <w:sz w:val="20"/>
                <w:szCs w:val="20"/>
              </w:rPr>
              <w:t>es</w:t>
            </w:r>
            <w:r w:rsidRPr="006257D3">
              <w:rPr>
                <w:rFonts w:ascii="Arial" w:hAnsi="Arial" w:cs="Arial"/>
                <w:spacing w:val="-15"/>
                <w:sz w:val="20"/>
                <w:szCs w:val="20"/>
              </w:rPr>
              <w:t xml:space="preserve"> </w:t>
            </w:r>
            <w:r w:rsidRPr="006257D3">
              <w:rPr>
                <w:rFonts w:ascii="Arial" w:hAnsi="Arial" w:cs="Arial"/>
                <w:w w:val="99"/>
                <w:sz w:val="20"/>
                <w:szCs w:val="20"/>
              </w:rPr>
              <w:t xml:space="preserve">Medical </w:t>
            </w:r>
            <w:r w:rsidRPr="006257D3">
              <w:rPr>
                <w:rFonts w:ascii="Arial" w:hAnsi="Arial" w:cs="Arial"/>
                <w:sz w:val="20"/>
                <w:szCs w:val="20"/>
              </w:rPr>
              <w:t>and</w:t>
            </w:r>
            <w:r w:rsidRPr="006257D3">
              <w:rPr>
                <w:rFonts w:ascii="Arial" w:hAnsi="Arial" w:cs="Arial"/>
                <w:spacing w:val="-11"/>
                <w:sz w:val="20"/>
                <w:szCs w:val="20"/>
              </w:rPr>
              <w:t xml:space="preserve"> </w:t>
            </w:r>
            <w:r w:rsidRPr="006257D3">
              <w:rPr>
                <w:rFonts w:ascii="Arial" w:hAnsi="Arial" w:cs="Arial"/>
                <w:sz w:val="20"/>
                <w:szCs w:val="20"/>
              </w:rPr>
              <w:t>Dental</w:t>
            </w:r>
            <w:r w:rsidRPr="006257D3">
              <w:rPr>
                <w:rFonts w:ascii="Arial" w:hAnsi="Arial" w:cs="Arial"/>
                <w:spacing w:val="-11"/>
                <w:sz w:val="20"/>
                <w:szCs w:val="20"/>
              </w:rPr>
              <w:t xml:space="preserve"> </w:t>
            </w:r>
            <w:r w:rsidRPr="006257D3">
              <w:rPr>
                <w:rFonts w:ascii="Arial" w:hAnsi="Arial" w:cs="Arial"/>
                <w:sz w:val="20"/>
                <w:szCs w:val="20"/>
              </w:rPr>
              <w:t>P</w:t>
            </w:r>
            <w:r w:rsidRPr="006257D3">
              <w:rPr>
                <w:rFonts w:ascii="Arial" w:hAnsi="Arial" w:cs="Arial"/>
                <w:spacing w:val="2"/>
                <w:sz w:val="20"/>
                <w:szCs w:val="20"/>
              </w:rPr>
              <w:t>r</w:t>
            </w:r>
            <w:r w:rsidRPr="006257D3">
              <w:rPr>
                <w:rFonts w:ascii="Arial" w:hAnsi="Arial" w:cs="Arial"/>
                <w:sz w:val="20"/>
                <w:szCs w:val="20"/>
              </w:rPr>
              <w:t>otocols</w:t>
            </w:r>
            <w:r w:rsidRPr="006257D3">
              <w:rPr>
                <w:rFonts w:ascii="Arial" w:hAnsi="Arial" w:cs="Arial"/>
                <w:spacing w:val="-15"/>
                <w:sz w:val="20"/>
                <w:szCs w:val="20"/>
              </w:rPr>
              <w:t xml:space="preserve"> </w:t>
            </w:r>
            <w:r w:rsidRPr="006257D3">
              <w:rPr>
                <w:rFonts w:ascii="Arial" w:hAnsi="Arial" w:cs="Arial"/>
                <w:sz w:val="20"/>
                <w:szCs w:val="20"/>
              </w:rPr>
              <w:t>and</w:t>
            </w:r>
            <w:r w:rsidRPr="006257D3">
              <w:rPr>
                <w:rFonts w:ascii="Arial" w:hAnsi="Arial" w:cs="Arial"/>
                <w:spacing w:val="-9"/>
                <w:sz w:val="20"/>
                <w:szCs w:val="20"/>
              </w:rPr>
              <w:t xml:space="preserve"> </w:t>
            </w:r>
            <w:r w:rsidRPr="006257D3">
              <w:rPr>
                <w:rFonts w:ascii="Arial" w:hAnsi="Arial" w:cs="Arial"/>
                <w:w w:val="99"/>
                <w:sz w:val="20"/>
                <w:szCs w:val="20"/>
              </w:rPr>
              <w:t>Periodicity Schedules</w:t>
            </w:r>
          </w:p>
        </w:tc>
        <w:tc>
          <w:tcPr>
            <w:tcW w:w="1771" w:type="dxa"/>
            <w:tcBorders>
              <w:top w:val="single" w:sz="6" w:space="0" w:color="000000"/>
              <w:left w:val="single" w:sz="6" w:space="0" w:color="000000"/>
              <w:bottom w:val="single" w:sz="6" w:space="0" w:color="000000"/>
              <w:right w:val="single" w:sz="6" w:space="0" w:color="000000"/>
            </w:tcBorders>
          </w:tcPr>
          <w:p w14:paraId="523B8FC9" w14:textId="77777777" w:rsidR="00122052" w:rsidRPr="00AE57EC" w:rsidRDefault="00122052" w:rsidP="00B938CD">
            <w:pPr>
              <w:spacing w:before="9" w:line="110" w:lineRule="exact"/>
              <w:rPr>
                <w:sz w:val="11"/>
                <w:szCs w:val="11"/>
              </w:rPr>
            </w:pPr>
          </w:p>
          <w:p w14:paraId="5207EA6F" w14:textId="77777777" w:rsidR="00122052" w:rsidRDefault="00122052" w:rsidP="00B938CD">
            <w:pPr>
              <w:ind w:left="603" w:right="584"/>
              <w:jc w:val="center"/>
              <w:rPr>
                <w:rFonts w:ascii="Arial" w:hAnsi="Arial" w:cs="Arial"/>
                <w:sz w:val="20"/>
                <w:szCs w:val="20"/>
              </w:rPr>
            </w:pPr>
            <w:r>
              <w:rPr>
                <w:rFonts w:ascii="Arial" w:hAnsi="Arial" w:cs="Arial"/>
                <w:b/>
                <w:bCs/>
                <w:spacing w:val="-1"/>
                <w:sz w:val="20"/>
                <w:szCs w:val="20"/>
              </w:rPr>
              <w:t>Page</w:t>
            </w:r>
          </w:p>
          <w:p w14:paraId="14B98B0E" w14:textId="77777777" w:rsidR="00122052" w:rsidRPr="00AE57EC" w:rsidRDefault="00122052" w:rsidP="00B938CD">
            <w:pPr>
              <w:spacing w:before="8" w:line="110" w:lineRule="exact"/>
              <w:rPr>
                <w:sz w:val="11"/>
                <w:szCs w:val="11"/>
              </w:rPr>
            </w:pPr>
          </w:p>
          <w:p w14:paraId="2D184CB0" w14:textId="048CA9EA" w:rsidR="00122052" w:rsidRPr="004A6519" w:rsidRDefault="00122052" w:rsidP="00B938CD">
            <w:pPr>
              <w:pStyle w:val="Header"/>
              <w:jc w:val="center"/>
              <w:rPr>
                <w:rStyle w:val="PageNumber"/>
                <w:b w:val="0"/>
                <w:bCs/>
                <w:i w:val="0"/>
                <w:iCs w:val="0"/>
              </w:rPr>
            </w:pPr>
            <w:r w:rsidRPr="004A6519">
              <w:rPr>
                <w:rFonts w:ascii="Arial" w:hAnsi="Arial" w:cs="Arial"/>
                <w:b w:val="0"/>
                <w:bCs/>
                <w:i w:val="0"/>
                <w:iCs w:val="0"/>
              </w:rPr>
              <w:t>W-</w:t>
            </w:r>
            <w:r>
              <w:rPr>
                <w:rFonts w:ascii="Arial" w:hAnsi="Arial" w:cs="Arial"/>
                <w:b w:val="0"/>
                <w:bCs/>
                <w:i w:val="0"/>
                <w:iCs w:val="0"/>
              </w:rPr>
              <w:t>2</w:t>
            </w:r>
          </w:p>
          <w:p w14:paraId="1842C30C" w14:textId="77777777" w:rsidR="00122052" w:rsidRDefault="00122052" w:rsidP="00B938CD">
            <w:pPr>
              <w:ind w:left="650" w:right="630"/>
              <w:jc w:val="center"/>
              <w:rPr>
                <w:rFonts w:ascii="Arial" w:hAnsi="Arial" w:cs="Arial"/>
                <w:sz w:val="20"/>
                <w:szCs w:val="20"/>
              </w:rPr>
            </w:pPr>
          </w:p>
        </w:tc>
      </w:tr>
      <w:tr w:rsidR="00122052" w:rsidRPr="00AE57EC" w14:paraId="0C08E889" w14:textId="77777777" w:rsidTr="00B938CD">
        <w:trPr>
          <w:trHeight w:hRule="exact" w:val="866"/>
        </w:trPr>
        <w:tc>
          <w:tcPr>
            <w:tcW w:w="4080" w:type="dxa"/>
            <w:vMerge/>
            <w:tcBorders>
              <w:left w:val="single" w:sz="6" w:space="0" w:color="000000"/>
              <w:bottom w:val="single" w:sz="6" w:space="0" w:color="000000"/>
              <w:right w:val="single" w:sz="6" w:space="0" w:color="000000"/>
            </w:tcBorders>
          </w:tcPr>
          <w:p w14:paraId="6BD7E874" w14:textId="77777777" w:rsidR="00122052" w:rsidRPr="00AE57EC" w:rsidRDefault="00122052" w:rsidP="00B938CD"/>
        </w:tc>
        <w:tc>
          <w:tcPr>
            <w:tcW w:w="3750" w:type="dxa"/>
            <w:tcBorders>
              <w:top w:val="single" w:sz="6" w:space="0" w:color="000000"/>
              <w:left w:val="single" w:sz="6" w:space="0" w:color="000000"/>
              <w:bottom w:val="single" w:sz="6" w:space="0" w:color="000000"/>
              <w:right w:val="single" w:sz="6" w:space="0" w:color="000000"/>
            </w:tcBorders>
          </w:tcPr>
          <w:p w14:paraId="54FD8DCB" w14:textId="77777777" w:rsidR="00122052" w:rsidRPr="00AE57EC" w:rsidRDefault="00122052" w:rsidP="00B938CD">
            <w:pPr>
              <w:spacing w:before="10" w:line="110" w:lineRule="exact"/>
              <w:rPr>
                <w:sz w:val="11"/>
                <w:szCs w:val="11"/>
              </w:rPr>
            </w:pPr>
          </w:p>
          <w:p w14:paraId="1E359511" w14:textId="77777777" w:rsidR="00122052" w:rsidRDefault="00122052" w:rsidP="00B938CD">
            <w:pPr>
              <w:ind w:left="985" w:right="966"/>
              <w:jc w:val="center"/>
              <w:rPr>
                <w:rFonts w:ascii="Arial" w:hAnsi="Arial" w:cs="Arial"/>
                <w:sz w:val="20"/>
                <w:szCs w:val="20"/>
              </w:rPr>
            </w:pPr>
            <w:r>
              <w:rPr>
                <w:rFonts w:ascii="Arial" w:hAnsi="Arial" w:cs="Arial"/>
                <w:b/>
                <w:bCs/>
                <w:sz w:val="20"/>
                <w:szCs w:val="20"/>
              </w:rPr>
              <w:t>Trans</w:t>
            </w:r>
            <w:r>
              <w:rPr>
                <w:rFonts w:ascii="Arial" w:hAnsi="Arial" w:cs="Arial"/>
                <w:b/>
                <w:bCs/>
                <w:spacing w:val="-2"/>
                <w:sz w:val="20"/>
                <w:szCs w:val="20"/>
              </w:rPr>
              <w:t>m</w:t>
            </w:r>
            <w:r>
              <w:rPr>
                <w:rFonts w:ascii="Arial" w:hAnsi="Arial" w:cs="Arial"/>
                <w:b/>
                <w:bCs/>
                <w:sz w:val="20"/>
                <w:szCs w:val="20"/>
              </w:rPr>
              <w:t>ittal</w:t>
            </w:r>
            <w:r>
              <w:rPr>
                <w:rFonts w:ascii="Arial" w:hAnsi="Arial" w:cs="Arial"/>
                <w:b/>
                <w:bCs/>
                <w:spacing w:val="-2"/>
                <w:sz w:val="20"/>
                <w:szCs w:val="20"/>
              </w:rPr>
              <w:t xml:space="preserve"> </w:t>
            </w:r>
            <w:r>
              <w:rPr>
                <w:rFonts w:ascii="Arial" w:hAnsi="Arial" w:cs="Arial"/>
                <w:b/>
                <w:bCs/>
                <w:sz w:val="20"/>
                <w:szCs w:val="20"/>
              </w:rPr>
              <w:t>Letter</w:t>
            </w:r>
          </w:p>
          <w:p w14:paraId="08A46B5F" w14:textId="77777777" w:rsidR="00122052" w:rsidRPr="00AE57EC" w:rsidRDefault="00122052" w:rsidP="00B938CD">
            <w:pPr>
              <w:spacing w:before="7" w:line="110" w:lineRule="exact"/>
              <w:rPr>
                <w:sz w:val="11"/>
                <w:szCs w:val="11"/>
              </w:rPr>
            </w:pPr>
          </w:p>
          <w:p w14:paraId="26B7C5D9" w14:textId="77777777" w:rsidR="00122052" w:rsidRPr="00DB19DD" w:rsidRDefault="00122052" w:rsidP="00B938CD">
            <w:pPr>
              <w:ind w:left="1452" w:right="1435"/>
              <w:jc w:val="center"/>
              <w:rPr>
                <w:rFonts w:ascii="Arial" w:hAnsi="Arial" w:cs="Arial"/>
                <w:sz w:val="20"/>
                <w:szCs w:val="20"/>
              </w:rPr>
            </w:pPr>
            <w:r>
              <w:rPr>
                <w:rFonts w:ascii="Arial" w:hAnsi="Arial" w:cs="Arial"/>
                <w:sz w:val="20"/>
                <w:szCs w:val="20"/>
              </w:rPr>
              <w:t>ALL-249</w:t>
            </w:r>
          </w:p>
        </w:tc>
        <w:tc>
          <w:tcPr>
            <w:tcW w:w="1771" w:type="dxa"/>
            <w:tcBorders>
              <w:top w:val="single" w:sz="6" w:space="0" w:color="000000"/>
              <w:left w:val="single" w:sz="6" w:space="0" w:color="000000"/>
              <w:bottom w:val="single" w:sz="6" w:space="0" w:color="000000"/>
              <w:right w:val="single" w:sz="6" w:space="0" w:color="000000"/>
            </w:tcBorders>
          </w:tcPr>
          <w:p w14:paraId="732DE15B" w14:textId="77777777" w:rsidR="00122052" w:rsidRPr="00AE57EC" w:rsidRDefault="00122052" w:rsidP="00B938CD">
            <w:pPr>
              <w:spacing w:before="10" w:line="110" w:lineRule="exact"/>
              <w:rPr>
                <w:sz w:val="11"/>
                <w:szCs w:val="11"/>
              </w:rPr>
            </w:pPr>
          </w:p>
          <w:p w14:paraId="422B63DC" w14:textId="77777777" w:rsidR="00122052" w:rsidRDefault="00122052" w:rsidP="00B938CD">
            <w:pPr>
              <w:ind w:left="624" w:right="607"/>
              <w:jc w:val="center"/>
              <w:rPr>
                <w:rFonts w:ascii="Arial" w:hAnsi="Arial" w:cs="Arial"/>
                <w:sz w:val="20"/>
                <w:szCs w:val="20"/>
              </w:rPr>
            </w:pPr>
            <w:r>
              <w:rPr>
                <w:rFonts w:ascii="Arial" w:hAnsi="Arial" w:cs="Arial"/>
                <w:b/>
                <w:bCs/>
                <w:sz w:val="20"/>
                <w:szCs w:val="20"/>
              </w:rPr>
              <w:t>Da</w:t>
            </w:r>
            <w:r>
              <w:rPr>
                <w:rFonts w:ascii="Arial" w:hAnsi="Arial" w:cs="Arial"/>
                <w:b/>
                <w:bCs/>
                <w:spacing w:val="-1"/>
                <w:sz w:val="20"/>
                <w:szCs w:val="20"/>
              </w:rPr>
              <w:t>t</w:t>
            </w:r>
            <w:r>
              <w:rPr>
                <w:rFonts w:ascii="Arial" w:hAnsi="Arial" w:cs="Arial"/>
                <w:b/>
                <w:bCs/>
                <w:sz w:val="20"/>
                <w:szCs w:val="20"/>
              </w:rPr>
              <w:t>e</w:t>
            </w:r>
          </w:p>
          <w:p w14:paraId="15A2B5E2" w14:textId="77777777" w:rsidR="00122052" w:rsidRPr="00AE57EC" w:rsidRDefault="00122052" w:rsidP="00B938CD">
            <w:pPr>
              <w:spacing w:before="7" w:line="110" w:lineRule="exact"/>
              <w:rPr>
                <w:sz w:val="11"/>
                <w:szCs w:val="11"/>
              </w:rPr>
            </w:pPr>
          </w:p>
          <w:p w14:paraId="1E28531B" w14:textId="77777777" w:rsidR="00122052" w:rsidRPr="00DB19DD" w:rsidRDefault="00122052" w:rsidP="00B938CD">
            <w:pPr>
              <w:ind w:left="452" w:right="433"/>
              <w:jc w:val="center"/>
              <w:rPr>
                <w:rFonts w:ascii="Arial" w:hAnsi="Arial" w:cs="Arial"/>
                <w:sz w:val="20"/>
                <w:szCs w:val="20"/>
              </w:rPr>
            </w:pPr>
            <w:r>
              <w:rPr>
                <w:rFonts w:ascii="Arial" w:hAnsi="Arial" w:cs="Arial"/>
                <w:sz w:val="20"/>
                <w:szCs w:val="20"/>
              </w:rPr>
              <w:t>11/21/24</w:t>
            </w:r>
          </w:p>
        </w:tc>
      </w:tr>
    </w:tbl>
    <w:p w14:paraId="78EC9EA2" w14:textId="77777777" w:rsidR="00122052" w:rsidRPr="00122052" w:rsidRDefault="00122052" w:rsidP="00122052">
      <w:pPr>
        <w:pStyle w:val="Heading2"/>
        <w:spacing w:before="0"/>
        <w:rPr>
          <w:sz w:val="22"/>
          <w:szCs w:val="22"/>
        </w:rPr>
      </w:pPr>
    </w:p>
    <w:p w14:paraId="2A0D4699" w14:textId="1C5B62DE" w:rsidR="00E65281" w:rsidRPr="001D528D" w:rsidRDefault="00E65281" w:rsidP="00122052">
      <w:pPr>
        <w:pStyle w:val="Heading2"/>
        <w:spacing w:before="0"/>
      </w:pPr>
      <w:r w:rsidRPr="001D528D">
        <w:t>Components of Pediatric Preventive Healthcare Visits</w:t>
      </w:r>
    </w:p>
    <w:bookmarkEnd w:id="1"/>
    <w:p w14:paraId="4D8D3246" w14:textId="77777777" w:rsidR="00E65281" w:rsidRPr="001D528D" w:rsidRDefault="00E65281" w:rsidP="005D135E">
      <w:pPr>
        <w:pStyle w:val="Heading3"/>
        <w:spacing w:before="0"/>
      </w:pPr>
      <w:r w:rsidRPr="001D528D">
        <w:t>History</w:t>
      </w:r>
    </w:p>
    <w:p w14:paraId="3CCE8790" w14:textId="77777777" w:rsidR="00E65281" w:rsidRPr="001D528D" w:rsidRDefault="00E65281" w:rsidP="003844CD">
      <w:pPr>
        <w:tabs>
          <w:tab w:val="left" w:pos="9810"/>
        </w:tabs>
        <w:spacing w:before="31" w:line="241" w:lineRule="auto"/>
        <w:ind w:right="10"/>
      </w:pPr>
      <w:r w:rsidRPr="001D528D">
        <w:t xml:space="preserve">Health histories should be taken at each preventive healthcare visit. Typically, an initial health history taken at a member's first visit with a provider is more comprehensive than health histories taken during later preventive healthcare visits.  </w:t>
      </w:r>
    </w:p>
    <w:p w14:paraId="5A337AE0" w14:textId="77777777" w:rsidR="00E65281" w:rsidRPr="001D528D" w:rsidRDefault="00E65281" w:rsidP="00D97B6B">
      <w:pPr>
        <w:tabs>
          <w:tab w:val="left" w:pos="9810"/>
        </w:tabs>
        <w:spacing w:before="31" w:line="241" w:lineRule="auto"/>
        <w:ind w:left="720" w:right="10"/>
      </w:pPr>
    </w:p>
    <w:p w14:paraId="03FDBBDF" w14:textId="77777777" w:rsidR="00E65281" w:rsidRPr="001D528D" w:rsidRDefault="00E65281" w:rsidP="003844CD">
      <w:pPr>
        <w:tabs>
          <w:tab w:val="left" w:pos="9810"/>
        </w:tabs>
        <w:spacing w:before="31" w:line="241" w:lineRule="auto"/>
        <w:ind w:right="10"/>
      </w:pPr>
      <w:r w:rsidRPr="001D528D">
        <w:t>Visit history may be obtained according to the concerns of the family and the health care professional’s preference or style of practice. History that is relevant to the age-specific health supervision visit is gathered to assess strengths, accomplish surveillance, and enhance the health care professional’s understanding of the child and family. Past medical history and pertinent family history are important elements of the initial and interval history. Some visits also include relevant social history questions.</w:t>
      </w:r>
    </w:p>
    <w:p w14:paraId="381CFAFB" w14:textId="77777777" w:rsidR="00E65281" w:rsidRPr="001D528D" w:rsidRDefault="00E65281" w:rsidP="00D97B6B">
      <w:pPr>
        <w:tabs>
          <w:tab w:val="left" w:pos="9810"/>
        </w:tabs>
        <w:spacing w:before="31" w:line="241" w:lineRule="auto"/>
        <w:ind w:left="720" w:right="10"/>
      </w:pPr>
    </w:p>
    <w:p w14:paraId="4AD54606" w14:textId="77777777" w:rsidR="00E65281" w:rsidRPr="001D528D" w:rsidRDefault="00E65281" w:rsidP="003844CD">
      <w:pPr>
        <w:tabs>
          <w:tab w:val="left" w:pos="9810"/>
        </w:tabs>
        <w:spacing w:before="31" w:line="241" w:lineRule="auto"/>
        <w:ind w:right="10"/>
      </w:pPr>
      <w:r w:rsidRPr="001D528D">
        <w:t>Health histories should include age-appropriate history about the member, including but not limited to:</w:t>
      </w:r>
    </w:p>
    <w:p w14:paraId="72EC4206" w14:textId="77777777" w:rsidR="00E65281" w:rsidRPr="001D528D" w:rsidRDefault="00E65281" w:rsidP="00E65281">
      <w:pPr>
        <w:pStyle w:val="ListParagraph"/>
        <w:widowControl w:val="0"/>
        <w:numPr>
          <w:ilvl w:val="0"/>
          <w:numId w:val="47"/>
        </w:numPr>
        <w:tabs>
          <w:tab w:val="left" w:pos="9810"/>
        </w:tabs>
        <w:spacing w:before="4"/>
        <w:ind w:right="10"/>
      </w:pPr>
      <w:r w:rsidRPr="001D528D">
        <w:t>family history;</w:t>
      </w:r>
    </w:p>
    <w:p w14:paraId="6CADC4F5" w14:textId="77777777" w:rsidR="00E65281" w:rsidRPr="001D528D" w:rsidRDefault="00E65281" w:rsidP="00E65281">
      <w:pPr>
        <w:pStyle w:val="ListParagraph"/>
        <w:widowControl w:val="0"/>
        <w:numPr>
          <w:ilvl w:val="0"/>
          <w:numId w:val="47"/>
        </w:numPr>
        <w:tabs>
          <w:tab w:val="left" w:pos="9810"/>
        </w:tabs>
        <w:spacing w:before="4"/>
        <w:ind w:right="10"/>
      </w:pPr>
      <w:r w:rsidRPr="001D528D">
        <w:t>birth, growth, nutrition, and developmental history;</w:t>
      </w:r>
    </w:p>
    <w:p w14:paraId="6169D0AE" w14:textId="77777777" w:rsidR="00E65281" w:rsidRPr="001D528D" w:rsidRDefault="00E65281" w:rsidP="00E65281">
      <w:pPr>
        <w:pStyle w:val="ListParagraph"/>
        <w:widowControl w:val="0"/>
        <w:numPr>
          <w:ilvl w:val="0"/>
          <w:numId w:val="47"/>
        </w:numPr>
        <w:tabs>
          <w:tab w:val="left" w:pos="9810"/>
        </w:tabs>
        <w:spacing w:before="4"/>
        <w:ind w:right="10"/>
      </w:pPr>
      <w:r w:rsidRPr="001D528D">
        <w:t>immunization history;</w:t>
      </w:r>
    </w:p>
    <w:p w14:paraId="33778FC8" w14:textId="77777777" w:rsidR="00E65281" w:rsidRPr="001D528D" w:rsidRDefault="00E65281" w:rsidP="00E65281">
      <w:pPr>
        <w:pStyle w:val="ListParagraph"/>
        <w:widowControl w:val="0"/>
        <w:numPr>
          <w:ilvl w:val="0"/>
          <w:numId w:val="47"/>
        </w:numPr>
        <w:tabs>
          <w:tab w:val="left" w:pos="9810"/>
        </w:tabs>
        <w:spacing w:before="4"/>
        <w:ind w:right="10"/>
      </w:pPr>
      <w:r w:rsidRPr="001D528D">
        <w:t>current and past medications, including any alternative or complementary medicine;</w:t>
      </w:r>
    </w:p>
    <w:p w14:paraId="0CD3CD11" w14:textId="77777777" w:rsidR="00E65281" w:rsidRPr="001D528D" w:rsidRDefault="00E65281" w:rsidP="00E65281">
      <w:pPr>
        <w:pStyle w:val="ListParagraph"/>
        <w:widowControl w:val="0"/>
        <w:numPr>
          <w:ilvl w:val="0"/>
          <w:numId w:val="47"/>
        </w:numPr>
        <w:tabs>
          <w:tab w:val="left" w:pos="9810"/>
        </w:tabs>
        <w:spacing w:before="4"/>
        <w:ind w:right="10"/>
      </w:pPr>
      <w:r w:rsidRPr="001D528D">
        <w:t xml:space="preserve">medication allergies and other allergies; </w:t>
      </w:r>
    </w:p>
    <w:p w14:paraId="346EBDBF" w14:textId="77777777" w:rsidR="00E65281" w:rsidRPr="001D528D" w:rsidRDefault="00E65281" w:rsidP="00E65281">
      <w:pPr>
        <w:pStyle w:val="ListParagraph"/>
        <w:widowControl w:val="0"/>
        <w:numPr>
          <w:ilvl w:val="0"/>
          <w:numId w:val="47"/>
        </w:numPr>
        <w:tabs>
          <w:tab w:val="left" w:pos="9810"/>
        </w:tabs>
        <w:spacing w:before="4"/>
        <w:ind w:right="10"/>
      </w:pPr>
      <w:r w:rsidRPr="001D528D">
        <w:t xml:space="preserve">medical history, including previous diagnoses, surgeries, and hospitalizations; </w:t>
      </w:r>
    </w:p>
    <w:p w14:paraId="1772278C" w14:textId="77777777" w:rsidR="00E65281" w:rsidRPr="001D528D" w:rsidRDefault="00E65281" w:rsidP="00E65281">
      <w:pPr>
        <w:pStyle w:val="ListParagraph"/>
        <w:widowControl w:val="0"/>
        <w:numPr>
          <w:ilvl w:val="0"/>
          <w:numId w:val="47"/>
        </w:numPr>
        <w:tabs>
          <w:tab w:val="left" w:pos="9810"/>
        </w:tabs>
        <w:spacing w:before="4"/>
        <w:ind w:right="10"/>
      </w:pPr>
      <w:r w:rsidRPr="001D528D">
        <w:t xml:space="preserve">review of systems; </w:t>
      </w:r>
    </w:p>
    <w:p w14:paraId="1163F390" w14:textId="77777777" w:rsidR="00E65281" w:rsidRPr="001D528D" w:rsidRDefault="00E65281" w:rsidP="00E65281">
      <w:pPr>
        <w:pStyle w:val="ListParagraph"/>
        <w:widowControl w:val="0"/>
        <w:numPr>
          <w:ilvl w:val="0"/>
          <w:numId w:val="47"/>
        </w:numPr>
        <w:tabs>
          <w:tab w:val="left" w:pos="9810"/>
        </w:tabs>
        <w:spacing w:before="4"/>
        <w:ind w:right="10"/>
      </w:pPr>
      <w:r w:rsidRPr="001D528D">
        <w:t xml:space="preserve">risk-taking behaviors, including alcohol, marijuana, tobacco, opiate, and other substance use; </w:t>
      </w:r>
    </w:p>
    <w:p w14:paraId="42839CA6" w14:textId="77777777" w:rsidR="00E65281" w:rsidRPr="001D528D" w:rsidRDefault="00E65281" w:rsidP="00E65281">
      <w:pPr>
        <w:pStyle w:val="ListParagraph"/>
        <w:widowControl w:val="0"/>
        <w:numPr>
          <w:ilvl w:val="0"/>
          <w:numId w:val="47"/>
        </w:numPr>
        <w:tabs>
          <w:tab w:val="left" w:pos="9810"/>
        </w:tabs>
        <w:ind w:right="10"/>
      </w:pPr>
      <w:r w:rsidRPr="001D528D">
        <w:t>sexual health and development, including sexual activity; and</w:t>
      </w:r>
    </w:p>
    <w:p w14:paraId="4E1D7521" w14:textId="77777777" w:rsidR="00E65281" w:rsidRPr="001D528D" w:rsidRDefault="00E65281" w:rsidP="00E65281">
      <w:pPr>
        <w:pStyle w:val="ListParagraph"/>
        <w:widowControl w:val="0"/>
        <w:numPr>
          <w:ilvl w:val="0"/>
          <w:numId w:val="47"/>
        </w:numPr>
        <w:tabs>
          <w:tab w:val="left" w:pos="9810"/>
        </w:tabs>
        <w:ind w:right="10"/>
      </w:pPr>
      <w:r w:rsidRPr="001D528D">
        <w:t>other medical, psychosocial, and behavioral health concerns.</w:t>
      </w:r>
    </w:p>
    <w:p w14:paraId="5B23513F" w14:textId="77777777" w:rsidR="00E65281" w:rsidRPr="001D528D" w:rsidRDefault="00E65281" w:rsidP="00D97B6B">
      <w:pPr>
        <w:tabs>
          <w:tab w:val="left" w:pos="9810"/>
        </w:tabs>
        <w:spacing w:line="240" w:lineRule="exact"/>
        <w:ind w:right="10"/>
      </w:pPr>
      <w:r w:rsidRPr="001D528D">
        <w:t xml:space="preserve"> </w:t>
      </w:r>
    </w:p>
    <w:p w14:paraId="74F0CB0E" w14:textId="77777777" w:rsidR="00E65281" w:rsidRPr="001D528D" w:rsidRDefault="00E65281" w:rsidP="005D135E">
      <w:pPr>
        <w:pStyle w:val="Heading3"/>
        <w:spacing w:before="0"/>
      </w:pPr>
      <w:r w:rsidRPr="001D528D">
        <w:t>Measurements</w:t>
      </w:r>
    </w:p>
    <w:p w14:paraId="54AACAE0" w14:textId="77777777" w:rsidR="00E65281" w:rsidRPr="001D528D" w:rsidRDefault="00E65281" w:rsidP="00E65281">
      <w:pPr>
        <w:pStyle w:val="ListParagraph"/>
        <w:widowControl w:val="0"/>
        <w:numPr>
          <w:ilvl w:val="0"/>
          <w:numId w:val="49"/>
        </w:numPr>
        <w:spacing w:line="241" w:lineRule="auto"/>
        <w:ind w:right="237"/>
        <w:rPr>
          <w:bCs/>
        </w:rPr>
      </w:pPr>
      <w:r w:rsidRPr="001D528D">
        <w:rPr>
          <w:b/>
          <w:bCs/>
        </w:rPr>
        <w:t xml:space="preserve">Length/Height and Weight – </w:t>
      </w:r>
      <w:r w:rsidRPr="001D528D">
        <w:rPr>
          <w:bCs/>
        </w:rPr>
        <w:t xml:space="preserve">Providers should get length/height and weight measurements for children ages birth to 21 years at every preventive healthcare visit and plot them using appropriate, standard growth charts such as those available </w:t>
      </w:r>
      <w:hyperlink r:id="rId38" w:history="1">
        <w:r w:rsidRPr="001D528D">
          <w:rPr>
            <w:rStyle w:val="Hyperlink"/>
            <w:bCs/>
          </w:rPr>
          <w:t>through the CDC</w:t>
        </w:r>
      </w:hyperlink>
      <w:r w:rsidRPr="001D528D">
        <w:rPr>
          <w:bCs/>
        </w:rPr>
        <w:t>.</w:t>
      </w:r>
    </w:p>
    <w:p w14:paraId="3735D7B4" w14:textId="77777777" w:rsidR="00E65281" w:rsidRPr="001D528D" w:rsidRDefault="00E65281" w:rsidP="003844CD">
      <w:pPr>
        <w:pStyle w:val="ListParagraph"/>
        <w:spacing w:line="241" w:lineRule="auto"/>
        <w:ind w:right="237"/>
        <w:rPr>
          <w:bCs/>
        </w:rPr>
      </w:pPr>
    </w:p>
    <w:p w14:paraId="27A0F68C" w14:textId="77777777" w:rsidR="00E65281" w:rsidRPr="001D528D" w:rsidRDefault="00E65281" w:rsidP="00E65281">
      <w:pPr>
        <w:pStyle w:val="ListParagraph"/>
        <w:widowControl w:val="0"/>
        <w:numPr>
          <w:ilvl w:val="0"/>
          <w:numId w:val="49"/>
        </w:numPr>
        <w:spacing w:line="241" w:lineRule="auto"/>
        <w:ind w:right="237"/>
        <w:rPr>
          <w:bCs/>
        </w:rPr>
      </w:pPr>
      <w:r w:rsidRPr="001D528D">
        <w:rPr>
          <w:b/>
          <w:bCs/>
        </w:rPr>
        <w:t>Head Circumference</w:t>
      </w:r>
      <w:r w:rsidRPr="001D528D">
        <w:rPr>
          <w:bCs/>
        </w:rPr>
        <w:t xml:space="preserve"> </w:t>
      </w:r>
      <w:r w:rsidRPr="001D528D">
        <w:rPr>
          <w:b/>
          <w:bCs/>
        </w:rPr>
        <w:t>–</w:t>
      </w:r>
      <w:r w:rsidRPr="001D528D">
        <w:rPr>
          <w:bCs/>
        </w:rPr>
        <w:t xml:space="preserve"> providers should get head circumference measurements at every preventive healthcare visit from ages newborn to 24 months and plot them using appropriate, standard growth charts such as those available </w:t>
      </w:r>
      <w:hyperlink r:id="rId39" w:history="1">
        <w:r w:rsidRPr="001D528D">
          <w:rPr>
            <w:rStyle w:val="Hyperlink"/>
            <w:bCs/>
          </w:rPr>
          <w:t>through the CDC</w:t>
        </w:r>
      </w:hyperlink>
      <w:r w:rsidRPr="001D528D">
        <w:rPr>
          <w:bCs/>
        </w:rPr>
        <w:t>.</w:t>
      </w:r>
    </w:p>
    <w:p w14:paraId="651F30C0" w14:textId="77777777" w:rsidR="00E65281" w:rsidRPr="001D528D" w:rsidRDefault="00E65281" w:rsidP="003844CD">
      <w:pPr>
        <w:spacing w:line="241" w:lineRule="auto"/>
        <w:ind w:right="237"/>
        <w:rPr>
          <w:bCs/>
        </w:rPr>
      </w:pPr>
    </w:p>
    <w:p w14:paraId="789E120F" w14:textId="77777777" w:rsidR="00E65281" w:rsidRPr="001D528D" w:rsidRDefault="00E65281" w:rsidP="00E65281">
      <w:pPr>
        <w:pStyle w:val="ListParagraph"/>
        <w:widowControl w:val="0"/>
        <w:numPr>
          <w:ilvl w:val="0"/>
          <w:numId w:val="49"/>
        </w:numPr>
        <w:spacing w:line="241" w:lineRule="auto"/>
        <w:ind w:right="237"/>
        <w:rPr>
          <w:bCs/>
        </w:rPr>
      </w:pPr>
      <w:r w:rsidRPr="001D528D">
        <w:rPr>
          <w:b/>
          <w:bCs/>
        </w:rPr>
        <w:t xml:space="preserve">Weight for Length – </w:t>
      </w:r>
      <w:r w:rsidRPr="001D528D">
        <w:t xml:space="preserve">Provider should plot weight for length using appropriate, standard growth charts such as those available </w:t>
      </w:r>
      <w:hyperlink r:id="rId40" w:history="1">
        <w:r w:rsidRPr="001D528D">
          <w:rPr>
            <w:rStyle w:val="Hyperlink"/>
          </w:rPr>
          <w:t>through the CDC</w:t>
        </w:r>
      </w:hyperlink>
      <w:r w:rsidRPr="001D528D">
        <w:t xml:space="preserve"> at every preventive healthcare visit from ages newborn to 18 months.</w:t>
      </w:r>
    </w:p>
    <w:p w14:paraId="6327C142" w14:textId="77777777" w:rsidR="00E65281" w:rsidRPr="001D528D" w:rsidRDefault="00E65281" w:rsidP="003844CD">
      <w:pPr>
        <w:pStyle w:val="ListParagraph"/>
        <w:rPr>
          <w:b/>
          <w:bCs/>
        </w:rPr>
      </w:pPr>
    </w:p>
    <w:p w14:paraId="072DEBE7" w14:textId="77777777" w:rsidR="00E65281" w:rsidRPr="001D528D" w:rsidRDefault="00E65281" w:rsidP="00E65281">
      <w:pPr>
        <w:pStyle w:val="ListParagraph"/>
        <w:widowControl w:val="0"/>
        <w:numPr>
          <w:ilvl w:val="0"/>
          <w:numId w:val="49"/>
        </w:numPr>
        <w:spacing w:line="241" w:lineRule="auto"/>
        <w:ind w:right="237"/>
        <w:rPr>
          <w:bCs/>
        </w:rPr>
      </w:pPr>
      <w:r w:rsidRPr="001D528D">
        <w:rPr>
          <w:b/>
          <w:bCs/>
        </w:rPr>
        <w:t>Body Mass Index (BMI) Screen for Obesity</w:t>
      </w:r>
      <w:r w:rsidRPr="001D528D">
        <w:rPr>
          <w:bCs/>
        </w:rPr>
        <w:t xml:space="preserve"> </w:t>
      </w:r>
      <w:r w:rsidRPr="001D528D">
        <w:rPr>
          <w:b/>
          <w:bCs/>
        </w:rPr>
        <w:t xml:space="preserve">- </w:t>
      </w:r>
      <w:r w:rsidRPr="001D528D">
        <w:rPr>
          <w:bCs/>
        </w:rPr>
        <w:t>BMI should be</w:t>
      </w:r>
      <w:r w:rsidRPr="001D528D">
        <w:rPr>
          <w:b/>
          <w:bCs/>
        </w:rPr>
        <w:t xml:space="preserve"> </w:t>
      </w:r>
      <w:r w:rsidRPr="001D528D">
        <w:rPr>
          <w:bCs/>
        </w:rPr>
        <w:t xml:space="preserve">plotted using appropriate, standard growth charts such as those available </w:t>
      </w:r>
      <w:hyperlink r:id="rId41" w:history="1">
        <w:r w:rsidRPr="001D528D">
          <w:rPr>
            <w:rStyle w:val="Hyperlink"/>
            <w:bCs/>
          </w:rPr>
          <w:t>through the CDC</w:t>
        </w:r>
      </w:hyperlink>
      <w:r w:rsidRPr="001D528D">
        <w:rPr>
          <w:bCs/>
        </w:rPr>
        <w:t xml:space="preserve"> or calculated at every preventive healthcare visit from ages 24 months to 20 years. Use the </w:t>
      </w:r>
      <w:hyperlink r:id="rId42" w:history="1">
        <w:r w:rsidRPr="001D528D">
          <w:rPr>
            <w:rStyle w:val="Hyperlink"/>
            <w:bCs/>
          </w:rPr>
          <w:t>World Health Organization (WHO)</w:t>
        </w:r>
      </w:hyperlink>
      <w:r w:rsidRPr="001D528D">
        <w:rPr>
          <w:bCs/>
        </w:rPr>
        <w:t xml:space="preserve"> growth charts for monitoring weight in children ages one to two years. </w:t>
      </w:r>
    </w:p>
    <w:p w14:paraId="07BFB81D" w14:textId="77777777" w:rsidR="00E65281" w:rsidRPr="001D528D" w:rsidRDefault="00E65281" w:rsidP="003844CD">
      <w:pPr>
        <w:pStyle w:val="ListParagraph"/>
        <w:rPr>
          <w:b/>
          <w:bCs/>
        </w:rPr>
      </w:pPr>
    </w:p>
    <w:p w14:paraId="6C3CD894" w14:textId="20E8E07C" w:rsidR="002D15E9" w:rsidRPr="002D15E9" w:rsidRDefault="00E65281" w:rsidP="002D15E9">
      <w:pPr>
        <w:pStyle w:val="ListParagraph"/>
        <w:widowControl w:val="0"/>
        <w:numPr>
          <w:ilvl w:val="0"/>
          <w:numId w:val="49"/>
        </w:numPr>
        <w:spacing w:line="241" w:lineRule="auto"/>
        <w:ind w:right="237"/>
        <w:rPr>
          <w:bCs/>
        </w:rPr>
      </w:pPr>
      <w:r w:rsidRPr="001D528D">
        <w:rPr>
          <w:b/>
          <w:bCs/>
        </w:rPr>
        <w:t xml:space="preserve">Blood Pressure - </w:t>
      </w:r>
      <w:r w:rsidRPr="001D528D">
        <w:rPr>
          <w:bCs/>
        </w:rPr>
        <w:t xml:space="preserve">Blood pressure measurement should be done at every preventive visit </w:t>
      </w:r>
    </w:p>
    <w:tbl>
      <w:tblPr>
        <w:tblW w:w="9601" w:type="dxa"/>
        <w:tblInd w:w="92" w:type="dxa"/>
        <w:tblLayout w:type="fixed"/>
        <w:tblCellMar>
          <w:left w:w="0" w:type="dxa"/>
          <w:right w:w="0" w:type="dxa"/>
        </w:tblCellMar>
        <w:tblLook w:val="01E0" w:firstRow="1" w:lastRow="1" w:firstColumn="1" w:lastColumn="1" w:noHBand="0" w:noVBand="0"/>
      </w:tblPr>
      <w:tblGrid>
        <w:gridCol w:w="4080"/>
        <w:gridCol w:w="3750"/>
        <w:gridCol w:w="1771"/>
      </w:tblGrid>
      <w:tr w:rsidR="002D15E9" w:rsidRPr="00AE57EC" w14:paraId="7EB91BDF" w14:textId="77777777" w:rsidTr="00B938CD">
        <w:trPr>
          <w:trHeight w:hRule="exact" w:val="1095"/>
        </w:trPr>
        <w:tc>
          <w:tcPr>
            <w:tcW w:w="4080" w:type="dxa"/>
            <w:vMerge w:val="restart"/>
            <w:tcBorders>
              <w:top w:val="single" w:sz="6" w:space="0" w:color="000000"/>
              <w:left w:val="single" w:sz="6" w:space="0" w:color="000000"/>
              <w:right w:val="single" w:sz="6" w:space="0" w:color="000000"/>
            </w:tcBorders>
          </w:tcPr>
          <w:p w14:paraId="12EB0E89" w14:textId="77777777" w:rsidR="002D15E9" w:rsidRPr="00AE57EC" w:rsidRDefault="002D15E9" w:rsidP="00B938CD">
            <w:pPr>
              <w:spacing w:before="9" w:line="110" w:lineRule="exact"/>
              <w:ind w:right="360"/>
              <w:rPr>
                <w:sz w:val="11"/>
                <w:szCs w:val="11"/>
              </w:rPr>
            </w:pPr>
          </w:p>
          <w:p w14:paraId="5E99621A" w14:textId="77777777" w:rsidR="002D15E9" w:rsidRDefault="002D15E9" w:rsidP="00B938CD">
            <w:pPr>
              <w:ind w:left="379" w:right="363"/>
              <w:jc w:val="center"/>
              <w:rPr>
                <w:rFonts w:ascii="Arial" w:hAnsi="Arial" w:cs="Arial"/>
                <w:sz w:val="20"/>
                <w:szCs w:val="20"/>
              </w:rPr>
            </w:pPr>
            <w:r>
              <w:rPr>
                <w:rFonts w:ascii="Arial" w:hAnsi="Arial" w:cs="Arial"/>
                <w:b/>
                <w:bCs/>
                <w:sz w:val="20"/>
                <w:szCs w:val="20"/>
              </w:rPr>
              <w:t>Commo</w:t>
            </w:r>
            <w:r>
              <w:rPr>
                <w:rFonts w:ascii="Arial" w:hAnsi="Arial" w:cs="Arial"/>
                <w:b/>
                <w:bCs/>
                <w:spacing w:val="-4"/>
                <w:sz w:val="20"/>
                <w:szCs w:val="20"/>
              </w:rPr>
              <w:t>n</w:t>
            </w:r>
            <w:r>
              <w:rPr>
                <w:rFonts w:ascii="Arial" w:hAnsi="Arial" w:cs="Arial"/>
                <w:b/>
                <w:bCs/>
                <w:spacing w:val="10"/>
                <w:sz w:val="20"/>
                <w:szCs w:val="20"/>
              </w:rPr>
              <w:t>w</w:t>
            </w:r>
            <w:r>
              <w:rPr>
                <w:rFonts w:ascii="Arial" w:hAnsi="Arial" w:cs="Arial"/>
                <w:b/>
                <w:bCs/>
                <w:spacing w:val="-2"/>
                <w:sz w:val="20"/>
                <w:szCs w:val="20"/>
              </w:rPr>
              <w:t>e</w:t>
            </w:r>
            <w:r>
              <w:rPr>
                <w:rFonts w:ascii="Arial" w:hAnsi="Arial" w:cs="Arial"/>
                <w:b/>
                <w:bCs/>
                <w:sz w:val="20"/>
                <w:szCs w:val="20"/>
              </w:rPr>
              <w:t>alth</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spacing w:val="-2"/>
                <w:sz w:val="20"/>
                <w:szCs w:val="20"/>
              </w:rPr>
              <w:t xml:space="preserve"> </w:t>
            </w:r>
            <w:r>
              <w:rPr>
                <w:rFonts w:ascii="Arial" w:hAnsi="Arial" w:cs="Arial"/>
                <w:b/>
                <w:bCs/>
                <w:sz w:val="20"/>
                <w:szCs w:val="20"/>
              </w:rPr>
              <w:t>Ma</w:t>
            </w:r>
            <w:r>
              <w:rPr>
                <w:rFonts w:ascii="Arial" w:hAnsi="Arial" w:cs="Arial"/>
                <w:b/>
                <w:bCs/>
                <w:spacing w:val="-1"/>
                <w:sz w:val="20"/>
                <w:szCs w:val="20"/>
              </w:rPr>
              <w:t>ss</w:t>
            </w:r>
            <w:r>
              <w:rPr>
                <w:rFonts w:ascii="Arial" w:hAnsi="Arial" w:cs="Arial"/>
                <w:b/>
                <w:bCs/>
                <w:sz w:val="20"/>
                <w:szCs w:val="20"/>
              </w:rPr>
              <w:t>achu</w:t>
            </w:r>
            <w:r>
              <w:rPr>
                <w:rFonts w:ascii="Arial" w:hAnsi="Arial" w:cs="Arial"/>
                <w:b/>
                <w:bCs/>
                <w:spacing w:val="-1"/>
                <w:sz w:val="20"/>
                <w:szCs w:val="20"/>
              </w:rPr>
              <w:t>s</w:t>
            </w:r>
            <w:r>
              <w:rPr>
                <w:rFonts w:ascii="Arial" w:hAnsi="Arial" w:cs="Arial"/>
                <w:b/>
                <w:bCs/>
                <w:sz w:val="20"/>
                <w:szCs w:val="20"/>
              </w:rPr>
              <w:t>etts</w:t>
            </w:r>
          </w:p>
          <w:p w14:paraId="3D557276" w14:textId="77777777" w:rsidR="002D15E9" w:rsidRDefault="002D15E9" w:rsidP="00B938CD">
            <w:pPr>
              <w:spacing w:before="4"/>
              <w:ind w:left="1438" w:right="1419"/>
              <w:jc w:val="center"/>
              <w:rPr>
                <w:rFonts w:ascii="Arial" w:hAnsi="Arial" w:cs="Arial"/>
                <w:sz w:val="20"/>
                <w:szCs w:val="20"/>
              </w:rPr>
            </w:pPr>
            <w:r>
              <w:rPr>
                <w:rFonts w:ascii="Arial" w:hAnsi="Arial" w:cs="Arial"/>
                <w:b/>
                <w:bCs/>
                <w:sz w:val="20"/>
                <w:szCs w:val="20"/>
              </w:rPr>
              <w:t>Mas</w:t>
            </w:r>
            <w:r>
              <w:rPr>
                <w:rFonts w:ascii="Arial" w:hAnsi="Arial" w:cs="Arial"/>
                <w:b/>
                <w:bCs/>
                <w:spacing w:val="-1"/>
                <w:sz w:val="20"/>
                <w:szCs w:val="20"/>
              </w:rPr>
              <w:t>s</w:t>
            </w:r>
            <w:r>
              <w:rPr>
                <w:rFonts w:ascii="Arial" w:hAnsi="Arial" w:cs="Arial"/>
                <w:b/>
                <w:bCs/>
                <w:sz w:val="20"/>
                <w:szCs w:val="20"/>
              </w:rPr>
              <w:t>Hea</w:t>
            </w:r>
            <w:r>
              <w:rPr>
                <w:rFonts w:ascii="Arial" w:hAnsi="Arial" w:cs="Arial"/>
                <w:b/>
                <w:bCs/>
                <w:spacing w:val="-2"/>
                <w:sz w:val="20"/>
                <w:szCs w:val="20"/>
              </w:rPr>
              <w:t>l</w:t>
            </w:r>
            <w:r>
              <w:rPr>
                <w:rFonts w:ascii="Arial" w:hAnsi="Arial" w:cs="Arial"/>
                <w:b/>
                <w:bCs/>
                <w:sz w:val="20"/>
                <w:szCs w:val="20"/>
              </w:rPr>
              <w:t>th</w:t>
            </w:r>
          </w:p>
          <w:p w14:paraId="1214EBBE" w14:textId="77777777" w:rsidR="002D15E9" w:rsidRDefault="002D15E9" w:rsidP="00B938CD">
            <w:pPr>
              <w:spacing w:before="4"/>
              <w:ind w:left="900" w:right="886"/>
              <w:jc w:val="center"/>
              <w:rPr>
                <w:rFonts w:ascii="Arial" w:hAnsi="Arial" w:cs="Arial"/>
                <w:sz w:val="20"/>
                <w:szCs w:val="20"/>
              </w:rPr>
            </w:pPr>
            <w:r>
              <w:rPr>
                <w:rFonts w:ascii="Arial" w:hAnsi="Arial" w:cs="Arial"/>
                <w:b/>
                <w:bCs/>
                <w:spacing w:val="-1"/>
                <w:sz w:val="20"/>
                <w:szCs w:val="20"/>
              </w:rPr>
              <w:t>Pr</w:t>
            </w:r>
            <w:r>
              <w:rPr>
                <w:rFonts w:ascii="Arial" w:hAnsi="Arial" w:cs="Arial"/>
                <w:b/>
                <w:bCs/>
                <w:sz w:val="20"/>
                <w:szCs w:val="20"/>
              </w:rPr>
              <w:t>o</w:t>
            </w:r>
            <w:r>
              <w:rPr>
                <w:rFonts w:ascii="Arial" w:hAnsi="Arial" w:cs="Arial"/>
                <w:b/>
                <w:bCs/>
                <w:spacing w:val="-5"/>
                <w:sz w:val="20"/>
                <w:szCs w:val="20"/>
              </w:rPr>
              <w:t>v</w:t>
            </w:r>
            <w:r>
              <w:rPr>
                <w:rFonts w:ascii="Arial" w:hAnsi="Arial" w:cs="Arial"/>
                <w:b/>
                <w:bCs/>
                <w:spacing w:val="-1"/>
                <w:sz w:val="20"/>
                <w:szCs w:val="20"/>
              </w:rPr>
              <w:t>ide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M</w:t>
            </w:r>
            <w:r>
              <w:rPr>
                <w:rFonts w:ascii="Arial" w:hAnsi="Arial" w:cs="Arial"/>
                <w:b/>
                <w:bCs/>
                <w:sz w:val="20"/>
                <w:szCs w:val="20"/>
              </w:rPr>
              <w:t>a</w:t>
            </w:r>
            <w:r>
              <w:rPr>
                <w:rFonts w:ascii="Arial" w:hAnsi="Arial" w:cs="Arial"/>
                <w:b/>
                <w:bCs/>
                <w:spacing w:val="-1"/>
                <w:sz w:val="20"/>
                <w:szCs w:val="20"/>
              </w:rPr>
              <w:t>nua</w:t>
            </w:r>
            <w:r>
              <w:rPr>
                <w:rFonts w:ascii="Arial" w:hAnsi="Arial" w:cs="Arial"/>
                <w:b/>
                <w:bCs/>
                <w:sz w:val="20"/>
                <w:szCs w:val="20"/>
              </w:rPr>
              <w:t>l</w:t>
            </w:r>
            <w:r>
              <w:rPr>
                <w:rFonts w:ascii="Arial" w:hAnsi="Arial" w:cs="Arial"/>
                <w:b/>
                <w:bCs/>
                <w:spacing w:val="-3"/>
                <w:sz w:val="20"/>
                <w:szCs w:val="20"/>
              </w:rPr>
              <w:t xml:space="preserve"> </w:t>
            </w:r>
            <w:r>
              <w:rPr>
                <w:rFonts w:ascii="Arial" w:hAnsi="Arial" w:cs="Arial"/>
                <w:b/>
                <w:bCs/>
                <w:spacing w:val="-1"/>
                <w:sz w:val="20"/>
                <w:szCs w:val="20"/>
              </w:rPr>
              <w:t>Series</w:t>
            </w:r>
          </w:p>
          <w:p w14:paraId="47A48774" w14:textId="77777777" w:rsidR="002D15E9" w:rsidRPr="00AE57EC" w:rsidRDefault="002D15E9" w:rsidP="00B938CD">
            <w:pPr>
              <w:spacing w:line="200" w:lineRule="exact"/>
              <w:rPr>
                <w:sz w:val="20"/>
                <w:szCs w:val="20"/>
              </w:rPr>
            </w:pPr>
          </w:p>
          <w:p w14:paraId="0DED4629" w14:textId="77777777" w:rsidR="002D15E9" w:rsidRDefault="002D15E9" w:rsidP="00B938CD">
            <w:pPr>
              <w:ind w:left="1080" w:right="1061"/>
              <w:jc w:val="center"/>
              <w:rPr>
                <w:rFonts w:ascii="Arial" w:hAnsi="Arial" w:cs="Arial"/>
                <w:sz w:val="20"/>
                <w:szCs w:val="20"/>
              </w:rPr>
            </w:pPr>
          </w:p>
          <w:p w14:paraId="62A93E47" w14:textId="77777777" w:rsidR="002D15E9" w:rsidRDefault="002D15E9" w:rsidP="00B938CD">
            <w:pPr>
              <w:ind w:left="1080" w:right="1061"/>
              <w:jc w:val="center"/>
              <w:rPr>
                <w:rFonts w:ascii="Arial" w:hAnsi="Arial" w:cs="Arial"/>
                <w:sz w:val="20"/>
                <w:szCs w:val="20"/>
              </w:rPr>
            </w:pPr>
            <w:r>
              <w:rPr>
                <w:rFonts w:ascii="Arial" w:hAnsi="Arial" w:cs="Arial"/>
                <w:sz w:val="20"/>
                <w:szCs w:val="20"/>
              </w:rPr>
              <w:t>All</w:t>
            </w:r>
            <w:r>
              <w:rPr>
                <w:rFonts w:ascii="Arial" w:hAnsi="Arial" w:cs="Arial"/>
                <w:spacing w:val="-2"/>
                <w:sz w:val="20"/>
                <w:szCs w:val="20"/>
              </w:rPr>
              <w:t xml:space="preserve"> </w:t>
            </w:r>
            <w:r>
              <w:rPr>
                <w:rFonts w:ascii="Arial" w:hAnsi="Arial" w:cs="Arial"/>
                <w:sz w:val="20"/>
                <w:szCs w:val="20"/>
              </w:rPr>
              <w:t>Provider</w:t>
            </w:r>
            <w:r>
              <w:rPr>
                <w:rFonts w:ascii="Arial" w:hAnsi="Arial" w:cs="Arial"/>
                <w:spacing w:val="-2"/>
                <w:sz w:val="20"/>
                <w:szCs w:val="20"/>
              </w:rPr>
              <w:t xml:space="preserve"> </w:t>
            </w:r>
            <w:r>
              <w:rPr>
                <w:rFonts w:ascii="Arial" w:hAnsi="Arial" w:cs="Arial"/>
                <w:sz w:val="20"/>
                <w:szCs w:val="20"/>
              </w:rPr>
              <w:t>Manua</w:t>
            </w:r>
            <w:r>
              <w:rPr>
                <w:rFonts w:ascii="Arial" w:hAnsi="Arial" w:cs="Arial"/>
                <w:spacing w:val="-1"/>
                <w:sz w:val="20"/>
                <w:szCs w:val="20"/>
              </w:rPr>
              <w:t>l</w:t>
            </w:r>
            <w:r>
              <w:rPr>
                <w:rFonts w:ascii="Arial" w:hAnsi="Arial" w:cs="Arial"/>
                <w:sz w:val="20"/>
                <w:szCs w:val="20"/>
              </w:rPr>
              <w:t>s</w:t>
            </w:r>
          </w:p>
        </w:tc>
        <w:tc>
          <w:tcPr>
            <w:tcW w:w="3750" w:type="dxa"/>
            <w:tcBorders>
              <w:top w:val="single" w:sz="6" w:space="0" w:color="000000"/>
              <w:left w:val="single" w:sz="6" w:space="0" w:color="000000"/>
              <w:bottom w:val="single" w:sz="6" w:space="0" w:color="000000"/>
              <w:right w:val="single" w:sz="6" w:space="0" w:color="000000"/>
            </w:tcBorders>
          </w:tcPr>
          <w:p w14:paraId="11C70A27" w14:textId="77777777" w:rsidR="002D15E9" w:rsidRPr="00AE57EC" w:rsidRDefault="002D15E9" w:rsidP="00B938CD">
            <w:pPr>
              <w:spacing w:line="120" w:lineRule="exact"/>
              <w:rPr>
                <w:sz w:val="12"/>
                <w:szCs w:val="12"/>
              </w:rPr>
            </w:pPr>
          </w:p>
          <w:p w14:paraId="1BDD4446" w14:textId="77777777" w:rsidR="002D15E9" w:rsidRDefault="002D15E9" w:rsidP="00B938CD">
            <w:pPr>
              <w:spacing w:line="237" w:lineRule="auto"/>
              <w:ind w:left="188" w:right="170" w:hanging="2"/>
              <w:jc w:val="center"/>
              <w:rPr>
                <w:rFonts w:ascii="Arial" w:hAnsi="Arial" w:cs="Arial"/>
                <w:sz w:val="19"/>
                <w:szCs w:val="19"/>
              </w:rPr>
            </w:pPr>
            <w:r>
              <w:rPr>
                <w:rFonts w:ascii="Arial" w:hAnsi="Arial" w:cs="Arial"/>
                <w:b/>
                <w:bCs/>
                <w:spacing w:val="-1"/>
                <w:sz w:val="20"/>
                <w:szCs w:val="20"/>
              </w:rPr>
              <w:t>Subchapte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Numbe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an</w:t>
            </w:r>
            <w:r>
              <w:rPr>
                <w:rFonts w:ascii="Arial" w:hAnsi="Arial" w:cs="Arial"/>
                <w:b/>
                <w:bCs/>
                <w:sz w:val="20"/>
                <w:szCs w:val="20"/>
              </w:rPr>
              <w:t>d</w:t>
            </w:r>
            <w:r>
              <w:rPr>
                <w:rFonts w:ascii="Arial" w:hAnsi="Arial" w:cs="Arial"/>
                <w:b/>
                <w:bCs/>
                <w:spacing w:val="-2"/>
                <w:sz w:val="20"/>
                <w:szCs w:val="20"/>
              </w:rPr>
              <w:t xml:space="preserve"> </w:t>
            </w:r>
            <w:r>
              <w:rPr>
                <w:rFonts w:ascii="Arial" w:hAnsi="Arial" w:cs="Arial"/>
                <w:b/>
                <w:bCs/>
                <w:spacing w:val="-1"/>
                <w:sz w:val="20"/>
                <w:szCs w:val="20"/>
              </w:rPr>
              <w:t xml:space="preserve">Title </w:t>
            </w:r>
            <w:r w:rsidRPr="006257D3">
              <w:rPr>
                <w:rFonts w:ascii="Arial" w:hAnsi="Arial" w:cs="Arial"/>
                <w:sz w:val="20"/>
                <w:szCs w:val="20"/>
              </w:rPr>
              <w:t>Appendix</w:t>
            </w:r>
            <w:r w:rsidRPr="006257D3">
              <w:rPr>
                <w:rFonts w:ascii="Arial" w:hAnsi="Arial" w:cs="Arial"/>
                <w:spacing w:val="-16"/>
                <w:sz w:val="20"/>
                <w:szCs w:val="20"/>
              </w:rPr>
              <w:t xml:space="preserve"> </w:t>
            </w:r>
            <w:r w:rsidRPr="006257D3">
              <w:rPr>
                <w:rFonts w:ascii="Arial" w:hAnsi="Arial" w:cs="Arial"/>
                <w:sz w:val="20"/>
                <w:szCs w:val="20"/>
              </w:rPr>
              <w:t>W.</w:t>
            </w:r>
            <w:r w:rsidRPr="006257D3">
              <w:rPr>
                <w:rFonts w:ascii="Arial" w:hAnsi="Arial" w:cs="Arial"/>
                <w:spacing w:val="38"/>
                <w:sz w:val="20"/>
                <w:szCs w:val="20"/>
              </w:rPr>
              <w:t xml:space="preserve"> </w:t>
            </w:r>
            <w:r w:rsidRPr="006257D3">
              <w:rPr>
                <w:rFonts w:ascii="Arial" w:hAnsi="Arial" w:cs="Arial"/>
                <w:sz w:val="20"/>
                <w:szCs w:val="20"/>
              </w:rPr>
              <w:t>EPSDT</w:t>
            </w:r>
            <w:r w:rsidRPr="006257D3">
              <w:rPr>
                <w:rFonts w:ascii="Arial" w:hAnsi="Arial" w:cs="Arial"/>
                <w:spacing w:val="-12"/>
                <w:sz w:val="20"/>
                <w:szCs w:val="20"/>
              </w:rPr>
              <w:t xml:space="preserve"> </w:t>
            </w:r>
            <w:r w:rsidRPr="006257D3">
              <w:rPr>
                <w:rFonts w:ascii="Arial" w:hAnsi="Arial" w:cs="Arial"/>
                <w:sz w:val="20"/>
                <w:szCs w:val="20"/>
              </w:rPr>
              <w:t>Servi</w:t>
            </w:r>
            <w:r w:rsidRPr="006257D3">
              <w:rPr>
                <w:rFonts w:ascii="Arial" w:hAnsi="Arial" w:cs="Arial"/>
                <w:spacing w:val="1"/>
                <w:sz w:val="20"/>
                <w:szCs w:val="20"/>
              </w:rPr>
              <w:t>c</w:t>
            </w:r>
            <w:r w:rsidRPr="006257D3">
              <w:rPr>
                <w:rFonts w:ascii="Arial" w:hAnsi="Arial" w:cs="Arial"/>
                <w:sz w:val="20"/>
                <w:szCs w:val="20"/>
              </w:rPr>
              <w:t>es</w:t>
            </w:r>
            <w:r w:rsidRPr="006257D3">
              <w:rPr>
                <w:rFonts w:ascii="Arial" w:hAnsi="Arial" w:cs="Arial"/>
                <w:spacing w:val="-15"/>
                <w:sz w:val="20"/>
                <w:szCs w:val="20"/>
              </w:rPr>
              <w:t xml:space="preserve"> </w:t>
            </w:r>
            <w:r w:rsidRPr="006257D3">
              <w:rPr>
                <w:rFonts w:ascii="Arial" w:hAnsi="Arial" w:cs="Arial"/>
                <w:w w:val="99"/>
                <w:sz w:val="20"/>
                <w:szCs w:val="20"/>
              </w:rPr>
              <w:t xml:space="preserve">Medical </w:t>
            </w:r>
            <w:r w:rsidRPr="006257D3">
              <w:rPr>
                <w:rFonts w:ascii="Arial" w:hAnsi="Arial" w:cs="Arial"/>
                <w:sz w:val="20"/>
                <w:szCs w:val="20"/>
              </w:rPr>
              <w:t>and</w:t>
            </w:r>
            <w:r w:rsidRPr="006257D3">
              <w:rPr>
                <w:rFonts w:ascii="Arial" w:hAnsi="Arial" w:cs="Arial"/>
                <w:spacing w:val="-11"/>
                <w:sz w:val="20"/>
                <w:szCs w:val="20"/>
              </w:rPr>
              <w:t xml:space="preserve"> </w:t>
            </w:r>
            <w:r w:rsidRPr="006257D3">
              <w:rPr>
                <w:rFonts w:ascii="Arial" w:hAnsi="Arial" w:cs="Arial"/>
                <w:sz w:val="20"/>
                <w:szCs w:val="20"/>
              </w:rPr>
              <w:t>Dental</w:t>
            </w:r>
            <w:r w:rsidRPr="006257D3">
              <w:rPr>
                <w:rFonts w:ascii="Arial" w:hAnsi="Arial" w:cs="Arial"/>
                <w:spacing w:val="-11"/>
                <w:sz w:val="20"/>
                <w:szCs w:val="20"/>
              </w:rPr>
              <w:t xml:space="preserve"> </w:t>
            </w:r>
            <w:r w:rsidRPr="006257D3">
              <w:rPr>
                <w:rFonts w:ascii="Arial" w:hAnsi="Arial" w:cs="Arial"/>
                <w:sz w:val="20"/>
                <w:szCs w:val="20"/>
              </w:rPr>
              <w:t>P</w:t>
            </w:r>
            <w:r w:rsidRPr="006257D3">
              <w:rPr>
                <w:rFonts w:ascii="Arial" w:hAnsi="Arial" w:cs="Arial"/>
                <w:spacing w:val="2"/>
                <w:sz w:val="20"/>
                <w:szCs w:val="20"/>
              </w:rPr>
              <w:t>r</w:t>
            </w:r>
            <w:r w:rsidRPr="006257D3">
              <w:rPr>
                <w:rFonts w:ascii="Arial" w:hAnsi="Arial" w:cs="Arial"/>
                <w:sz w:val="20"/>
                <w:szCs w:val="20"/>
              </w:rPr>
              <w:t>otocols</w:t>
            </w:r>
            <w:r w:rsidRPr="006257D3">
              <w:rPr>
                <w:rFonts w:ascii="Arial" w:hAnsi="Arial" w:cs="Arial"/>
                <w:spacing w:val="-15"/>
                <w:sz w:val="20"/>
                <w:szCs w:val="20"/>
              </w:rPr>
              <w:t xml:space="preserve"> </w:t>
            </w:r>
            <w:r w:rsidRPr="006257D3">
              <w:rPr>
                <w:rFonts w:ascii="Arial" w:hAnsi="Arial" w:cs="Arial"/>
                <w:sz w:val="20"/>
                <w:szCs w:val="20"/>
              </w:rPr>
              <w:t>and</w:t>
            </w:r>
            <w:r w:rsidRPr="006257D3">
              <w:rPr>
                <w:rFonts w:ascii="Arial" w:hAnsi="Arial" w:cs="Arial"/>
                <w:spacing w:val="-9"/>
                <w:sz w:val="20"/>
                <w:szCs w:val="20"/>
              </w:rPr>
              <w:t xml:space="preserve"> </w:t>
            </w:r>
            <w:r w:rsidRPr="006257D3">
              <w:rPr>
                <w:rFonts w:ascii="Arial" w:hAnsi="Arial" w:cs="Arial"/>
                <w:w w:val="99"/>
                <w:sz w:val="20"/>
                <w:szCs w:val="20"/>
              </w:rPr>
              <w:t>Periodicity Schedules</w:t>
            </w:r>
          </w:p>
        </w:tc>
        <w:tc>
          <w:tcPr>
            <w:tcW w:w="1771" w:type="dxa"/>
            <w:tcBorders>
              <w:top w:val="single" w:sz="6" w:space="0" w:color="000000"/>
              <w:left w:val="single" w:sz="6" w:space="0" w:color="000000"/>
              <w:bottom w:val="single" w:sz="6" w:space="0" w:color="000000"/>
              <w:right w:val="single" w:sz="6" w:space="0" w:color="000000"/>
            </w:tcBorders>
          </w:tcPr>
          <w:p w14:paraId="1290FD8F" w14:textId="77777777" w:rsidR="002D15E9" w:rsidRPr="00AE57EC" w:rsidRDefault="002D15E9" w:rsidP="00B938CD">
            <w:pPr>
              <w:spacing w:before="9" w:line="110" w:lineRule="exact"/>
              <w:rPr>
                <w:sz w:val="11"/>
                <w:szCs w:val="11"/>
              </w:rPr>
            </w:pPr>
          </w:p>
          <w:p w14:paraId="5F5C1F67" w14:textId="77777777" w:rsidR="002D15E9" w:rsidRDefault="002D15E9" w:rsidP="00B938CD">
            <w:pPr>
              <w:ind w:left="603" w:right="584"/>
              <w:jc w:val="center"/>
              <w:rPr>
                <w:rFonts w:ascii="Arial" w:hAnsi="Arial" w:cs="Arial"/>
                <w:sz w:val="20"/>
                <w:szCs w:val="20"/>
              </w:rPr>
            </w:pPr>
            <w:r>
              <w:rPr>
                <w:rFonts w:ascii="Arial" w:hAnsi="Arial" w:cs="Arial"/>
                <w:b/>
                <w:bCs/>
                <w:spacing w:val="-1"/>
                <w:sz w:val="20"/>
                <w:szCs w:val="20"/>
              </w:rPr>
              <w:t>Page</w:t>
            </w:r>
          </w:p>
          <w:p w14:paraId="6C2DA50E" w14:textId="77777777" w:rsidR="002D15E9" w:rsidRPr="00AE57EC" w:rsidRDefault="002D15E9" w:rsidP="00B938CD">
            <w:pPr>
              <w:spacing w:before="8" w:line="110" w:lineRule="exact"/>
              <w:rPr>
                <w:sz w:val="11"/>
                <w:szCs w:val="11"/>
              </w:rPr>
            </w:pPr>
          </w:p>
          <w:p w14:paraId="2E2206D8" w14:textId="5329ACEE" w:rsidR="002D15E9" w:rsidRPr="004A6519" w:rsidRDefault="002D15E9" w:rsidP="00B938CD">
            <w:pPr>
              <w:pStyle w:val="Header"/>
              <w:jc w:val="center"/>
              <w:rPr>
                <w:rStyle w:val="PageNumber"/>
                <w:b w:val="0"/>
                <w:bCs/>
                <w:i w:val="0"/>
                <w:iCs w:val="0"/>
              </w:rPr>
            </w:pPr>
            <w:r w:rsidRPr="004A6519">
              <w:rPr>
                <w:rFonts w:ascii="Arial" w:hAnsi="Arial" w:cs="Arial"/>
                <w:b w:val="0"/>
                <w:bCs/>
                <w:i w:val="0"/>
                <w:iCs w:val="0"/>
              </w:rPr>
              <w:t>W-</w:t>
            </w:r>
            <w:r w:rsidR="004C78A8">
              <w:rPr>
                <w:rFonts w:ascii="Arial" w:hAnsi="Arial" w:cs="Arial"/>
                <w:b w:val="0"/>
                <w:bCs/>
                <w:i w:val="0"/>
                <w:iCs w:val="0"/>
              </w:rPr>
              <w:t>3</w:t>
            </w:r>
          </w:p>
          <w:p w14:paraId="6A6D5094" w14:textId="77777777" w:rsidR="002D15E9" w:rsidRDefault="002D15E9" w:rsidP="00B938CD">
            <w:pPr>
              <w:ind w:left="650" w:right="630"/>
              <w:jc w:val="center"/>
              <w:rPr>
                <w:rFonts w:ascii="Arial" w:hAnsi="Arial" w:cs="Arial"/>
                <w:sz w:val="20"/>
                <w:szCs w:val="20"/>
              </w:rPr>
            </w:pPr>
          </w:p>
        </w:tc>
      </w:tr>
      <w:tr w:rsidR="002D15E9" w:rsidRPr="00AE57EC" w14:paraId="2BCCB16E" w14:textId="77777777" w:rsidTr="00B938CD">
        <w:trPr>
          <w:trHeight w:hRule="exact" w:val="866"/>
        </w:trPr>
        <w:tc>
          <w:tcPr>
            <w:tcW w:w="4080" w:type="dxa"/>
            <w:vMerge/>
            <w:tcBorders>
              <w:left w:val="single" w:sz="6" w:space="0" w:color="000000"/>
              <w:bottom w:val="single" w:sz="6" w:space="0" w:color="000000"/>
              <w:right w:val="single" w:sz="6" w:space="0" w:color="000000"/>
            </w:tcBorders>
          </w:tcPr>
          <w:p w14:paraId="1E6F3F9C" w14:textId="77777777" w:rsidR="002D15E9" w:rsidRPr="00AE57EC" w:rsidRDefault="002D15E9" w:rsidP="00B938CD"/>
        </w:tc>
        <w:tc>
          <w:tcPr>
            <w:tcW w:w="3750" w:type="dxa"/>
            <w:tcBorders>
              <w:top w:val="single" w:sz="6" w:space="0" w:color="000000"/>
              <w:left w:val="single" w:sz="6" w:space="0" w:color="000000"/>
              <w:bottom w:val="single" w:sz="6" w:space="0" w:color="000000"/>
              <w:right w:val="single" w:sz="6" w:space="0" w:color="000000"/>
            </w:tcBorders>
          </w:tcPr>
          <w:p w14:paraId="2CE8186B" w14:textId="77777777" w:rsidR="002D15E9" w:rsidRPr="00AE57EC" w:rsidRDefault="002D15E9" w:rsidP="00B938CD">
            <w:pPr>
              <w:spacing w:before="10" w:line="110" w:lineRule="exact"/>
              <w:rPr>
                <w:sz w:val="11"/>
                <w:szCs w:val="11"/>
              </w:rPr>
            </w:pPr>
          </w:p>
          <w:p w14:paraId="5EFD850E" w14:textId="77777777" w:rsidR="002D15E9" w:rsidRDefault="002D15E9" w:rsidP="00B938CD">
            <w:pPr>
              <w:ind w:left="985" w:right="966"/>
              <w:jc w:val="center"/>
              <w:rPr>
                <w:rFonts w:ascii="Arial" w:hAnsi="Arial" w:cs="Arial"/>
                <w:sz w:val="20"/>
                <w:szCs w:val="20"/>
              </w:rPr>
            </w:pPr>
            <w:r>
              <w:rPr>
                <w:rFonts w:ascii="Arial" w:hAnsi="Arial" w:cs="Arial"/>
                <w:b/>
                <w:bCs/>
                <w:sz w:val="20"/>
                <w:szCs w:val="20"/>
              </w:rPr>
              <w:t>Trans</w:t>
            </w:r>
            <w:r>
              <w:rPr>
                <w:rFonts w:ascii="Arial" w:hAnsi="Arial" w:cs="Arial"/>
                <w:b/>
                <w:bCs/>
                <w:spacing w:val="-2"/>
                <w:sz w:val="20"/>
                <w:szCs w:val="20"/>
              </w:rPr>
              <w:t>m</w:t>
            </w:r>
            <w:r>
              <w:rPr>
                <w:rFonts w:ascii="Arial" w:hAnsi="Arial" w:cs="Arial"/>
                <w:b/>
                <w:bCs/>
                <w:sz w:val="20"/>
                <w:szCs w:val="20"/>
              </w:rPr>
              <w:t>ittal</w:t>
            </w:r>
            <w:r>
              <w:rPr>
                <w:rFonts w:ascii="Arial" w:hAnsi="Arial" w:cs="Arial"/>
                <w:b/>
                <w:bCs/>
                <w:spacing w:val="-2"/>
                <w:sz w:val="20"/>
                <w:szCs w:val="20"/>
              </w:rPr>
              <w:t xml:space="preserve"> </w:t>
            </w:r>
            <w:r>
              <w:rPr>
                <w:rFonts w:ascii="Arial" w:hAnsi="Arial" w:cs="Arial"/>
                <w:b/>
                <w:bCs/>
                <w:sz w:val="20"/>
                <w:szCs w:val="20"/>
              </w:rPr>
              <w:t>Letter</w:t>
            </w:r>
          </w:p>
          <w:p w14:paraId="3EE64F2A" w14:textId="77777777" w:rsidR="002D15E9" w:rsidRPr="00AE57EC" w:rsidRDefault="002D15E9" w:rsidP="00B938CD">
            <w:pPr>
              <w:spacing w:before="7" w:line="110" w:lineRule="exact"/>
              <w:rPr>
                <w:sz w:val="11"/>
                <w:szCs w:val="11"/>
              </w:rPr>
            </w:pPr>
          </w:p>
          <w:p w14:paraId="2477D95F" w14:textId="77777777" w:rsidR="002D15E9" w:rsidRPr="00DB19DD" w:rsidRDefault="002D15E9" w:rsidP="00B938CD">
            <w:pPr>
              <w:ind w:left="1452" w:right="1435"/>
              <w:jc w:val="center"/>
              <w:rPr>
                <w:rFonts w:ascii="Arial" w:hAnsi="Arial" w:cs="Arial"/>
                <w:sz w:val="20"/>
                <w:szCs w:val="20"/>
              </w:rPr>
            </w:pPr>
            <w:r>
              <w:rPr>
                <w:rFonts w:ascii="Arial" w:hAnsi="Arial" w:cs="Arial"/>
                <w:sz w:val="20"/>
                <w:szCs w:val="20"/>
              </w:rPr>
              <w:t>ALL-249</w:t>
            </w:r>
          </w:p>
        </w:tc>
        <w:tc>
          <w:tcPr>
            <w:tcW w:w="1771" w:type="dxa"/>
            <w:tcBorders>
              <w:top w:val="single" w:sz="6" w:space="0" w:color="000000"/>
              <w:left w:val="single" w:sz="6" w:space="0" w:color="000000"/>
              <w:bottom w:val="single" w:sz="6" w:space="0" w:color="000000"/>
              <w:right w:val="single" w:sz="6" w:space="0" w:color="000000"/>
            </w:tcBorders>
          </w:tcPr>
          <w:p w14:paraId="24DAE68F" w14:textId="77777777" w:rsidR="002D15E9" w:rsidRPr="00AE57EC" w:rsidRDefault="002D15E9" w:rsidP="00B938CD">
            <w:pPr>
              <w:spacing w:before="10" w:line="110" w:lineRule="exact"/>
              <w:rPr>
                <w:sz w:val="11"/>
                <w:szCs w:val="11"/>
              </w:rPr>
            </w:pPr>
          </w:p>
          <w:p w14:paraId="7CCBB5A4" w14:textId="77777777" w:rsidR="002D15E9" w:rsidRDefault="002D15E9" w:rsidP="00B938CD">
            <w:pPr>
              <w:ind w:left="624" w:right="607"/>
              <w:jc w:val="center"/>
              <w:rPr>
                <w:rFonts w:ascii="Arial" w:hAnsi="Arial" w:cs="Arial"/>
                <w:sz w:val="20"/>
                <w:szCs w:val="20"/>
              </w:rPr>
            </w:pPr>
            <w:r>
              <w:rPr>
                <w:rFonts w:ascii="Arial" w:hAnsi="Arial" w:cs="Arial"/>
                <w:b/>
                <w:bCs/>
                <w:sz w:val="20"/>
                <w:szCs w:val="20"/>
              </w:rPr>
              <w:t>Da</w:t>
            </w:r>
            <w:r>
              <w:rPr>
                <w:rFonts w:ascii="Arial" w:hAnsi="Arial" w:cs="Arial"/>
                <w:b/>
                <w:bCs/>
                <w:spacing w:val="-1"/>
                <w:sz w:val="20"/>
                <w:szCs w:val="20"/>
              </w:rPr>
              <w:t>t</w:t>
            </w:r>
            <w:r>
              <w:rPr>
                <w:rFonts w:ascii="Arial" w:hAnsi="Arial" w:cs="Arial"/>
                <w:b/>
                <w:bCs/>
                <w:sz w:val="20"/>
                <w:szCs w:val="20"/>
              </w:rPr>
              <w:t>e</w:t>
            </w:r>
          </w:p>
          <w:p w14:paraId="2E044F89" w14:textId="77777777" w:rsidR="002D15E9" w:rsidRPr="00AE57EC" w:rsidRDefault="002D15E9" w:rsidP="00B938CD">
            <w:pPr>
              <w:spacing w:before="7" w:line="110" w:lineRule="exact"/>
              <w:rPr>
                <w:sz w:val="11"/>
                <w:szCs w:val="11"/>
              </w:rPr>
            </w:pPr>
          </w:p>
          <w:p w14:paraId="766C1774" w14:textId="77777777" w:rsidR="002D15E9" w:rsidRPr="00DB19DD" w:rsidRDefault="002D15E9" w:rsidP="00B938CD">
            <w:pPr>
              <w:ind w:left="452" w:right="433"/>
              <w:jc w:val="center"/>
              <w:rPr>
                <w:rFonts w:ascii="Arial" w:hAnsi="Arial" w:cs="Arial"/>
                <w:sz w:val="20"/>
                <w:szCs w:val="20"/>
              </w:rPr>
            </w:pPr>
            <w:r>
              <w:rPr>
                <w:rFonts w:ascii="Arial" w:hAnsi="Arial" w:cs="Arial"/>
                <w:sz w:val="20"/>
                <w:szCs w:val="20"/>
              </w:rPr>
              <w:t>11/21/24</w:t>
            </w:r>
          </w:p>
        </w:tc>
      </w:tr>
    </w:tbl>
    <w:p w14:paraId="1E6E9230" w14:textId="77777777" w:rsidR="002D15E9" w:rsidRDefault="002D15E9" w:rsidP="002D15E9">
      <w:pPr>
        <w:pStyle w:val="ListParagraph"/>
        <w:widowControl w:val="0"/>
        <w:spacing w:line="241" w:lineRule="auto"/>
        <w:ind w:right="237"/>
        <w:rPr>
          <w:bCs/>
        </w:rPr>
      </w:pPr>
    </w:p>
    <w:p w14:paraId="6106F70A" w14:textId="72D632FA" w:rsidR="00E65281" w:rsidRPr="001D528D" w:rsidRDefault="00E65281" w:rsidP="002D15E9">
      <w:pPr>
        <w:pStyle w:val="ListParagraph"/>
        <w:widowControl w:val="0"/>
        <w:spacing w:line="241" w:lineRule="auto"/>
        <w:ind w:right="237"/>
        <w:rPr>
          <w:bCs/>
        </w:rPr>
      </w:pPr>
      <w:r w:rsidRPr="001D528D">
        <w:rPr>
          <w:bCs/>
        </w:rPr>
        <w:t>starting at age three. For infants and children with certain chronic conditions (including obesity, sleep-disordered breathing, and those born preterm), blood pressure measurement should be done at preventive visits before age three.</w:t>
      </w:r>
      <w:r w:rsidRPr="001D528D">
        <w:rPr>
          <w:sz w:val="24"/>
          <w:szCs w:val="24"/>
        </w:rPr>
        <w:t xml:space="preserve"> </w:t>
      </w:r>
    </w:p>
    <w:p w14:paraId="634037E9" w14:textId="77777777" w:rsidR="00E65281" w:rsidRPr="001D528D" w:rsidRDefault="00E65281" w:rsidP="00D97B6B">
      <w:pPr>
        <w:pStyle w:val="ListParagraph"/>
        <w:tabs>
          <w:tab w:val="left" w:pos="9810"/>
        </w:tabs>
        <w:spacing w:before="4"/>
        <w:ind w:left="836" w:right="10"/>
        <w:rPr>
          <w:bCs/>
        </w:rPr>
      </w:pPr>
    </w:p>
    <w:p w14:paraId="31ADDA75" w14:textId="77777777" w:rsidR="00E65281" w:rsidRPr="001D528D" w:rsidRDefault="00E65281" w:rsidP="005D135E">
      <w:pPr>
        <w:pStyle w:val="Heading3"/>
        <w:spacing w:before="0"/>
      </w:pPr>
      <w:r w:rsidRPr="001D528D">
        <w:t>Sensory Screening</w:t>
      </w:r>
    </w:p>
    <w:p w14:paraId="75A29B29" w14:textId="77777777" w:rsidR="00E65281" w:rsidRPr="002D15E9" w:rsidRDefault="00E65281" w:rsidP="00E65281">
      <w:pPr>
        <w:pStyle w:val="Heading5"/>
        <w:keepNext/>
        <w:keepLines/>
        <w:widowControl w:val="0"/>
        <w:numPr>
          <w:ilvl w:val="0"/>
          <w:numId w:val="50"/>
        </w:numPr>
        <w:spacing w:before="40" w:line="276" w:lineRule="auto"/>
        <w:rPr>
          <w:color w:val="auto"/>
        </w:rPr>
      </w:pPr>
      <w:r w:rsidRPr="002D15E9">
        <w:rPr>
          <w:color w:val="auto"/>
        </w:rPr>
        <w:t>Vision Screening</w:t>
      </w:r>
    </w:p>
    <w:p w14:paraId="7A2759DE" w14:textId="77777777" w:rsidR="00E65281" w:rsidRPr="001D528D" w:rsidRDefault="00E65281" w:rsidP="00E65281">
      <w:pPr>
        <w:pStyle w:val="ListParagraph"/>
        <w:numPr>
          <w:ilvl w:val="0"/>
          <w:numId w:val="51"/>
        </w:numPr>
        <w:autoSpaceDE w:val="0"/>
        <w:autoSpaceDN w:val="0"/>
        <w:adjustRightInd w:val="0"/>
        <w:spacing w:after="120"/>
        <w:rPr>
          <w:b/>
          <w:bCs/>
        </w:rPr>
      </w:pPr>
      <w:r w:rsidRPr="001D528D">
        <w:rPr>
          <w:b/>
          <w:bCs/>
        </w:rPr>
        <w:t>For ages 0 to one years old:</w:t>
      </w:r>
    </w:p>
    <w:p w14:paraId="52AFA218" w14:textId="77777777" w:rsidR="00E65281" w:rsidRPr="001D528D" w:rsidRDefault="00E65281" w:rsidP="00E65281">
      <w:pPr>
        <w:pStyle w:val="ListParagraph"/>
        <w:numPr>
          <w:ilvl w:val="1"/>
          <w:numId w:val="51"/>
        </w:numPr>
        <w:autoSpaceDE w:val="0"/>
        <w:autoSpaceDN w:val="0"/>
        <w:adjustRightInd w:val="0"/>
        <w:spacing w:after="120"/>
        <w:ind w:left="1800"/>
        <w:rPr>
          <w:b/>
          <w:bCs/>
        </w:rPr>
      </w:pPr>
      <w:r w:rsidRPr="001D528D">
        <w:t>Assess newborn before being sent home or at least by age two weeks using red reflex.</w:t>
      </w:r>
    </w:p>
    <w:p w14:paraId="36EA43B8" w14:textId="77777777" w:rsidR="00E65281" w:rsidRPr="001D528D" w:rsidRDefault="00E65281" w:rsidP="00E65281">
      <w:pPr>
        <w:pStyle w:val="ListParagraph"/>
        <w:numPr>
          <w:ilvl w:val="1"/>
          <w:numId w:val="51"/>
        </w:numPr>
        <w:autoSpaceDE w:val="0"/>
        <w:autoSpaceDN w:val="0"/>
        <w:adjustRightInd w:val="0"/>
        <w:spacing w:after="120"/>
        <w:ind w:left="1800"/>
        <w:rPr>
          <w:b/>
          <w:bCs/>
        </w:rPr>
      </w:pPr>
      <w:r w:rsidRPr="001D528D">
        <w:t>Evaluate fixation preference, alignment, and eye disease by age six months.</w:t>
      </w:r>
    </w:p>
    <w:p w14:paraId="5434AAE1" w14:textId="77777777" w:rsidR="00E65281" w:rsidRPr="001D528D" w:rsidRDefault="00E65281" w:rsidP="00E65281">
      <w:pPr>
        <w:pStyle w:val="ListParagraph"/>
        <w:numPr>
          <w:ilvl w:val="0"/>
          <w:numId w:val="51"/>
        </w:numPr>
        <w:autoSpaceDE w:val="0"/>
        <w:autoSpaceDN w:val="0"/>
        <w:adjustRightInd w:val="0"/>
        <w:spacing w:after="120"/>
        <w:rPr>
          <w:b/>
          <w:bCs/>
        </w:rPr>
      </w:pPr>
      <w:r w:rsidRPr="001D528D">
        <w:rPr>
          <w:b/>
          <w:bCs/>
        </w:rPr>
        <w:t>For ages one to 1</w:t>
      </w:r>
      <w:r>
        <w:rPr>
          <w:b/>
          <w:bCs/>
        </w:rPr>
        <w:t>8</w:t>
      </w:r>
      <w:r w:rsidRPr="001D528D">
        <w:rPr>
          <w:b/>
          <w:bCs/>
        </w:rPr>
        <w:t xml:space="preserve"> years old:</w:t>
      </w:r>
    </w:p>
    <w:p w14:paraId="038C6D0F" w14:textId="77777777" w:rsidR="00E65281" w:rsidRPr="00192305" w:rsidRDefault="00E65281" w:rsidP="00E65281">
      <w:pPr>
        <w:pStyle w:val="ListParagraph"/>
        <w:numPr>
          <w:ilvl w:val="1"/>
          <w:numId w:val="51"/>
        </w:numPr>
        <w:autoSpaceDE w:val="0"/>
        <w:autoSpaceDN w:val="0"/>
        <w:adjustRightInd w:val="0"/>
        <w:spacing w:after="120"/>
        <w:ind w:left="1800"/>
      </w:pPr>
      <w:r w:rsidRPr="001D528D">
        <w:t>Perform visual acuity test at ages 3, 4, 5, 6, 8, 10, 12, 15, and 18 years. Document in the medical record if the test is performed in another setting such as a school.</w:t>
      </w:r>
    </w:p>
    <w:p w14:paraId="3D407A78" w14:textId="77777777" w:rsidR="00E65281" w:rsidRPr="00192305" w:rsidRDefault="00E65281" w:rsidP="00E65281">
      <w:pPr>
        <w:pStyle w:val="ListParagraph"/>
        <w:numPr>
          <w:ilvl w:val="1"/>
          <w:numId w:val="51"/>
        </w:numPr>
        <w:autoSpaceDE w:val="0"/>
        <w:autoSpaceDN w:val="0"/>
        <w:adjustRightInd w:val="0"/>
        <w:spacing w:after="120"/>
        <w:ind w:left="1800"/>
      </w:pPr>
      <w:r w:rsidRPr="001D528D">
        <w:t>Screen for strabismus between ages three and five years.</w:t>
      </w:r>
    </w:p>
    <w:p w14:paraId="6DA712E6" w14:textId="77777777" w:rsidR="00E65281" w:rsidRPr="001D528D" w:rsidRDefault="00E65281" w:rsidP="00E65281">
      <w:pPr>
        <w:pStyle w:val="ListParagraph"/>
        <w:numPr>
          <w:ilvl w:val="1"/>
          <w:numId w:val="51"/>
        </w:numPr>
        <w:autoSpaceDE w:val="0"/>
        <w:autoSpaceDN w:val="0"/>
        <w:adjustRightInd w:val="0"/>
        <w:spacing w:after="120"/>
        <w:ind w:left="1800"/>
        <w:rPr>
          <w:b/>
          <w:bCs/>
        </w:rPr>
      </w:pPr>
      <w:r w:rsidRPr="001D528D">
        <w:t xml:space="preserve">Perform vision screening at entry to kindergarten if not screened during the prior year, as recommended by the </w:t>
      </w:r>
      <w:hyperlink r:id="rId43" w:anchor=":~:text=The%20child%20must%20correctly%20name,by%20an%20ophthalmologist%20or%20optometrist.">
        <w:r w:rsidRPr="001D528D">
          <w:rPr>
            <w:rStyle w:val="Hyperlink"/>
          </w:rPr>
          <w:t>Massachusetts Preschool Vision Screening Protocol</w:t>
        </w:r>
      </w:hyperlink>
      <w:r w:rsidRPr="001D528D">
        <w:rPr>
          <w:rStyle w:val="Hyperlink"/>
        </w:rPr>
        <w:t>.</w:t>
      </w:r>
    </w:p>
    <w:p w14:paraId="3D8D026F" w14:textId="77777777" w:rsidR="00E65281" w:rsidRPr="001D528D" w:rsidRDefault="00E65281" w:rsidP="00183365">
      <w:pPr>
        <w:pStyle w:val="ListParagraph"/>
        <w:tabs>
          <w:tab w:val="left" w:pos="9810"/>
        </w:tabs>
        <w:spacing w:before="4" w:after="120"/>
        <w:ind w:left="1710" w:right="10"/>
      </w:pPr>
    </w:p>
    <w:p w14:paraId="65A31FFC" w14:textId="77777777" w:rsidR="00E65281" w:rsidRPr="002D15E9" w:rsidRDefault="00E65281" w:rsidP="00E65281">
      <w:pPr>
        <w:pStyle w:val="Heading5"/>
        <w:keepNext/>
        <w:keepLines/>
        <w:widowControl w:val="0"/>
        <w:numPr>
          <w:ilvl w:val="0"/>
          <w:numId w:val="50"/>
        </w:numPr>
        <w:spacing w:before="40" w:line="276" w:lineRule="auto"/>
        <w:rPr>
          <w:color w:val="auto"/>
        </w:rPr>
      </w:pPr>
      <w:r w:rsidRPr="002D15E9">
        <w:rPr>
          <w:color w:val="auto"/>
        </w:rPr>
        <w:t>Hearing Screening</w:t>
      </w:r>
    </w:p>
    <w:p w14:paraId="3E0EE136" w14:textId="77777777" w:rsidR="00E65281" w:rsidRPr="001D528D" w:rsidRDefault="00E65281" w:rsidP="00E65281">
      <w:pPr>
        <w:pStyle w:val="ListParagraph"/>
        <w:numPr>
          <w:ilvl w:val="0"/>
          <w:numId w:val="52"/>
        </w:numPr>
        <w:autoSpaceDE w:val="0"/>
        <w:autoSpaceDN w:val="0"/>
        <w:adjustRightInd w:val="0"/>
        <w:spacing w:after="120"/>
      </w:pPr>
      <w:r w:rsidRPr="001D528D">
        <w:rPr>
          <w:b/>
          <w:bCs/>
        </w:rPr>
        <w:t>For newborns:</w:t>
      </w:r>
      <w:r w:rsidRPr="001D528D">
        <w:t xml:space="preserve"> Confirm initial screen was completed, verify results, and follow up, as appropriate.  </w:t>
      </w:r>
    </w:p>
    <w:p w14:paraId="5BE2A636" w14:textId="77777777" w:rsidR="00E65281" w:rsidRPr="001D528D" w:rsidRDefault="00E65281" w:rsidP="00E65281">
      <w:pPr>
        <w:pStyle w:val="ListParagraph"/>
        <w:numPr>
          <w:ilvl w:val="0"/>
          <w:numId w:val="52"/>
        </w:numPr>
        <w:autoSpaceDE w:val="0"/>
        <w:autoSpaceDN w:val="0"/>
        <w:adjustRightInd w:val="0"/>
        <w:spacing w:after="120"/>
      </w:pPr>
      <w:r w:rsidRPr="001D528D">
        <w:rPr>
          <w:b/>
          <w:bCs/>
        </w:rPr>
        <w:t>For ages three-to-five days to three months:</w:t>
      </w:r>
      <w:r w:rsidRPr="001D528D">
        <w:rPr>
          <w:i/>
          <w:iCs/>
        </w:rPr>
        <w:t xml:space="preserve"> </w:t>
      </w:r>
      <w:r w:rsidRPr="001D528D">
        <w:t>Verify results of newborn hearing screening, and follow up, as appropriate.</w:t>
      </w:r>
    </w:p>
    <w:p w14:paraId="210F5E67" w14:textId="77777777" w:rsidR="00E65281" w:rsidRPr="001D528D" w:rsidRDefault="00E65281" w:rsidP="00E65281">
      <w:pPr>
        <w:pStyle w:val="ListParagraph"/>
        <w:numPr>
          <w:ilvl w:val="0"/>
          <w:numId w:val="52"/>
        </w:numPr>
        <w:autoSpaceDE w:val="0"/>
        <w:autoSpaceDN w:val="0"/>
        <w:adjustRightInd w:val="0"/>
        <w:spacing w:after="120"/>
      </w:pPr>
      <w:r w:rsidRPr="001D528D">
        <w:rPr>
          <w:b/>
          <w:bCs/>
        </w:rPr>
        <w:t>For ages four months to three years:</w:t>
      </w:r>
      <w:r w:rsidRPr="001D528D">
        <w:t xml:space="preserve"> Perform risk assessment for hearing problems at each preventive visit.</w:t>
      </w:r>
    </w:p>
    <w:p w14:paraId="65A567C3" w14:textId="77777777" w:rsidR="00E65281" w:rsidRPr="001D528D" w:rsidRDefault="00E65281" w:rsidP="00E65281">
      <w:pPr>
        <w:pStyle w:val="ListParagraph"/>
        <w:numPr>
          <w:ilvl w:val="0"/>
          <w:numId w:val="52"/>
        </w:numPr>
        <w:autoSpaceDE w:val="0"/>
        <w:autoSpaceDN w:val="0"/>
        <w:adjustRightInd w:val="0"/>
        <w:spacing w:after="120"/>
      </w:pPr>
      <w:r w:rsidRPr="001D528D">
        <w:rPr>
          <w:b/>
          <w:bCs/>
        </w:rPr>
        <w:t>For ages four to 10 years:</w:t>
      </w:r>
      <w:r w:rsidRPr="001D528D">
        <w:t xml:space="preserve"> Perform hearing screening at ages 4, 5, 6, 8, and 10 years.  </w:t>
      </w:r>
    </w:p>
    <w:p w14:paraId="158A9595" w14:textId="77777777" w:rsidR="00E65281" w:rsidRPr="001D528D" w:rsidRDefault="00E65281" w:rsidP="00E65281">
      <w:pPr>
        <w:pStyle w:val="ListParagraph"/>
        <w:numPr>
          <w:ilvl w:val="0"/>
          <w:numId w:val="52"/>
        </w:numPr>
        <w:autoSpaceDE w:val="0"/>
        <w:autoSpaceDN w:val="0"/>
        <w:adjustRightInd w:val="0"/>
        <w:spacing w:after="120"/>
      </w:pPr>
      <w:r w:rsidRPr="001D528D">
        <w:rPr>
          <w:b/>
          <w:bCs/>
        </w:rPr>
        <w:t>For ages 11 to 21 years:</w:t>
      </w:r>
      <w:r w:rsidRPr="001D528D">
        <w:t xml:space="preserve"> Screen with audiometry including 6,000 and 8,000 Hz high frequencies once between 11 and 14 years, once between 15 and 17 years, and once between 18 and 21 years.</w:t>
      </w:r>
    </w:p>
    <w:p w14:paraId="009944A2" w14:textId="77777777" w:rsidR="00E65281" w:rsidRPr="001D528D" w:rsidRDefault="00E65281" w:rsidP="00D97B6B">
      <w:pPr>
        <w:tabs>
          <w:tab w:val="left" w:pos="9810"/>
        </w:tabs>
        <w:spacing w:before="4"/>
        <w:ind w:right="10"/>
        <w:rPr>
          <w:b/>
          <w:bCs/>
        </w:rPr>
      </w:pPr>
    </w:p>
    <w:p w14:paraId="12EAA39E" w14:textId="77777777" w:rsidR="00E65281" w:rsidRPr="001D528D" w:rsidRDefault="00E65281" w:rsidP="005D135E">
      <w:pPr>
        <w:pStyle w:val="Heading3"/>
        <w:spacing w:before="0"/>
      </w:pPr>
      <w:bookmarkStart w:id="2" w:name="_Hlk87946328"/>
      <w:r w:rsidRPr="001D528D">
        <w:t>Developmental/Behavioral Health</w:t>
      </w:r>
    </w:p>
    <w:p w14:paraId="4E9390AF" w14:textId="77777777" w:rsidR="00E65281" w:rsidRPr="005D135E" w:rsidRDefault="00E65281" w:rsidP="00E65281">
      <w:pPr>
        <w:pStyle w:val="Heading5"/>
        <w:keepNext/>
        <w:keepLines/>
        <w:widowControl w:val="0"/>
        <w:spacing w:before="40" w:line="276" w:lineRule="auto"/>
        <w:ind w:left="720" w:hanging="360"/>
        <w:rPr>
          <w:color w:val="auto"/>
        </w:rPr>
      </w:pPr>
      <w:r w:rsidRPr="005D135E">
        <w:rPr>
          <w:color w:val="auto"/>
        </w:rPr>
        <w:t>Psychosocial and Behavioral Assessment</w:t>
      </w:r>
    </w:p>
    <w:p w14:paraId="0E2255F8" w14:textId="77777777" w:rsidR="00E65281" w:rsidRPr="001D528D" w:rsidRDefault="00E65281" w:rsidP="00B516F3">
      <w:pPr>
        <w:pStyle w:val="ListParagraph"/>
        <w:spacing w:line="241" w:lineRule="auto"/>
        <w:ind w:right="237"/>
      </w:pPr>
      <w:r w:rsidRPr="001D528D">
        <w:t xml:space="preserve">Psychosocial and behavioral health assessment should occur at every preventive healthcare visit, including initial and periodic visits, from birth to 21 years old. In performing psychosocial and behavioral health screening, providers should use one of the clinically and age-appropriate screening tools listed in the Bright Futures Toolkit at </w:t>
      </w:r>
      <w:hyperlink r:id="rId44" w:history="1">
        <w:r w:rsidRPr="001D528D">
          <w:rPr>
            <w:rStyle w:val="Hyperlink"/>
          </w:rPr>
          <w:t>https://publications.aap.org/toolkits/resources/15625</w:t>
        </w:r>
      </w:hyperlink>
      <w:r w:rsidRPr="001D528D">
        <w:t>.</w:t>
      </w:r>
    </w:p>
    <w:p w14:paraId="5648B25B" w14:textId="77777777" w:rsidR="00E65281" w:rsidRPr="001104BD" w:rsidRDefault="00E65281" w:rsidP="00B516F3">
      <w:pPr>
        <w:pStyle w:val="ListParagraph"/>
        <w:spacing w:line="241" w:lineRule="auto"/>
        <w:ind w:right="237"/>
      </w:pPr>
    </w:p>
    <w:p w14:paraId="3DEF2DCB" w14:textId="77777777" w:rsidR="00E65281" w:rsidRPr="001D528D" w:rsidRDefault="00E65281" w:rsidP="008D4549">
      <w:pPr>
        <w:spacing w:line="241" w:lineRule="auto"/>
        <w:ind w:left="720" w:right="237"/>
      </w:pPr>
      <w:r w:rsidRPr="001D528D">
        <w:t xml:space="preserve">Each preventive healthcare visit should include screening for health-related social needs such as food insecurity, exposure to intimate partner(s) or community violence, caregiver substance use, housing instability, and other matters that may impact child and family wellbeing. </w:t>
      </w:r>
    </w:p>
    <w:p w14:paraId="1BBC8B55" w14:textId="77777777" w:rsidR="00E65281" w:rsidRPr="001D528D" w:rsidRDefault="00E65281" w:rsidP="00183365">
      <w:pPr>
        <w:spacing w:line="241" w:lineRule="auto"/>
        <w:ind w:left="720" w:right="237"/>
        <w:rPr>
          <w:b/>
        </w:rPr>
      </w:pPr>
    </w:p>
    <w:p w14:paraId="30DF96ED" w14:textId="77777777" w:rsidR="002D15E9" w:rsidRDefault="00E65281" w:rsidP="00183365">
      <w:pPr>
        <w:pStyle w:val="ListParagraph"/>
        <w:spacing w:line="241" w:lineRule="auto"/>
        <w:ind w:right="237"/>
      </w:pPr>
      <w:r w:rsidRPr="001D528D">
        <w:t xml:space="preserve">If there is evidence of a psychosocial or behavioral health concern or need for further assessment, the provider should offer the necessary behavioral health services or make a referral to another provider who can provide them. Providers must refer the child to the local </w:t>
      </w:r>
    </w:p>
    <w:tbl>
      <w:tblPr>
        <w:tblW w:w="9601" w:type="dxa"/>
        <w:tblInd w:w="92" w:type="dxa"/>
        <w:tblLayout w:type="fixed"/>
        <w:tblCellMar>
          <w:left w:w="0" w:type="dxa"/>
          <w:right w:w="0" w:type="dxa"/>
        </w:tblCellMar>
        <w:tblLook w:val="01E0" w:firstRow="1" w:lastRow="1" w:firstColumn="1" w:lastColumn="1" w:noHBand="0" w:noVBand="0"/>
      </w:tblPr>
      <w:tblGrid>
        <w:gridCol w:w="4080"/>
        <w:gridCol w:w="3750"/>
        <w:gridCol w:w="1771"/>
      </w:tblGrid>
      <w:tr w:rsidR="002D15E9" w:rsidRPr="00AE57EC" w14:paraId="23EFA6F8" w14:textId="77777777" w:rsidTr="00B938CD">
        <w:trPr>
          <w:trHeight w:hRule="exact" w:val="1095"/>
        </w:trPr>
        <w:tc>
          <w:tcPr>
            <w:tcW w:w="4080" w:type="dxa"/>
            <w:vMerge w:val="restart"/>
            <w:tcBorders>
              <w:top w:val="single" w:sz="6" w:space="0" w:color="000000"/>
              <w:left w:val="single" w:sz="6" w:space="0" w:color="000000"/>
              <w:right w:val="single" w:sz="6" w:space="0" w:color="000000"/>
            </w:tcBorders>
          </w:tcPr>
          <w:p w14:paraId="03AB21E0" w14:textId="77777777" w:rsidR="002D15E9" w:rsidRPr="00AE57EC" w:rsidRDefault="002D15E9" w:rsidP="00B938CD">
            <w:pPr>
              <w:spacing w:before="9" w:line="110" w:lineRule="exact"/>
              <w:ind w:right="360"/>
              <w:rPr>
                <w:sz w:val="11"/>
                <w:szCs w:val="11"/>
              </w:rPr>
            </w:pPr>
          </w:p>
          <w:p w14:paraId="573F2E25" w14:textId="77777777" w:rsidR="002D15E9" w:rsidRDefault="002D15E9" w:rsidP="00B938CD">
            <w:pPr>
              <w:ind w:left="379" w:right="363"/>
              <w:jc w:val="center"/>
              <w:rPr>
                <w:rFonts w:ascii="Arial" w:hAnsi="Arial" w:cs="Arial"/>
                <w:sz w:val="20"/>
                <w:szCs w:val="20"/>
              </w:rPr>
            </w:pPr>
            <w:r>
              <w:rPr>
                <w:rFonts w:ascii="Arial" w:hAnsi="Arial" w:cs="Arial"/>
                <w:b/>
                <w:bCs/>
                <w:sz w:val="20"/>
                <w:szCs w:val="20"/>
              </w:rPr>
              <w:t>Commo</w:t>
            </w:r>
            <w:r>
              <w:rPr>
                <w:rFonts w:ascii="Arial" w:hAnsi="Arial" w:cs="Arial"/>
                <w:b/>
                <w:bCs/>
                <w:spacing w:val="-4"/>
                <w:sz w:val="20"/>
                <w:szCs w:val="20"/>
              </w:rPr>
              <w:t>n</w:t>
            </w:r>
            <w:r>
              <w:rPr>
                <w:rFonts w:ascii="Arial" w:hAnsi="Arial" w:cs="Arial"/>
                <w:b/>
                <w:bCs/>
                <w:spacing w:val="10"/>
                <w:sz w:val="20"/>
                <w:szCs w:val="20"/>
              </w:rPr>
              <w:t>w</w:t>
            </w:r>
            <w:r>
              <w:rPr>
                <w:rFonts w:ascii="Arial" w:hAnsi="Arial" w:cs="Arial"/>
                <w:b/>
                <w:bCs/>
                <w:spacing w:val="-2"/>
                <w:sz w:val="20"/>
                <w:szCs w:val="20"/>
              </w:rPr>
              <w:t>e</w:t>
            </w:r>
            <w:r>
              <w:rPr>
                <w:rFonts w:ascii="Arial" w:hAnsi="Arial" w:cs="Arial"/>
                <w:b/>
                <w:bCs/>
                <w:sz w:val="20"/>
                <w:szCs w:val="20"/>
              </w:rPr>
              <w:t>alth</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spacing w:val="-2"/>
                <w:sz w:val="20"/>
                <w:szCs w:val="20"/>
              </w:rPr>
              <w:t xml:space="preserve"> </w:t>
            </w:r>
            <w:r>
              <w:rPr>
                <w:rFonts w:ascii="Arial" w:hAnsi="Arial" w:cs="Arial"/>
                <w:b/>
                <w:bCs/>
                <w:sz w:val="20"/>
                <w:szCs w:val="20"/>
              </w:rPr>
              <w:t>Ma</w:t>
            </w:r>
            <w:r>
              <w:rPr>
                <w:rFonts w:ascii="Arial" w:hAnsi="Arial" w:cs="Arial"/>
                <w:b/>
                <w:bCs/>
                <w:spacing w:val="-1"/>
                <w:sz w:val="20"/>
                <w:szCs w:val="20"/>
              </w:rPr>
              <w:t>ss</w:t>
            </w:r>
            <w:r>
              <w:rPr>
                <w:rFonts w:ascii="Arial" w:hAnsi="Arial" w:cs="Arial"/>
                <w:b/>
                <w:bCs/>
                <w:sz w:val="20"/>
                <w:szCs w:val="20"/>
              </w:rPr>
              <w:t>achu</w:t>
            </w:r>
            <w:r>
              <w:rPr>
                <w:rFonts w:ascii="Arial" w:hAnsi="Arial" w:cs="Arial"/>
                <w:b/>
                <w:bCs/>
                <w:spacing w:val="-1"/>
                <w:sz w:val="20"/>
                <w:szCs w:val="20"/>
              </w:rPr>
              <w:t>s</w:t>
            </w:r>
            <w:r>
              <w:rPr>
                <w:rFonts w:ascii="Arial" w:hAnsi="Arial" w:cs="Arial"/>
                <w:b/>
                <w:bCs/>
                <w:sz w:val="20"/>
                <w:szCs w:val="20"/>
              </w:rPr>
              <w:t>etts</w:t>
            </w:r>
          </w:p>
          <w:p w14:paraId="2DDA1BE2" w14:textId="77777777" w:rsidR="002D15E9" w:rsidRDefault="002D15E9" w:rsidP="00B938CD">
            <w:pPr>
              <w:spacing w:before="4"/>
              <w:ind w:left="1438" w:right="1419"/>
              <w:jc w:val="center"/>
              <w:rPr>
                <w:rFonts w:ascii="Arial" w:hAnsi="Arial" w:cs="Arial"/>
                <w:sz w:val="20"/>
                <w:szCs w:val="20"/>
              </w:rPr>
            </w:pPr>
            <w:r>
              <w:rPr>
                <w:rFonts w:ascii="Arial" w:hAnsi="Arial" w:cs="Arial"/>
                <w:b/>
                <w:bCs/>
                <w:sz w:val="20"/>
                <w:szCs w:val="20"/>
              </w:rPr>
              <w:t>Mas</w:t>
            </w:r>
            <w:r>
              <w:rPr>
                <w:rFonts w:ascii="Arial" w:hAnsi="Arial" w:cs="Arial"/>
                <w:b/>
                <w:bCs/>
                <w:spacing w:val="-1"/>
                <w:sz w:val="20"/>
                <w:szCs w:val="20"/>
              </w:rPr>
              <w:t>s</w:t>
            </w:r>
            <w:r>
              <w:rPr>
                <w:rFonts w:ascii="Arial" w:hAnsi="Arial" w:cs="Arial"/>
                <w:b/>
                <w:bCs/>
                <w:sz w:val="20"/>
                <w:szCs w:val="20"/>
              </w:rPr>
              <w:t>Hea</w:t>
            </w:r>
            <w:r>
              <w:rPr>
                <w:rFonts w:ascii="Arial" w:hAnsi="Arial" w:cs="Arial"/>
                <w:b/>
                <w:bCs/>
                <w:spacing w:val="-2"/>
                <w:sz w:val="20"/>
                <w:szCs w:val="20"/>
              </w:rPr>
              <w:t>l</w:t>
            </w:r>
            <w:r>
              <w:rPr>
                <w:rFonts w:ascii="Arial" w:hAnsi="Arial" w:cs="Arial"/>
                <w:b/>
                <w:bCs/>
                <w:sz w:val="20"/>
                <w:szCs w:val="20"/>
              </w:rPr>
              <w:t>th</w:t>
            </w:r>
          </w:p>
          <w:p w14:paraId="236C69CC" w14:textId="77777777" w:rsidR="002D15E9" w:rsidRDefault="002D15E9" w:rsidP="00B938CD">
            <w:pPr>
              <w:spacing w:before="4"/>
              <w:ind w:left="900" w:right="886"/>
              <w:jc w:val="center"/>
              <w:rPr>
                <w:rFonts w:ascii="Arial" w:hAnsi="Arial" w:cs="Arial"/>
                <w:sz w:val="20"/>
                <w:szCs w:val="20"/>
              </w:rPr>
            </w:pPr>
            <w:r>
              <w:rPr>
                <w:rFonts w:ascii="Arial" w:hAnsi="Arial" w:cs="Arial"/>
                <w:b/>
                <w:bCs/>
                <w:spacing w:val="-1"/>
                <w:sz w:val="20"/>
                <w:szCs w:val="20"/>
              </w:rPr>
              <w:t>Pr</w:t>
            </w:r>
            <w:r>
              <w:rPr>
                <w:rFonts w:ascii="Arial" w:hAnsi="Arial" w:cs="Arial"/>
                <w:b/>
                <w:bCs/>
                <w:sz w:val="20"/>
                <w:szCs w:val="20"/>
              </w:rPr>
              <w:t>o</w:t>
            </w:r>
            <w:r>
              <w:rPr>
                <w:rFonts w:ascii="Arial" w:hAnsi="Arial" w:cs="Arial"/>
                <w:b/>
                <w:bCs/>
                <w:spacing w:val="-5"/>
                <w:sz w:val="20"/>
                <w:szCs w:val="20"/>
              </w:rPr>
              <w:t>v</w:t>
            </w:r>
            <w:r>
              <w:rPr>
                <w:rFonts w:ascii="Arial" w:hAnsi="Arial" w:cs="Arial"/>
                <w:b/>
                <w:bCs/>
                <w:spacing w:val="-1"/>
                <w:sz w:val="20"/>
                <w:szCs w:val="20"/>
              </w:rPr>
              <w:t>ide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M</w:t>
            </w:r>
            <w:r>
              <w:rPr>
                <w:rFonts w:ascii="Arial" w:hAnsi="Arial" w:cs="Arial"/>
                <w:b/>
                <w:bCs/>
                <w:sz w:val="20"/>
                <w:szCs w:val="20"/>
              </w:rPr>
              <w:t>a</w:t>
            </w:r>
            <w:r>
              <w:rPr>
                <w:rFonts w:ascii="Arial" w:hAnsi="Arial" w:cs="Arial"/>
                <w:b/>
                <w:bCs/>
                <w:spacing w:val="-1"/>
                <w:sz w:val="20"/>
                <w:szCs w:val="20"/>
              </w:rPr>
              <w:t>nua</w:t>
            </w:r>
            <w:r>
              <w:rPr>
                <w:rFonts w:ascii="Arial" w:hAnsi="Arial" w:cs="Arial"/>
                <w:b/>
                <w:bCs/>
                <w:sz w:val="20"/>
                <w:szCs w:val="20"/>
              </w:rPr>
              <w:t>l</w:t>
            </w:r>
            <w:r>
              <w:rPr>
                <w:rFonts w:ascii="Arial" w:hAnsi="Arial" w:cs="Arial"/>
                <w:b/>
                <w:bCs/>
                <w:spacing w:val="-3"/>
                <w:sz w:val="20"/>
                <w:szCs w:val="20"/>
              </w:rPr>
              <w:t xml:space="preserve"> </w:t>
            </w:r>
            <w:r>
              <w:rPr>
                <w:rFonts w:ascii="Arial" w:hAnsi="Arial" w:cs="Arial"/>
                <w:b/>
                <w:bCs/>
                <w:spacing w:val="-1"/>
                <w:sz w:val="20"/>
                <w:szCs w:val="20"/>
              </w:rPr>
              <w:t>Series</w:t>
            </w:r>
          </w:p>
          <w:p w14:paraId="11236F89" w14:textId="77777777" w:rsidR="002D15E9" w:rsidRPr="00AE57EC" w:rsidRDefault="002D15E9" w:rsidP="00B938CD">
            <w:pPr>
              <w:spacing w:line="200" w:lineRule="exact"/>
              <w:rPr>
                <w:sz w:val="20"/>
                <w:szCs w:val="20"/>
              </w:rPr>
            </w:pPr>
          </w:p>
          <w:p w14:paraId="177A85A2" w14:textId="77777777" w:rsidR="002D15E9" w:rsidRDefault="002D15E9" w:rsidP="00B938CD">
            <w:pPr>
              <w:ind w:left="1080" w:right="1061"/>
              <w:jc w:val="center"/>
              <w:rPr>
                <w:rFonts w:ascii="Arial" w:hAnsi="Arial" w:cs="Arial"/>
                <w:sz w:val="20"/>
                <w:szCs w:val="20"/>
              </w:rPr>
            </w:pPr>
          </w:p>
          <w:p w14:paraId="5265476E" w14:textId="77777777" w:rsidR="002D15E9" w:rsidRDefault="002D15E9" w:rsidP="00B938CD">
            <w:pPr>
              <w:ind w:left="1080" w:right="1061"/>
              <w:jc w:val="center"/>
              <w:rPr>
                <w:rFonts w:ascii="Arial" w:hAnsi="Arial" w:cs="Arial"/>
                <w:sz w:val="20"/>
                <w:szCs w:val="20"/>
              </w:rPr>
            </w:pPr>
            <w:r>
              <w:rPr>
                <w:rFonts w:ascii="Arial" w:hAnsi="Arial" w:cs="Arial"/>
                <w:sz w:val="20"/>
                <w:szCs w:val="20"/>
              </w:rPr>
              <w:t>All</w:t>
            </w:r>
            <w:r>
              <w:rPr>
                <w:rFonts w:ascii="Arial" w:hAnsi="Arial" w:cs="Arial"/>
                <w:spacing w:val="-2"/>
                <w:sz w:val="20"/>
                <w:szCs w:val="20"/>
              </w:rPr>
              <w:t xml:space="preserve"> </w:t>
            </w:r>
            <w:r>
              <w:rPr>
                <w:rFonts w:ascii="Arial" w:hAnsi="Arial" w:cs="Arial"/>
                <w:sz w:val="20"/>
                <w:szCs w:val="20"/>
              </w:rPr>
              <w:t>Provider</w:t>
            </w:r>
            <w:r>
              <w:rPr>
                <w:rFonts w:ascii="Arial" w:hAnsi="Arial" w:cs="Arial"/>
                <w:spacing w:val="-2"/>
                <w:sz w:val="20"/>
                <w:szCs w:val="20"/>
              </w:rPr>
              <w:t xml:space="preserve"> </w:t>
            </w:r>
            <w:r>
              <w:rPr>
                <w:rFonts w:ascii="Arial" w:hAnsi="Arial" w:cs="Arial"/>
                <w:sz w:val="20"/>
                <w:szCs w:val="20"/>
              </w:rPr>
              <w:t>Manua</w:t>
            </w:r>
            <w:r>
              <w:rPr>
                <w:rFonts w:ascii="Arial" w:hAnsi="Arial" w:cs="Arial"/>
                <w:spacing w:val="-1"/>
                <w:sz w:val="20"/>
                <w:szCs w:val="20"/>
              </w:rPr>
              <w:t>l</w:t>
            </w:r>
            <w:r>
              <w:rPr>
                <w:rFonts w:ascii="Arial" w:hAnsi="Arial" w:cs="Arial"/>
                <w:sz w:val="20"/>
                <w:szCs w:val="20"/>
              </w:rPr>
              <w:t>s</w:t>
            </w:r>
          </w:p>
        </w:tc>
        <w:tc>
          <w:tcPr>
            <w:tcW w:w="3750" w:type="dxa"/>
            <w:tcBorders>
              <w:top w:val="single" w:sz="6" w:space="0" w:color="000000"/>
              <w:left w:val="single" w:sz="6" w:space="0" w:color="000000"/>
              <w:bottom w:val="single" w:sz="6" w:space="0" w:color="000000"/>
              <w:right w:val="single" w:sz="6" w:space="0" w:color="000000"/>
            </w:tcBorders>
          </w:tcPr>
          <w:p w14:paraId="12722DEA" w14:textId="77777777" w:rsidR="002D15E9" w:rsidRPr="00AE57EC" w:rsidRDefault="002D15E9" w:rsidP="00B938CD">
            <w:pPr>
              <w:spacing w:line="120" w:lineRule="exact"/>
              <w:rPr>
                <w:sz w:val="12"/>
                <w:szCs w:val="12"/>
              </w:rPr>
            </w:pPr>
          </w:p>
          <w:p w14:paraId="41583383" w14:textId="77777777" w:rsidR="002D15E9" w:rsidRDefault="002D15E9" w:rsidP="00B938CD">
            <w:pPr>
              <w:spacing w:line="237" w:lineRule="auto"/>
              <w:ind w:left="188" w:right="170" w:hanging="2"/>
              <w:jc w:val="center"/>
              <w:rPr>
                <w:rFonts w:ascii="Arial" w:hAnsi="Arial" w:cs="Arial"/>
                <w:sz w:val="19"/>
                <w:szCs w:val="19"/>
              </w:rPr>
            </w:pPr>
            <w:r>
              <w:rPr>
                <w:rFonts w:ascii="Arial" w:hAnsi="Arial" w:cs="Arial"/>
                <w:b/>
                <w:bCs/>
                <w:spacing w:val="-1"/>
                <w:sz w:val="20"/>
                <w:szCs w:val="20"/>
              </w:rPr>
              <w:t>Subchapte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Numbe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an</w:t>
            </w:r>
            <w:r>
              <w:rPr>
                <w:rFonts w:ascii="Arial" w:hAnsi="Arial" w:cs="Arial"/>
                <w:b/>
                <w:bCs/>
                <w:sz w:val="20"/>
                <w:szCs w:val="20"/>
              </w:rPr>
              <w:t>d</w:t>
            </w:r>
            <w:r>
              <w:rPr>
                <w:rFonts w:ascii="Arial" w:hAnsi="Arial" w:cs="Arial"/>
                <w:b/>
                <w:bCs/>
                <w:spacing w:val="-2"/>
                <w:sz w:val="20"/>
                <w:szCs w:val="20"/>
              </w:rPr>
              <w:t xml:space="preserve"> </w:t>
            </w:r>
            <w:r>
              <w:rPr>
                <w:rFonts w:ascii="Arial" w:hAnsi="Arial" w:cs="Arial"/>
                <w:b/>
                <w:bCs/>
                <w:spacing w:val="-1"/>
                <w:sz w:val="20"/>
                <w:szCs w:val="20"/>
              </w:rPr>
              <w:t xml:space="preserve">Title </w:t>
            </w:r>
            <w:r w:rsidRPr="006257D3">
              <w:rPr>
                <w:rFonts w:ascii="Arial" w:hAnsi="Arial" w:cs="Arial"/>
                <w:sz w:val="20"/>
                <w:szCs w:val="20"/>
              </w:rPr>
              <w:t>Appendix</w:t>
            </w:r>
            <w:r w:rsidRPr="006257D3">
              <w:rPr>
                <w:rFonts w:ascii="Arial" w:hAnsi="Arial" w:cs="Arial"/>
                <w:spacing w:val="-16"/>
                <w:sz w:val="20"/>
                <w:szCs w:val="20"/>
              </w:rPr>
              <w:t xml:space="preserve"> </w:t>
            </w:r>
            <w:r w:rsidRPr="006257D3">
              <w:rPr>
                <w:rFonts w:ascii="Arial" w:hAnsi="Arial" w:cs="Arial"/>
                <w:sz w:val="20"/>
                <w:szCs w:val="20"/>
              </w:rPr>
              <w:t>W.</w:t>
            </w:r>
            <w:r w:rsidRPr="006257D3">
              <w:rPr>
                <w:rFonts w:ascii="Arial" w:hAnsi="Arial" w:cs="Arial"/>
                <w:spacing w:val="38"/>
                <w:sz w:val="20"/>
                <w:szCs w:val="20"/>
              </w:rPr>
              <w:t xml:space="preserve"> </w:t>
            </w:r>
            <w:r w:rsidRPr="006257D3">
              <w:rPr>
                <w:rFonts w:ascii="Arial" w:hAnsi="Arial" w:cs="Arial"/>
                <w:sz w:val="20"/>
                <w:szCs w:val="20"/>
              </w:rPr>
              <w:t>EPSDT</w:t>
            </w:r>
            <w:r w:rsidRPr="006257D3">
              <w:rPr>
                <w:rFonts w:ascii="Arial" w:hAnsi="Arial" w:cs="Arial"/>
                <w:spacing w:val="-12"/>
                <w:sz w:val="20"/>
                <w:szCs w:val="20"/>
              </w:rPr>
              <w:t xml:space="preserve"> </w:t>
            </w:r>
            <w:r w:rsidRPr="006257D3">
              <w:rPr>
                <w:rFonts w:ascii="Arial" w:hAnsi="Arial" w:cs="Arial"/>
                <w:sz w:val="20"/>
                <w:szCs w:val="20"/>
              </w:rPr>
              <w:t>Servi</w:t>
            </w:r>
            <w:r w:rsidRPr="006257D3">
              <w:rPr>
                <w:rFonts w:ascii="Arial" w:hAnsi="Arial" w:cs="Arial"/>
                <w:spacing w:val="1"/>
                <w:sz w:val="20"/>
                <w:szCs w:val="20"/>
              </w:rPr>
              <w:t>c</w:t>
            </w:r>
            <w:r w:rsidRPr="006257D3">
              <w:rPr>
                <w:rFonts w:ascii="Arial" w:hAnsi="Arial" w:cs="Arial"/>
                <w:sz w:val="20"/>
                <w:szCs w:val="20"/>
              </w:rPr>
              <w:t>es</w:t>
            </w:r>
            <w:r w:rsidRPr="006257D3">
              <w:rPr>
                <w:rFonts w:ascii="Arial" w:hAnsi="Arial" w:cs="Arial"/>
                <w:spacing w:val="-15"/>
                <w:sz w:val="20"/>
                <w:szCs w:val="20"/>
              </w:rPr>
              <w:t xml:space="preserve"> </w:t>
            </w:r>
            <w:r w:rsidRPr="006257D3">
              <w:rPr>
                <w:rFonts w:ascii="Arial" w:hAnsi="Arial" w:cs="Arial"/>
                <w:w w:val="99"/>
                <w:sz w:val="20"/>
                <w:szCs w:val="20"/>
              </w:rPr>
              <w:t xml:space="preserve">Medical </w:t>
            </w:r>
            <w:r w:rsidRPr="006257D3">
              <w:rPr>
                <w:rFonts w:ascii="Arial" w:hAnsi="Arial" w:cs="Arial"/>
                <w:sz w:val="20"/>
                <w:szCs w:val="20"/>
              </w:rPr>
              <w:t>and</w:t>
            </w:r>
            <w:r w:rsidRPr="006257D3">
              <w:rPr>
                <w:rFonts w:ascii="Arial" w:hAnsi="Arial" w:cs="Arial"/>
                <w:spacing w:val="-11"/>
                <w:sz w:val="20"/>
                <w:szCs w:val="20"/>
              </w:rPr>
              <w:t xml:space="preserve"> </w:t>
            </w:r>
            <w:r w:rsidRPr="006257D3">
              <w:rPr>
                <w:rFonts w:ascii="Arial" w:hAnsi="Arial" w:cs="Arial"/>
                <w:sz w:val="20"/>
                <w:szCs w:val="20"/>
              </w:rPr>
              <w:t>Dental</w:t>
            </w:r>
            <w:r w:rsidRPr="006257D3">
              <w:rPr>
                <w:rFonts w:ascii="Arial" w:hAnsi="Arial" w:cs="Arial"/>
                <w:spacing w:val="-11"/>
                <w:sz w:val="20"/>
                <w:szCs w:val="20"/>
              </w:rPr>
              <w:t xml:space="preserve"> </w:t>
            </w:r>
            <w:r w:rsidRPr="006257D3">
              <w:rPr>
                <w:rFonts w:ascii="Arial" w:hAnsi="Arial" w:cs="Arial"/>
                <w:sz w:val="20"/>
                <w:szCs w:val="20"/>
              </w:rPr>
              <w:t>P</w:t>
            </w:r>
            <w:r w:rsidRPr="006257D3">
              <w:rPr>
                <w:rFonts w:ascii="Arial" w:hAnsi="Arial" w:cs="Arial"/>
                <w:spacing w:val="2"/>
                <w:sz w:val="20"/>
                <w:szCs w:val="20"/>
              </w:rPr>
              <w:t>r</w:t>
            </w:r>
            <w:r w:rsidRPr="006257D3">
              <w:rPr>
                <w:rFonts w:ascii="Arial" w:hAnsi="Arial" w:cs="Arial"/>
                <w:sz w:val="20"/>
                <w:szCs w:val="20"/>
              </w:rPr>
              <w:t>otocols</w:t>
            </w:r>
            <w:r w:rsidRPr="006257D3">
              <w:rPr>
                <w:rFonts w:ascii="Arial" w:hAnsi="Arial" w:cs="Arial"/>
                <w:spacing w:val="-15"/>
                <w:sz w:val="20"/>
                <w:szCs w:val="20"/>
              </w:rPr>
              <w:t xml:space="preserve"> </w:t>
            </w:r>
            <w:r w:rsidRPr="006257D3">
              <w:rPr>
                <w:rFonts w:ascii="Arial" w:hAnsi="Arial" w:cs="Arial"/>
                <w:sz w:val="20"/>
                <w:szCs w:val="20"/>
              </w:rPr>
              <w:t>and</w:t>
            </w:r>
            <w:r w:rsidRPr="006257D3">
              <w:rPr>
                <w:rFonts w:ascii="Arial" w:hAnsi="Arial" w:cs="Arial"/>
                <w:spacing w:val="-9"/>
                <w:sz w:val="20"/>
                <w:szCs w:val="20"/>
              </w:rPr>
              <w:t xml:space="preserve"> </w:t>
            </w:r>
            <w:r w:rsidRPr="006257D3">
              <w:rPr>
                <w:rFonts w:ascii="Arial" w:hAnsi="Arial" w:cs="Arial"/>
                <w:w w:val="99"/>
                <w:sz w:val="20"/>
                <w:szCs w:val="20"/>
              </w:rPr>
              <w:t>Periodicity Schedules</w:t>
            </w:r>
          </w:p>
        </w:tc>
        <w:tc>
          <w:tcPr>
            <w:tcW w:w="1771" w:type="dxa"/>
            <w:tcBorders>
              <w:top w:val="single" w:sz="6" w:space="0" w:color="000000"/>
              <w:left w:val="single" w:sz="6" w:space="0" w:color="000000"/>
              <w:bottom w:val="single" w:sz="6" w:space="0" w:color="000000"/>
              <w:right w:val="single" w:sz="6" w:space="0" w:color="000000"/>
            </w:tcBorders>
          </w:tcPr>
          <w:p w14:paraId="6FBD09B2" w14:textId="77777777" w:rsidR="002D15E9" w:rsidRPr="00AE57EC" w:rsidRDefault="002D15E9" w:rsidP="00B938CD">
            <w:pPr>
              <w:spacing w:before="9" w:line="110" w:lineRule="exact"/>
              <w:rPr>
                <w:sz w:val="11"/>
                <w:szCs w:val="11"/>
              </w:rPr>
            </w:pPr>
          </w:p>
          <w:p w14:paraId="4229DB17" w14:textId="77777777" w:rsidR="002D15E9" w:rsidRDefault="002D15E9" w:rsidP="00B938CD">
            <w:pPr>
              <w:ind w:left="603" w:right="584"/>
              <w:jc w:val="center"/>
              <w:rPr>
                <w:rFonts w:ascii="Arial" w:hAnsi="Arial" w:cs="Arial"/>
                <w:sz w:val="20"/>
                <w:szCs w:val="20"/>
              </w:rPr>
            </w:pPr>
            <w:r>
              <w:rPr>
                <w:rFonts w:ascii="Arial" w:hAnsi="Arial" w:cs="Arial"/>
                <w:b/>
                <w:bCs/>
                <w:spacing w:val="-1"/>
                <w:sz w:val="20"/>
                <w:szCs w:val="20"/>
              </w:rPr>
              <w:t>Page</w:t>
            </w:r>
          </w:p>
          <w:p w14:paraId="5AC6CAB5" w14:textId="77777777" w:rsidR="002D15E9" w:rsidRPr="00AE57EC" w:rsidRDefault="002D15E9" w:rsidP="00B938CD">
            <w:pPr>
              <w:spacing w:before="8" w:line="110" w:lineRule="exact"/>
              <w:rPr>
                <w:sz w:val="11"/>
                <w:szCs w:val="11"/>
              </w:rPr>
            </w:pPr>
          </w:p>
          <w:p w14:paraId="175B7B4A" w14:textId="0D509F55" w:rsidR="002D15E9" w:rsidRPr="004A6519" w:rsidRDefault="002D15E9" w:rsidP="00B938CD">
            <w:pPr>
              <w:pStyle w:val="Header"/>
              <w:jc w:val="center"/>
              <w:rPr>
                <w:rStyle w:val="PageNumber"/>
                <w:b w:val="0"/>
                <w:bCs/>
                <w:i w:val="0"/>
                <w:iCs w:val="0"/>
              </w:rPr>
            </w:pPr>
            <w:r w:rsidRPr="004A6519">
              <w:rPr>
                <w:rFonts w:ascii="Arial" w:hAnsi="Arial" w:cs="Arial"/>
                <w:b w:val="0"/>
                <w:bCs/>
                <w:i w:val="0"/>
                <w:iCs w:val="0"/>
              </w:rPr>
              <w:t>W-</w:t>
            </w:r>
            <w:r w:rsidR="004C78A8">
              <w:rPr>
                <w:rFonts w:ascii="Arial" w:hAnsi="Arial" w:cs="Arial"/>
                <w:b w:val="0"/>
                <w:bCs/>
                <w:i w:val="0"/>
                <w:iCs w:val="0"/>
              </w:rPr>
              <w:t>4</w:t>
            </w:r>
          </w:p>
          <w:p w14:paraId="2B959130" w14:textId="77777777" w:rsidR="002D15E9" w:rsidRDefault="002D15E9" w:rsidP="00B938CD">
            <w:pPr>
              <w:ind w:left="650" w:right="630"/>
              <w:jc w:val="center"/>
              <w:rPr>
                <w:rFonts w:ascii="Arial" w:hAnsi="Arial" w:cs="Arial"/>
                <w:sz w:val="20"/>
                <w:szCs w:val="20"/>
              </w:rPr>
            </w:pPr>
          </w:p>
        </w:tc>
      </w:tr>
      <w:tr w:rsidR="002D15E9" w:rsidRPr="00AE57EC" w14:paraId="71B3F49C" w14:textId="77777777" w:rsidTr="00B938CD">
        <w:trPr>
          <w:trHeight w:hRule="exact" w:val="866"/>
        </w:trPr>
        <w:tc>
          <w:tcPr>
            <w:tcW w:w="4080" w:type="dxa"/>
            <w:vMerge/>
            <w:tcBorders>
              <w:left w:val="single" w:sz="6" w:space="0" w:color="000000"/>
              <w:bottom w:val="single" w:sz="6" w:space="0" w:color="000000"/>
              <w:right w:val="single" w:sz="6" w:space="0" w:color="000000"/>
            </w:tcBorders>
          </w:tcPr>
          <w:p w14:paraId="3BE54B57" w14:textId="77777777" w:rsidR="002D15E9" w:rsidRPr="00AE57EC" w:rsidRDefault="002D15E9" w:rsidP="00B938CD"/>
        </w:tc>
        <w:tc>
          <w:tcPr>
            <w:tcW w:w="3750" w:type="dxa"/>
            <w:tcBorders>
              <w:top w:val="single" w:sz="6" w:space="0" w:color="000000"/>
              <w:left w:val="single" w:sz="6" w:space="0" w:color="000000"/>
              <w:bottom w:val="single" w:sz="6" w:space="0" w:color="000000"/>
              <w:right w:val="single" w:sz="6" w:space="0" w:color="000000"/>
            </w:tcBorders>
          </w:tcPr>
          <w:p w14:paraId="66881AE0" w14:textId="77777777" w:rsidR="002D15E9" w:rsidRPr="00AE57EC" w:rsidRDefault="002D15E9" w:rsidP="00B938CD">
            <w:pPr>
              <w:spacing w:before="10" w:line="110" w:lineRule="exact"/>
              <w:rPr>
                <w:sz w:val="11"/>
                <w:szCs w:val="11"/>
              </w:rPr>
            </w:pPr>
          </w:p>
          <w:p w14:paraId="0E7BEE27" w14:textId="77777777" w:rsidR="002D15E9" w:rsidRDefault="002D15E9" w:rsidP="00B938CD">
            <w:pPr>
              <w:ind w:left="985" w:right="966"/>
              <w:jc w:val="center"/>
              <w:rPr>
                <w:rFonts w:ascii="Arial" w:hAnsi="Arial" w:cs="Arial"/>
                <w:sz w:val="20"/>
                <w:szCs w:val="20"/>
              </w:rPr>
            </w:pPr>
            <w:r>
              <w:rPr>
                <w:rFonts w:ascii="Arial" w:hAnsi="Arial" w:cs="Arial"/>
                <w:b/>
                <w:bCs/>
                <w:sz w:val="20"/>
                <w:szCs w:val="20"/>
              </w:rPr>
              <w:t>Trans</w:t>
            </w:r>
            <w:r>
              <w:rPr>
                <w:rFonts w:ascii="Arial" w:hAnsi="Arial" w:cs="Arial"/>
                <w:b/>
                <w:bCs/>
                <w:spacing w:val="-2"/>
                <w:sz w:val="20"/>
                <w:szCs w:val="20"/>
              </w:rPr>
              <w:t>m</w:t>
            </w:r>
            <w:r>
              <w:rPr>
                <w:rFonts w:ascii="Arial" w:hAnsi="Arial" w:cs="Arial"/>
                <w:b/>
                <w:bCs/>
                <w:sz w:val="20"/>
                <w:szCs w:val="20"/>
              </w:rPr>
              <w:t>ittal</w:t>
            </w:r>
            <w:r>
              <w:rPr>
                <w:rFonts w:ascii="Arial" w:hAnsi="Arial" w:cs="Arial"/>
                <w:b/>
                <w:bCs/>
                <w:spacing w:val="-2"/>
                <w:sz w:val="20"/>
                <w:szCs w:val="20"/>
              </w:rPr>
              <w:t xml:space="preserve"> </w:t>
            </w:r>
            <w:r>
              <w:rPr>
                <w:rFonts w:ascii="Arial" w:hAnsi="Arial" w:cs="Arial"/>
                <w:b/>
                <w:bCs/>
                <w:sz w:val="20"/>
                <w:szCs w:val="20"/>
              </w:rPr>
              <w:t>Letter</w:t>
            </w:r>
          </w:p>
          <w:p w14:paraId="436BFB6D" w14:textId="77777777" w:rsidR="002D15E9" w:rsidRPr="00AE57EC" w:rsidRDefault="002D15E9" w:rsidP="00B938CD">
            <w:pPr>
              <w:spacing w:before="7" w:line="110" w:lineRule="exact"/>
              <w:rPr>
                <w:sz w:val="11"/>
                <w:szCs w:val="11"/>
              </w:rPr>
            </w:pPr>
          </w:p>
          <w:p w14:paraId="20995359" w14:textId="77777777" w:rsidR="002D15E9" w:rsidRPr="00DB19DD" w:rsidRDefault="002D15E9" w:rsidP="00B938CD">
            <w:pPr>
              <w:ind w:left="1452" w:right="1435"/>
              <w:jc w:val="center"/>
              <w:rPr>
                <w:rFonts w:ascii="Arial" w:hAnsi="Arial" w:cs="Arial"/>
                <w:sz w:val="20"/>
                <w:szCs w:val="20"/>
              </w:rPr>
            </w:pPr>
            <w:r>
              <w:rPr>
                <w:rFonts w:ascii="Arial" w:hAnsi="Arial" w:cs="Arial"/>
                <w:sz w:val="20"/>
                <w:szCs w:val="20"/>
              </w:rPr>
              <w:t>ALL-249</w:t>
            </w:r>
          </w:p>
        </w:tc>
        <w:tc>
          <w:tcPr>
            <w:tcW w:w="1771" w:type="dxa"/>
            <w:tcBorders>
              <w:top w:val="single" w:sz="6" w:space="0" w:color="000000"/>
              <w:left w:val="single" w:sz="6" w:space="0" w:color="000000"/>
              <w:bottom w:val="single" w:sz="6" w:space="0" w:color="000000"/>
              <w:right w:val="single" w:sz="6" w:space="0" w:color="000000"/>
            </w:tcBorders>
          </w:tcPr>
          <w:p w14:paraId="351F5380" w14:textId="77777777" w:rsidR="002D15E9" w:rsidRPr="00AE57EC" w:rsidRDefault="002D15E9" w:rsidP="00B938CD">
            <w:pPr>
              <w:spacing w:before="10" w:line="110" w:lineRule="exact"/>
              <w:rPr>
                <w:sz w:val="11"/>
                <w:szCs w:val="11"/>
              </w:rPr>
            </w:pPr>
          </w:p>
          <w:p w14:paraId="0DD32AFF" w14:textId="77777777" w:rsidR="002D15E9" w:rsidRDefault="002D15E9" w:rsidP="00B938CD">
            <w:pPr>
              <w:ind w:left="624" w:right="607"/>
              <w:jc w:val="center"/>
              <w:rPr>
                <w:rFonts w:ascii="Arial" w:hAnsi="Arial" w:cs="Arial"/>
                <w:sz w:val="20"/>
                <w:szCs w:val="20"/>
              </w:rPr>
            </w:pPr>
            <w:r>
              <w:rPr>
                <w:rFonts w:ascii="Arial" w:hAnsi="Arial" w:cs="Arial"/>
                <w:b/>
                <w:bCs/>
                <w:sz w:val="20"/>
                <w:szCs w:val="20"/>
              </w:rPr>
              <w:t>Da</w:t>
            </w:r>
            <w:r>
              <w:rPr>
                <w:rFonts w:ascii="Arial" w:hAnsi="Arial" w:cs="Arial"/>
                <w:b/>
                <w:bCs/>
                <w:spacing w:val="-1"/>
                <w:sz w:val="20"/>
                <w:szCs w:val="20"/>
              </w:rPr>
              <w:t>t</w:t>
            </w:r>
            <w:r>
              <w:rPr>
                <w:rFonts w:ascii="Arial" w:hAnsi="Arial" w:cs="Arial"/>
                <w:b/>
                <w:bCs/>
                <w:sz w:val="20"/>
                <w:szCs w:val="20"/>
              </w:rPr>
              <w:t>e</w:t>
            </w:r>
          </w:p>
          <w:p w14:paraId="792535C6" w14:textId="77777777" w:rsidR="002D15E9" w:rsidRPr="00AE57EC" w:rsidRDefault="002D15E9" w:rsidP="00B938CD">
            <w:pPr>
              <w:spacing w:before="7" w:line="110" w:lineRule="exact"/>
              <w:rPr>
                <w:sz w:val="11"/>
                <w:szCs w:val="11"/>
              </w:rPr>
            </w:pPr>
          </w:p>
          <w:p w14:paraId="238CF587" w14:textId="77777777" w:rsidR="002D15E9" w:rsidRPr="00DB19DD" w:rsidRDefault="002D15E9" w:rsidP="00B938CD">
            <w:pPr>
              <w:ind w:left="452" w:right="433"/>
              <w:jc w:val="center"/>
              <w:rPr>
                <w:rFonts w:ascii="Arial" w:hAnsi="Arial" w:cs="Arial"/>
                <w:sz w:val="20"/>
                <w:szCs w:val="20"/>
              </w:rPr>
            </w:pPr>
            <w:r>
              <w:rPr>
                <w:rFonts w:ascii="Arial" w:hAnsi="Arial" w:cs="Arial"/>
                <w:sz w:val="20"/>
                <w:szCs w:val="20"/>
              </w:rPr>
              <w:t>11/21/24</w:t>
            </w:r>
          </w:p>
        </w:tc>
      </w:tr>
    </w:tbl>
    <w:p w14:paraId="0376E7E6" w14:textId="77777777" w:rsidR="002D15E9" w:rsidRDefault="002D15E9" w:rsidP="00183365">
      <w:pPr>
        <w:pStyle w:val="ListParagraph"/>
        <w:spacing w:line="241" w:lineRule="auto"/>
        <w:ind w:right="237"/>
      </w:pPr>
    </w:p>
    <w:p w14:paraId="693B80BF" w14:textId="0CADD2A6" w:rsidR="00E65281" w:rsidRPr="001D528D" w:rsidRDefault="00E65281" w:rsidP="00183365">
      <w:pPr>
        <w:pStyle w:val="ListParagraph"/>
        <w:spacing w:line="241" w:lineRule="auto"/>
        <w:ind w:right="237"/>
        <w:rPr>
          <w:bCs/>
        </w:rPr>
      </w:pPr>
      <w:r w:rsidRPr="001D528D">
        <w:t>Early Intervention Program of the Massachusetts Department of Public Health if they are ages 0 to 30 months, and to the local public school system if they are older than 30 months. The Early Intervention Program, the local public school, or both will conduct assessments to determine eligibility and service needs. To determine which providers may be available to provide the needed behavioral health services and how to use out-of-network providers, if necessary, contact the MassHealth Customer Service Center at (800) 841-2900, TDD/TTY: 711 or the member’s health plan.</w:t>
      </w:r>
    </w:p>
    <w:p w14:paraId="2AC7006C" w14:textId="77777777" w:rsidR="00E65281" w:rsidRPr="001D528D" w:rsidRDefault="00E65281" w:rsidP="00183365">
      <w:pPr>
        <w:spacing w:line="241" w:lineRule="auto"/>
        <w:ind w:left="900" w:right="237"/>
        <w:rPr>
          <w:bCs/>
        </w:rPr>
      </w:pPr>
    </w:p>
    <w:p w14:paraId="2F67EB54" w14:textId="77777777" w:rsidR="00E65281" w:rsidRPr="001D528D" w:rsidRDefault="00E65281" w:rsidP="008D4549">
      <w:pPr>
        <w:pStyle w:val="ListParagraph"/>
        <w:spacing w:line="241" w:lineRule="auto"/>
        <w:ind w:right="237"/>
        <w:rPr>
          <w:b/>
          <w:bCs/>
        </w:rPr>
      </w:pPr>
      <w:r w:rsidRPr="001D528D">
        <w:rPr>
          <w:bCs/>
        </w:rPr>
        <w:t>Providers may also contact the Massachusetts Child Psychiatry Access Program (</w:t>
      </w:r>
      <w:hyperlink r:id="rId45" w:tgtFrame="_blank" w:tooltip="https://www.mcpap.com/" w:history="1">
        <w:r w:rsidRPr="00F1600F">
          <w:rPr>
            <w:rStyle w:val="Hyperlink"/>
            <w:bCs/>
          </w:rPr>
          <w:t>www.mcpap.com</w:t>
        </w:r>
      </w:hyperlink>
      <w:r w:rsidRPr="001D528D">
        <w:rPr>
          <w:bCs/>
        </w:rPr>
        <w:t>) for pediatric psychiatric consultation and referral for ongoing behavioral health care.</w:t>
      </w:r>
    </w:p>
    <w:p w14:paraId="40BBC2EB" w14:textId="77777777" w:rsidR="00E65281" w:rsidRPr="001D528D" w:rsidRDefault="00E65281" w:rsidP="00D97B6B">
      <w:pPr>
        <w:spacing w:line="241" w:lineRule="auto"/>
        <w:ind w:left="116" w:right="237"/>
        <w:rPr>
          <w:b/>
          <w:bCs/>
          <w:sz w:val="16"/>
          <w:szCs w:val="16"/>
        </w:rPr>
      </w:pPr>
    </w:p>
    <w:p w14:paraId="7E317D32" w14:textId="77777777" w:rsidR="00E65281" w:rsidRPr="005D135E" w:rsidRDefault="00E65281" w:rsidP="00E65281">
      <w:pPr>
        <w:pStyle w:val="Heading5"/>
        <w:keepNext/>
        <w:keepLines/>
        <w:widowControl w:val="0"/>
        <w:spacing w:before="40" w:line="276" w:lineRule="auto"/>
        <w:ind w:left="720" w:hanging="360"/>
        <w:rPr>
          <w:color w:val="auto"/>
        </w:rPr>
      </w:pPr>
      <w:r w:rsidRPr="005D135E">
        <w:rPr>
          <w:color w:val="auto"/>
        </w:rPr>
        <w:t>Parent and Caregiver Postpartum Depression Screening and Referral</w:t>
      </w:r>
    </w:p>
    <w:p w14:paraId="4B9CE079" w14:textId="77777777" w:rsidR="00E65281" w:rsidRPr="001D528D" w:rsidRDefault="00E65281" w:rsidP="28ABE30A">
      <w:pPr>
        <w:spacing w:line="241" w:lineRule="auto"/>
        <w:ind w:left="720" w:right="237"/>
      </w:pPr>
      <w:r w:rsidRPr="001D528D">
        <w:t xml:space="preserve">Screening the child’s parent(s) or caregiver(s) </w:t>
      </w:r>
      <w:r w:rsidRPr="001D528D">
        <w:rPr>
          <w:rFonts w:eastAsia="Arial"/>
        </w:rPr>
        <w:t>for</w:t>
      </w:r>
      <w:r w:rsidRPr="001D528D">
        <w:t xml:space="preserve"> postpartum depression should occur at every </w:t>
      </w:r>
      <w:r>
        <w:t xml:space="preserve">preventive </w:t>
      </w:r>
      <w:r w:rsidRPr="001D528D">
        <w:t xml:space="preserve">pediatric visit </w:t>
      </w:r>
      <w:r>
        <w:t xml:space="preserve">from the  one month visit </w:t>
      </w:r>
      <w:r w:rsidRPr="001D528D">
        <w:t xml:space="preserve">to </w:t>
      </w:r>
      <w:r>
        <w:t>the twelve</w:t>
      </w:r>
      <w:r w:rsidRPr="001D528D">
        <w:t xml:space="preserve"> month </w:t>
      </w:r>
      <w:r>
        <w:t>visit</w:t>
      </w:r>
      <w:r w:rsidRPr="001D528D">
        <w:t xml:space="preserve">. MassHealth will reimburse for every postpartum depression screening </w:t>
      </w:r>
      <w:r>
        <w:t xml:space="preserve">that occurs during this period </w:t>
      </w:r>
      <w:r w:rsidRPr="001D528D">
        <w:t>without any limitations on frequency</w:t>
      </w:r>
      <w:r>
        <w:t>, as clinically appropriate</w:t>
      </w:r>
      <w:r w:rsidRPr="001D528D">
        <w:t xml:space="preserve">. </w:t>
      </w:r>
      <w:bookmarkStart w:id="3" w:name="_Hlk95141063"/>
      <w:r w:rsidRPr="001D528D">
        <w:t xml:space="preserve">Providers should use a </w:t>
      </w:r>
      <w:r>
        <w:t>standardized</w:t>
      </w:r>
      <w:r w:rsidRPr="001D528D">
        <w:t xml:space="preserve"> screening tool such as the Edinburgh Postpartum Depression Scale (EPDS) or any of the recommended postpartum depression screening tools listed in the Bright Futures Toolkit at </w:t>
      </w:r>
      <w:bookmarkEnd w:id="3"/>
      <w:r>
        <w:rPr>
          <w:rFonts w:ascii="Calibri" w:hAnsi="Calibri"/>
        </w:rPr>
        <w:fldChar w:fldCharType="begin"/>
      </w:r>
      <w:r>
        <w:instrText>HYPERLINK "https://publications.aap.org/toolkits/resources/15625" \h</w:instrText>
      </w:r>
      <w:r>
        <w:rPr>
          <w:rFonts w:ascii="Calibri" w:hAnsi="Calibri"/>
        </w:rPr>
      </w:r>
      <w:r>
        <w:rPr>
          <w:rFonts w:ascii="Calibri" w:hAnsi="Calibri"/>
        </w:rPr>
        <w:fldChar w:fldCharType="separate"/>
      </w:r>
      <w:r w:rsidRPr="784BB4EF">
        <w:rPr>
          <w:rStyle w:val="Hyperlink"/>
        </w:rPr>
        <w:t>https://publications.aap.org/toolkits/resources/15625</w:t>
      </w:r>
      <w:r>
        <w:rPr>
          <w:rStyle w:val="Hyperlink"/>
        </w:rPr>
        <w:fldChar w:fldCharType="end"/>
      </w:r>
      <w:r w:rsidRPr="784BB4EF">
        <w:t xml:space="preserve">. </w:t>
      </w:r>
    </w:p>
    <w:p w14:paraId="5C5C5ECB" w14:textId="77777777" w:rsidR="00E65281" w:rsidRPr="001D528D" w:rsidRDefault="00E65281" w:rsidP="28ABE30A">
      <w:pPr>
        <w:spacing w:line="241" w:lineRule="auto"/>
        <w:ind w:left="720" w:right="237"/>
      </w:pPr>
    </w:p>
    <w:p w14:paraId="5EAD6D9B" w14:textId="77777777" w:rsidR="00E65281" w:rsidRPr="001D528D" w:rsidDel="00B516F3" w:rsidRDefault="00E65281" w:rsidP="28ABE30A">
      <w:pPr>
        <w:spacing w:line="241" w:lineRule="auto"/>
        <w:ind w:left="720" w:right="237"/>
      </w:pPr>
      <w:r w:rsidRPr="001D528D">
        <w:t xml:space="preserve">For those who have a positive screen for postpartum depression, providers should </w:t>
      </w:r>
      <w:r w:rsidRPr="003537C4">
        <w:t>discuss available</w:t>
      </w:r>
      <w:r>
        <w:t xml:space="preserve"> potential</w:t>
      </w:r>
      <w:r w:rsidRPr="003537C4">
        <w:t xml:space="preserve"> treatments for postpartum depression or major depressive disorder, including pharmacological treatments, and provide a referral to a mental health clinician</w:t>
      </w:r>
      <w:r>
        <w:t xml:space="preserve">, as clinically appropriate. </w:t>
      </w:r>
      <w:r w:rsidRPr="001D528D">
        <w:t>Providers may contact MCPAP for Moms (</w:t>
      </w:r>
      <w:hyperlink r:id="rId46" w:history="1">
        <w:r w:rsidRPr="001D528D">
          <w:rPr>
            <w:rStyle w:val="Hyperlink"/>
          </w:rPr>
          <w:t>www.mcpapformoms.org</w:t>
        </w:r>
      </w:hyperlink>
      <w:r w:rsidRPr="001D528D">
        <w:t xml:space="preserve">) for live consultation and referral to services or other supports. </w:t>
      </w:r>
      <w:r>
        <w:t>Other</w:t>
      </w:r>
      <w:r w:rsidRPr="001D528D">
        <w:t xml:space="preserve"> appropriate resources</w:t>
      </w:r>
      <w:r>
        <w:t xml:space="preserve"> may</w:t>
      </w:r>
      <w:r w:rsidRPr="001D528D">
        <w:t xml:space="preserve"> </w:t>
      </w:r>
      <w:r>
        <w:t>include</w:t>
      </w:r>
      <w:r w:rsidRPr="001D528D">
        <w:t xml:space="preserve"> the Massachusetts Behavioral Health Help Line (</w:t>
      </w:r>
      <w:hyperlink r:id="rId47">
        <w:r w:rsidRPr="0DA74DBD">
          <w:rPr>
            <w:rStyle w:val="Hyperlink"/>
          </w:rPr>
          <w:t>www.masshelpline.com</w:t>
        </w:r>
      </w:hyperlink>
      <w:r w:rsidRPr="001D528D">
        <w:t xml:space="preserve">), a </w:t>
      </w:r>
      <w:r>
        <w:t>C</w:t>
      </w:r>
      <w:r w:rsidRPr="001D528D">
        <w:t xml:space="preserve">ommunity </w:t>
      </w:r>
      <w:r>
        <w:t>B</w:t>
      </w:r>
      <w:r w:rsidRPr="001D528D">
        <w:t xml:space="preserve">ehavioral </w:t>
      </w:r>
      <w:r>
        <w:t>H</w:t>
      </w:r>
      <w:r w:rsidRPr="001D528D">
        <w:t xml:space="preserve">ealth </w:t>
      </w:r>
      <w:r>
        <w:t>C</w:t>
      </w:r>
      <w:r w:rsidRPr="001D528D">
        <w:t>enter (</w:t>
      </w:r>
      <w:hyperlink r:id="rId48">
        <w:r w:rsidRPr="0DA74DBD">
          <w:rPr>
            <w:rStyle w:val="Hyperlink"/>
          </w:rPr>
          <w:t>www.mass.gov/community-behavioral-health-centers</w:t>
        </w:r>
      </w:hyperlink>
      <w:r w:rsidRPr="001D528D">
        <w:t>), National Maternal Mental Health Hotline (</w:t>
      </w:r>
      <w:hyperlink r:id="rId49">
        <w:r w:rsidRPr="0DA74DBD">
          <w:rPr>
            <w:rStyle w:val="Hyperlink"/>
          </w:rPr>
          <w:t>https://mchb.hrsa.gov/national-maternal-mental-health-hotline</w:t>
        </w:r>
      </w:hyperlink>
      <w:r w:rsidRPr="001D528D">
        <w:t>), or Postpartum Support International of Massachusetts (</w:t>
      </w:r>
      <w:hyperlink r:id="rId50">
        <w:r w:rsidRPr="0DA74DBD">
          <w:rPr>
            <w:rStyle w:val="Hyperlink"/>
          </w:rPr>
          <w:t>https://psichapters.com/ma</w:t>
        </w:r>
      </w:hyperlink>
      <w:r w:rsidRPr="0DA74DBD">
        <w:t>).</w:t>
      </w:r>
      <w:r w:rsidRPr="001D528D">
        <w:t xml:space="preserve"> Providers should help coordinate follow-up care as appropriate or encourage the parent or caregiver to follow up with their own health care provider.</w:t>
      </w:r>
    </w:p>
    <w:p w14:paraId="3E52C7AC" w14:textId="77777777" w:rsidR="00E65281" w:rsidRPr="001D528D" w:rsidDel="00B516F3" w:rsidRDefault="00E65281" w:rsidP="00183365">
      <w:pPr>
        <w:spacing w:line="241" w:lineRule="auto"/>
        <w:ind w:left="720" w:right="237"/>
      </w:pPr>
    </w:p>
    <w:p w14:paraId="08C2EEB3" w14:textId="77777777" w:rsidR="00E65281" w:rsidRPr="005D135E" w:rsidRDefault="00E65281" w:rsidP="00E65281">
      <w:pPr>
        <w:pStyle w:val="Heading5"/>
        <w:keepNext/>
        <w:keepLines/>
        <w:widowControl w:val="0"/>
        <w:spacing w:before="40" w:line="276" w:lineRule="auto"/>
        <w:ind w:left="720" w:hanging="360"/>
        <w:rPr>
          <w:color w:val="auto"/>
        </w:rPr>
      </w:pPr>
      <w:r w:rsidRPr="005D135E">
        <w:rPr>
          <w:color w:val="auto"/>
        </w:rPr>
        <w:t>Autism Spectrum Disorder Screening</w:t>
      </w:r>
    </w:p>
    <w:p w14:paraId="394BFB01" w14:textId="77777777" w:rsidR="00E65281" w:rsidRPr="001D528D" w:rsidRDefault="00E65281" w:rsidP="00183365">
      <w:pPr>
        <w:tabs>
          <w:tab w:val="left" w:pos="9810"/>
        </w:tabs>
        <w:spacing w:before="4"/>
        <w:ind w:left="720" w:right="10"/>
      </w:pPr>
      <w:r w:rsidRPr="001D528D">
        <w:t xml:space="preserve">Screening using an autism-specific tool should occur at the 18-month and 24-month preventive healthcare visits. Providers should choose one of the standardized Autism screening tools listed in the Bright Futures Toolkit at </w:t>
      </w:r>
      <w:hyperlink r:id="rId51" w:history="1">
        <w:r w:rsidRPr="001D528D">
          <w:rPr>
            <w:rStyle w:val="Hyperlink"/>
          </w:rPr>
          <w:t>https://publications.aap.org/toolkits/resources/15625</w:t>
        </w:r>
      </w:hyperlink>
      <w:r w:rsidRPr="001D528D">
        <w:t xml:space="preserve">. </w:t>
      </w:r>
    </w:p>
    <w:p w14:paraId="32E9351F" w14:textId="77777777" w:rsidR="00E65281" w:rsidRPr="004E7DC4" w:rsidRDefault="00E65281" w:rsidP="00374015">
      <w:pPr>
        <w:tabs>
          <w:tab w:val="left" w:pos="9810"/>
        </w:tabs>
        <w:spacing w:before="4"/>
        <w:ind w:left="720" w:right="10"/>
      </w:pPr>
      <w:r w:rsidRPr="004E7DC4">
        <w:t xml:space="preserve">In addition to the Autism screeners listed for the 18-month and 2-year-old (24-month) visit, additional Autism screeners can be found in the Child Development section within </w:t>
      </w:r>
      <w:hyperlink r:id="rId52" w:tgtFrame="_blank" w:history="1">
        <w:r w:rsidRPr="00D103CC">
          <w:rPr>
            <w:rStyle w:val="Hyperlink"/>
          </w:rPr>
          <w:t>AAP </w:t>
        </w:r>
      </w:hyperlink>
      <w:hyperlink r:id="rId53" w:tgtFrame="_blank" w:history="1">
        <w:r w:rsidRPr="00D103CC">
          <w:rPr>
            <w:rStyle w:val="Hyperlink"/>
          </w:rPr>
          <w:t>“</w:t>
        </w:r>
      </w:hyperlink>
      <w:hyperlink r:id="rId54" w:tgtFrame="_blank" w:history="1">
        <w:r w:rsidRPr="00D103CC">
          <w:rPr>
            <w:rStyle w:val="Hyperlink"/>
          </w:rPr>
          <w:t>Developmental Screening Tools</w:t>
        </w:r>
      </w:hyperlink>
      <w:hyperlink r:id="rId55" w:tgtFrame="_blank" w:history="1">
        <w:r w:rsidRPr="00D103CC">
          <w:rPr>
            <w:rStyle w:val="Hyperlink"/>
          </w:rPr>
          <w:t>”</w:t>
        </w:r>
      </w:hyperlink>
      <w:hyperlink r:id="rId56" w:tgtFrame="_blank" w:history="1">
        <w:r w:rsidRPr="00D103CC">
          <w:rPr>
            <w:rStyle w:val="Hyperlink"/>
          </w:rPr>
          <w:t> table</w:t>
        </w:r>
      </w:hyperlink>
      <w:r w:rsidRPr="001D528D">
        <w:rPr>
          <w:color w:val="002060"/>
        </w:rPr>
        <w:t> </w:t>
      </w:r>
      <w:r w:rsidRPr="004E7DC4">
        <w:t>(found in Supplemental Information).</w:t>
      </w:r>
    </w:p>
    <w:p w14:paraId="37A7C559" w14:textId="77777777" w:rsidR="00E65281" w:rsidRDefault="00E65281" w:rsidP="00130E61">
      <w:pPr>
        <w:tabs>
          <w:tab w:val="left" w:pos="9810"/>
        </w:tabs>
        <w:spacing w:before="4"/>
        <w:ind w:right="10"/>
      </w:pPr>
    </w:p>
    <w:p w14:paraId="3A4AAE11" w14:textId="77777777" w:rsidR="00E65281" w:rsidRPr="005D135E" w:rsidRDefault="00E65281" w:rsidP="00E65281">
      <w:pPr>
        <w:pStyle w:val="Heading5"/>
        <w:keepNext/>
        <w:keepLines/>
        <w:widowControl w:val="0"/>
        <w:spacing w:before="40" w:line="276" w:lineRule="auto"/>
        <w:ind w:left="720" w:hanging="360"/>
        <w:rPr>
          <w:color w:val="auto"/>
        </w:rPr>
      </w:pPr>
      <w:r w:rsidRPr="005D135E">
        <w:rPr>
          <w:color w:val="auto"/>
        </w:rPr>
        <w:t>Developmental Screening</w:t>
      </w:r>
    </w:p>
    <w:p w14:paraId="23DF357A" w14:textId="77777777" w:rsidR="002D15E9" w:rsidRDefault="00E65281" w:rsidP="00130E61">
      <w:pPr>
        <w:tabs>
          <w:tab w:val="left" w:pos="9810"/>
        </w:tabs>
        <w:spacing w:before="4"/>
        <w:ind w:left="720" w:right="10"/>
      </w:pPr>
      <w:r w:rsidRPr="001D528D">
        <w:t xml:space="preserve">Ongoing surveillance is supplemented and strengthened by standardized developmental screening tests that </w:t>
      </w:r>
      <w:r>
        <w:t>are recommended to</w:t>
      </w:r>
      <w:r w:rsidRPr="001D528D">
        <w:t xml:space="preserve"> be used</w:t>
      </w:r>
      <w:r>
        <w:t xml:space="preserve"> at 9, 18, and 30 months but may also be applied at any visit</w:t>
      </w:r>
      <w:r w:rsidRPr="001D528D">
        <w:t xml:space="preserve"> </w:t>
      </w:r>
    </w:p>
    <w:tbl>
      <w:tblPr>
        <w:tblW w:w="9601" w:type="dxa"/>
        <w:tblInd w:w="92" w:type="dxa"/>
        <w:tblLayout w:type="fixed"/>
        <w:tblCellMar>
          <w:left w:w="0" w:type="dxa"/>
          <w:right w:w="0" w:type="dxa"/>
        </w:tblCellMar>
        <w:tblLook w:val="01E0" w:firstRow="1" w:lastRow="1" w:firstColumn="1" w:lastColumn="1" w:noHBand="0" w:noVBand="0"/>
      </w:tblPr>
      <w:tblGrid>
        <w:gridCol w:w="4080"/>
        <w:gridCol w:w="3750"/>
        <w:gridCol w:w="1771"/>
      </w:tblGrid>
      <w:tr w:rsidR="002D15E9" w:rsidRPr="00AE57EC" w14:paraId="077A5181" w14:textId="77777777" w:rsidTr="00B938CD">
        <w:trPr>
          <w:trHeight w:hRule="exact" w:val="1095"/>
        </w:trPr>
        <w:tc>
          <w:tcPr>
            <w:tcW w:w="4080" w:type="dxa"/>
            <w:vMerge w:val="restart"/>
            <w:tcBorders>
              <w:top w:val="single" w:sz="6" w:space="0" w:color="000000"/>
              <w:left w:val="single" w:sz="6" w:space="0" w:color="000000"/>
              <w:right w:val="single" w:sz="6" w:space="0" w:color="000000"/>
            </w:tcBorders>
          </w:tcPr>
          <w:p w14:paraId="451352E6" w14:textId="77777777" w:rsidR="002D15E9" w:rsidRPr="00AE57EC" w:rsidRDefault="002D15E9" w:rsidP="00B938CD">
            <w:pPr>
              <w:spacing w:before="9" w:line="110" w:lineRule="exact"/>
              <w:ind w:right="360"/>
              <w:rPr>
                <w:sz w:val="11"/>
                <w:szCs w:val="11"/>
              </w:rPr>
            </w:pPr>
          </w:p>
          <w:p w14:paraId="116029A2" w14:textId="77777777" w:rsidR="002D15E9" w:rsidRDefault="002D15E9" w:rsidP="00B938CD">
            <w:pPr>
              <w:ind w:left="379" w:right="363"/>
              <w:jc w:val="center"/>
              <w:rPr>
                <w:rFonts w:ascii="Arial" w:hAnsi="Arial" w:cs="Arial"/>
                <w:sz w:val="20"/>
                <w:szCs w:val="20"/>
              </w:rPr>
            </w:pPr>
            <w:r>
              <w:rPr>
                <w:rFonts w:ascii="Arial" w:hAnsi="Arial" w:cs="Arial"/>
                <w:b/>
                <w:bCs/>
                <w:sz w:val="20"/>
                <w:szCs w:val="20"/>
              </w:rPr>
              <w:t>Commo</w:t>
            </w:r>
            <w:r>
              <w:rPr>
                <w:rFonts w:ascii="Arial" w:hAnsi="Arial" w:cs="Arial"/>
                <w:b/>
                <w:bCs/>
                <w:spacing w:val="-4"/>
                <w:sz w:val="20"/>
                <w:szCs w:val="20"/>
              </w:rPr>
              <w:t>n</w:t>
            </w:r>
            <w:r>
              <w:rPr>
                <w:rFonts w:ascii="Arial" w:hAnsi="Arial" w:cs="Arial"/>
                <w:b/>
                <w:bCs/>
                <w:spacing w:val="10"/>
                <w:sz w:val="20"/>
                <w:szCs w:val="20"/>
              </w:rPr>
              <w:t>w</w:t>
            </w:r>
            <w:r>
              <w:rPr>
                <w:rFonts w:ascii="Arial" w:hAnsi="Arial" w:cs="Arial"/>
                <w:b/>
                <w:bCs/>
                <w:spacing w:val="-2"/>
                <w:sz w:val="20"/>
                <w:szCs w:val="20"/>
              </w:rPr>
              <w:t>e</w:t>
            </w:r>
            <w:r>
              <w:rPr>
                <w:rFonts w:ascii="Arial" w:hAnsi="Arial" w:cs="Arial"/>
                <w:b/>
                <w:bCs/>
                <w:sz w:val="20"/>
                <w:szCs w:val="20"/>
              </w:rPr>
              <w:t>alth</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spacing w:val="-2"/>
                <w:sz w:val="20"/>
                <w:szCs w:val="20"/>
              </w:rPr>
              <w:t xml:space="preserve"> </w:t>
            </w:r>
            <w:r>
              <w:rPr>
                <w:rFonts w:ascii="Arial" w:hAnsi="Arial" w:cs="Arial"/>
                <w:b/>
                <w:bCs/>
                <w:sz w:val="20"/>
                <w:szCs w:val="20"/>
              </w:rPr>
              <w:t>Ma</w:t>
            </w:r>
            <w:r>
              <w:rPr>
                <w:rFonts w:ascii="Arial" w:hAnsi="Arial" w:cs="Arial"/>
                <w:b/>
                <w:bCs/>
                <w:spacing w:val="-1"/>
                <w:sz w:val="20"/>
                <w:szCs w:val="20"/>
              </w:rPr>
              <w:t>ss</w:t>
            </w:r>
            <w:r>
              <w:rPr>
                <w:rFonts w:ascii="Arial" w:hAnsi="Arial" w:cs="Arial"/>
                <w:b/>
                <w:bCs/>
                <w:sz w:val="20"/>
                <w:szCs w:val="20"/>
              </w:rPr>
              <w:t>achu</w:t>
            </w:r>
            <w:r>
              <w:rPr>
                <w:rFonts w:ascii="Arial" w:hAnsi="Arial" w:cs="Arial"/>
                <w:b/>
                <w:bCs/>
                <w:spacing w:val="-1"/>
                <w:sz w:val="20"/>
                <w:szCs w:val="20"/>
              </w:rPr>
              <w:t>s</w:t>
            </w:r>
            <w:r>
              <w:rPr>
                <w:rFonts w:ascii="Arial" w:hAnsi="Arial" w:cs="Arial"/>
                <w:b/>
                <w:bCs/>
                <w:sz w:val="20"/>
                <w:szCs w:val="20"/>
              </w:rPr>
              <w:t>etts</w:t>
            </w:r>
          </w:p>
          <w:p w14:paraId="3129EACB" w14:textId="77777777" w:rsidR="002D15E9" w:rsidRDefault="002D15E9" w:rsidP="00B938CD">
            <w:pPr>
              <w:spacing w:before="4"/>
              <w:ind w:left="1438" w:right="1419"/>
              <w:jc w:val="center"/>
              <w:rPr>
                <w:rFonts w:ascii="Arial" w:hAnsi="Arial" w:cs="Arial"/>
                <w:sz w:val="20"/>
                <w:szCs w:val="20"/>
              </w:rPr>
            </w:pPr>
            <w:r>
              <w:rPr>
                <w:rFonts w:ascii="Arial" w:hAnsi="Arial" w:cs="Arial"/>
                <w:b/>
                <w:bCs/>
                <w:sz w:val="20"/>
                <w:szCs w:val="20"/>
              </w:rPr>
              <w:t>Mas</w:t>
            </w:r>
            <w:r>
              <w:rPr>
                <w:rFonts w:ascii="Arial" w:hAnsi="Arial" w:cs="Arial"/>
                <w:b/>
                <w:bCs/>
                <w:spacing w:val="-1"/>
                <w:sz w:val="20"/>
                <w:szCs w:val="20"/>
              </w:rPr>
              <w:t>s</w:t>
            </w:r>
            <w:r>
              <w:rPr>
                <w:rFonts w:ascii="Arial" w:hAnsi="Arial" w:cs="Arial"/>
                <w:b/>
                <w:bCs/>
                <w:sz w:val="20"/>
                <w:szCs w:val="20"/>
              </w:rPr>
              <w:t>Hea</w:t>
            </w:r>
            <w:r>
              <w:rPr>
                <w:rFonts w:ascii="Arial" w:hAnsi="Arial" w:cs="Arial"/>
                <w:b/>
                <w:bCs/>
                <w:spacing w:val="-2"/>
                <w:sz w:val="20"/>
                <w:szCs w:val="20"/>
              </w:rPr>
              <w:t>l</w:t>
            </w:r>
            <w:r>
              <w:rPr>
                <w:rFonts w:ascii="Arial" w:hAnsi="Arial" w:cs="Arial"/>
                <w:b/>
                <w:bCs/>
                <w:sz w:val="20"/>
                <w:szCs w:val="20"/>
              </w:rPr>
              <w:t>th</w:t>
            </w:r>
          </w:p>
          <w:p w14:paraId="30213767" w14:textId="77777777" w:rsidR="002D15E9" w:rsidRDefault="002D15E9" w:rsidP="00B938CD">
            <w:pPr>
              <w:spacing w:before="4"/>
              <w:ind w:left="900" w:right="886"/>
              <w:jc w:val="center"/>
              <w:rPr>
                <w:rFonts w:ascii="Arial" w:hAnsi="Arial" w:cs="Arial"/>
                <w:sz w:val="20"/>
                <w:szCs w:val="20"/>
              </w:rPr>
            </w:pPr>
            <w:r>
              <w:rPr>
                <w:rFonts w:ascii="Arial" w:hAnsi="Arial" w:cs="Arial"/>
                <w:b/>
                <w:bCs/>
                <w:spacing w:val="-1"/>
                <w:sz w:val="20"/>
                <w:szCs w:val="20"/>
              </w:rPr>
              <w:t>Pr</w:t>
            </w:r>
            <w:r>
              <w:rPr>
                <w:rFonts w:ascii="Arial" w:hAnsi="Arial" w:cs="Arial"/>
                <w:b/>
                <w:bCs/>
                <w:sz w:val="20"/>
                <w:szCs w:val="20"/>
              </w:rPr>
              <w:t>o</w:t>
            </w:r>
            <w:r>
              <w:rPr>
                <w:rFonts w:ascii="Arial" w:hAnsi="Arial" w:cs="Arial"/>
                <w:b/>
                <w:bCs/>
                <w:spacing w:val="-5"/>
                <w:sz w:val="20"/>
                <w:szCs w:val="20"/>
              </w:rPr>
              <w:t>v</w:t>
            </w:r>
            <w:r>
              <w:rPr>
                <w:rFonts w:ascii="Arial" w:hAnsi="Arial" w:cs="Arial"/>
                <w:b/>
                <w:bCs/>
                <w:spacing w:val="-1"/>
                <w:sz w:val="20"/>
                <w:szCs w:val="20"/>
              </w:rPr>
              <w:t>ide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M</w:t>
            </w:r>
            <w:r>
              <w:rPr>
                <w:rFonts w:ascii="Arial" w:hAnsi="Arial" w:cs="Arial"/>
                <w:b/>
                <w:bCs/>
                <w:sz w:val="20"/>
                <w:szCs w:val="20"/>
              </w:rPr>
              <w:t>a</w:t>
            </w:r>
            <w:r>
              <w:rPr>
                <w:rFonts w:ascii="Arial" w:hAnsi="Arial" w:cs="Arial"/>
                <w:b/>
                <w:bCs/>
                <w:spacing w:val="-1"/>
                <w:sz w:val="20"/>
                <w:szCs w:val="20"/>
              </w:rPr>
              <w:t>nua</w:t>
            </w:r>
            <w:r>
              <w:rPr>
                <w:rFonts w:ascii="Arial" w:hAnsi="Arial" w:cs="Arial"/>
                <w:b/>
                <w:bCs/>
                <w:sz w:val="20"/>
                <w:szCs w:val="20"/>
              </w:rPr>
              <w:t>l</w:t>
            </w:r>
            <w:r>
              <w:rPr>
                <w:rFonts w:ascii="Arial" w:hAnsi="Arial" w:cs="Arial"/>
                <w:b/>
                <w:bCs/>
                <w:spacing w:val="-3"/>
                <w:sz w:val="20"/>
                <w:szCs w:val="20"/>
              </w:rPr>
              <w:t xml:space="preserve"> </w:t>
            </w:r>
            <w:r>
              <w:rPr>
                <w:rFonts w:ascii="Arial" w:hAnsi="Arial" w:cs="Arial"/>
                <w:b/>
                <w:bCs/>
                <w:spacing w:val="-1"/>
                <w:sz w:val="20"/>
                <w:szCs w:val="20"/>
              </w:rPr>
              <w:t>Series</w:t>
            </w:r>
          </w:p>
          <w:p w14:paraId="0557331A" w14:textId="77777777" w:rsidR="002D15E9" w:rsidRPr="00AE57EC" w:rsidRDefault="002D15E9" w:rsidP="00B938CD">
            <w:pPr>
              <w:spacing w:line="200" w:lineRule="exact"/>
              <w:rPr>
                <w:sz w:val="20"/>
                <w:szCs w:val="20"/>
              </w:rPr>
            </w:pPr>
          </w:p>
          <w:p w14:paraId="7D502743" w14:textId="77777777" w:rsidR="002D15E9" w:rsidRDefault="002D15E9" w:rsidP="00B938CD">
            <w:pPr>
              <w:ind w:left="1080" w:right="1061"/>
              <w:jc w:val="center"/>
              <w:rPr>
                <w:rFonts w:ascii="Arial" w:hAnsi="Arial" w:cs="Arial"/>
                <w:sz w:val="20"/>
                <w:szCs w:val="20"/>
              </w:rPr>
            </w:pPr>
          </w:p>
          <w:p w14:paraId="06FF25BC" w14:textId="77777777" w:rsidR="002D15E9" w:rsidRDefault="002D15E9" w:rsidP="00B938CD">
            <w:pPr>
              <w:ind w:left="1080" w:right="1061"/>
              <w:jc w:val="center"/>
              <w:rPr>
                <w:rFonts w:ascii="Arial" w:hAnsi="Arial" w:cs="Arial"/>
                <w:sz w:val="20"/>
                <w:szCs w:val="20"/>
              </w:rPr>
            </w:pPr>
            <w:r>
              <w:rPr>
                <w:rFonts w:ascii="Arial" w:hAnsi="Arial" w:cs="Arial"/>
                <w:sz w:val="20"/>
                <w:szCs w:val="20"/>
              </w:rPr>
              <w:t>All</w:t>
            </w:r>
            <w:r>
              <w:rPr>
                <w:rFonts w:ascii="Arial" w:hAnsi="Arial" w:cs="Arial"/>
                <w:spacing w:val="-2"/>
                <w:sz w:val="20"/>
                <w:szCs w:val="20"/>
              </w:rPr>
              <w:t xml:space="preserve"> </w:t>
            </w:r>
            <w:r>
              <w:rPr>
                <w:rFonts w:ascii="Arial" w:hAnsi="Arial" w:cs="Arial"/>
                <w:sz w:val="20"/>
                <w:szCs w:val="20"/>
              </w:rPr>
              <w:t>Provider</w:t>
            </w:r>
            <w:r>
              <w:rPr>
                <w:rFonts w:ascii="Arial" w:hAnsi="Arial" w:cs="Arial"/>
                <w:spacing w:val="-2"/>
                <w:sz w:val="20"/>
                <w:szCs w:val="20"/>
              </w:rPr>
              <w:t xml:space="preserve"> </w:t>
            </w:r>
            <w:r>
              <w:rPr>
                <w:rFonts w:ascii="Arial" w:hAnsi="Arial" w:cs="Arial"/>
                <w:sz w:val="20"/>
                <w:szCs w:val="20"/>
              </w:rPr>
              <w:t>Manua</w:t>
            </w:r>
            <w:r>
              <w:rPr>
                <w:rFonts w:ascii="Arial" w:hAnsi="Arial" w:cs="Arial"/>
                <w:spacing w:val="-1"/>
                <w:sz w:val="20"/>
                <w:szCs w:val="20"/>
              </w:rPr>
              <w:t>l</w:t>
            </w:r>
            <w:r>
              <w:rPr>
                <w:rFonts w:ascii="Arial" w:hAnsi="Arial" w:cs="Arial"/>
                <w:sz w:val="20"/>
                <w:szCs w:val="20"/>
              </w:rPr>
              <w:t>s</w:t>
            </w:r>
          </w:p>
        </w:tc>
        <w:tc>
          <w:tcPr>
            <w:tcW w:w="3750" w:type="dxa"/>
            <w:tcBorders>
              <w:top w:val="single" w:sz="6" w:space="0" w:color="000000"/>
              <w:left w:val="single" w:sz="6" w:space="0" w:color="000000"/>
              <w:bottom w:val="single" w:sz="6" w:space="0" w:color="000000"/>
              <w:right w:val="single" w:sz="6" w:space="0" w:color="000000"/>
            </w:tcBorders>
          </w:tcPr>
          <w:p w14:paraId="05576276" w14:textId="77777777" w:rsidR="002D15E9" w:rsidRPr="00AE57EC" w:rsidRDefault="002D15E9" w:rsidP="00B938CD">
            <w:pPr>
              <w:spacing w:line="120" w:lineRule="exact"/>
              <w:rPr>
                <w:sz w:val="12"/>
                <w:szCs w:val="12"/>
              </w:rPr>
            </w:pPr>
          </w:p>
          <w:p w14:paraId="0468EF16" w14:textId="77777777" w:rsidR="002D15E9" w:rsidRDefault="002D15E9" w:rsidP="00B938CD">
            <w:pPr>
              <w:spacing w:line="237" w:lineRule="auto"/>
              <w:ind w:left="188" w:right="170" w:hanging="2"/>
              <w:jc w:val="center"/>
              <w:rPr>
                <w:rFonts w:ascii="Arial" w:hAnsi="Arial" w:cs="Arial"/>
                <w:sz w:val="19"/>
                <w:szCs w:val="19"/>
              </w:rPr>
            </w:pPr>
            <w:r>
              <w:rPr>
                <w:rFonts w:ascii="Arial" w:hAnsi="Arial" w:cs="Arial"/>
                <w:b/>
                <w:bCs/>
                <w:spacing w:val="-1"/>
                <w:sz w:val="20"/>
                <w:szCs w:val="20"/>
              </w:rPr>
              <w:t>Subchapte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Numbe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an</w:t>
            </w:r>
            <w:r>
              <w:rPr>
                <w:rFonts w:ascii="Arial" w:hAnsi="Arial" w:cs="Arial"/>
                <w:b/>
                <w:bCs/>
                <w:sz w:val="20"/>
                <w:szCs w:val="20"/>
              </w:rPr>
              <w:t>d</w:t>
            </w:r>
            <w:r>
              <w:rPr>
                <w:rFonts w:ascii="Arial" w:hAnsi="Arial" w:cs="Arial"/>
                <w:b/>
                <w:bCs/>
                <w:spacing w:val="-2"/>
                <w:sz w:val="20"/>
                <w:szCs w:val="20"/>
              </w:rPr>
              <w:t xml:space="preserve"> </w:t>
            </w:r>
            <w:r>
              <w:rPr>
                <w:rFonts w:ascii="Arial" w:hAnsi="Arial" w:cs="Arial"/>
                <w:b/>
                <w:bCs/>
                <w:spacing w:val="-1"/>
                <w:sz w:val="20"/>
                <w:szCs w:val="20"/>
              </w:rPr>
              <w:t xml:space="preserve">Title </w:t>
            </w:r>
            <w:r w:rsidRPr="006257D3">
              <w:rPr>
                <w:rFonts w:ascii="Arial" w:hAnsi="Arial" w:cs="Arial"/>
                <w:sz w:val="20"/>
                <w:szCs w:val="20"/>
              </w:rPr>
              <w:t>Appendix</w:t>
            </w:r>
            <w:r w:rsidRPr="006257D3">
              <w:rPr>
                <w:rFonts w:ascii="Arial" w:hAnsi="Arial" w:cs="Arial"/>
                <w:spacing w:val="-16"/>
                <w:sz w:val="20"/>
                <w:szCs w:val="20"/>
              </w:rPr>
              <w:t xml:space="preserve"> </w:t>
            </w:r>
            <w:r w:rsidRPr="006257D3">
              <w:rPr>
                <w:rFonts w:ascii="Arial" w:hAnsi="Arial" w:cs="Arial"/>
                <w:sz w:val="20"/>
                <w:szCs w:val="20"/>
              </w:rPr>
              <w:t>W.</w:t>
            </w:r>
            <w:r w:rsidRPr="006257D3">
              <w:rPr>
                <w:rFonts w:ascii="Arial" w:hAnsi="Arial" w:cs="Arial"/>
                <w:spacing w:val="38"/>
                <w:sz w:val="20"/>
                <w:szCs w:val="20"/>
              </w:rPr>
              <w:t xml:space="preserve"> </w:t>
            </w:r>
            <w:r w:rsidRPr="006257D3">
              <w:rPr>
                <w:rFonts w:ascii="Arial" w:hAnsi="Arial" w:cs="Arial"/>
                <w:sz w:val="20"/>
                <w:szCs w:val="20"/>
              </w:rPr>
              <w:t>EPSDT</w:t>
            </w:r>
            <w:r w:rsidRPr="006257D3">
              <w:rPr>
                <w:rFonts w:ascii="Arial" w:hAnsi="Arial" w:cs="Arial"/>
                <w:spacing w:val="-12"/>
                <w:sz w:val="20"/>
                <w:szCs w:val="20"/>
              </w:rPr>
              <w:t xml:space="preserve"> </w:t>
            </w:r>
            <w:r w:rsidRPr="006257D3">
              <w:rPr>
                <w:rFonts w:ascii="Arial" w:hAnsi="Arial" w:cs="Arial"/>
                <w:sz w:val="20"/>
                <w:szCs w:val="20"/>
              </w:rPr>
              <w:t>Servi</w:t>
            </w:r>
            <w:r w:rsidRPr="006257D3">
              <w:rPr>
                <w:rFonts w:ascii="Arial" w:hAnsi="Arial" w:cs="Arial"/>
                <w:spacing w:val="1"/>
                <w:sz w:val="20"/>
                <w:szCs w:val="20"/>
              </w:rPr>
              <w:t>c</w:t>
            </w:r>
            <w:r w:rsidRPr="006257D3">
              <w:rPr>
                <w:rFonts w:ascii="Arial" w:hAnsi="Arial" w:cs="Arial"/>
                <w:sz w:val="20"/>
                <w:szCs w:val="20"/>
              </w:rPr>
              <w:t>es</w:t>
            </w:r>
            <w:r w:rsidRPr="006257D3">
              <w:rPr>
                <w:rFonts w:ascii="Arial" w:hAnsi="Arial" w:cs="Arial"/>
                <w:spacing w:val="-15"/>
                <w:sz w:val="20"/>
                <w:szCs w:val="20"/>
              </w:rPr>
              <w:t xml:space="preserve"> </w:t>
            </w:r>
            <w:r w:rsidRPr="006257D3">
              <w:rPr>
                <w:rFonts w:ascii="Arial" w:hAnsi="Arial" w:cs="Arial"/>
                <w:w w:val="99"/>
                <w:sz w:val="20"/>
                <w:szCs w:val="20"/>
              </w:rPr>
              <w:t xml:space="preserve">Medical </w:t>
            </w:r>
            <w:r w:rsidRPr="006257D3">
              <w:rPr>
                <w:rFonts w:ascii="Arial" w:hAnsi="Arial" w:cs="Arial"/>
                <w:sz w:val="20"/>
                <w:szCs w:val="20"/>
              </w:rPr>
              <w:t>and</w:t>
            </w:r>
            <w:r w:rsidRPr="006257D3">
              <w:rPr>
                <w:rFonts w:ascii="Arial" w:hAnsi="Arial" w:cs="Arial"/>
                <w:spacing w:val="-11"/>
                <w:sz w:val="20"/>
                <w:szCs w:val="20"/>
              </w:rPr>
              <w:t xml:space="preserve"> </w:t>
            </w:r>
            <w:r w:rsidRPr="006257D3">
              <w:rPr>
                <w:rFonts w:ascii="Arial" w:hAnsi="Arial" w:cs="Arial"/>
                <w:sz w:val="20"/>
                <w:szCs w:val="20"/>
              </w:rPr>
              <w:t>Dental</w:t>
            </w:r>
            <w:r w:rsidRPr="006257D3">
              <w:rPr>
                <w:rFonts w:ascii="Arial" w:hAnsi="Arial" w:cs="Arial"/>
                <w:spacing w:val="-11"/>
                <w:sz w:val="20"/>
                <w:szCs w:val="20"/>
              </w:rPr>
              <w:t xml:space="preserve"> </w:t>
            </w:r>
            <w:r w:rsidRPr="006257D3">
              <w:rPr>
                <w:rFonts w:ascii="Arial" w:hAnsi="Arial" w:cs="Arial"/>
                <w:sz w:val="20"/>
                <w:szCs w:val="20"/>
              </w:rPr>
              <w:t>P</w:t>
            </w:r>
            <w:r w:rsidRPr="006257D3">
              <w:rPr>
                <w:rFonts w:ascii="Arial" w:hAnsi="Arial" w:cs="Arial"/>
                <w:spacing w:val="2"/>
                <w:sz w:val="20"/>
                <w:szCs w:val="20"/>
              </w:rPr>
              <w:t>r</w:t>
            </w:r>
            <w:r w:rsidRPr="006257D3">
              <w:rPr>
                <w:rFonts w:ascii="Arial" w:hAnsi="Arial" w:cs="Arial"/>
                <w:sz w:val="20"/>
                <w:szCs w:val="20"/>
              </w:rPr>
              <w:t>otocols</w:t>
            </w:r>
            <w:r w:rsidRPr="006257D3">
              <w:rPr>
                <w:rFonts w:ascii="Arial" w:hAnsi="Arial" w:cs="Arial"/>
                <w:spacing w:val="-15"/>
                <w:sz w:val="20"/>
                <w:szCs w:val="20"/>
              </w:rPr>
              <w:t xml:space="preserve"> </w:t>
            </w:r>
            <w:r w:rsidRPr="006257D3">
              <w:rPr>
                <w:rFonts w:ascii="Arial" w:hAnsi="Arial" w:cs="Arial"/>
                <w:sz w:val="20"/>
                <w:szCs w:val="20"/>
              </w:rPr>
              <w:t>and</w:t>
            </w:r>
            <w:r w:rsidRPr="006257D3">
              <w:rPr>
                <w:rFonts w:ascii="Arial" w:hAnsi="Arial" w:cs="Arial"/>
                <w:spacing w:val="-9"/>
                <w:sz w:val="20"/>
                <w:szCs w:val="20"/>
              </w:rPr>
              <w:t xml:space="preserve"> </w:t>
            </w:r>
            <w:r w:rsidRPr="006257D3">
              <w:rPr>
                <w:rFonts w:ascii="Arial" w:hAnsi="Arial" w:cs="Arial"/>
                <w:w w:val="99"/>
                <w:sz w:val="20"/>
                <w:szCs w:val="20"/>
              </w:rPr>
              <w:t>Periodicity Schedules</w:t>
            </w:r>
          </w:p>
        </w:tc>
        <w:tc>
          <w:tcPr>
            <w:tcW w:w="1771" w:type="dxa"/>
            <w:tcBorders>
              <w:top w:val="single" w:sz="6" w:space="0" w:color="000000"/>
              <w:left w:val="single" w:sz="6" w:space="0" w:color="000000"/>
              <w:bottom w:val="single" w:sz="6" w:space="0" w:color="000000"/>
              <w:right w:val="single" w:sz="6" w:space="0" w:color="000000"/>
            </w:tcBorders>
          </w:tcPr>
          <w:p w14:paraId="48A8C488" w14:textId="77777777" w:rsidR="002D15E9" w:rsidRPr="00AE57EC" w:rsidRDefault="002D15E9" w:rsidP="00B938CD">
            <w:pPr>
              <w:spacing w:before="9" w:line="110" w:lineRule="exact"/>
              <w:rPr>
                <w:sz w:val="11"/>
                <w:szCs w:val="11"/>
              </w:rPr>
            </w:pPr>
          </w:p>
          <w:p w14:paraId="0D886F53" w14:textId="77777777" w:rsidR="002D15E9" w:rsidRDefault="002D15E9" w:rsidP="00B938CD">
            <w:pPr>
              <w:ind w:left="603" w:right="584"/>
              <w:jc w:val="center"/>
              <w:rPr>
                <w:rFonts w:ascii="Arial" w:hAnsi="Arial" w:cs="Arial"/>
                <w:sz w:val="20"/>
                <w:szCs w:val="20"/>
              </w:rPr>
            </w:pPr>
            <w:r>
              <w:rPr>
                <w:rFonts w:ascii="Arial" w:hAnsi="Arial" w:cs="Arial"/>
                <w:b/>
                <w:bCs/>
                <w:spacing w:val="-1"/>
                <w:sz w:val="20"/>
                <w:szCs w:val="20"/>
              </w:rPr>
              <w:t>Page</w:t>
            </w:r>
          </w:p>
          <w:p w14:paraId="4623756E" w14:textId="77777777" w:rsidR="002D15E9" w:rsidRPr="00AE57EC" w:rsidRDefault="002D15E9" w:rsidP="00B938CD">
            <w:pPr>
              <w:spacing w:before="8" w:line="110" w:lineRule="exact"/>
              <w:rPr>
                <w:sz w:val="11"/>
                <w:szCs w:val="11"/>
              </w:rPr>
            </w:pPr>
          </w:p>
          <w:p w14:paraId="595CD23A" w14:textId="5B0CFBBB" w:rsidR="002D15E9" w:rsidRPr="004A6519" w:rsidRDefault="002D15E9" w:rsidP="00B938CD">
            <w:pPr>
              <w:pStyle w:val="Header"/>
              <w:jc w:val="center"/>
              <w:rPr>
                <w:rStyle w:val="PageNumber"/>
                <w:b w:val="0"/>
                <w:bCs/>
                <w:i w:val="0"/>
                <w:iCs w:val="0"/>
              </w:rPr>
            </w:pPr>
            <w:r w:rsidRPr="004A6519">
              <w:rPr>
                <w:rFonts w:ascii="Arial" w:hAnsi="Arial" w:cs="Arial"/>
                <w:b w:val="0"/>
                <w:bCs/>
                <w:i w:val="0"/>
                <w:iCs w:val="0"/>
              </w:rPr>
              <w:t>W-</w:t>
            </w:r>
            <w:r>
              <w:rPr>
                <w:rFonts w:ascii="Arial" w:hAnsi="Arial" w:cs="Arial"/>
                <w:b w:val="0"/>
                <w:bCs/>
                <w:i w:val="0"/>
                <w:iCs w:val="0"/>
              </w:rPr>
              <w:t>5</w:t>
            </w:r>
          </w:p>
          <w:p w14:paraId="58F9F008" w14:textId="77777777" w:rsidR="002D15E9" w:rsidRDefault="002D15E9" w:rsidP="00B938CD">
            <w:pPr>
              <w:ind w:left="650" w:right="630"/>
              <w:jc w:val="center"/>
              <w:rPr>
                <w:rFonts w:ascii="Arial" w:hAnsi="Arial" w:cs="Arial"/>
                <w:sz w:val="20"/>
                <w:szCs w:val="20"/>
              </w:rPr>
            </w:pPr>
          </w:p>
        </w:tc>
      </w:tr>
      <w:tr w:rsidR="002D15E9" w:rsidRPr="00AE57EC" w14:paraId="1729E1F7" w14:textId="77777777" w:rsidTr="00B938CD">
        <w:trPr>
          <w:trHeight w:hRule="exact" w:val="866"/>
        </w:trPr>
        <w:tc>
          <w:tcPr>
            <w:tcW w:w="4080" w:type="dxa"/>
            <w:vMerge/>
            <w:tcBorders>
              <w:left w:val="single" w:sz="6" w:space="0" w:color="000000"/>
              <w:bottom w:val="single" w:sz="6" w:space="0" w:color="000000"/>
              <w:right w:val="single" w:sz="6" w:space="0" w:color="000000"/>
            </w:tcBorders>
          </w:tcPr>
          <w:p w14:paraId="7A95793B" w14:textId="77777777" w:rsidR="002D15E9" w:rsidRPr="00AE57EC" w:rsidRDefault="002D15E9" w:rsidP="00B938CD"/>
        </w:tc>
        <w:tc>
          <w:tcPr>
            <w:tcW w:w="3750" w:type="dxa"/>
            <w:tcBorders>
              <w:top w:val="single" w:sz="6" w:space="0" w:color="000000"/>
              <w:left w:val="single" w:sz="6" w:space="0" w:color="000000"/>
              <w:bottom w:val="single" w:sz="6" w:space="0" w:color="000000"/>
              <w:right w:val="single" w:sz="6" w:space="0" w:color="000000"/>
            </w:tcBorders>
          </w:tcPr>
          <w:p w14:paraId="5358D58D" w14:textId="77777777" w:rsidR="002D15E9" w:rsidRPr="00AE57EC" w:rsidRDefault="002D15E9" w:rsidP="00B938CD">
            <w:pPr>
              <w:spacing w:before="10" w:line="110" w:lineRule="exact"/>
              <w:rPr>
                <w:sz w:val="11"/>
                <w:szCs w:val="11"/>
              </w:rPr>
            </w:pPr>
          </w:p>
          <w:p w14:paraId="12056BA6" w14:textId="77777777" w:rsidR="002D15E9" w:rsidRDefault="002D15E9" w:rsidP="00B938CD">
            <w:pPr>
              <w:ind w:left="985" w:right="966"/>
              <w:jc w:val="center"/>
              <w:rPr>
                <w:rFonts w:ascii="Arial" w:hAnsi="Arial" w:cs="Arial"/>
                <w:sz w:val="20"/>
                <w:szCs w:val="20"/>
              </w:rPr>
            </w:pPr>
            <w:r>
              <w:rPr>
                <w:rFonts w:ascii="Arial" w:hAnsi="Arial" w:cs="Arial"/>
                <w:b/>
                <w:bCs/>
                <w:sz w:val="20"/>
                <w:szCs w:val="20"/>
              </w:rPr>
              <w:t>Trans</w:t>
            </w:r>
            <w:r>
              <w:rPr>
                <w:rFonts w:ascii="Arial" w:hAnsi="Arial" w:cs="Arial"/>
                <w:b/>
                <w:bCs/>
                <w:spacing w:val="-2"/>
                <w:sz w:val="20"/>
                <w:szCs w:val="20"/>
              </w:rPr>
              <w:t>m</w:t>
            </w:r>
            <w:r>
              <w:rPr>
                <w:rFonts w:ascii="Arial" w:hAnsi="Arial" w:cs="Arial"/>
                <w:b/>
                <w:bCs/>
                <w:sz w:val="20"/>
                <w:szCs w:val="20"/>
              </w:rPr>
              <w:t>ittal</w:t>
            </w:r>
            <w:r>
              <w:rPr>
                <w:rFonts w:ascii="Arial" w:hAnsi="Arial" w:cs="Arial"/>
                <w:b/>
                <w:bCs/>
                <w:spacing w:val="-2"/>
                <w:sz w:val="20"/>
                <w:szCs w:val="20"/>
              </w:rPr>
              <w:t xml:space="preserve"> </w:t>
            </w:r>
            <w:r>
              <w:rPr>
                <w:rFonts w:ascii="Arial" w:hAnsi="Arial" w:cs="Arial"/>
                <w:b/>
                <w:bCs/>
                <w:sz w:val="20"/>
                <w:szCs w:val="20"/>
              </w:rPr>
              <w:t>Letter</w:t>
            </w:r>
          </w:p>
          <w:p w14:paraId="74FF8895" w14:textId="77777777" w:rsidR="002D15E9" w:rsidRPr="00AE57EC" w:rsidRDefault="002D15E9" w:rsidP="00B938CD">
            <w:pPr>
              <w:spacing w:before="7" w:line="110" w:lineRule="exact"/>
              <w:rPr>
                <w:sz w:val="11"/>
                <w:szCs w:val="11"/>
              </w:rPr>
            </w:pPr>
          </w:p>
          <w:p w14:paraId="0A27AEB3" w14:textId="77777777" w:rsidR="002D15E9" w:rsidRPr="00DB19DD" w:rsidRDefault="002D15E9" w:rsidP="00B938CD">
            <w:pPr>
              <w:ind w:left="1452" w:right="1435"/>
              <w:jc w:val="center"/>
              <w:rPr>
                <w:rFonts w:ascii="Arial" w:hAnsi="Arial" w:cs="Arial"/>
                <w:sz w:val="20"/>
                <w:szCs w:val="20"/>
              </w:rPr>
            </w:pPr>
            <w:r>
              <w:rPr>
                <w:rFonts w:ascii="Arial" w:hAnsi="Arial" w:cs="Arial"/>
                <w:sz w:val="20"/>
                <w:szCs w:val="20"/>
              </w:rPr>
              <w:t>ALL-249</w:t>
            </w:r>
          </w:p>
        </w:tc>
        <w:tc>
          <w:tcPr>
            <w:tcW w:w="1771" w:type="dxa"/>
            <w:tcBorders>
              <w:top w:val="single" w:sz="6" w:space="0" w:color="000000"/>
              <w:left w:val="single" w:sz="6" w:space="0" w:color="000000"/>
              <w:bottom w:val="single" w:sz="6" w:space="0" w:color="000000"/>
              <w:right w:val="single" w:sz="6" w:space="0" w:color="000000"/>
            </w:tcBorders>
          </w:tcPr>
          <w:p w14:paraId="2F65B22A" w14:textId="77777777" w:rsidR="002D15E9" w:rsidRPr="00AE57EC" w:rsidRDefault="002D15E9" w:rsidP="00B938CD">
            <w:pPr>
              <w:spacing w:before="10" w:line="110" w:lineRule="exact"/>
              <w:rPr>
                <w:sz w:val="11"/>
                <w:szCs w:val="11"/>
              </w:rPr>
            </w:pPr>
          </w:p>
          <w:p w14:paraId="6B70C461" w14:textId="77777777" w:rsidR="002D15E9" w:rsidRDefault="002D15E9" w:rsidP="00B938CD">
            <w:pPr>
              <w:ind w:left="624" w:right="607"/>
              <w:jc w:val="center"/>
              <w:rPr>
                <w:rFonts w:ascii="Arial" w:hAnsi="Arial" w:cs="Arial"/>
                <w:sz w:val="20"/>
                <w:szCs w:val="20"/>
              </w:rPr>
            </w:pPr>
            <w:r>
              <w:rPr>
                <w:rFonts w:ascii="Arial" w:hAnsi="Arial" w:cs="Arial"/>
                <w:b/>
                <w:bCs/>
                <w:sz w:val="20"/>
                <w:szCs w:val="20"/>
              </w:rPr>
              <w:t>Da</w:t>
            </w:r>
            <w:r>
              <w:rPr>
                <w:rFonts w:ascii="Arial" w:hAnsi="Arial" w:cs="Arial"/>
                <w:b/>
                <w:bCs/>
                <w:spacing w:val="-1"/>
                <w:sz w:val="20"/>
                <w:szCs w:val="20"/>
              </w:rPr>
              <w:t>t</w:t>
            </w:r>
            <w:r>
              <w:rPr>
                <w:rFonts w:ascii="Arial" w:hAnsi="Arial" w:cs="Arial"/>
                <w:b/>
                <w:bCs/>
                <w:sz w:val="20"/>
                <w:szCs w:val="20"/>
              </w:rPr>
              <w:t>e</w:t>
            </w:r>
          </w:p>
          <w:p w14:paraId="602AB63F" w14:textId="77777777" w:rsidR="002D15E9" w:rsidRPr="00AE57EC" w:rsidRDefault="002D15E9" w:rsidP="00B938CD">
            <w:pPr>
              <w:spacing w:before="7" w:line="110" w:lineRule="exact"/>
              <w:rPr>
                <w:sz w:val="11"/>
                <w:szCs w:val="11"/>
              </w:rPr>
            </w:pPr>
          </w:p>
          <w:p w14:paraId="619E7636" w14:textId="77777777" w:rsidR="002D15E9" w:rsidRPr="00DB19DD" w:rsidRDefault="002D15E9" w:rsidP="00B938CD">
            <w:pPr>
              <w:ind w:left="452" w:right="433"/>
              <w:jc w:val="center"/>
              <w:rPr>
                <w:rFonts w:ascii="Arial" w:hAnsi="Arial" w:cs="Arial"/>
                <w:sz w:val="20"/>
                <w:szCs w:val="20"/>
              </w:rPr>
            </w:pPr>
            <w:r>
              <w:rPr>
                <w:rFonts w:ascii="Arial" w:hAnsi="Arial" w:cs="Arial"/>
                <w:sz w:val="20"/>
                <w:szCs w:val="20"/>
              </w:rPr>
              <w:t>11/21/24</w:t>
            </w:r>
          </w:p>
        </w:tc>
      </w:tr>
    </w:tbl>
    <w:p w14:paraId="623E8C5C" w14:textId="77777777" w:rsidR="002D15E9" w:rsidRDefault="002D15E9" w:rsidP="00130E61">
      <w:pPr>
        <w:tabs>
          <w:tab w:val="left" w:pos="9810"/>
        </w:tabs>
        <w:spacing w:before="4"/>
        <w:ind w:left="720" w:right="10"/>
      </w:pPr>
    </w:p>
    <w:p w14:paraId="23FF6628" w14:textId="1C2212F9" w:rsidR="002D15E9" w:rsidRDefault="00E65281" w:rsidP="00130E61">
      <w:pPr>
        <w:tabs>
          <w:tab w:val="left" w:pos="9810"/>
        </w:tabs>
        <w:spacing w:before="4"/>
        <w:ind w:left="720" w:right="10"/>
      </w:pPr>
      <w:r>
        <w:t>at which developmental surveillance elicits a concern</w:t>
      </w:r>
      <w:r w:rsidRPr="001D528D">
        <w:t xml:space="preserve">. Providers should choose one of the </w:t>
      </w:r>
      <w:r>
        <w:t>age-</w:t>
      </w:r>
    </w:p>
    <w:p w14:paraId="5E0487A2" w14:textId="28BADEBB" w:rsidR="00E65281" w:rsidRPr="00764EAF" w:rsidRDefault="00E65281" w:rsidP="00130E61">
      <w:pPr>
        <w:tabs>
          <w:tab w:val="left" w:pos="9810"/>
        </w:tabs>
        <w:spacing w:before="4"/>
        <w:ind w:left="720" w:right="10"/>
        <w:rPr>
          <w:sz w:val="16"/>
          <w:szCs w:val="16"/>
        </w:rPr>
      </w:pPr>
      <w:r>
        <w:t xml:space="preserve">appropriate </w:t>
      </w:r>
      <w:r w:rsidRPr="001D528D">
        <w:t xml:space="preserve">standardized developmental screening tools in the Bright Futures Toolkit at </w:t>
      </w:r>
      <w:hyperlink r:id="rId57" w:history="1">
        <w:r w:rsidRPr="001D528D">
          <w:rPr>
            <w:rStyle w:val="Hyperlink"/>
          </w:rPr>
          <w:t>https://publications.aap.org/toolkits/resources/15625</w:t>
        </w:r>
      </w:hyperlink>
      <w:r w:rsidRPr="001D528D">
        <w:t>.</w:t>
      </w:r>
    </w:p>
    <w:p w14:paraId="6ED43A4D" w14:textId="77777777" w:rsidR="00E65281" w:rsidRDefault="00E65281" w:rsidP="16E582D4">
      <w:pPr>
        <w:tabs>
          <w:tab w:val="left" w:pos="9810"/>
        </w:tabs>
        <w:spacing w:before="4"/>
        <w:ind w:left="720" w:right="10"/>
        <w:rPr>
          <w:sz w:val="16"/>
          <w:szCs w:val="16"/>
        </w:rPr>
      </w:pPr>
    </w:p>
    <w:p w14:paraId="5ECD7DC1" w14:textId="77777777" w:rsidR="00E65281" w:rsidRDefault="00E65281" w:rsidP="16E582D4">
      <w:pPr>
        <w:tabs>
          <w:tab w:val="left" w:pos="9810"/>
        </w:tabs>
        <w:spacing w:before="4"/>
        <w:ind w:left="720" w:right="10"/>
        <w:rPr>
          <w:bCs/>
        </w:rPr>
      </w:pPr>
      <w:r w:rsidRPr="00DE3FE9">
        <w:rPr>
          <w:bCs/>
        </w:rPr>
        <w:t xml:space="preserve">If concerns are identified, </w:t>
      </w:r>
      <w:r>
        <w:rPr>
          <w:bCs/>
        </w:rPr>
        <w:t xml:space="preserve">refer the </w:t>
      </w:r>
      <w:r w:rsidRPr="00DE3FE9">
        <w:rPr>
          <w:bCs/>
        </w:rPr>
        <w:t>child to the local Early Intervention Program of the Massachusetts Department of Public Health if they are age 0 to 30 months, and to the local public school system if they are above age 30 months. The Early Intervention Program, the local public school, or both will conduct assessments to determine eligibility and service needs.</w:t>
      </w:r>
    </w:p>
    <w:p w14:paraId="0C5E309B" w14:textId="77777777" w:rsidR="00E65281" w:rsidRPr="001D528D" w:rsidRDefault="00E65281" w:rsidP="16E582D4">
      <w:pPr>
        <w:tabs>
          <w:tab w:val="left" w:pos="9810"/>
        </w:tabs>
        <w:spacing w:before="4"/>
        <w:ind w:left="720" w:right="10"/>
        <w:rPr>
          <w:sz w:val="16"/>
          <w:szCs w:val="16"/>
        </w:rPr>
      </w:pPr>
    </w:p>
    <w:p w14:paraId="147B5578" w14:textId="77777777" w:rsidR="00E65281" w:rsidRPr="00122052" w:rsidRDefault="00E65281" w:rsidP="00E65281">
      <w:pPr>
        <w:pStyle w:val="Heading5"/>
        <w:keepNext/>
        <w:keepLines/>
        <w:widowControl w:val="0"/>
        <w:spacing w:before="40" w:line="276" w:lineRule="auto"/>
        <w:ind w:left="720" w:hanging="360"/>
        <w:rPr>
          <w:color w:val="auto"/>
        </w:rPr>
      </w:pPr>
      <w:r w:rsidRPr="00122052">
        <w:rPr>
          <w:color w:val="auto"/>
        </w:rPr>
        <w:t>Developmental Surveillance</w:t>
      </w:r>
    </w:p>
    <w:p w14:paraId="5A8AA80C" w14:textId="77777777" w:rsidR="00E65281" w:rsidRPr="001D528D" w:rsidRDefault="00E65281" w:rsidP="00403DBE">
      <w:pPr>
        <w:tabs>
          <w:tab w:val="left" w:pos="9810"/>
        </w:tabs>
        <w:spacing w:before="4"/>
        <w:ind w:left="720" w:right="10"/>
      </w:pPr>
      <w:r w:rsidRPr="001D528D">
        <w:t>Developmental surveillance should occur at each preventive healthcare visit from newborn to age 21 except at visits when developmental screening is being done. Comprehensive child development surveillance may include:</w:t>
      </w:r>
    </w:p>
    <w:p w14:paraId="145DAAD4" w14:textId="77777777" w:rsidR="00E65281" w:rsidRPr="001D528D" w:rsidRDefault="00E65281" w:rsidP="00E65281">
      <w:pPr>
        <w:pStyle w:val="ListParagraph"/>
        <w:widowControl w:val="0"/>
        <w:numPr>
          <w:ilvl w:val="0"/>
          <w:numId w:val="19"/>
        </w:numPr>
        <w:tabs>
          <w:tab w:val="left" w:pos="9810"/>
        </w:tabs>
        <w:spacing w:before="4"/>
        <w:ind w:right="10"/>
      </w:pPr>
      <w:r w:rsidRPr="001D528D">
        <w:t>eliciting and attending to the parents’ concerns;</w:t>
      </w:r>
    </w:p>
    <w:p w14:paraId="686F5204" w14:textId="77777777" w:rsidR="00E65281" w:rsidRPr="001D528D" w:rsidRDefault="00E65281" w:rsidP="00E65281">
      <w:pPr>
        <w:pStyle w:val="ListParagraph"/>
        <w:widowControl w:val="0"/>
        <w:numPr>
          <w:ilvl w:val="0"/>
          <w:numId w:val="19"/>
        </w:numPr>
        <w:tabs>
          <w:tab w:val="left" w:pos="9810"/>
        </w:tabs>
        <w:spacing w:before="4"/>
        <w:ind w:right="10"/>
      </w:pPr>
      <w:r w:rsidRPr="001D528D">
        <w:t>maintaining a developmental history;</w:t>
      </w:r>
    </w:p>
    <w:p w14:paraId="11AA5CD7" w14:textId="77777777" w:rsidR="00E65281" w:rsidRPr="001D528D" w:rsidRDefault="00E65281" w:rsidP="00E65281">
      <w:pPr>
        <w:pStyle w:val="ListParagraph"/>
        <w:widowControl w:val="0"/>
        <w:numPr>
          <w:ilvl w:val="0"/>
          <w:numId w:val="19"/>
        </w:numPr>
        <w:tabs>
          <w:tab w:val="left" w:pos="9810"/>
        </w:tabs>
        <w:spacing w:before="4"/>
        <w:ind w:right="10"/>
      </w:pPr>
      <w:r w:rsidRPr="001D528D">
        <w:t>making accurate and informed observations of the child;</w:t>
      </w:r>
    </w:p>
    <w:p w14:paraId="4FB86179" w14:textId="77777777" w:rsidR="00E65281" w:rsidRPr="001D528D" w:rsidRDefault="00E65281" w:rsidP="00E65281">
      <w:pPr>
        <w:pStyle w:val="ListParagraph"/>
        <w:widowControl w:val="0"/>
        <w:numPr>
          <w:ilvl w:val="0"/>
          <w:numId w:val="19"/>
        </w:numPr>
        <w:tabs>
          <w:tab w:val="left" w:pos="9810"/>
        </w:tabs>
        <w:spacing w:before="4"/>
        <w:ind w:right="10"/>
      </w:pPr>
      <w:r w:rsidRPr="001D528D">
        <w:t>identifying the presence of risk and protective factors;</w:t>
      </w:r>
    </w:p>
    <w:p w14:paraId="6F802FBA" w14:textId="77777777" w:rsidR="00E65281" w:rsidRPr="001D528D" w:rsidRDefault="00E65281" w:rsidP="00E65281">
      <w:pPr>
        <w:pStyle w:val="ListParagraph"/>
        <w:widowControl w:val="0"/>
        <w:numPr>
          <w:ilvl w:val="0"/>
          <w:numId w:val="19"/>
        </w:numPr>
        <w:tabs>
          <w:tab w:val="left" w:pos="9810"/>
        </w:tabs>
        <w:spacing w:before="4"/>
        <w:ind w:right="10"/>
      </w:pPr>
      <w:r w:rsidRPr="001D528D">
        <w:t>periodically using screening tests; and</w:t>
      </w:r>
    </w:p>
    <w:p w14:paraId="23B3EB6F" w14:textId="77777777" w:rsidR="00E65281" w:rsidRPr="001D528D" w:rsidRDefault="00E65281" w:rsidP="00E65281">
      <w:pPr>
        <w:pStyle w:val="ListParagraph"/>
        <w:widowControl w:val="0"/>
        <w:numPr>
          <w:ilvl w:val="0"/>
          <w:numId w:val="19"/>
        </w:numPr>
        <w:tabs>
          <w:tab w:val="left" w:pos="9810"/>
        </w:tabs>
        <w:spacing w:before="4"/>
        <w:ind w:right="10"/>
      </w:pPr>
      <w:r w:rsidRPr="001D528D">
        <w:t>documenting the process and findings.</w:t>
      </w:r>
    </w:p>
    <w:p w14:paraId="485BB45A" w14:textId="77777777" w:rsidR="00E65281" w:rsidRPr="001D528D" w:rsidRDefault="00E65281" w:rsidP="00183365">
      <w:pPr>
        <w:tabs>
          <w:tab w:val="left" w:pos="9810"/>
        </w:tabs>
        <w:spacing w:before="4"/>
        <w:ind w:right="10"/>
      </w:pPr>
    </w:p>
    <w:p w14:paraId="0122AEED" w14:textId="77777777" w:rsidR="00E65281" w:rsidRPr="00122052" w:rsidRDefault="00E65281" w:rsidP="00E65281">
      <w:pPr>
        <w:pStyle w:val="Heading5"/>
        <w:keepNext/>
        <w:keepLines/>
        <w:widowControl w:val="0"/>
        <w:spacing w:before="40" w:line="276" w:lineRule="auto"/>
        <w:ind w:left="720" w:hanging="360"/>
        <w:rPr>
          <w:color w:val="auto"/>
        </w:rPr>
      </w:pPr>
      <w:r w:rsidRPr="00122052">
        <w:rPr>
          <w:color w:val="auto"/>
        </w:rPr>
        <w:t>Depression Screening</w:t>
      </w:r>
    </w:p>
    <w:p w14:paraId="2A9D5F7D" w14:textId="77777777" w:rsidR="00E65281" w:rsidRPr="001D528D" w:rsidRDefault="00E65281" w:rsidP="00403DBE">
      <w:pPr>
        <w:spacing w:line="241" w:lineRule="auto"/>
        <w:ind w:left="720" w:right="237"/>
      </w:pPr>
      <w:r w:rsidRPr="001D528D">
        <w:t xml:space="preserve">Screening for depression should occur at every preventive healthcare visit from ages 12 to 21 years using a </w:t>
      </w:r>
      <w:r>
        <w:t xml:space="preserve">standardized </w:t>
      </w:r>
      <w:r w:rsidRPr="001D528D">
        <w:t xml:space="preserve">depression screening tool such as the Patient Health Questionnaire </w:t>
      </w:r>
      <w:r w:rsidRPr="001D528D">
        <w:rPr>
          <w:rFonts w:eastAsia="Arial"/>
        </w:rPr>
        <w:t xml:space="preserve">Modified for Adolescents (PHQ-9 Modified), </w:t>
      </w:r>
      <w:r w:rsidRPr="001D528D">
        <w:t xml:space="preserve">or other tools available in the Guidelines for Adolescent Depression in Primary Care (GLAD-PC) toolkit. </w:t>
      </w:r>
    </w:p>
    <w:p w14:paraId="72650A63" w14:textId="77777777" w:rsidR="00E65281" w:rsidRPr="001D528D" w:rsidRDefault="00E65281" w:rsidP="00AB0FF0">
      <w:pPr>
        <w:spacing w:line="241" w:lineRule="auto"/>
        <w:ind w:left="900" w:right="237"/>
        <w:rPr>
          <w:bCs/>
        </w:rPr>
      </w:pPr>
      <w:r>
        <w:rPr>
          <w:noProof/>
        </w:rPr>
        <mc:AlternateContent>
          <mc:Choice Requires="wpi">
            <w:drawing>
              <wp:anchor distT="0" distB="0" distL="114300" distR="114300" simplePos="0" relativeHeight="251663360" behindDoc="0" locked="0" layoutInCell="1" allowOverlap="1" wp14:anchorId="418BEEAA" wp14:editId="304FD6A3">
                <wp:simplePos x="0" y="0"/>
                <wp:positionH relativeFrom="column">
                  <wp:posOffset>7773670</wp:posOffset>
                </wp:positionH>
                <wp:positionV relativeFrom="paragraph">
                  <wp:posOffset>248285</wp:posOffset>
                </wp:positionV>
                <wp:extent cx="9525" cy="9525"/>
                <wp:effectExtent l="48895" t="48260" r="55880" b="56515"/>
                <wp:wrapNone/>
                <wp:docPr id="18873707" name="Ink 1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58">
                      <w14:nvContentPartPr>
                        <w14:cNvContentPartPr>
                          <a14:cpLocks xmlns:a14="http://schemas.microsoft.com/office/drawing/2010/main" noRot="1" noChangeAspect="1" noEditPoints="1" noChangeArrowheads="1" noChangeShapeType="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w14:anchorId="5220ED3D" id="Ink 15" o:spid="_x0000_s1026" type="#_x0000_t75" style="position:absolute;margin-left:603.1pt;margin-top:10.55pt;width:18.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&#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">
                <v:imagedata r:id="rId59" o:title=""/>
                <o:lock v:ext="edit" rotation="t" verticies="t" shapetype="t"/>
              </v:shape>
            </w:pict>
          </mc:Fallback>
        </mc:AlternateContent>
      </w:r>
    </w:p>
    <w:p w14:paraId="294C645A" w14:textId="77777777" w:rsidR="00E65281" w:rsidRPr="001D528D" w:rsidRDefault="00E65281" w:rsidP="00403DBE">
      <w:pPr>
        <w:spacing w:line="241" w:lineRule="auto"/>
        <w:ind w:left="720" w:right="237"/>
      </w:pPr>
      <w:r w:rsidRPr="001D528D">
        <w:t>Providers who identify a concern may contact the Massachusetts Child Psychiatry Access Program (</w:t>
      </w:r>
      <w:hyperlink r:id="rId60" w:tgtFrame="_blank" w:tooltip="https://www.mcpap.com/" w:history="1">
        <w:r w:rsidRPr="000A0FC6">
          <w:rPr>
            <w:rStyle w:val="Hyperlink"/>
          </w:rPr>
          <w:t>www.mcpap.com</w:t>
        </w:r>
      </w:hyperlink>
      <w:r w:rsidRPr="001D528D">
        <w:t>) for pediatric psychiatric consultation and referral for ongoing behavioral health care.</w:t>
      </w:r>
    </w:p>
    <w:p w14:paraId="72B28D9C" w14:textId="77777777" w:rsidR="00E65281" w:rsidRPr="001D528D" w:rsidRDefault="00E65281" w:rsidP="00A37192">
      <w:pPr>
        <w:spacing w:line="241" w:lineRule="auto"/>
        <w:ind w:left="900" w:right="237"/>
      </w:pPr>
    </w:p>
    <w:p w14:paraId="46EF8D5C" w14:textId="77777777" w:rsidR="00E65281" w:rsidRPr="00122052" w:rsidRDefault="00E65281" w:rsidP="00E65281">
      <w:pPr>
        <w:pStyle w:val="Heading5"/>
        <w:keepNext/>
        <w:keepLines/>
        <w:widowControl w:val="0"/>
        <w:spacing w:before="40" w:line="276" w:lineRule="auto"/>
        <w:ind w:left="720" w:hanging="360"/>
        <w:rPr>
          <w:color w:val="auto"/>
        </w:rPr>
      </w:pPr>
      <w:r w:rsidRPr="00122052">
        <w:rPr>
          <w:color w:val="auto"/>
        </w:rPr>
        <w:t>Tobacco, Alcohol, and Drug Use Assessment</w:t>
      </w:r>
    </w:p>
    <w:p w14:paraId="6F0EEDA4" w14:textId="77777777" w:rsidR="00E65281" w:rsidRPr="001D528D" w:rsidRDefault="00E65281" w:rsidP="00403DBE">
      <w:pPr>
        <w:spacing w:line="241" w:lineRule="auto"/>
        <w:ind w:left="720" w:right="237"/>
        <w:rPr>
          <w:bCs/>
        </w:rPr>
      </w:pPr>
      <w:r w:rsidRPr="001D528D">
        <w:t xml:space="preserve">Risk assessment for tobacco, alcohol, and drug use should be performed at every preventive healthcare visit from ages 11 to 21 years. It is recommended that providers use a </w:t>
      </w:r>
      <w:r>
        <w:t>standardized</w:t>
      </w:r>
      <w:r w:rsidRPr="001D528D">
        <w:t xml:space="preserve"> substance screening tool from among those listed in Bright Futures. SBIRT is a validated framework for screening and intervening upon substance use in routine clinical encounters. Validated substance-use screening tools that can be used as part of SBIRT include CRAFFT 2.1+N or S2BI. If concerns are identified, </w:t>
      </w:r>
      <w:r w:rsidRPr="001D528D">
        <w:rPr>
          <w:bCs/>
        </w:rPr>
        <w:t>providers may contact the Massachusetts Child Psychiatry Access Program (</w:t>
      </w:r>
      <w:hyperlink r:id="rId61" w:history="1">
        <w:r w:rsidRPr="000A0FC6">
          <w:rPr>
            <w:rStyle w:val="Hyperlink"/>
            <w:bCs/>
          </w:rPr>
          <w:t>www.mcpap.com</w:t>
        </w:r>
      </w:hyperlink>
      <w:hyperlink r:id="rId62" w:history="1"/>
      <w:r w:rsidRPr="001D528D">
        <w:rPr>
          <w:bCs/>
        </w:rPr>
        <w:t xml:space="preserve">) to be connected to the Adolescent Substance and Addiction Program (ASAP), a program of MCPAP that provides pediatric primary care providers with pediatric substance use disorder consultation.  </w:t>
      </w:r>
    </w:p>
    <w:p w14:paraId="2ABFAA02" w14:textId="77777777" w:rsidR="00E65281" w:rsidRPr="001D528D" w:rsidRDefault="00E65281">
      <w:pPr>
        <w:spacing w:line="241" w:lineRule="auto"/>
        <w:ind w:left="900" w:right="237"/>
        <w:rPr>
          <w:bCs/>
        </w:rPr>
      </w:pPr>
    </w:p>
    <w:p w14:paraId="15E9EB44" w14:textId="77777777" w:rsidR="00E65281" w:rsidRDefault="00E65281" w:rsidP="00403DBE">
      <w:pPr>
        <w:spacing w:line="241" w:lineRule="auto"/>
        <w:ind w:left="720" w:right="237"/>
        <w:rPr>
          <w:bCs/>
        </w:rPr>
      </w:pPr>
      <w:r>
        <w:rPr>
          <w:bCs/>
        </w:rPr>
        <w:br w:type="page"/>
      </w:r>
    </w:p>
    <w:tbl>
      <w:tblPr>
        <w:tblW w:w="9601" w:type="dxa"/>
        <w:tblInd w:w="92" w:type="dxa"/>
        <w:tblLayout w:type="fixed"/>
        <w:tblCellMar>
          <w:left w:w="0" w:type="dxa"/>
          <w:right w:w="0" w:type="dxa"/>
        </w:tblCellMar>
        <w:tblLook w:val="01E0" w:firstRow="1" w:lastRow="1" w:firstColumn="1" w:lastColumn="1" w:noHBand="0" w:noVBand="0"/>
      </w:tblPr>
      <w:tblGrid>
        <w:gridCol w:w="4080"/>
        <w:gridCol w:w="3750"/>
        <w:gridCol w:w="1771"/>
      </w:tblGrid>
      <w:tr w:rsidR="002D15E9" w:rsidRPr="00AE57EC" w14:paraId="732CC412" w14:textId="77777777" w:rsidTr="00B938CD">
        <w:trPr>
          <w:trHeight w:hRule="exact" w:val="1095"/>
        </w:trPr>
        <w:tc>
          <w:tcPr>
            <w:tcW w:w="4080" w:type="dxa"/>
            <w:vMerge w:val="restart"/>
            <w:tcBorders>
              <w:top w:val="single" w:sz="6" w:space="0" w:color="000000"/>
              <w:left w:val="single" w:sz="6" w:space="0" w:color="000000"/>
              <w:right w:val="single" w:sz="6" w:space="0" w:color="000000"/>
            </w:tcBorders>
          </w:tcPr>
          <w:p w14:paraId="0B032503" w14:textId="77777777" w:rsidR="002D15E9" w:rsidRPr="00AE57EC" w:rsidRDefault="002D15E9" w:rsidP="00B938CD">
            <w:pPr>
              <w:spacing w:before="9" w:line="110" w:lineRule="exact"/>
              <w:ind w:right="360"/>
              <w:rPr>
                <w:sz w:val="11"/>
                <w:szCs w:val="11"/>
              </w:rPr>
            </w:pPr>
          </w:p>
          <w:p w14:paraId="12AFAD13" w14:textId="77777777" w:rsidR="002D15E9" w:rsidRDefault="002D15E9" w:rsidP="00B938CD">
            <w:pPr>
              <w:ind w:left="379" w:right="363"/>
              <w:jc w:val="center"/>
              <w:rPr>
                <w:rFonts w:ascii="Arial" w:hAnsi="Arial" w:cs="Arial"/>
                <w:sz w:val="20"/>
                <w:szCs w:val="20"/>
              </w:rPr>
            </w:pPr>
            <w:r>
              <w:rPr>
                <w:rFonts w:ascii="Arial" w:hAnsi="Arial" w:cs="Arial"/>
                <w:b/>
                <w:bCs/>
                <w:sz w:val="20"/>
                <w:szCs w:val="20"/>
              </w:rPr>
              <w:t>Commo</w:t>
            </w:r>
            <w:r>
              <w:rPr>
                <w:rFonts w:ascii="Arial" w:hAnsi="Arial" w:cs="Arial"/>
                <w:b/>
                <w:bCs/>
                <w:spacing w:val="-4"/>
                <w:sz w:val="20"/>
                <w:szCs w:val="20"/>
              </w:rPr>
              <w:t>n</w:t>
            </w:r>
            <w:r>
              <w:rPr>
                <w:rFonts w:ascii="Arial" w:hAnsi="Arial" w:cs="Arial"/>
                <w:b/>
                <w:bCs/>
                <w:spacing w:val="10"/>
                <w:sz w:val="20"/>
                <w:szCs w:val="20"/>
              </w:rPr>
              <w:t>w</w:t>
            </w:r>
            <w:r>
              <w:rPr>
                <w:rFonts w:ascii="Arial" w:hAnsi="Arial" w:cs="Arial"/>
                <w:b/>
                <w:bCs/>
                <w:spacing w:val="-2"/>
                <w:sz w:val="20"/>
                <w:szCs w:val="20"/>
              </w:rPr>
              <w:t>e</w:t>
            </w:r>
            <w:r>
              <w:rPr>
                <w:rFonts w:ascii="Arial" w:hAnsi="Arial" w:cs="Arial"/>
                <w:b/>
                <w:bCs/>
                <w:sz w:val="20"/>
                <w:szCs w:val="20"/>
              </w:rPr>
              <w:t>alth</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spacing w:val="-2"/>
                <w:sz w:val="20"/>
                <w:szCs w:val="20"/>
              </w:rPr>
              <w:t xml:space="preserve"> </w:t>
            </w:r>
            <w:r>
              <w:rPr>
                <w:rFonts w:ascii="Arial" w:hAnsi="Arial" w:cs="Arial"/>
                <w:b/>
                <w:bCs/>
                <w:sz w:val="20"/>
                <w:szCs w:val="20"/>
              </w:rPr>
              <w:t>Ma</w:t>
            </w:r>
            <w:r>
              <w:rPr>
                <w:rFonts w:ascii="Arial" w:hAnsi="Arial" w:cs="Arial"/>
                <w:b/>
                <w:bCs/>
                <w:spacing w:val="-1"/>
                <w:sz w:val="20"/>
                <w:szCs w:val="20"/>
              </w:rPr>
              <w:t>ss</w:t>
            </w:r>
            <w:r>
              <w:rPr>
                <w:rFonts w:ascii="Arial" w:hAnsi="Arial" w:cs="Arial"/>
                <w:b/>
                <w:bCs/>
                <w:sz w:val="20"/>
                <w:szCs w:val="20"/>
              </w:rPr>
              <w:t>achu</w:t>
            </w:r>
            <w:r>
              <w:rPr>
                <w:rFonts w:ascii="Arial" w:hAnsi="Arial" w:cs="Arial"/>
                <w:b/>
                <w:bCs/>
                <w:spacing w:val="-1"/>
                <w:sz w:val="20"/>
                <w:szCs w:val="20"/>
              </w:rPr>
              <w:t>s</w:t>
            </w:r>
            <w:r>
              <w:rPr>
                <w:rFonts w:ascii="Arial" w:hAnsi="Arial" w:cs="Arial"/>
                <w:b/>
                <w:bCs/>
                <w:sz w:val="20"/>
                <w:szCs w:val="20"/>
              </w:rPr>
              <w:t>etts</w:t>
            </w:r>
          </w:p>
          <w:p w14:paraId="788F623A" w14:textId="77777777" w:rsidR="002D15E9" w:rsidRDefault="002D15E9" w:rsidP="00B938CD">
            <w:pPr>
              <w:spacing w:before="4"/>
              <w:ind w:left="1438" w:right="1419"/>
              <w:jc w:val="center"/>
              <w:rPr>
                <w:rFonts w:ascii="Arial" w:hAnsi="Arial" w:cs="Arial"/>
                <w:sz w:val="20"/>
                <w:szCs w:val="20"/>
              </w:rPr>
            </w:pPr>
            <w:r>
              <w:rPr>
                <w:rFonts w:ascii="Arial" w:hAnsi="Arial" w:cs="Arial"/>
                <w:b/>
                <w:bCs/>
                <w:sz w:val="20"/>
                <w:szCs w:val="20"/>
              </w:rPr>
              <w:t>Mas</w:t>
            </w:r>
            <w:r>
              <w:rPr>
                <w:rFonts w:ascii="Arial" w:hAnsi="Arial" w:cs="Arial"/>
                <w:b/>
                <w:bCs/>
                <w:spacing w:val="-1"/>
                <w:sz w:val="20"/>
                <w:szCs w:val="20"/>
              </w:rPr>
              <w:t>s</w:t>
            </w:r>
            <w:r>
              <w:rPr>
                <w:rFonts w:ascii="Arial" w:hAnsi="Arial" w:cs="Arial"/>
                <w:b/>
                <w:bCs/>
                <w:sz w:val="20"/>
                <w:szCs w:val="20"/>
              </w:rPr>
              <w:t>Hea</w:t>
            </w:r>
            <w:r>
              <w:rPr>
                <w:rFonts w:ascii="Arial" w:hAnsi="Arial" w:cs="Arial"/>
                <w:b/>
                <w:bCs/>
                <w:spacing w:val="-2"/>
                <w:sz w:val="20"/>
                <w:szCs w:val="20"/>
              </w:rPr>
              <w:t>l</w:t>
            </w:r>
            <w:r>
              <w:rPr>
                <w:rFonts w:ascii="Arial" w:hAnsi="Arial" w:cs="Arial"/>
                <w:b/>
                <w:bCs/>
                <w:sz w:val="20"/>
                <w:szCs w:val="20"/>
              </w:rPr>
              <w:t>th</w:t>
            </w:r>
          </w:p>
          <w:p w14:paraId="2FB85158" w14:textId="77777777" w:rsidR="002D15E9" w:rsidRDefault="002D15E9" w:rsidP="00B938CD">
            <w:pPr>
              <w:spacing w:before="4"/>
              <w:ind w:left="900" w:right="886"/>
              <w:jc w:val="center"/>
              <w:rPr>
                <w:rFonts w:ascii="Arial" w:hAnsi="Arial" w:cs="Arial"/>
                <w:sz w:val="20"/>
                <w:szCs w:val="20"/>
              </w:rPr>
            </w:pPr>
            <w:r>
              <w:rPr>
                <w:rFonts w:ascii="Arial" w:hAnsi="Arial" w:cs="Arial"/>
                <w:b/>
                <w:bCs/>
                <w:spacing w:val="-1"/>
                <w:sz w:val="20"/>
                <w:szCs w:val="20"/>
              </w:rPr>
              <w:t>Pr</w:t>
            </w:r>
            <w:r>
              <w:rPr>
                <w:rFonts w:ascii="Arial" w:hAnsi="Arial" w:cs="Arial"/>
                <w:b/>
                <w:bCs/>
                <w:sz w:val="20"/>
                <w:szCs w:val="20"/>
              </w:rPr>
              <w:t>o</w:t>
            </w:r>
            <w:r>
              <w:rPr>
                <w:rFonts w:ascii="Arial" w:hAnsi="Arial" w:cs="Arial"/>
                <w:b/>
                <w:bCs/>
                <w:spacing w:val="-5"/>
                <w:sz w:val="20"/>
                <w:szCs w:val="20"/>
              </w:rPr>
              <w:t>v</w:t>
            </w:r>
            <w:r>
              <w:rPr>
                <w:rFonts w:ascii="Arial" w:hAnsi="Arial" w:cs="Arial"/>
                <w:b/>
                <w:bCs/>
                <w:spacing w:val="-1"/>
                <w:sz w:val="20"/>
                <w:szCs w:val="20"/>
              </w:rPr>
              <w:t>ide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M</w:t>
            </w:r>
            <w:r>
              <w:rPr>
                <w:rFonts w:ascii="Arial" w:hAnsi="Arial" w:cs="Arial"/>
                <w:b/>
                <w:bCs/>
                <w:sz w:val="20"/>
                <w:szCs w:val="20"/>
              </w:rPr>
              <w:t>a</w:t>
            </w:r>
            <w:r>
              <w:rPr>
                <w:rFonts w:ascii="Arial" w:hAnsi="Arial" w:cs="Arial"/>
                <w:b/>
                <w:bCs/>
                <w:spacing w:val="-1"/>
                <w:sz w:val="20"/>
                <w:szCs w:val="20"/>
              </w:rPr>
              <w:t>nua</w:t>
            </w:r>
            <w:r>
              <w:rPr>
                <w:rFonts w:ascii="Arial" w:hAnsi="Arial" w:cs="Arial"/>
                <w:b/>
                <w:bCs/>
                <w:sz w:val="20"/>
                <w:szCs w:val="20"/>
              </w:rPr>
              <w:t>l</w:t>
            </w:r>
            <w:r>
              <w:rPr>
                <w:rFonts w:ascii="Arial" w:hAnsi="Arial" w:cs="Arial"/>
                <w:b/>
                <w:bCs/>
                <w:spacing w:val="-3"/>
                <w:sz w:val="20"/>
                <w:szCs w:val="20"/>
              </w:rPr>
              <w:t xml:space="preserve"> </w:t>
            </w:r>
            <w:r>
              <w:rPr>
                <w:rFonts w:ascii="Arial" w:hAnsi="Arial" w:cs="Arial"/>
                <w:b/>
                <w:bCs/>
                <w:spacing w:val="-1"/>
                <w:sz w:val="20"/>
                <w:szCs w:val="20"/>
              </w:rPr>
              <w:t>Series</w:t>
            </w:r>
          </w:p>
          <w:p w14:paraId="4D1563A0" w14:textId="77777777" w:rsidR="002D15E9" w:rsidRPr="00AE57EC" w:rsidRDefault="002D15E9" w:rsidP="00B938CD">
            <w:pPr>
              <w:spacing w:line="200" w:lineRule="exact"/>
              <w:rPr>
                <w:sz w:val="20"/>
                <w:szCs w:val="20"/>
              </w:rPr>
            </w:pPr>
          </w:p>
          <w:p w14:paraId="489BD5FA" w14:textId="77777777" w:rsidR="002D15E9" w:rsidRDefault="002D15E9" w:rsidP="00B938CD">
            <w:pPr>
              <w:ind w:left="1080" w:right="1061"/>
              <w:jc w:val="center"/>
              <w:rPr>
                <w:rFonts w:ascii="Arial" w:hAnsi="Arial" w:cs="Arial"/>
                <w:sz w:val="20"/>
                <w:szCs w:val="20"/>
              </w:rPr>
            </w:pPr>
          </w:p>
          <w:p w14:paraId="1D6CC465" w14:textId="77777777" w:rsidR="002D15E9" w:rsidRDefault="002D15E9" w:rsidP="00B938CD">
            <w:pPr>
              <w:ind w:left="1080" w:right="1061"/>
              <w:jc w:val="center"/>
              <w:rPr>
                <w:rFonts w:ascii="Arial" w:hAnsi="Arial" w:cs="Arial"/>
                <w:sz w:val="20"/>
                <w:szCs w:val="20"/>
              </w:rPr>
            </w:pPr>
            <w:r>
              <w:rPr>
                <w:rFonts w:ascii="Arial" w:hAnsi="Arial" w:cs="Arial"/>
                <w:sz w:val="20"/>
                <w:szCs w:val="20"/>
              </w:rPr>
              <w:t>All</w:t>
            </w:r>
            <w:r>
              <w:rPr>
                <w:rFonts w:ascii="Arial" w:hAnsi="Arial" w:cs="Arial"/>
                <w:spacing w:val="-2"/>
                <w:sz w:val="20"/>
                <w:szCs w:val="20"/>
              </w:rPr>
              <w:t xml:space="preserve"> </w:t>
            </w:r>
            <w:r>
              <w:rPr>
                <w:rFonts w:ascii="Arial" w:hAnsi="Arial" w:cs="Arial"/>
                <w:sz w:val="20"/>
                <w:szCs w:val="20"/>
              </w:rPr>
              <w:t>Provider</w:t>
            </w:r>
            <w:r>
              <w:rPr>
                <w:rFonts w:ascii="Arial" w:hAnsi="Arial" w:cs="Arial"/>
                <w:spacing w:val="-2"/>
                <w:sz w:val="20"/>
                <w:szCs w:val="20"/>
              </w:rPr>
              <w:t xml:space="preserve"> </w:t>
            </w:r>
            <w:r>
              <w:rPr>
                <w:rFonts w:ascii="Arial" w:hAnsi="Arial" w:cs="Arial"/>
                <w:sz w:val="20"/>
                <w:szCs w:val="20"/>
              </w:rPr>
              <w:t>Manua</w:t>
            </w:r>
            <w:r>
              <w:rPr>
                <w:rFonts w:ascii="Arial" w:hAnsi="Arial" w:cs="Arial"/>
                <w:spacing w:val="-1"/>
                <w:sz w:val="20"/>
                <w:szCs w:val="20"/>
              </w:rPr>
              <w:t>l</w:t>
            </w:r>
            <w:r>
              <w:rPr>
                <w:rFonts w:ascii="Arial" w:hAnsi="Arial" w:cs="Arial"/>
                <w:sz w:val="20"/>
                <w:szCs w:val="20"/>
              </w:rPr>
              <w:t>s</w:t>
            </w:r>
          </w:p>
        </w:tc>
        <w:tc>
          <w:tcPr>
            <w:tcW w:w="3750" w:type="dxa"/>
            <w:tcBorders>
              <w:top w:val="single" w:sz="6" w:space="0" w:color="000000"/>
              <w:left w:val="single" w:sz="6" w:space="0" w:color="000000"/>
              <w:bottom w:val="single" w:sz="6" w:space="0" w:color="000000"/>
              <w:right w:val="single" w:sz="6" w:space="0" w:color="000000"/>
            </w:tcBorders>
          </w:tcPr>
          <w:p w14:paraId="70B711BB" w14:textId="77777777" w:rsidR="002D15E9" w:rsidRPr="00AE57EC" w:rsidRDefault="002D15E9" w:rsidP="00B938CD">
            <w:pPr>
              <w:spacing w:line="120" w:lineRule="exact"/>
              <w:rPr>
                <w:sz w:val="12"/>
                <w:szCs w:val="12"/>
              </w:rPr>
            </w:pPr>
          </w:p>
          <w:p w14:paraId="3A30383B" w14:textId="77777777" w:rsidR="002D15E9" w:rsidRDefault="002D15E9" w:rsidP="00B938CD">
            <w:pPr>
              <w:spacing w:line="237" w:lineRule="auto"/>
              <w:ind w:left="188" w:right="170" w:hanging="2"/>
              <w:jc w:val="center"/>
              <w:rPr>
                <w:rFonts w:ascii="Arial" w:hAnsi="Arial" w:cs="Arial"/>
                <w:sz w:val="19"/>
                <w:szCs w:val="19"/>
              </w:rPr>
            </w:pPr>
            <w:r>
              <w:rPr>
                <w:rFonts w:ascii="Arial" w:hAnsi="Arial" w:cs="Arial"/>
                <w:b/>
                <w:bCs/>
                <w:spacing w:val="-1"/>
                <w:sz w:val="20"/>
                <w:szCs w:val="20"/>
              </w:rPr>
              <w:t>Subchapte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Numbe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an</w:t>
            </w:r>
            <w:r>
              <w:rPr>
                <w:rFonts w:ascii="Arial" w:hAnsi="Arial" w:cs="Arial"/>
                <w:b/>
                <w:bCs/>
                <w:sz w:val="20"/>
                <w:szCs w:val="20"/>
              </w:rPr>
              <w:t>d</w:t>
            </w:r>
            <w:r>
              <w:rPr>
                <w:rFonts w:ascii="Arial" w:hAnsi="Arial" w:cs="Arial"/>
                <w:b/>
                <w:bCs/>
                <w:spacing w:val="-2"/>
                <w:sz w:val="20"/>
                <w:szCs w:val="20"/>
              </w:rPr>
              <w:t xml:space="preserve"> </w:t>
            </w:r>
            <w:r>
              <w:rPr>
                <w:rFonts w:ascii="Arial" w:hAnsi="Arial" w:cs="Arial"/>
                <w:b/>
                <w:bCs/>
                <w:spacing w:val="-1"/>
                <w:sz w:val="20"/>
                <w:szCs w:val="20"/>
              </w:rPr>
              <w:t xml:space="preserve">Title </w:t>
            </w:r>
            <w:r w:rsidRPr="006257D3">
              <w:rPr>
                <w:rFonts w:ascii="Arial" w:hAnsi="Arial" w:cs="Arial"/>
                <w:sz w:val="20"/>
                <w:szCs w:val="20"/>
              </w:rPr>
              <w:t>Appendix</w:t>
            </w:r>
            <w:r w:rsidRPr="006257D3">
              <w:rPr>
                <w:rFonts w:ascii="Arial" w:hAnsi="Arial" w:cs="Arial"/>
                <w:spacing w:val="-16"/>
                <w:sz w:val="20"/>
                <w:szCs w:val="20"/>
              </w:rPr>
              <w:t xml:space="preserve"> </w:t>
            </w:r>
            <w:r w:rsidRPr="006257D3">
              <w:rPr>
                <w:rFonts w:ascii="Arial" w:hAnsi="Arial" w:cs="Arial"/>
                <w:sz w:val="20"/>
                <w:szCs w:val="20"/>
              </w:rPr>
              <w:t>W.</w:t>
            </w:r>
            <w:r w:rsidRPr="006257D3">
              <w:rPr>
                <w:rFonts w:ascii="Arial" w:hAnsi="Arial" w:cs="Arial"/>
                <w:spacing w:val="38"/>
                <w:sz w:val="20"/>
                <w:szCs w:val="20"/>
              </w:rPr>
              <w:t xml:space="preserve"> </w:t>
            </w:r>
            <w:r w:rsidRPr="006257D3">
              <w:rPr>
                <w:rFonts w:ascii="Arial" w:hAnsi="Arial" w:cs="Arial"/>
                <w:sz w:val="20"/>
                <w:szCs w:val="20"/>
              </w:rPr>
              <w:t>EPSDT</w:t>
            </w:r>
            <w:r w:rsidRPr="006257D3">
              <w:rPr>
                <w:rFonts w:ascii="Arial" w:hAnsi="Arial" w:cs="Arial"/>
                <w:spacing w:val="-12"/>
                <w:sz w:val="20"/>
                <w:szCs w:val="20"/>
              </w:rPr>
              <w:t xml:space="preserve"> </w:t>
            </w:r>
            <w:r w:rsidRPr="006257D3">
              <w:rPr>
                <w:rFonts w:ascii="Arial" w:hAnsi="Arial" w:cs="Arial"/>
                <w:sz w:val="20"/>
                <w:szCs w:val="20"/>
              </w:rPr>
              <w:t>Servi</w:t>
            </w:r>
            <w:r w:rsidRPr="006257D3">
              <w:rPr>
                <w:rFonts w:ascii="Arial" w:hAnsi="Arial" w:cs="Arial"/>
                <w:spacing w:val="1"/>
                <w:sz w:val="20"/>
                <w:szCs w:val="20"/>
              </w:rPr>
              <w:t>c</w:t>
            </w:r>
            <w:r w:rsidRPr="006257D3">
              <w:rPr>
                <w:rFonts w:ascii="Arial" w:hAnsi="Arial" w:cs="Arial"/>
                <w:sz w:val="20"/>
                <w:szCs w:val="20"/>
              </w:rPr>
              <w:t>es</w:t>
            </w:r>
            <w:r w:rsidRPr="006257D3">
              <w:rPr>
                <w:rFonts w:ascii="Arial" w:hAnsi="Arial" w:cs="Arial"/>
                <w:spacing w:val="-15"/>
                <w:sz w:val="20"/>
                <w:szCs w:val="20"/>
              </w:rPr>
              <w:t xml:space="preserve"> </w:t>
            </w:r>
            <w:r w:rsidRPr="006257D3">
              <w:rPr>
                <w:rFonts w:ascii="Arial" w:hAnsi="Arial" w:cs="Arial"/>
                <w:w w:val="99"/>
                <w:sz w:val="20"/>
                <w:szCs w:val="20"/>
              </w:rPr>
              <w:t xml:space="preserve">Medical </w:t>
            </w:r>
            <w:r w:rsidRPr="006257D3">
              <w:rPr>
                <w:rFonts w:ascii="Arial" w:hAnsi="Arial" w:cs="Arial"/>
                <w:sz w:val="20"/>
                <w:szCs w:val="20"/>
              </w:rPr>
              <w:t>and</w:t>
            </w:r>
            <w:r w:rsidRPr="006257D3">
              <w:rPr>
                <w:rFonts w:ascii="Arial" w:hAnsi="Arial" w:cs="Arial"/>
                <w:spacing w:val="-11"/>
                <w:sz w:val="20"/>
                <w:szCs w:val="20"/>
              </w:rPr>
              <w:t xml:space="preserve"> </w:t>
            </w:r>
            <w:r w:rsidRPr="006257D3">
              <w:rPr>
                <w:rFonts w:ascii="Arial" w:hAnsi="Arial" w:cs="Arial"/>
                <w:sz w:val="20"/>
                <w:szCs w:val="20"/>
              </w:rPr>
              <w:t>Dental</w:t>
            </w:r>
            <w:r w:rsidRPr="006257D3">
              <w:rPr>
                <w:rFonts w:ascii="Arial" w:hAnsi="Arial" w:cs="Arial"/>
                <w:spacing w:val="-11"/>
                <w:sz w:val="20"/>
                <w:szCs w:val="20"/>
              </w:rPr>
              <w:t xml:space="preserve"> </w:t>
            </w:r>
            <w:r w:rsidRPr="006257D3">
              <w:rPr>
                <w:rFonts w:ascii="Arial" w:hAnsi="Arial" w:cs="Arial"/>
                <w:sz w:val="20"/>
                <w:szCs w:val="20"/>
              </w:rPr>
              <w:t>P</w:t>
            </w:r>
            <w:r w:rsidRPr="006257D3">
              <w:rPr>
                <w:rFonts w:ascii="Arial" w:hAnsi="Arial" w:cs="Arial"/>
                <w:spacing w:val="2"/>
                <w:sz w:val="20"/>
                <w:szCs w:val="20"/>
              </w:rPr>
              <w:t>r</w:t>
            </w:r>
            <w:r w:rsidRPr="006257D3">
              <w:rPr>
                <w:rFonts w:ascii="Arial" w:hAnsi="Arial" w:cs="Arial"/>
                <w:sz w:val="20"/>
                <w:szCs w:val="20"/>
              </w:rPr>
              <w:t>otocols</w:t>
            </w:r>
            <w:r w:rsidRPr="006257D3">
              <w:rPr>
                <w:rFonts w:ascii="Arial" w:hAnsi="Arial" w:cs="Arial"/>
                <w:spacing w:val="-15"/>
                <w:sz w:val="20"/>
                <w:szCs w:val="20"/>
              </w:rPr>
              <w:t xml:space="preserve"> </w:t>
            </w:r>
            <w:r w:rsidRPr="006257D3">
              <w:rPr>
                <w:rFonts w:ascii="Arial" w:hAnsi="Arial" w:cs="Arial"/>
                <w:sz w:val="20"/>
                <w:szCs w:val="20"/>
              </w:rPr>
              <w:t>and</w:t>
            </w:r>
            <w:r w:rsidRPr="006257D3">
              <w:rPr>
                <w:rFonts w:ascii="Arial" w:hAnsi="Arial" w:cs="Arial"/>
                <w:spacing w:val="-9"/>
                <w:sz w:val="20"/>
                <w:szCs w:val="20"/>
              </w:rPr>
              <w:t xml:space="preserve"> </w:t>
            </w:r>
            <w:r w:rsidRPr="006257D3">
              <w:rPr>
                <w:rFonts w:ascii="Arial" w:hAnsi="Arial" w:cs="Arial"/>
                <w:w w:val="99"/>
                <w:sz w:val="20"/>
                <w:szCs w:val="20"/>
              </w:rPr>
              <w:t>Periodicity Schedules</w:t>
            </w:r>
          </w:p>
        </w:tc>
        <w:tc>
          <w:tcPr>
            <w:tcW w:w="1771" w:type="dxa"/>
            <w:tcBorders>
              <w:top w:val="single" w:sz="6" w:space="0" w:color="000000"/>
              <w:left w:val="single" w:sz="6" w:space="0" w:color="000000"/>
              <w:bottom w:val="single" w:sz="6" w:space="0" w:color="000000"/>
              <w:right w:val="single" w:sz="6" w:space="0" w:color="000000"/>
            </w:tcBorders>
          </w:tcPr>
          <w:p w14:paraId="66EA0EAA" w14:textId="77777777" w:rsidR="002D15E9" w:rsidRPr="00AE57EC" w:rsidRDefault="002D15E9" w:rsidP="00B938CD">
            <w:pPr>
              <w:spacing w:before="9" w:line="110" w:lineRule="exact"/>
              <w:rPr>
                <w:sz w:val="11"/>
                <w:szCs w:val="11"/>
              </w:rPr>
            </w:pPr>
          </w:p>
          <w:p w14:paraId="3C418ACA" w14:textId="77777777" w:rsidR="002D15E9" w:rsidRDefault="002D15E9" w:rsidP="00B938CD">
            <w:pPr>
              <w:ind w:left="603" w:right="584"/>
              <w:jc w:val="center"/>
              <w:rPr>
                <w:rFonts w:ascii="Arial" w:hAnsi="Arial" w:cs="Arial"/>
                <w:sz w:val="20"/>
                <w:szCs w:val="20"/>
              </w:rPr>
            </w:pPr>
            <w:r>
              <w:rPr>
                <w:rFonts w:ascii="Arial" w:hAnsi="Arial" w:cs="Arial"/>
                <w:b/>
                <w:bCs/>
                <w:spacing w:val="-1"/>
                <w:sz w:val="20"/>
                <w:szCs w:val="20"/>
              </w:rPr>
              <w:t>Page</w:t>
            </w:r>
          </w:p>
          <w:p w14:paraId="39764AF7" w14:textId="77777777" w:rsidR="002D15E9" w:rsidRPr="00AE57EC" w:rsidRDefault="002D15E9" w:rsidP="00B938CD">
            <w:pPr>
              <w:spacing w:before="8" w:line="110" w:lineRule="exact"/>
              <w:rPr>
                <w:sz w:val="11"/>
                <w:szCs w:val="11"/>
              </w:rPr>
            </w:pPr>
          </w:p>
          <w:p w14:paraId="0A26A892" w14:textId="10A854F6" w:rsidR="002D15E9" w:rsidRPr="004A6519" w:rsidRDefault="002D15E9" w:rsidP="00B938CD">
            <w:pPr>
              <w:pStyle w:val="Header"/>
              <w:jc w:val="center"/>
              <w:rPr>
                <w:rStyle w:val="PageNumber"/>
                <w:b w:val="0"/>
                <w:bCs/>
                <w:i w:val="0"/>
                <w:iCs w:val="0"/>
              </w:rPr>
            </w:pPr>
            <w:r w:rsidRPr="004A6519">
              <w:rPr>
                <w:rFonts w:ascii="Arial" w:hAnsi="Arial" w:cs="Arial"/>
                <w:b w:val="0"/>
                <w:bCs/>
                <w:i w:val="0"/>
                <w:iCs w:val="0"/>
              </w:rPr>
              <w:t>W-</w:t>
            </w:r>
            <w:r>
              <w:rPr>
                <w:rFonts w:ascii="Arial" w:hAnsi="Arial" w:cs="Arial"/>
                <w:b w:val="0"/>
                <w:bCs/>
                <w:i w:val="0"/>
                <w:iCs w:val="0"/>
              </w:rPr>
              <w:t>6</w:t>
            </w:r>
          </w:p>
          <w:p w14:paraId="081D9D6B" w14:textId="77777777" w:rsidR="002D15E9" w:rsidRDefault="002D15E9" w:rsidP="00B938CD">
            <w:pPr>
              <w:ind w:left="650" w:right="630"/>
              <w:jc w:val="center"/>
              <w:rPr>
                <w:rFonts w:ascii="Arial" w:hAnsi="Arial" w:cs="Arial"/>
                <w:sz w:val="20"/>
                <w:szCs w:val="20"/>
              </w:rPr>
            </w:pPr>
          </w:p>
        </w:tc>
      </w:tr>
      <w:tr w:rsidR="002D15E9" w:rsidRPr="00AE57EC" w14:paraId="631FB408" w14:textId="77777777" w:rsidTr="00B938CD">
        <w:trPr>
          <w:trHeight w:hRule="exact" w:val="866"/>
        </w:trPr>
        <w:tc>
          <w:tcPr>
            <w:tcW w:w="4080" w:type="dxa"/>
            <w:vMerge/>
            <w:tcBorders>
              <w:left w:val="single" w:sz="6" w:space="0" w:color="000000"/>
              <w:bottom w:val="single" w:sz="6" w:space="0" w:color="000000"/>
              <w:right w:val="single" w:sz="6" w:space="0" w:color="000000"/>
            </w:tcBorders>
          </w:tcPr>
          <w:p w14:paraId="176ADB35" w14:textId="77777777" w:rsidR="002D15E9" w:rsidRPr="00AE57EC" w:rsidRDefault="002D15E9" w:rsidP="00B938CD"/>
        </w:tc>
        <w:tc>
          <w:tcPr>
            <w:tcW w:w="3750" w:type="dxa"/>
            <w:tcBorders>
              <w:top w:val="single" w:sz="6" w:space="0" w:color="000000"/>
              <w:left w:val="single" w:sz="6" w:space="0" w:color="000000"/>
              <w:bottom w:val="single" w:sz="6" w:space="0" w:color="000000"/>
              <w:right w:val="single" w:sz="6" w:space="0" w:color="000000"/>
            </w:tcBorders>
          </w:tcPr>
          <w:p w14:paraId="79682CAF" w14:textId="77777777" w:rsidR="002D15E9" w:rsidRPr="00AE57EC" w:rsidRDefault="002D15E9" w:rsidP="00B938CD">
            <w:pPr>
              <w:spacing w:before="10" w:line="110" w:lineRule="exact"/>
              <w:rPr>
                <w:sz w:val="11"/>
                <w:szCs w:val="11"/>
              </w:rPr>
            </w:pPr>
          </w:p>
          <w:p w14:paraId="2C872AC3" w14:textId="77777777" w:rsidR="002D15E9" w:rsidRDefault="002D15E9" w:rsidP="00B938CD">
            <w:pPr>
              <w:ind w:left="985" w:right="966"/>
              <w:jc w:val="center"/>
              <w:rPr>
                <w:rFonts w:ascii="Arial" w:hAnsi="Arial" w:cs="Arial"/>
                <w:sz w:val="20"/>
                <w:szCs w:val="20"/>
              </w:rPr>
            </w:pPr>
            <w:r>
              <w:rPr>
                <w:rFonts w:ascii="Arial" w:hAnsi="Arial" w:cs="Arial"/>
                <w:b/>
                <w:bCs/>
                <w:sz w:val="20"/>
                <w:szCs w:val="20"/>
              </w:rPr>
              <w:t>Trans</w:t>
            </w:r>
            <w:r>
              <w:rPr>
                <w:rFonts w:ascii="Arial" w:hAnsi="Arial" w:cs="Arial"/>
                <w:b/>
                <w:bCs/>
                <w:spacing w:val="-2"/>
                <w:sz w:val="20"/>
                <w:szCs w:val="20"/>
              </w:rPr>
              <w:t>m</w:t>
            </w:r>
            <w:r>
              <w:rPr>
                <w:rFonts w:ascii="Arial" w:hAnsi="Arial" w:cs="Arial"/>
                <w:b/>
                <w:bCs/>
                <w:sz w:val="20"/>
                <w:szCs w:val="20"/>
              </w:rPr>
              <w:t>ittal</w:t>
            </w:r>
            <w:r>
              <w:rPr>
                <w:rFonts w:ascii="Arial" w:hAnsi="Arial" w:cs="Arial"/>
                <w:b/>
                <w:bCs/>
                <w:spacing w:val="-2"/>
                <w:sz w:val="20"/>
                <w:szCs w:val="20"/>
              </w:rPr>
              <w:t xml:space="preserve"> </w:t>
            </w:r>
            <w:r>
              <w:rPr>
                <w:rFonts w:ascii="Arial" w:hAnsi="Arial" w:cs="Arial"/>
                <w:b/>
                <w:bCs/>
                <w:sz w:val="20"/>
                <w:szCs w:val="20"/>
              </w:rPr>
              <w:t>Letter</w:t>
            </w:r>
          </w:p>
          <w:p w14:paraId="588057F9" w14:textId="77777777" w:rsidR="002D15E9" w:rsidRPr="00AE57EC" w:rsidRDefault="002D15E9" w:rsidP="00B938CD">
            <w:pPr>
              <w:spacing w:before="7" w:line="110" w:lineRule="exact"/>
              <w:rPr>
                <w:sz w:val="11"/>
                <w:szCs w:val="11"/>
              </w:rPr>
            </w:pPr>
          </w:p>
          <w:p w14:paraId="4EBBE331" w14:textId="77777777" w:rsidR="002D15E9" w:rsidRPr="00DB19DD" w:rsidRDefault="002D15E9" w:rsidP="00B938CD">
            <w:pPr>
              <w:ind w:left="1452" w:right="1435"/>
              <w:jc w:val="center"/>
              <w:rPr>
                <w:rFonts w:ascii="Arial" w:hAnsi="Arial" w:cs="Arial"/>
                <w:sz w:val="20"/>
                <w:szCs w:val="20"/>
              </w:rPr>
            </w:pPr>
            <w:r>
              <w:rPr>
                <w:rFonts w:ascii="Arial" w:hAnsi="Arial" w:cs="Arial"/>
                <w:sz w:val="20"/>
                <w:szCs w:val="20"/>
              </w:rPr>
              <w:t>ALL-249</w:t>
            </w:r>
          </w:p>
        </w:tc>
        <w:tc>
          <w:tcPr>
            <w:tcW w:w="1771" w:type="dxa"/>
            <w:tcBorders>
              <w:top w:val="single" w:sz="6" w:space="0" w:color="000000"/>
              <w:left w:val="single" w:sz="6" w:space="0" w:color="000000"/>
              <w:bottom w:val="single" w:sz="6" w:space="0" w:color="000000"/>
              <w:right w:val="single" w:sz="6" w:space="0" w:color="000000"/>
            </w:tcBorders>
          </w:tcPr>
          <w:p w14:paraId="1907B2AF" w14:textId="77777777" w:rsidR="002D15E9" w:rsidRPr="00AE57EC" w:rsidRDefault="002D15E9" w:rsidP="00B938CD">
            <w:pPr>
              <w:spacing w:before="10" w:line="110" w:lineRule="exact"/>
              <w:rPr>
                <w:sz w:val="11"/>
                <w:szCs w:val="11"/>
              </w:rPr>
            </w:pPr>
          </w:p>
          <w:p w14:paraId="575E9BEB" w14:textId="77777777" w:rsidR="002D15E9" w:rsidRDefault="002D15E9" w:rsidP="00B938CD">
            <w:pPr>
              <w:ind w:left="624" w:right="607"/>
              <w:jc w:val="center"/>
              <w:rPr>
                <w:rFonts w:ascii="Arial" w:hAnsi="Arial" w:cs="Arial"/>
                <w:sz w:val="20"/>
                <w:szCs w:val="20"/>
              </w:rPr>
            </w:pPr>
            <w:r>
              <w:rPr>
                <w:rFonts w:ascii="Arial" w:hAnsi="Arial" w:cs="Arial"/>
                <w:b/>
                <w:bCs/>
                <w:sz w:val="20"/>
                <w:szCs w:val="20"/>
              </w:rPr>
              <w:t>Da</w:t>
            </w:r>
            <w:r>
              <w:rPr>
                <w:rFonts w:ascii="Arial" w:hAnsi="Arial" w:cs="Arial"/>
                <w:b/>
                <w:bCs/>
                <w:spacing w:val="-1"/>
                <w:sz w:val="20"/>
                <w:szCs w:val="20"/>
              </w:rPr>
              <w:t>t</w:t>
            </w:r>
            <w:r>
              <w:rPr>
                <w:rFonts w:ascii="Arial" w:hAnsi="Arial" w:cs="Arial"/>
                <w:b/>
                <w:bCs/>
                <w:sz w:val="20"/>
                <w:szCs w:val="20"/>
              </w:rPr>
              <w:t>e</w:t>
            </w:r>
          </w:p>
          <w:p w14:paraId="639076FD" w14:textId="77777777" w:rsidR="002D15E9" w:rsidRPr="00AE57EC" w:rsidRDefault="002D15E9" w:rsidP="00B938CD">
            <w:pPr>
              <w:spacing w:before="7" w:line="110" w:lineRule="exact"/>
              <w:rPr>
                <w:sz w:val="11"/>
                <w:szCs w:val="11"/>
              </w:rPr>
            </w:pPr>
          </w:p>
          <w:p w14:paraId="3831A1FA" w14:textId="77777777" w:rsidR="002D15E9" w:rsidRPr="00DB19DD" w:rsidRDefault="002D15E9" w:rsidP="00B938CD">
            <w:pPr>
              <w:ind w:left="452" w:right="433"/>
              <w:jc w:val="center"/>
              <w:rPr>
                <w:rFonts w:ascii="Arial" w:hAnsi="Arial" w:cs="Arial"/>
                <w:sz w:val="20"/>
                <w:szCs w:val="20"/>
              </w:rPr>
            </w:pPr>
            <w:r>
              <w:rPr>
                <w:rFonts w:ascii="Arial" w:hAnsi="Arial" w:cs="Arial"/>
                <w:sz w:val="20"/>
                <w:szCs w:val="20"/>
              </w:rPr>
              <w:t>11/21/24</w:t>
            </w:r>
          </w:p>
        </w:tc>
      </w:tr>
    </w:tbl>
    <w:p w14:paraId="2C45C0D3" w14:textId="77777777" w:rsidR="002D15E9" w:rsidRDefault="002D15E9" w:rsidP="00403DBE">
      <w:pPr>
        <w:spacing w:line="241" w:lineRule="auto"/>
        <w:ind w:left="720" w:right="237"/>
        <w:rPr>
          <w:bCs/>
        </w:rPr>
      </w:pPr>
    </w:p>
    <w:p w14:paraId="49F34FB1" w14:textId="149B7E37" w:rsidR="00E65281" w:rsidRPr="001D528D" w:rsidRDefault="00E65281" w:rsidP="00403DBE">
      <w:pPr>
        <w:spacing w:line="241" w:lineRule="auto"/>
        <w:ind w:left="720" w:right="237"/>
        <w:rPr>
          <w:bCs/>
        </w:rPr>
      </w:pPr>
      <w:r w:rsidRPr="001D528D">
        <w:rPr>
          <w:bCs/>
        </w:rPr>
        <w:t>If a referral to treatment is needed, providers may contact the Massachusetts Substance Use Helpline (</w:t>
      </w:r>
      <w:hyperlink r:id="rId63" w:history="1">
        <w:r w:rsidRPr="001D528D">
          <w:rPr>
            <w:rStyle w:val="Hyperlink"/>
          </w:rPr>
          <w:t>helplinema.org)</w:t>
        </w:r>
      </w:hyperlink>
      <w:r w:rsidRPr="001D528D">
        <w:t xml:space="preserve"> or the Office of Youth &amp; Young Adult Services at the Massachusetts Department of Public Health Bureau of Substance Addiction Services at </w:t>
      </w:r>
      <w:r>
        <w:br/>
      </w:r>
      <w:r w:rsidRPr="001D528D">
        <w:t xml:space="preserve">(617) 624-5111. </w:t>
      </w:r>
    </w:p>
    <w:bookmarkEnd w:id="2"/>
    <w:p w14:paraId="164517CA" w14:textId="77777777" w:rsidR="00E65281" w:rsidRPr="001D528D" w:rsidRDefault="00E65281" w:rsidP="00D97B6B">
      <w:pPr>
        <w:spacing w:before="11" w:line="200" w:lineRule="exact"/>
      </w:pPr>
    </w:p>
    <w:p w14:paraId="73AE55BB" w14:textId="77777777" w:rsidR="00E65281" w:rsidRPr="001D528D" w:rsidRDefault="00E65281" w:rsidP="00FF391C">
      <w:pPr>
        <w:pStyle w:val="Heading3"/>
      </w:pPr>
      <w:r w:rsidRPr="001D528D">
        <w:t>Physical Exam</w:t>
      </w:r>
    </w:p>
    <w:p w14:paraId="021BCD5D" w14:textId="77777777" w:rsidR="00E65281" w:rsidRPr="001D528D" w:rsidRDefault="00E65281" w:rsidP="00BE2A6D">
      <w:pPr>
        <w:spacing w:line="241" w:lineRule="auto"/>
        <w:ind w:right="237"/>
        <w:rPr>
          <w:bCs/>
        </w:rPr>
      </w:pPr>
      <w:r w:rsidRPr="001D528D">
        <w:rPr>
          <w:bCs/>
        </w:rPr>
        <w:t>A developmentally appropriate physical exam should be performed at every preventive healthcare visit. Infants should be completely unclothed, and other children undressed, draped, and chaperoned, as indicated. The use of a chaperone should be a shared decision among the patient, the patient’s parent or guardian, and physician.</w:t>
      </w:r>
    </w:p>
    <w:p w14:paraId="7FA227F2" w14:textId="77777777" w:rsidR="00E65281" w:rsidRPr="001D528D" w:rsidRDefault="00E65281" w:rsidP="00D97B6B">
      <w:pPr>
        <w:spacing w:line="241" w:lineRule="auto"/>
        <w:ind w:right="668"/>
        <w:jc w:val="center"/>
        <w:rPr>
          <w:b/>
          <w:bCs/>
        </w:rPr>
      </w:pPr>
    </w:p>
    <w:p w14:paraId="0AE373D8" w14:textId="77777777" w:rsidR="00E65281" w:rsidRPr="001D528D" w:rsidRDefault="00E65281" w:rsidP="00122052">
      <w:pPr>
        <w:pStyle w:val="Heading3"/>
        <w:spacing w:before="0"/>
      </w:pPr>
      <w:r w:rsidRPr="001D528D">
        <w:t>Procedures</w:t>
      </w:r>
    </w:p>
    <w:p w14:paraId="52DFD280" w14:textId="77777777" w:rsidR="00E65281" w:rsidRPr="00122052" w:rsidRDefault="00E65281" w:rsidP="00E65281">
      <w:pPr>
        <w:pStyle w:val="Heading5"/>
        <w:keepNext/>
        <w:keepLines/>
        <w:widowControl w:val="0"/>
        <w:spacing w:before="40" w:line="276" w:lineRule="auto"/>
        <w:ind w:left="720" w:hanging="360"/>
        <w:rPr>
          <w:color w:val="auto"/>
        </w:rPr>
      </w:pPr>
      <w:r w:rsidRPr="00122052">
        <w:rPr>
          <w:color w:val="auto"/>
        </w:rPr>
        <w:t xml:space="preserve">Newborn Blood Screening </w:t>
      </w:r>
    </w:p>
    <w:p w14:paraId="6F9B58B5" w14:textId="77777777" w:rsidR="00E65281" w:rsidRPr="001D528D" w:rsidRDefault="00E65281" w:rsidP="006C1EA8">
      <w:pPr>
        <w:ind w:left="720" w:right="-20"/>
      </w:pPr>
      <w:r w:rsidRPr="001D528D">
        <w:t xml:space="preserve">Verify at the newborn or the three- to five-day preventive healthcare visit that all required newborn screenings were performed, especially if the newborn was not born in a hospital setting or was born outside Massachusetts. Verify results and </w:t>
      </w:r>
      <w:r w:rsidRPr="4BFEF969">
        <w:t>follow</w:t>
      </w:r>
      <w:r w:rsidRPr="001D528D">
        <w:t xml:space="preserve"> up as appropriate. Additional information about the Massachusetts newborn screening program is available from the New England Newborn Screening Program (</w:t>
      </w:r>
      <w:hyperlink r:id="rId64">
        <w:r w:rsidRPr="12F05B1C">
          <w:rPr>
            <w:rStyle w:val="Hyperlink"/>
          </w:rPr>
          <w:t>https://nensp.umassmed.edu</w:t>
        </w:r>
      </w:hyperlink>
      <w:r w:rsidRPr="001D528D">
        <w:t xml:space="preserve">). </w:t>
      </w:r>
    </w:p>
    <w:p w14:paraId="35A6FA49" w14:textId="77777777" w:rsidR="00E65281" w:rsidRPr="001D528D" w:rsidRDefault="00E65281" w:rsidP="00D97B6B">
      <w:pPr>
        <w:ind w:left="180" w:right="-20"/>
        <w:contextualSpacing/>
        <w:rPr>
          <w:bCs/>
        </w:rPr>
      </w:pPr>
    </w:p>
    <w:p w14:paraId="61DC96F6" w14:textId="77777777" w:rsidR="00E65281" w:rsidRPr="00122052" w:rsidRDefault="00E65281" w:rsidP="00E65281">
      <w:pPr>
        <w:pStyle w:val="Heading5"/>
        <w:keepNext/>
        <w:keepLines/>
        <w:widowControl w:val="0"/>
        <w:spacing w:before="40" w:line="276" w:lineRule="auto"/>
        <w:ind w:left="720" w:hanging="360"/>
        <w:rPr>
          <w:color w:val="auto"/>
        </w:rPr>
      </w:pPr>
      <w:r w:rsidRPr="00122052">
        <w:rPr>
          <w:color w:val="auto"/>
        </w:rPr>
        <w:t>Newborn Bilirubin Screening</w:t>
      </w:r>
    </w:p>
    <w:p w14:paraId="66985067" w14:textId="77777777" w:rsidR="00E65281" w:rsidRPr="001D528D" w:rsidRDefault="00E65281" w:rsidP="006C1EA8">
      <w:pPr>
        <w:autoSpaceDE w:val="0"/>
        <w:autoSpaceDN w:val="0"/>
        <w:adjustRightInd w:val="0"/>
        <w:ind w:left="720"/>
      </w:pPr>
      <w:r w:rsidRPr="001D528D">
        <w:t xml:space="preserve">Confirm at the newborn preventive healthcare visit that the </w:t>
      </w:r>
      <w:r w:rsidRPr="001D528D">
        <w:rPr>
          <w:rFonts w:eastAsia="MyriadPro-Regular"/>
        </w:rPr>
        <w:t>initial screening was completed, verify results, and follow up as appropriate.</w:t>
      </w:r>
    </w:p>
    <w:p w14:paraId="7C5174FA" w14:textId="77777777" w:rsidR="00E65281" w:rsidRPr="001D528D" w:rsidRDefault="00E65281" w:rsidP="00D97B6B">
      <w:pPr>
        <w:autoSpaceDE w:val="0"/>
        <w:autoSpaceDN w:val="0"/>
        <w:adjustRightInd w:val="0"/>
        <w:ind w:left="900"/>
        <w:rPr>
          <w:rFonts w:eastAsia="MyriadPro-Regular"/>
        </w:rPr>
      </w:pPr>
    </w:p>
    <w:p w14:paraId="5C019ACC" w14:textId="77777777" w:rsidR="00E65281" w:rsidRPr="00122052" w:rsidRDefault="00E65281" w:rsidP="00E65281">
      <w:pPr>
        <w:pStyle w:val="Heading5"/>
        <w:keepNext/>
        <w:keepLines/>
        <w:widowControl w:val="0"/>
        <w:spacing w:before="40" w:line="276" w:lineRule="auto"/>
        <w:ind w:left="720" w:hanging="360"/>
        <w:rPr>
          <w:color w:val="auto"/>
        </w:rPr>
      </w:pPr>
      <w:r w:rsidRPr="00122052">
        <w:rPr>
          <w:color w:val="auto"/>
        </w:rPr>
        <w:t>Critical Congenital Heart Defect Screening</w:t>
      </w:r>
    </w:p>
    <w:p w14:paraId="449C673D" w14:textId="77777777" w:rsidR="00E65281" w:rsidRPr="001D528D" w:rsidRDefault="00E65281" w:rsidP="006C1EA8">
      <w:pPr>
        <w:autoSpaceDE w:val="0"/>
        <w:autoSpaceDN w:val="0"/>
        <w:adjustRightInd w:val="0"/>
        <w:ind w:left="720"/>
      </w:pPr>
      <w:r w:rsidRPr="001D528D">
        <w:rPr>
          <w:rFonts w:eastAsia="MyriadPro-Regular"/>
        </w:rPr>
        <w:t>Screening for critical congenital heart defect or disease using pulse oximetry should be performed in newborns, after 24 hours old, before being sent home from the hospital.</w:t>
      </w:r>
      <w:r w:rsidRPr="001D528D">
        <w:t xml:space="preserve"> Confirm at the newborn preventive healthcare visit that the screening has been done.</w:t>
      </w:r>
    </w:p>
    <w:p w14:paraId="3F3174EA" w14:textId="77777777" w:rsidR="00E65281" w:rsidRPr="001D528D" w:rsidRDefault="00E65281" w:rsidP="004E4596">
      <w:pPr>
        <w:autoSpaceDE w:val="0"/>
        <w:autoSpaceDN w:val="0"/>
        <w:adjustRightInd w:val="0"/>
        <w:ind w:left="900"/>
      </w:pPr>
    </w:p>
    <w:p w14:paraId="675F021B" w14:textId="77777777" w:rsidR="00E65281" w:rsidRPr="00122052" w:rsidRDefault="00E65281" w:rsidP="00E65281">
      <w:pPr>
        <w:pStyle w:val="Heading5"/>
        <w:keepNext/>
        <w:keepLines/>
        <w:widowControl w:val="0"/>
        <w:spacing w:before="40" w:line="276" w:lineRule="auto"/>
        <w:ind w:left="720" w:hanging="360"/>
        <w:rPr>
          <w:rFonts w:eastAsia="Wingdings"/>
          <w:color w:val="auto"/>
        </w:rPr>
      </w:pPr>
      <w:r w:rsidRPr="00122052">
        <w:rPr>
          <w:color w:val="auto"/>
        </w:rPr>
        <w:t>Immunization Assessment and Administration</w:t>
      </w:r>
    </w:p>
    <w:p w14:paraId="42E0C27D" w14:textId="77777777" w:rsidR="00E65281" w:rsidRPr="001D528D" w:rsidRDefault="00E65281" w:rsidP="006C1EA8">
      <w:pPr>
        <w:ind w:left="720" w:right="-20"/>
        <w:contextualSpacing/>
      </w:pPr>
      <w:r w:rsidRPr="001D528D">
        <w:rPr>
          <w:rFonts w:eastAsia="Wingdings"/>
        </w:rPr>
        <w:t xml:space="preserve">Immunize according to </w:t>
      </w:r>
      <w:r w:rsidRPr="001D528D">
        <w:t>the Massachusetts Department of Public Health’s Immunization Program. Immunization status should be assessed at every preventive healthcare visit from newborn to 21 years old.</w:t>
      </w:r>
    </w:p>
    <w:p w14:paraId="439218D7" w14:textId="77777777" w:rsidR="00E65281" w:rsidRPr="001D528D" w:rsidRDefault="00E65281" w:rsidP="00D97B6B">
      <w:pPr>
        <w:autoSpaceDE w:val="0"/>
        <w:autoSpaceDN w:val="0"/>
        <w:adjustRightInd w:val="0"/>
        <w:rPr>
          <w:bCs/>
        </w:rPr>
      </w:pPr>
    </w:p>
    <w:p w14:paraId="56CFCB5E" w14:textId="77777777" w:rsidR="00E65281" w:rsidRPr="00122052" w:rsidRDefault="00E65281" w:rsidP="00E65281">
      <w:pPr>
        <w:pStyle w:val="Heading5"/>
        <w:keepNext/>
        <w:keepLines/>
        <w:widowControl w:val="0"/>
        <w:spacing w:before="40" w:line="276" w:lineRule="auto"/>
        <w:ind w:left="720" w:hanging="360"/>
        <w:rPr>
          <w:color w:val="auto"/>
        </w:rPr>
      </w:pPr>
      <w:r w:rsidRPr="00122052">
        <w:rPr>
          <w:color w:val="auto"/>
        </w:rPr>
        <w:t>Anemia Screening</w:t>
      </w:r>
    </w:p>
    <w:p w14:paraId="7CB9B820" w14:textId="77777777" w:rsidR="00E65281" w:rsidRPr="001D528D" w:rsidRDefault="00E65281" w:rsidP="00E65281">
      <w:pPr>
        <w:pStyle w:val="ListParagraph"/>
        <w:numPr>
          <w:ilvl w:val="0"/>
          <w:numId w:val="53"/>
        </w:numPr>
        <w:autoSpaceDE w:val="0"/>
        <w:autoSpaceDN w:val="0"/>
        <w:adjustRightInd w:val="0"/>
      </w:pPr>
      <w:r w:rsidRPr="001D528D">
        <w:rPr>
          <w:b/>
          <w:bCs/>
        </w:rPr>
        <w:t>For ages 0 to one years old:</w:t>
      </w:r>
      <w:r w:rsidRPr="001D528D">
        <w:t xml:space="preserve"> Screen once between ages nine and 12 months. At clinician discretion, conduct assessment of infants at high risk for iron deficiency. Consider screening at ages 15 and 30 months, based on risk factors.</w:t>
      </w:r>
    </w:p>
    <w:p w14:paraId="7BD9A1CD" w14:textId="77777777" w:rsidR="00E65281" w:rsidRPr="001D528D" w:rsidRDefault="00E65281" w:rsidP="00E65281">
      <w:pPr>
        <w:pStyle w:val="ListParagraph"/>
        <w:numPr>
          <w:ilvl w:val="0"/>
          <w:numId w:val="53"/>
        </w:numPr>
        <w:autoSpaceDE w:val="0"/>
        <w:autoSpaceDN w:val="0"/>
        <w:adjustRightInd w:val="0"/>
      </w:pPr>
      <w:r w:rsidRPr="001D528D">
        <w:rPr>
          <w:b/>
          <w:bCs/>
        </w:rPr>
        <w:t>For ages one to 10 years old:</w:t>
      </w:r>
      <w:r w:rsidRPr="001D528D">
        <w:t xml:space="preserve"> Conduct risk assessment or screening, including dietary iron sufficiency, at clinician discretion. Screen those with risk factors annually from ages two to five. </w:t>
      </w:r>
    </w:p>
    <w:p w14:paraId="5FCA7C79" w14:textId="77777777" w:rsidR="002D15E9" w:rsidRDefault="00E65281" w:rsidP="00E65281">
      <w:pPr>
        <w:pStyle w:val="ListParagraph"/>
        <w:numPr>
          <w:ilvl w:val="0"/>
          <w:numId w:val="53"/>
        </w:numPr>
        <w:autoSpaceDE w:val="0"/>
        <w:autoSpaceDN w:val="0"/>
        <w:adjustRightInd w:val="0"/>
      </w:pPr>
      <w:r w:rsidRPr="001D528D">
        <w:rPr>
          <w:b/>
          <w:bCs/>
        </w:rPr>
        <w:t>For ages 11 to 21:</w:t>
      </w:r>
      <w:r w:rsidRPr="001D528D">
        <w:t xml:space="preserve"> Conduct risk assessment or screening. Screen all non-pregnant female adolescents for anemia every five to 10 years during well visits starting at age 12.</w:t>
      </w:r>
      <w:r w:rsidRPr="001D528D" w:rsidDel="001F5947">
        <w:t xml:space="preserve"> </w:t>
      </w:r>
      <w:r w:rsidRPr="001D528D">
        <w:t xml:space="preserve">Screen </w:t>
      </w:r>
    </w:p>
    <w:p w14:paraId="42C8EEA7" w14:textId="77777777" w:rsidR="002D15E9" w:rsidRDefault="002D15E9" w:rsidP="002D15E9">
      <w:pPr>
        <w:autoSpaceDE w:val="0"/>
        <w:autoSpaceDN w:val="0"/>
        <w:adjustRightInd w:val="0"/>
      </w:pPr>
    </w:p>
    <w:tbl>
      <w:tblPr>
        <w:tblW w:w="9601" w:type="dxa"/>
        <w:tblInd w:w="92" w:type="dxa"/>
        <w:tblLayout w:type="fixed"/>
        <w:tblCellMar>
          <w:left w:w="0" w:type="dxa"/>
          <w:right w:w="0" w:type="dxa"/>
        </w:tblCellMar>
        <w:tblLook w:val="01E0" w:firstRow="1" w:lastRow="1" w:firstColumn="1" w:lastColumn="1" w:noHBand="0" w:noVBand="0"/>
      </w:tblPr>
      <w:tblGrid>
        <w:gridCol w:w="4080"/>
        <w:gridCol w:w="3750"/>
        <w:gridCol w:w="1771"/>
      </w:tblGrid>
      <w:tr w:rsidR="002D15E9" w:rsidRPr="00AE57EC" w14:paraId="6E61C479" w14:textId="77777777" w:rsidTr="00B938CD">
        <w:trPr>
          <w:trHeight w:hRule="exact" w:val="1095"/>
        </w:trPr>
        <w:tc>
          <w:tcPr>
            <w:tcW w:w="4080" w:type="dxa"/>
            <w:vMerge w:val="restart"/>
            <w:tcBorders>
              <w:top w:val="single" w:sz="6" w:space="0" w:color="000000"/>
              <w:left w:val="single" w:sz="6" w:space="0" w:color="000000"/>
              <w:right w:val="single" w:sz="6" w:space="0" w:color="000000"/>
            </w:tcBorders>
          </w:tcPr>
          <w:p w14:paraId="1C52D622" w14:textId="77777777" w:rsidR="002D15E9" w:rsidRPr="00AE57EC" w:rsidRDefault="002D15E9" w:rsidP="00B938CD">
            <w:pPr>
              <w:spacing w:before="9" w:line="110" w:lineRule="exact"/>
              <w:ind w:right="360"/>
              <w:rPr>
                <w:sz w:val="11"/>
                <w:szCs w:val="11"/>
              </w:rPr>
            </w:pPr>
          </w:p>
          <w:p w14:paraId="30ED924C" w14:textId="77777777" w:rsidR="002D15E9" w:rsidRDefault="002D15E9" w:rsidP="00B938CD">
            <w:pPr>
              <w:ind w:left="379" w:right="363"/>
              <w:jc w:val="center"/>
              <w:rPr>
                <w:rFonts w:ascii="Arial" w:hAnsi="Arial" w:cs="Arial"/>
                <w:sz w:val="20"/>
                <w:szCs w:val="20"/>
              </w:rPr>
            </w:pPr>
            <w:r>
              <w:rPr>
                <w:rFonts w:ascii="Arial" w:hAnsi="Arial" w:cs="Arial"/>
                <w:b/>
                <w:bCs/>
                <w:sz w:val="20"/>
                <w:szCs w:val="20"/>
              </w:rPr>
              <w:t>Commo</w:t>
            </w:r>
            <w:r>
              <w:rPr>
                <w:rFonts w:ascii="Arial" w:hAnsi="Arial" w:cs="Arial"/>
                <w:b/>
                <w:bCs/>
                <w:spacing w:val="-4"/>
                <w:sz w:val="20"/>
                <w:szCs w:val="20"/>
              </w:rPr>
              <w:t>n</w:t>
            </w:r>
            <w:r>
              <w:rPr>
                <w:rFonts w:ascii="Arial" w:hAnsi="Arial" w:cs="Arial"/>
                <w:b/>
                <w:bCs/>
                <w:spacing w:val="10"/>
                <w:sz w:val="20"/>
                <w:szCs w:val="20"/>
              </w:rPr>
              <w:t>w</w:t>
            </w:r>
            <w:r>
              <w:rPr>
                <w:rFonts w:ascii="Arial" w:hAnsi="Arial" w:cs="Arial"/>
                <w:b/>
                <w:bCs/>
                <w:spacing w:val="-2"/>
                <w:sz w:val="20"/>
                <w:szCs w:val="20"/>
              </w:rPr>
              <w:t>e</w:t>
            </w:r>
            <w:r>
              <w:rPr>
                <w:rFonts w:ascii="Arial" w:hAnsi="Arial" w:cs="Arial"/>
                <w:b/>
                <w:bCs/>
                <w:sz w:val="20"/>
                <w:szCs w:val="20"/>
              </w:rPr>
              <w:t>alth</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spacing w:val="-2"/>
                <w:sz w:val="20"/>
                <w:szCs w:val="20"/>
              </w:rPr>
              <w:t xml:space="preserve"> </w:t>
            </w:r>
            <w:r>
              <w:rPr>
                <w:rFonts w:ascii="Arial" w:hAnsi="Arial" w:cs="Arial"/>
                <w:b/>
                <w:bCs/>
                <w:sz w:val="20"/>
                <w:szCs w:val="20"/>
              </w:rPr>
              <w:t>Ma</w:t>
            </w:r>
            <w:r>
              <w:rPr>
                <w:rFonts w:ascii="Arial" w:hAnsi="Arial" w:cs="Arial"/>
                <w:b/>
                <w:bCs/>
                <w:spacing w:val="-1"/>
                <w:sz w:val="20"/>
                <w:szCs w:val="20"/>
              </w:rPr>
              <w:t>ss</w:t>
            </w:r>
            <w:r>
              <w:rPr>
                <w:rFonts w:ascii="Arial" w:hAnsi="Arial" w:cs="Arial"/>
                <w:b/>
                <w:bCs/>
                <w:sz w:val="20"/>
                <w:szCs w:val="20"/>
              </w:rPr>
              <w:t>achu</w:t>
            </w:r>
            <w:r>
              <w:rPr>
                <w:rFonts w:ascii="Arial" w:hAnsi="Arial" w:cs="Arial"/>
                <w:b/>
                <w:bCs/>
                <w:spacing w:val="-1"/>
                <w:sz w:val="20"/>
                <w:szCs w:val="20"/>
              </w:rPr>
              <w:t>s</w:t>
            </w:r>
            <w:r>
              <w:rPr>
                <w:rFonts w:ascii="Arial" w:hAnsi="Arial" w:cs="Arial"/>
                <w:b/>
                <w:bCs/>
                <w:sz w:val="20"/>
                <w:szCs w:val="20"/>
              </w:rPr>
              <w:t>etts</w:t>
            </w:r>
          </w:p>
          <w:p w14:paraId="25122D13" w14:textId="77777777" w:rsidR="002D15E9" w:rsidRDefault="002D15E9" w:rsidP="00B938CD">
            <w:pPr>
              <w:spacing w:before="4"/>
              <w:ind w:left="1438" w:right="1419"/>
              <w:jc w:val="center"/>
              <w:rPr>
                <w:rFonts w:ascii="Arial" w:hAnsi="Arial" w:cs="Arial"/>
                <w:sz w:val="20"/>
                <w:szCs w:val="20"/>
              </w:rPr>
            </w:pPr>
            <w:r>
              <w:rPr>
                <w:rFonts w:ascii="Arial" w:hAnsi="Arial" w:cs="Arial"/>
                <w:b/>
                <w:bCs/>
                <w:sz w:val="20"/>
                <w:szCs w:val="20"/>
              </w:rPr>
              <w:t>Mas</w:t>
            </w:r>
            <w:r>
              <w:rPr>
                <w:rFonts w:ascii="Arial" w:hAnsi="Arial" w:cs="Arial"/>
                <w:b/>
                <w:bCs/>
                <w:spacing w:val="-1"/>
                <w:sz w:val="20"/>
                <w:szCs w:val="20"/>
              </w:rPr>
              <w:t>s</w:t>
            </w:r>
            <w:r>
              <w:rPr>
                <w:rFonts w:ascii="Arial" w:hAnsi="Arial" w:cs="Arial"/>
                <w:b/>
                <w:bCs/>
                <w:sz w:val="20"/>
                <w:szCs w:val="20"/>
              </w:rPr>
              <w:t>Hea</w:t>
            </w:r>
            <w:r>
              <w:rPr>
                <w:rFonts w:ascii="Arial" w:hAnsi="Arial" w:cs="Arial"/>
                <w:b/>
                <w:bCs/>
                <w:spacing w:val="-2"/>
                <w:sz w:val="20"/>
                <w:szCs w:val="20"/>
              </w:rPr>
              <w:t>l</w:t>
            </w:r>
            <w:r>
              <w:rPr>
                <w:rFonts w:ascii="Arial" w:hAnsi="Arial" w:cs="Arial"/>
                <w:b/>
                <w:bCs/>
                <w:sz w:val="20"/>
                <w:szCs w:val="20"/>
              </w:rPr>
              <w:t>th</w:t>
            </w:r>
          </w:p>
          <w:p w14:paraId="455805F9" w14:textId="77777777" w:rsidR="002D15E9" w:rsidRDefault="002D15E9" w:rsidP="00B938CD">
            <w:pPr>
              <w:spacing w:before="4"/>
              <w:ind w:left="900" w:right="886"/>
              <w:jc w:val="center"/>
              <w:rPr>
                <w:rFonts w:ascii="Arial" w:hAnsi="Arial" w:cs="Arial"/>
                <w:sz w:val="20"/>
                <w:szCs w:val="20"/>
              </w:rPr>
            </w:pPr>
            <w:r>
              <w:rPr>
                <w:rFonts w:ascii="Arial" w:hAnsi="Arial" w:cs="Arial"/>
                <w:b/>
                <w:bCs/>
                <w:spacing w:val="-1"/>
                <w:sz w:val="20"/>
                <w:szCs w:val="20"/>
              </w:rPr>
              <w:t>Pr</w:t>
            </w:r>
            <w:r>
              <w:rPr>
                <w:rFonts w:ascii="Arial" w:hAnsi="Arial" w:cs="Arial"/>
                <w:b/>
                <w:bCs/>
                <w:sz w:val="20"/>
                <w:szCs w:val="20"/>
              </w:rPr>
              <w:t>o</w:t>
            </w:r>
            <w:r>
              <w:rPr>
                <w:rFonts w:ascii="Arial" w:hAnsi="Arial" w:cs="Arial"/>
                <w:b/>
                <w:bCs/>
                <w:spacing w:val="-5"/>
                <w:sz w:val="20"/>
                <w:szCs w:val="20"/>
              </w:rPr>
              <w:t>v</w:t>
            </w:r>
            <w:r>
              <w:rPr>
                <w:rFonts w:ascii="Arial" w:hAnsi="Arial" w:cs="Arial"/>
                <w:b/>
                <w:bCs/>
                <w:spacing w:val="-1"/>
                <w:sz w:val="20"/>
                <w:szCs w:val="20"/>
              </w:rPr>
              <w:t>ide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M</w:t>
            </w:r>
            <w:r>
              <w:rPr>
                <w:rFonts w:ascii="Arial" w:hAnsi="Arial" w:cs="Arial"/>
                <w:b/>
                <w:bCs/>
                <w:sz w:val="20"/>
                <w:szCs w:val="20"/>
              </w:rPr>
              <w:t>a</w:t>
            </w:r>
            <w:r>
              <w:rPr>
                <w:rFonts w:ascii="Arial" w:hAnsi="Arial" w:cs="Arial"/>
                <w:b/>
                <w:bCs/>
                <w:spacing w:val="-1"/>
                <w:sz w:val="20"/>
                <w:szCs w:val="20"/>
              </w:rPr>
              <w:t>nua</w:t>
            </w:r>
            <w:r>
              <w:rPr>
                <w:rFonts w:ascii="Arial" w:hAnsi="Arial" w:cs="Arial"/>
                <w:b/>
                <w:bCs/>
                <w:sz w:val="20"/>
                <w:szCs w:val="20"/>
              </w:rPr>
              <w:t>l</w:t>
            </w:r>
            <w:r>
              <w:rPr>
                <w:rFonts w:ascii="Arial" w:hAnsi="Arial" w:cs="Arial"/>
                <w:b/>
                <w:bCs/>
                <w:spacing w:val="-3"/>
                <w:sz w:val="20"/>
                <w:szCs w:val="20"/>
              </w:rPr>
              <w:t xml:space="preserve"> </w:t>
            </w:r>
            <w:r>
              <w:rPr>
                <w:rFonts w:ascii="Arial" w:hAnsi="Arial" w:cs="Arial"/>
                <w:b/>
                <w:bCs/>
                <w:spacing w:val="-1"/>
                <w:sz w:val="20"/>
                <w:szCs w:val="20"/>
              </w:rPr>
              <w:t>Series</w:t>
            </w:r>
          </w:p>
          <w:p w14:paraId="5CE9F3A7" w14:textId="77777777" w:rsidR="002D15E9" w:rsidRPr="00AE57EC" w:rsidRDefault="002D15E9" w:rsidP="00B938CD">
            <w:pPr>
              <w:spacing w:line="200" w:lineRule="exact"/>
              <w:rPr>
                <w:sz w:val="20"/>
                <w:szCs w:val="20"/>
              </w:rPr>
            </w:pPr>
          </w:p>
          <w:p w14:paraId="1635317A" w14:textId="77777777" w:rsidR="002D15E9" w:rsidRDefault="002D15E9" w:rsidP="00B938CD">
            <w:pPr>
              <w:ind w:left="1080" w:right="1061"/>
              <w:jc w:val="center"/>
              <w:rPr>
                <w:rFonts w:ascii="Arial" w:hAnsi="Arial" w:cs="Arial"/>
                <w:sz w:val="20"/>
                <w:szCs w:val="20"/>
              </w:rPr>
            </w:pPr>
          </w:p>
          <w:p w14:paraId="11B7C6B4" w14:textId="77777777" w:rsidR="002D15E9" w:rsidRDefault="002D15E9" w:rsidP="00B938CD">
            <w:pPr>
              <w:ind w:left="1080" w:right="1061"/>
              <w:jc w:val="center"/>
              <w:rPr>
                <w:rFonts w:ascii="Arial" w:hAnsi="Arial" w:cs="Arial"/>
                <w:sz w:val="20"/>
                <w:szCs w:val="20"/>
              </w:rPr>
            </w:pPr>
            <w:r>
              <w:rPr>
                <w:rFonts w:ascii="Arial" w:hAnsi="Arial" w:cs="Arial"/>
                <w:sz w:val="20"/>
                <w:szCs w:val="20"/>
              </w:rPr>
              <w:t>All</w:t>
            </w:r>
            <w:r>
              <w:rPr>
                <w:rFonts w:ascii="Arial" w:hAnsi="Arial" w:cs="Arial"/>
                <w:spacing w:val="-2"/>
                <w:sz w:val="20"/>
                <w:szCs w:val="20"/>
              </w:rPr>
              <w:t xml:space="preserve"> </w:t>
            </w:r>
            <w:r>
              <w:rPr>
                <w:rFonts w:ascii="Arial" w:hAnsi="Arial" w:cs="Arial"/>
                <w:sz w:val="20"/>
                <w:szCs w:val="20"/>
              </w:rPr>
              <w:t>Provider</w:t>
            </w:r>
            <w:r>
              <w:rPr>
                <w:rFonts w:ascii="Arial" w:hAnsi="Arial" w:cs="Arial"/>
                <w:spacing w:val="-2"/>
                <w:sz w:val="20"/>
                <w:szCs w:val="20"/>
              </w:rPr>
              <w:t xml:space="preserve"> </w:t>
            </w:r>
            <w:r>
              <w:rPr>
                <w:rFonts w:ascii="Arial" w:hAnsi="Arial" w:cs="Arial"/>
                <w:sz w:val="20"/>
                <w:szCs w:val="20"/>
              </w:rPr>
              <w:t>Manua</w:t>
            </w:r>
            <w:r>
              <w:rPr>
                <w:rFonts w:ascii="Arial" w:hAnsi="Arial" w:cs="Arial"/>
                <w:spacing w:val="-1"/>
                <w:sz w:val="20"/>
                <w:szCs w:val="20"/>
              </w:rPr>
              <w:t>l</w:t>
            </w:r>
            <w:r>
              <w:rPr>
                <w:rFonts w:ascii="Arial" w:hAnsi="Arial" w:cs="Arial"/>
                <w:sz w:val="20"/>
                <w:szCs w:val="20"/>
              </w:rPr>
              <w:t>s</w:t>
            </w:r>
          </w:p>
        </w:tc>
        <w:tc>
          <w:tcPr>
            <w:tcW w:w="3750" w:type="dxa"/>
            <w:tcBorders>
              <w:top w:val="single" w:sz="6" w:space="0" w:color="000000"/>
              <w:left w:val="single" w:sz="6" w:space="0" w:color="000000"/>
              <w:bottom w:val="single" w:sz="6" w:space="0" w:color="000000"/>
              <w:right w:val="single" w:sz="6" w:space="0" w:color="000000"/>
            </w:tcBorders>
          </w:tcPr>
          <w:p w14:paraId="524E8F67" w14:textId="77777777" w:rsidR="002D15E9" w:rsidRPr="00AE57EC" w:rsidRDefault="002D15E9" w:rsidP="00B938CD">
            <w:pPr>
              <w:spacing w:line="120" w:lineRule="exact"/>
              <w:rPr>
                <w:sz w:val="12"/>
                <w:szCs w:val="12"/>
              </w:rPr>
            </w:pPr>
          </w:p>
          <w:p w14:paraId="2AE03C1C" w14:textId="77777777" w:rsidR="002D15E9" w:rsidRDefault="002D15E9" w:rsidP="00B938CD">
            <w:pPr>
              <w:spacing w:line="237" w:lineRule="auto"/>
              <w:ind w:left="188" w:right="170" w:hanging="2"/>
              <w:jc w:val="center"/>
              <w:rPr>
                <w:rFonts w:ascii="Arial" w:hAnsi="Arial" w:cs="Arial"/>
                <w:sz w:val="19"/>
                <w:szCs w:val="19"/>
              </w:rPr>
            </w:pPr>
            <w:r>
              <w:rPr>
                <w:rFonts w:ascii="Arial" w:hAnsi="Arial" w:cs="Arial"/>
                <w:b/>
                <w:bCs/>
                <w:spacing w:val="-1"/>
                <w:sz w:val="20"/>
                <w:szCs w:val="20"/>
              </w:rPr>
              <w:t>Subchapte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Numbe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an</w:t>
            </w:r>
            <w:r>
              <w:rPr>
                <w:rFonts w:ascii="Arial" w:hAnsi="Arial" w:cs="Arial"/>
                <w:b/>
                <w:bCs/>
                <w:sz w:val="20"/>
                <w:szCs w:val="20"/>
              </w:rPr>
              <w:t>d</w:t>
            </w:r>
            <w:r>
              <w:rPr>
                <w:rFonts w:ascii="Arial" w:hAnsi="Arial" w:cs="Arial"/>
                <w:b/>
                <w:bCs/>
                <w:spacing w:val="-2"/>
                <w:sz w:val="20"/>
                <w:szCs w:val="20"/>
              </w:rPr>
              <w:t xml:space="preserve"> </w:t>
            </w:r>
            <w:r>
              <w:rPr>
                <w:rFonts w:ascii="Arial" w:hAnsi="Arial" w:cs="Arial"/>
                <w:b/>
                <w:bCs/>
                <w:spacing w:val="-1"/>
                <w:sz w:val="20"/>
                <w:szCs w:val="20"/>
              </w:rPr>
              <w:t xml:space="preserve">Title </w:t>
            </w:r>
            <w:r w:rsidRPr="006257D3">
              <w:rPr>
                <w:rFonts w:ascii="Arial" w:hAnsi="Arial" w:cs="Arial"/>
                <w:sz w:val="20"/>
                <w:szCs w:val="20"/>
              </w:rPr>
              <w:t>Appendix</w:t>
            </w:r>
            <w:r w:rsidRPr="006257D3">
              <w:rPr>
                <w:rFonts w:ascii="Arial" w:hAnsi="Arial" w:cs="Arial"/>
                <w:spacing w:val="-16"/>
                <w:sz w:val="20"/>
                <w:szCs w:val="20"/>
              </w:rPr>
              <w:t xml:space="preserve"> </w:t>
            </w:r>
            <w:r w:rsidRPr="006257D3">
              <w:rPr>
                <w:rFonts w:ascii="Arial" w:hAnsi="Arial" w:cs="Arial"/>
                <w:sz w:val="20"/>
                <w:szCs w:val="20"/>
              </w:rPr>
              <w:t>W.</w:t>
            </w:r>
            <w:r w:rsidRPr="006257D3">
              <w:rPr>
                <w:rFonts w:ascii="Arial" w:hAnsi="Arial" w:cs="Arial"/>
                <w:spacing w:val="38"/>
                <w:sz w:val="20"/>
                <w:szCs w:val="20"/>
              </w:rPr>
              <w:t xml:space="preserve"> </w:t>
            </w:r>
            <w:r w:rsidRPr="006257D3">
              <w:rPr>
                <w:rFonts w:ascii="Arial" w:hAnsi="Arial" w:cs="Arial"/>
                <w:sz w:val="20"/>
                <w:szCs w:val="20"/>
              </w:rPr>
              <w:t>EPSDT</w:t>
            </w:r>
            <w:r w:rsidRPr="006257D3">
              <w:rPr>
                <w:rFonts w:ascii="Arial" w:hAnsi="Arial" w:cs="Arial"/>
                <w:spacing w:val="-12"/>
                <w:sz w:val="20"/>
                <w:szCs w:val="20"/>
              </w:rPr>
              <w:t xml:space="preserve"> </w:t>
            </w:r>
            <w:r w:rsidRPr="006257D3">
              <w:rPr>
                <w:rFonts w:ascii="Arial" w:hAnsi="Arial" w:cs="Arial"/>
                <w:sz w:val="20"/>
                <w:szCs w:val="20"/>
              </w:rPr>
              <w:t>Servi</w:t>
            </w:r>
            <w:r w:rsidRPr="006257D3">
              <w:rPr>
                <w:rFonts w:ascii="Arial" w:hAnsi="Arial" w:cs="Arial"/>
                <w:spacing w:val="1"/>
                <w:sz w:val="20"/>
                <w:szCs w:val="20"/>
              </w:rPr>
              <w:t>c</w:t>
            </w:r>
            <w:r w:rsidRPr="006257D3">
              <w:rPr>
                <w:rFonts w:ascii="Arial" w:hAnsi="Arial" w:cs="Arial"/>
                <w:sz w:val="20"/>
                <w:szCs w:val="20"/>
              </w:rPr>
              <w:t>es</w:t>
            </w:r>
            <w:r w:rsidRPr="006257D3">
              <w:rPr>
                <w:rFonts w:ascii="Arial" w:hAnsi="Arial" w:cs="Arial"/>
                <w:spacing w:val="-15"/>
                <w:sz w:val="20"/>
                <w:szCs w:val="20"/>
              </w:rPr>
              <w:t xml:space="preserve"> </w:t>
            </w:r>
            <w:r w:rsidRPr="006257D3">
              <w:rPr>
                <w:rFonts w:ascii="Arial" w:hAnsi="Arial" w:cs="Arial"/>
                <w:w w:val="99"/>
                <w:sz w:val="20"/>
                <w:szCs w:val="20"/>
              </w:rPr>
              <w:t xml:space="preserve">Medical </w:t>
            </w:r>
            <w:r w:rsidRPr="006257D3">
              <w:rPr>
                <w:rFonts w:ascii="Arial" w:hAnsi="Arial" w:cs="Arial"/>
                <w:sz w:val="20"/>
                <w:szCs w:val="20"/>
              </w:rPr>
              <w:t>and</w:t>
            </w:r>
            <w:r w:rsidRPr="006257D3">
              <w:rPr>
                <w:rFonts w:ascii="Arial" w:hAnsi="Arial" w:cs="Arial"/>
                <w:spacing w:val="-11"/>
                <w:sz w:val="20"/>
                <w:szCs w:val="20"/>
              </w:rPr>
              <w:t xml:space="preserve"> </w:t>
            </w:r>
            <w:r w:rsidRPr="006257D3">
              <w:rPr>
                <w:rFonts w:ascii="Arial" w:hAnsi="Arial" w:cs="Arial"/>
                <w:sz w:val="20"/>
                <w:szCs w:val="20"/>
              </w:rPr>
              <w:t>Dental</w:t>
            </w:r>
            <w:r w:rsidRPr="006257D3">
              <w:rPr>
                <w:rFonts w:ascii="Arial" w:hAnsi="Arial" w:cs="Arial"/>
                <w:spacing w:val="-11"/>
                <w:sz w:val="20"/>
                <w:szCs w:val="20"/>
              </w:rPr>
              <w:t xml:space="preserve"> </w:t>
            </w:r>
            <w:r w:rsidRPr="006257D3">
              <w:rPr>
                <w:rFonts w:ascii="Arial" w:hAnsi="Arial" w:cs="Arial"/>
                <w:sz w:val="20"/>
                <w:szCs w:val="20"/>
              </w:rPr>
              <w:t>P</w:t>
            </w:r>
            <w:r w:rsidRPr="006257D3">
              <w:rPr>
                <w:rFonts w:ascii="Arial" w:hAnsi="Arial" w:cs="Arial"/>
                <w:spacing w:val="2"/>
                <w:sz w:val="20"/>
                <w:szCs w:val="20"/>
              </w:rPr>
              <w:t>r</w:t>
            </w:r>
            <w:r w:rsidRPr="006257D3">
              <w:rPr>
                <w:rFonts w:ascii="Arial" w:hAnsi="Arial" w:cs="Arial"/>
                <w:sz w:val="20"/>
                <w:szCs w:val="20"/>
              </w:rPr>
              <w:t>otocols</w:t>
            </w:r>
            <w:r w:rsidRPr="006257D3">
              <w:rPr>
                <w:rFonts w:ascii="Arial" w:hAnsi="Arial" w:cs="Arial"/>
                <w:spacing w:val="-15"/>
                <w:sz w:val="20"/>
                <w:szCs w:val="20"/>
              </w:rPr>
              <w:t xml:space="preserve"> </w:t>
            </w:r>
            <w:r w:rsidRPr="006257D3">
              <w:rPr>
                <w:rFonts w:ascii="Arial" w:hAnsi="Arial" w:cs="Arial"/>
                <w:sz w:val="20"/>
                <w:szCs w:val="20"/>
              </w:rPr>
              <w:t>and</w:t>
            </w:r>
            <w:r w:rsidRPr="006257D3">
              <w:rPr>
                <w:rFonts w:ascii="Arial" w:hAnsi="Arial" w:cs="Arial"/>
                <w:spacing w:val="-9"/>
                <w:sz w:val="20"/>
                <w:szCs w:val="20"/>
              </w:rPr>
              <w:t xml:space="preserve"> </w:t>
            </w:r>
            <w:r w:rsidRPr="006257D3">
              <w:rPr>
                <w:rFonts w:ascii="Arial" w:hAnsi="Arial" w:cs="Arial"/>
                <w:w w:val="99"/>
                <w:sz w:val="20"/>
                <w:szCs w:val="20"/>
              </w:rPr>
              <w:t>Periodicity Schedules</w:t>
            </w:r>
          </w:p>
        </w:tc>
        <w:tc>
          <w:tcPr>
            <w:tcW w:w="1771" w:type="dxa"/>
            <w:tcBorders>
              <w:top w:val="single" w:sz="6" w:space="0" w:color="000000"/>
              <w:left w:val="single" w:sz="6" w:space="0" w:color="000000"/>
              <w:bottom w:val="single" w:sz="6" w:space="0" w:color="000000"/>
              <w:right w:val="single" w:sz="6" w:space="0" w:color="000000"/>
            </w:tcBorders>
          </w:tcPr>
          <w:p w14:paraId="776EC1E7" w14:textId="77777777" w:rsidR="002D15E9" w:rsidRPr="00AE57EC" w:rsidRDefault="002D15E9" w:rsidP="00B938CD">
            <w:pPr>
              <w:spacing w:before="9" w:line="110" w:lineRule="exact"/>
              <w:rPr>
                <w:sz w:val="11"/>
                <w:szCs w:val="11"/>
              </w:rPr>
            </w:pPr>
          </w:p>
          <w:p w14:paraId="6F11C2E9" w14:textId="77777777" w:rsidR="002D15E9" w:rsidRDefault="002D15E9" w:rsidP="00B938CD">
            <w:pPr>
              <w:ind w:left="603" w:right="584"/>
              <w:jc w:val="center"/>
              <w:rPr>
                <w:rFonts w:ascii="Arial" w:hAnsi="Arial" w:cs="Arial"/>
                <w:sz w:val="20"/>
                <w:szCs w:val="20"/>
              </w:rPr>
            </w:pPr>
            <w:r>
              <w:rPr>
                <w:rFonts w:ascii="Arial" w:hAnsi="Arial" w:cs="Arial"/>
                <w:b/>
                <w:bCs/>
                <w:spacing w:val="-1"/>
                <w:sz w:val="20"/>
                <w:szCs w:val="20"/>
              </w:rPr>
              <w:t>Page</w:t>
            </w:r>
          </w:p>
          <w:p w14:paraId="176F5890" w14:textId="77777777" w:rsidR="002D15E9" w:rsidRPr="00AE57EC" w:rsidRDefault="002D15E9" w:rsidP="00B938CD">
            <w:pPr>
              <w:spacing w:before="8" w:line="110" w:lineRule="exact"/>
              <w:rPr>
                <w:sz w:val="11"/>
                <w:szCs w:val="11"/>
              </w:rPr>
            </w:pPr>
          </w:p>
          <w:p w14:paraId="25A53FCA" w14:textId="43EBC61A" w:rsidR="002D15E9" w:rsidRPr="004A6519" w:rsidRDefault="002D15E9" w:rsidP="00B938CD">
            <w:pPr>
              <w:pStyle w:val="Header"/>
              <w:jc w:val="center"/>
              <w:rPr>
                <w:rStyle w:val="PageNumber"/>
                <w:b w:val="0"/>
                <w:bCs/>
                <w:i w:val="0"/>
                <w:iCs w:val="0"/>
              </w:rPr>
            </w:pPr>
            <w:r w:rsidRPr="004A6519">
              <w:rPr>
                <w:rFonts w:ascii="Arial" w:hAnsi="Arial" w:cs="Arial"/>
                <w:b w:val="0"/>
                <w:bCs/>
                <w:i w:val="0"/>
                <w:iCs w:val="0"/>
              </w:rPr>
              <w:t>W-</w:t>
            </w:r>
            <w:r>
              <w:rPr>
                <w:rFonts w:ascii="Arial" w:hAnsi="Arial" w:cs="Arial"/>
                <w:b w:val="0"/>
                <w:bCs/>
                <w:i w:val="0"/>
                <w:iCs w:val="0"/>
              </w:rPr>
              <w:t>7</w:t>
            </w:r>
          </w:p>
          <w:p w14:paraId="4F8CFA0E" w14:textId="77777777" w:rsidR="002D15E9" w:rsidRDefault="002D15E9" w:rsidP="00B938CD">
            <w:pPr>
              <w:ind w:left="650" w:right="630"/>
              <w:jc w:val="center"/>
              <w:rPr>
                <w:rFonts w:ascii="Arial" w:hAnsi="Arial" w:cs="Arial"/>
                <w:sz w:val="20"/>
                <w:szCs w:val="20"/>
              </w:rPr>
            </w:pPr>
          </w:p>
        </w:tc>
      </w:tr>
      <w:tr w:rsidR="002D15E9" w:rsidRPr="00AE57EC" w14:paraId="5D2DF101" w14:textId="77777777" w:rsidTr="00B938CD">
        <w:trPr>
          <w:trHeight w:hRule="exact" w:val="866"/>
        </w:trPr>
        <w:tc>
          <w:tcPr>
            <w:tcW w:w="4080" w:type="dxa"/>
            <w:vMerge/>
            <w:tcBorders>
              <w:left w:val="single" w:sz="6" w:space="0" w:color="000000"/>
              <w:bottom w:val="single" w:sz="6" w:space="0" w:color="000000"/>
              <w:right w:val="single" w:sz="6" w:space="0" w:color="000000"/>
            </w:tcBorders>
          </w:tcPr>
          <w:p w14:paraId="37BB4A8C" w14:textId="77777777" w:rsidR="002D15E9" w:rsidRPr="00AE57EC" w:rsidRDefault="002D15E9" w:rsidP="00B938CD"/>
        </w:tc>
        <w:tc>
          <w:tcPr>
            <w:tcW w:w="3750" w:type="dxa"/>
            <w:tcBorders>
              <w:top w:val="single" w:sz="6" w:space="0" w:color="000000"/>
              <w:left w:val="single" w:sz="6" w:space="0" w:color="000000"/>
              <w:bottom w:val="single" w:sz="6" w:space="0" w:color="000000"/>
              <w:right w:val="single" w:sz="6" w:space="0" w:color="000000"/>
            </w:tcBorders>
          </w:tcPr>
          <w:p w14:paraId="2727A89D" w14:textId="77777777" w:rsidR="002D15E9" w:rsidRPr="00AE57EC" w:rsidRDefault="002D15E9" w:rsidP="00B938CD">
            <w:pPr>
              <w:spacing w:before="10" w:line="110" w:lineRule="exact"/>
              <w:rPr>
                <w:sz w:val="11"/>
                <w:szCs w:val="11"/>
              </w:rPr>
            </w:pPr>
          </w:p>
          <w:p w14:paraId="377C5B03" w14:textId="77777777" w:rsidR="002D15E9" w:rsidRDefault="002D15E9" w:rsidP="00B938CD">
            <w:pPr>
              <w:ind w:left="985" w:right="966"/>
              <w:jc w:val="center"/>
              <w:rPr>
                <w:rFonts w:ascii="Arial" w:hAnsi="Arial" w:cs="Arial"/>
                <w:sz w:val="20"/>
                <w:szCs w:val="20"/>
              </w:rPr>
            </w:pPr>
            <w:r>
              <w:rPr>
                <w:rFonts w:ascii="Arial" w:hAnsi="Arial" w:cs="Arial"/>
                <w:b/>
                <w:bCs/>
                <w:sz w:val="20"/>
                <w:szCs w:val="20"/>
              </w:rPr>
              <w:t>Trans</w:t>
            </w:r>
            <w:r>
              <w:rPr>
                <w:rFonts w:ascii="Arial" w:hAnsi="Arial" w:cs="Arial"/>
                <w:b/>
                <w:bCs/>
                <w:spacing w:val="-2"/>
                <w:sz w:val="20"/>
                <w:szCs w:val="20"/>
              </w:rPr>
              <w:t>m</w:t>
            </w:r>
            <w:r>
              <w:rPr>
                <w:rFonts w:ascii="Arial" w:hAnsi="Arial" w:cs="Arial"/>
                <w:b/>
                <w:bCs/>
                <w:sz w:val="20"/>
                <w:szCs w:val="20"/>
              </w:rPr>
              <w:t>ittal</w:t>
            </w:r>
            <w:r>
              <w:rPr>
                <w:rFonts w:ascii="Arial" w:hAnsi="Arial" w:cs="Arial"/>
                <w:b/>
                <w:bCs/>
                <w:spacing w:val="-2"/>
                <w:sz w:val="20"/>
                <w:szCs w:val="20"/>
              </w:rPr>
              <w:t xml:space="preserve"> </w:t>
            </w:r>
            <w:r>
              <w:rPr>
                <w:rFonts w:ascii="Arial" w:hAnsi="Arial" w:cs="Arial"/>
                <w:b/>
                <w:bCs/>
                <w:sz w:val="20"/>
                <w:szCs w:val="20"/>
              </w:rPr>
              <w:t>Letter</w:t>
            </w:r>
          </w:p>
          <w:p w14:paraId="38BC62F9" w14:textId="77777777" w:rsidR="002D15E9" w:rsidRPr="00AE57EC" w:rsidRDefault="002D15E9" w:rsidP="00B938CD">
            <w:pPr>
              <w:spacing w:before="7" w:line="110" w:lineRule="exact"/>
              <w:rPr>
                <w:sz w:val="11"/>
                <w:szCs w:val="11"/>
              </w:rPr>
            </w:pPr>
          </w:p>
          <w:p w14:paraId="2E2DBEFA" w14:textId="77777777" w:rsidR="002D15E9" w:rsidRPr="00DB19DD" w:rsidRDefault="002D15E9" w:rsidP="00B938CD">
            <w:pPr>
              <w:ind w:left="1452" w:right="1435"/>
              <w:jc w:val="center"/>
              <w:rPr>
                <w:rFonts w:ascii="Arial" w:hAnsi="Arial" w:cs="Arial"/>
                <w:sz w:val="20"/>
                <w:szCs w:val="20"/>
              </w:rPr>
            </w:pPr>
            <w:r>
              <w:rPr>
                <w:rFonts w:ascii="Arial" w:hAnsi="Arial" w:cs="Arial"/>
                <w:sz w:val="20"/>
                <w:szCs w:val="20"/>
              </w:rPr>
              <w:t>ALL-249</w:t>
            </w:r>
          </w:p>
        </w:tc>
        <w:tc>
          <w:tcPr>
            <w:tcW w:w="1771" w:type="dxa"/>
            <w:tcBorders>
              <w:top w:val="single" w:sz="6" w:space="0" w:color="000000"/>
              <w:left w:val="single" w:sz="6" w:space="0" w:color="000000"/>
              <w:bottom w:val="single" w:sz="6" w:space="0" w:color="000000"/>
              <w:right w:val="single" w:sz="6" w:space="0" w:color="000000"/>
            </w:tcBorders>
          </w:tcPr>
          <w:p w14:paraId="2C045277" w14:textId="77777777" w:rsidR="002D15E9" w:rsidRPr="00AE57EC" w:rsidRDefault="002D15E9" w:rsidP="00B938CD">
            <w:pPr>
              <w:spacing w:before="10" w:line="110" w:lineRule="exact"/>
              <w:rPr>
                <w:sz w:val="11"/>
                <w:szCs w:val="11"/>
              </w:rPr>
            </w:pPr>
          </w:p>
          <w:p w14:paraId="3CDC6A4F" w14:textId="77777777" w:rsidR="002D15E9" w:rsidRDefault="002D15E9" w:rsidP="00B938CD">
            <w:pPr>
              <w:ind w:left="624" w:right="607"/>
              <w:jc w:val="center"/>
              <w:rPr>
                <w:rFonts w:ascii="Arial" w:hAnsi="Arial" w:cs="Arial"/>
                <w:sz w:val="20"/>
                <w:szCs w:val="20"/>
              </w:rPr>
            </w:pPr>
            <w:r>
              <w:rPr>
                <w:rFonts w:ascii="Arial" w:hAnsi="Arial" w:cs="Arial"/>
                <w:b/>
                <w:bCs/>
                <w:sz w:val="20"/>
                <w:szCs w:val="20"/>
              </w:rPr>
              <w:t>Da</w:t>
            </w:r>
            <w:r>
              <w:rPr>
                <w:rFonts w:ascii="Arial" w:hAnsi="Arial" w:cs="Arial"/>
                <w:b/>
                <w:bCs/>
                <w:spacing w:val="-1"/>
                <w:sz w:val="20"/>
                <w:szCs w:val="20"/>
              </w:rPr>
              <w:t>t</w:t>
            </w:r>
            <w:r>
              <w:rPr>
                <w:rFonts w:ascii="Arial" w:hAnsi="Arial" w:cs="Arial"/>
                <w:b/>
                <w:bCs/>
                <w:sz w:val="20"/>
                <w:szCs w:val="20"/>
              </w:rPr>
              <w:t>e</w:t>
            </w:r>
          </w:p>
          <w:p w14:paraId="6EE732B0" w14:textId="77777777" w:rsidR="002D15E9" w:rsidRPr="00AE57EC" w:rsidRDefault="002D15E9" w:rsidP="00B938CD">
            <w:pPr>
              <w:spacing w:before="7" w:line="110" w:lineRule="exact"/>
              <w:rPr>
                <w:sz w:val="11"/>
                <w:szCs w:val="11"/>
              </w:rPr>
            </w:pPr>
          </w:p>
          <w:p w14:paraId="3690698C" w14:textId="77777777" w:rsidR="002D15E9" w:rsidRPr="00DB19DD" w:rsidRDefault="002D15E9" w:rsidP="00B938CD">
            <w:pPr>
              <w:ind w:left="452" w:right="433"/>
              <w:jc w:val="center"/>
              <w:rPr>
                <w:rFonts w:ascii="Arial" w:hAnsi="Arial" w:cs="Arial"/>
                <w:sz w:val="20"/>
                <w:szCs w:val="20"/>
              </w:rPr>
            </w:pPr>
            <w:r>
              <w:rPr>
                <w:rFonts w:ascii="Arial" w:hAnsi="Arial" w:cs="Arial"/>
                <w:sz w:val="20"/>
                <w:szCs w:val="20"/>
              </w:rPr>
              <w:t>11/21/24</w:t>
            </w:r>
          </w:p>
        </w:tc>
      </w:tr>
    </w:tbl>
    <w:p w14:paraId="47AFC44D" w14:textId="77777777" w:rsidR="002D15E9" w:rsidRDefault="002D15E9" w:rsidP="002D15E9">
      <w:pPr>
        <w:autoSpaceDE w:val="0"/>
        <w:autoSpaceDN w:val="0"/>
        <w:adjustRightInd w:val="0"/>
      </w:pPr>
    </w:p>
    <w:p w14:paraId="6721312D" w14:textId="24D0228F" w:rsidR="00E65281" w:rsidRPr="001D528D" w:rsidRDefault="00E65281" w:rsidP="00E65281">
      <w:pPr>
        <w:pStyle w:val="ListParagraph"/>
        <w:numPr>
          <w:ilvl w:val="0"/>
          <w:numId w:val="53"/>
        </w:numPr>
        <w:autoSpaceDE w:val="0"/>
        <w:autoSpaceDN w:val="0"/>
        <w:adjustRightInd w:val="0"/>
      </w:pPr>
      <w:r w:rsidRPr="001D528D">
        <w:t>those with known risk factors (i.e., excessive menstrual blood loss, low iron intake, or previous diagnosis of iron deficiency anemia) annually.</w:t>
      </w:r>
    </w:p>
    <w:p w14:paraId="7F68875A" w14:textId="77777777" w:rsidR="00E65281" w:rsidRPr="00122052" w:rsidRDefault="00E65281" w:rsidP="00E65281">
      <w:pPr>
        <w:pStyle w:val="Heading5"/>
        <w:keepNext/>
        <w:keepLines/>
        <w:widowControl w:val="0"/>
        <w:spacing w:before="40" w:line="276" w:lineRule="auto"/>
        <w:ind w:left="720" w:hanging="360"/>
        <w:rPr>
          <w:color w:val="auto"/>
        </w:rPr>
      </w:pPr>
      <w:r w:rsidRPr="00122052">
        <w:rPr>
          <w:color w:val="auto"/>
        </w:rPr>
        <w:t xml:space="preserve">Lead Exposure Screening </w:t>
      </w:r>
    </w:p>
    <w:p w14:paraId="681D7922" w14:textId="77777777" w:rsidR="00E65281" w:rsidRPr="001D528D" w:rsidRDefault="00E65281" w:rsidP="006C1EA8">
      <w:pPr>
        <w:autoSpaceDE w:val="0"/>
        <w:autoSpaceDN w:val="0"/>
        <w:adjustRightInd w:val="0"/>
        <w:ind w:left="720"/>
      </w:pPr>
      <w:r w:rsidRPr="001D528D">
        <w:t xml:space="preserve">Screen for lead exposure according to the guidance set forth by the Massachusetts Childhood Lead Poisoning Prevention Program (MCLPPP). As described in the MCLPPP’s </w:t>
      </w:r>
      <w:r w:rsidRPr="001D528D">
        <w:rPr>
          <w:i/>
          <w:iCs/>
        </w:rPr>
        <w:t>Changes to the Lead Regulation for Pediatric Healthcare Providers</w:t>
      </w:r>
      <w:r w:rsidRPr="001D528D">
        <w:t xml:space="preserve"> updated in October 2017 (</w:t>
      </w:r>
      <w:hyperlink r:id="rId65" w:history="1">
        <w:r w:rsidRPr="001D528D">
          <w:rPr>
            <w:rStyle w:val="Hyperlink"/>
          </w:rPr>
          <w:t>www.mass.gov/doc/lead-fact-sheet-for-providers-111417-0/download</w:t>
        </w:r>
      </w:hyperlink>
      <w:r w:rsidRPr="001D528D">
        <w:t>), initial screening is recommended between nine and 12 months and again at two and three years old. Screen at four years old if a child lives in a city or town with a high risk for childhood lead exposure. Screen at entry to daycare, preschool, or kindergarten if not screened before.</w:t>
      </w:r>
    </w:p>
    <w:p w14:paraId="4DBD0DDA" w14:textId="77777777" w:rsidR="00E65281" w:rsidRPr="001D528D" w:rsidRDefault="00E65281" w:rsidP="00D97B6B">
      <w:pPr>
        <w:ind w:left="180" w:right="-20"/>
        <w:contextualSpacing/>
        <w:rPr>
          <w:bCs/>
        </w:rPr>
      </w:pPr>
    </w:p>
    <w:p w14:paraId="68C951BD" w14:textId="77777777" w:rsidR="00E65281" w:rsidRPr="001D528D" w:rsidRDefault="00E65281" w:rsidP="0096178C">
      <w:pPr>
        <w:autoSpaceDE w:val="0"/>
        <w:autoSpaceDN w:val="0"/>
        <w:adjustRightInd w:val="0"/>
        <w:ind w:left="720"/>
      </w:pPr>
      <w:r w:rsidRPr="001D528D">
        <w:t xml:space="preserve">A list of high-risk communities can be found at </w:t>
      </w:r>
      <w:hyperlink r:id="rId66" w:history="1">
        <w:r w:rsidRPr="001D528D">
          <w:rPr>
            <w:rStyle w:val="Hyperlink"/>
          </w:rPr>
          <w:t>www.mass.gov/lists/view-annual-screening-and-blood-lead-level-reports-and-high-risk-community-list</w:t>
        </w:r>
      </w:hyperlink>
      <w:r w:rsidRPr="001D528D">
        <w:t xml:space="preserve">. Additional information about screening may be found at </w:t>
      </w:r>
      <w:hyperlink r:id="rId67" w:history="1">
        <w:r w:rsidRPr="001D528D">
          <w:rPr>
            <w:rStyle w:val="Hyperlink"/>
          </w:rPr>
          <w:t>www.mass.gov/dph/clppp</w:t>
        </w:r>
      </w:hyperlink>
      <w:r w:rsidRPr="001D528D">
        <w:t>.</w:t>
      </w:r>
    </w:p>
    <w:p w14:paraId="0E51AEEF" w14:textId="77777777" w:rsidR="00E65281" w:rsidRPr="001D528D" w:rsidRDefault="00E65281" w:rsidP="00D97B6B">
      <w:pPr>
        <w:ind w:left="180" w:right="-20"/>
        <w:contextualSpacing/>
        <w:rPr>
          <w:bCs/>
        </w:rPr>
      </w:pPr>
    </w:p>
    <w:p w14:paraId="6EB0B02F" w14:textId="77777777" w:rsidR="00E65281" w:rsidRPr="001D528D" w:rsidRDefault="00E65281" w:rsidP="0096178C">
      <w:pPr>
        <w:autoSpaceDE w:val="0"/>
        <w:autoSpaceDN w:val="0"/>
        <w:adjustRightInd w:val="0"/>
        <w:ind w:left="720"/>
      </w:pPr>
      <w:r w:rsidRPr="001D528D">
        <w:t>Under M.G.L. c. 111,</w:t>
      </w:r>
      <w:r>
        <w:t xml:space="preserve"> </w:t>
      </w:r>
      <w:r w:rsidRPr="001D528D">
        <w:t>§ 191 (</w:t>
      </w:r>
      <w:hyperlink r:id="rId68" w:history="1">
        <w:r w:rsidRPr="001D528D">
          <w:rPr>
            <w:rStyle w:val="Hyperlink"/>
          </w:rPr>
          <w:t>https://malegislature.gov/Laws/GeneralLaws/PartI/TitleXVI/Chapter111/Section191</w:t>
        </w:r>
      </w:hyperlink>
      <w:r w:rsidRPr="001D528D">
        <w:t>), physicians, other healthcare providers, and private laboratories must report all known cases of childhood lead poisoning known to the agency director within three working days of identification, unless previously reported. If a child suffers multiple episodes of lead poisoning, the provider must report each episode.</w:t>
      </w:r>
    </w:p>
    <w:p w14:paraId="0B63DF1B" w14:textId="77777777" w:rsidR="00E65281" w:rsidRPr="001D528D" w:rsidRDefault="00E65281" w:rsidP="004E4596">
      <w:pPr>
        <w:autoSpaceDE w:val="0"/>
        <w:autoSpaceDN w:val="0"/>
        <w:adjustRightInd w:val="0"/>
      </w:pPr>
    </w:p>
    <w:p w14:paraId="1172D52B" w14:textId="77777777" w:rsidR="00E65281" w:rsidRPr="00122052" w:rsidRDefault="00E65281" w:rsidP="00E65281">
      <w:pPr>
        <w:pStyle w:val="Heading5"/>
        <w:keepNext/>
        <w:keepLines/>
        <w:widowControl w:val="0"/>
        <w:spacing w:before="40" w:line="276" w:lineRule="auto"/>
        <w:ind w:left="720" w:hanging="360"/>
        <w:rPr>
          <w:color w:val="auto"/>
        </w:rPr>
      </w:pPr>
      <w:r w:rsidRPr="00122052">
        <w:rPr>
          <w:color w:val="auto"/>
        </w:rPr>
        <w:t>Tuberculosis Assessment and Testing</w:t>
      </w:r>
    </w:p>
    <w:p w14:paraId="7D689B99" w14:textId="77777777" w:rsidR="00E65281" w:rsidRPr="001D528D" w:rsidRDefault="00E65281" w:rsidP="0096178C">
      <w:pPr>
        <w:autoSpaceDE w:val="0"/>
        <w:autoSpaceDN w:val="0"/>
        <w:adjustRightInd w:val="0"/>
        <w:ind w:left="720"/>
      </w:pPr>
      <w:r w:rsidRPr="001D528D">
        <w:t>Risk for tuberculosis should be assessed</w:t>
      </w:r>
      <w:r>
        <w:t xml:space="preserve"> at</w:t>
      </w:r>
      <w:r w:rsidRPr="001D528D">
        <w:t xml:space="preserve"> the one-month</w:t>
      </w:r>
      <w:r>
        <w:t xml:space="preserve"> and at the</w:t>
      </w:r>
      <w:r w:rsidRPr="001D528D">
        <w:t xml:space="preserve"> six-month, 12-month, and 24-month preventive healthcare visit and then annually from three to 21 years old. Testing should be performed as indicated by the results of the risk assessment. </w:t>
      </w:r>
    </w:p>
    <w:p w14:paraId="312639A3" w14:textId="77777777" w:rsidR="00E65281" w:rsidRPr="001D528D" w:rsidRDefault="00E65281" w:rsidP="00D97B6B">
      <w:pPr>
        <w:ind w:left="180" w:right="-20"/>
        <w:contextualSpacing/>
        <w:rPr>
          <w:bCs/>
        </w:rPr>
      </w:pPr>
    </w:p>
    <w:p w14:paraId="227E0233" w14:textId="77777777" w:rsidR="00E65281" w:rsidRPr="00122052" w:rsidRDefault="00E65281" w:rsidP="00E65281">
      <w:pPr>
        <w:pStyle w:val="Heading5"/>
        <w:keepNext/>
        <w:keepLines/>
        <w:widowControl w:val="0"/>
        <w:spacing w:before="40" w:line="276" w:lineRule="auto"/>
        <w:ind w:left="720" w:hanging="360"/>
        <w:rPr>
          <w:color w:val="auto"/>
        </w:rPr>
      </w:pPr>
      <w:r w:rsidRPr="00122052">
        <w:rPr>
          <w:color w:val="auto"/>
        </w:rPr>
        <w:t>Dyslipidemia Assessment and Testing</w:t>
      </w:r>
    </w:p>
    <w:p w14:paraId="57272C27" w14:textId="77777777" w:rsidR="00E65281" w:rsidRPr="001D528D" w:rsidRDefault="00E65281" w:rsidP="0096178C">
      <w:pPr>
        <w:autoSpaceDE w:val="0"/>
        <w:autoSpaceDN w:val="0"/>
        <w:adjustRightInd w:val="0"/>
        <w:ind w:left="720"/>
      </w:pPr>
      <w:r w:rsidRPr="001D528D">
        <w:t>Assess for dyslipidemia risk factors every two years at ages two, four, six, and eight, and then annually from ages 12 to 16. Screen for dyslipidemia once between ages nine and 11, and once between ages 17 and 21.</w:t>
      </w:r>
    </w:p>
    <w:p w14:paraId="14D5B4E7" w14:textId="77777777" w:rsidR="00E65281" w:rsidRPr="00122052" w:rsidRDefault="00E65281" w:rsidP="00D97B6B">
      <w:pPr>
        <w:autoSpaceDE w:val="0"/>
        <w:autoSpaceDN w:val="0"/>
        <w:adjustRightInd w:val="0"/>
        <w:ind w:left="900"/>
      </w:pPr>
    </w:p>
    <w:p w14:paraId="6589C880" w14:textId="77777777" w:rsidR="00E65281" w:rsidRPr="00122052" w:rsidRDefault="00E65281" w:rsidP="00E65281">
      <w:pPr>
        <w:pStyle w:val="Heading5"/>
        <w:keepNext/>
        <w:keepLines/>
        <w:widowControl w:val="0"/>
        <w:spacing w:before="40" w:line="276" w:lineRule="auto"/>
        <w:ind w:left="720" w:hanging="360"/>
        <w:rPr>
          <w:color w:val="auto"/>
        </w:rPr>
      </w:pPr>
      <w:r w:rsidRPr="00122052">
        <w:rPr>
          <w:color w:val="auto"/>
        </w:rPr>
        <w:t>Sexually Transmitted Infections (STIs) Assessment and Testing</w:t>
      </w:r>
    </w:p>
    <w:p w14:paraId="71DDB462" w14:textId="77777777" w:rsidR="00E65281" w:rsidRPr="001D528D" w:rsidRDefault="00E65281" w:rsidP="0096178C">
      <w:pPr>
        <w:autoSpaceDE w:val="0"/>
        <w:autoSpaceDN w:val="0"/>
        <w:adjustRightInd w:val="0"/>
        <w:ind w:left="720"/>
      </w:pPr>
      <w:r w:rsidRPr="001D528D">
        <w:t xml:space="preserve">Assess for risk of STIs annually starting at the 11-year preventive healthcare visit, with screening as indicated by the risk assessment. </w:t>
      </w:r>
    </w:p>
    <w:p w14:paraId="615E044B" w14:textId="77777777" w:rsidR="00E65281" w:rsidRPr="001D528D" w:rsidRDefault="00E65281" w:rsidP="00D97B6B">
      <w:pPr>
        <w:autoSpaceDE w:val="0"/>
        <w:autoSpaceDN w:val="0"/>
        <w:adjustRightInd w:val="0"/>
      </w:pPr>
    </w:p>
    <w:p w14:paraId="6ED79247" w14:textId="77777777" w:rsidR="00E65281" w:rsidRPr="00122052" w:rsidRDefault="00E65281" w:rsidP="00E65281">
      <w:pPr>
        <w:pStyle w:val="Heading5"/>
        <w:keepNext/>
        <w:keepLines/>
        <w:widowControl w:val="0"/>
        <w:spacing w:before="40" w:line="276" w:lineRule="auto"/>
        <w:ind w:left="720" w:hanging="360"/>
        <w:rPr>
          <w:color w:val="auto"/>
        </w:rPr>
      </w:pPr>
      <w:r w:rsidRPr="00122052">
        <w:rPr>
          <w:color w:val="auto"/>
        </w:rPr>
        <w:t>Human Immunodeficiency Virus (HIV) Assessment and Testing</w:t>
      </w:r>
    </w:p>
    <w:p w14:paraId="5F13903F" w14:textId="77777777" w:rsidR="00E65281" w:rsidRPr="001D528D" w:rsidRDefault="00E65281" w:rsidP="0096178C">
      <w:pPr>
        <w:autoSpaceDE w:val="0"/>
        <w:autoSpaceDN w:val="0"/>
        <w:adjustRightInd w:val="0"/>
        <w:ind w:left="720"/>
      </w:pPr>
      <w:r w:rsidRPr="001D528D">
        <w:t xml:space="preserve">Assess for risk of HIV annually starting at the 11-year preventive healthcare visit, and test as indicated by the results of the risk assessment. Adolescents should be tested as least once </w:t>
      </w:r>
      <w:r w:rsidRPr="001D528D">
        <w:rPr>
          <w:rFonts w:eastAsia="MyriadPro-Regular"/>
        </w:rPr>
        <w:t>between the ages of 15 and 18. Those at increased risk of HIV infection, including those who are sexually active, participate in injection drug use, or are being tested for other STIs, should be tested for HIV and reassessed annually.</w:t>
      </w:r>
    </w:p>
    <w:p w14:paraId="0C91B4CE" w14:textId="77777777" w:rsidR="00E65281" w:rsidRDefault="00E65281" w:rsidP="00D97B6B">
      <w:pPr>
        <w:autoSpaceDE w:val="0"/>
        <w:autoSpaceDN w:val="0"/>
        <w:adjustRightInd w:val="0"/>
      </w:pPr>
      <w:r>
        <w:br w:type="page"/>
      </w:r>
    </w:p>
    <w:tbl>
      <w:tblPr>
        <w:tblW w:w="9601" w:type="dxa"/>
        <w:tblInd w:w="92" w:type="dxa"/>
        <w:tblLayout w:type="fixed"/>
        <w:tblCellMar>
          <w:left w:w="0" w:type="dxa"/>
          <w:right w:w="0" w:type="dxa"/>
        </w:tblCellMar>
        <w:tblLook w:val="01E0" w:firstRow="1" w:lastRow="1" w:firstColumn="1" w:lastColumn="1" w:noHBand="0" w:noVBand="0"/>
      </w:tblPr>
      <w:tblGrid>
        <w:gridCol w:w="4080"/>
        <w:gridCol w:w="3750"/>
        <w:gridCol w:w="1771"/>
      </w:tblGrid>
      <w:tr w:rsidR="002D15E9" w:rsidRPr="00AE57EC" w14:paraId="3776F7EE" w14:textId="77777777" w:rsidTr="00B938CD">
        <w:trPr>
          <w:trHeight w:hRule="exact" w:val="1095"/>
        </w:trPr>
        <w:tc>
          <w:tcPr>
            <w:tcW w:w="4080" w:type="dxa"/>
            <w:vMerge w:val="restart"/>
            <w:tcBorders>
              <w:top w:val="single" w:sz="6" w:space="0" w:color="000000"/>
              <w:left w:val="single" w:sz="6" w:space="0" w:color="000000"/>
              <w:right w:val="single" w:sz="6" w:space="0" w:color="000000"/>
            </w:tcBorders>
          </w:tcPr>
          <w:p w14:paraId="5BAB208F" w14:textId="77777777" w:rsidR="002D15E9" w:rsidRPr="00AE57EC" w:rsidRDefault="002D15E9" w:rsidP="00B938CD">
            <w:pPr>
              <w:spacing w:before="9" w:line="110" w:lineRule="exact"/>
              <w:ind w:right="360"/>
              <w:rPr>
                <w:sz w:val="11"/>
                <w:szCs w:val="11"/>
              </w:rPr>
            </w:pPr>
          </w:p>
          <w:p w14:paraId="4F0CECCF" w14:textId="77777777" w:rsidR="002D15E9" w:rsidRDefault="002D15E9" w:rsidP="00B938CD">
            <w:pPr>
              <w:ind w:left="379" w:right="363"/>
              <w:jc w:val="center"/>
              <w:rPr>
                <w:rFonts w:ascii="Arial" w:hAnsi="Arial" w:cs="Arial"/>
                <w:sz w:val="20"/>
                <w:szCs w:val="20"/>
              </w:rPr>
            </w:pPr>
            <w:r>
              <w:rPr>
                <w:rFonts w:ascii="Arial" w:hAnsi="Arial" w:cs="Arial"/>
                <w:b/>
                <w:bCs/>
                <w:sz w:val="20"/>
                <w:szCs w:val="20"/>
              </w:rPr>
              <w:t>Commo</w:t>
            </w:r>
            <w:r>
              <w:rPr>
                <w:rFonts w:ascii="Arial" w:hAnsi="Arial" w:cs="Arial"/>
                <w:b/>
                <w:bCs/>
                <w:spacing w:val="-4"/>
                <w:sz w:val="20"/>
                <w:szCs w:val="20"/>
              </w:rPr>
              <w:t>n</w:t>
            </w:r>
            <w:r>
              <w:rPr>
                <w:rFonts w:ascii="Arial" w:hAnsi="Arial" w:cs="Arial"/>
                <w:b/>
                <w:bCs/>
                <w:spacing w:val="10"/>
                <w:sz w:val="20"/>
                <w:szCs w:val="20"/>
              </w:rPr>
              <w:t>w</w:t>
            </w:r>
            <w:r>
              <w:rPr>
                <w:rFonts w:ascii="Arial" w:hAnsi="Arial" w:cs="Arial"/>
                <w:b/>
                <w:bCs/>
                <w:spacing w:val="-2"/>
                <w:sz w:val="20"/>
                <w:szCs w:val="20"/>
              </w:rPr>
              <w:t>e</w:t>
            </w:r>
            <w:r>
              <w:rPr>
                <w:rFonts w:ascii="Arial" w:hAnsi="Arial" w:cs="Arial"/>
                <w:b/>
                <w:bCs/>
                <w:sz w:val="20"/>
                <w:szCs w:val="20"/>
              </w:rPr>
              <w:t>alth</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spacing w:val="-2"/>
                <w:sz w:val="20"/>
                <w:szCs w:val="20"/>
              </w:rPr>
              <w:t xml:space="preserve"> </w:t>
            </w:r>
            <w:r>
              <w:rPr>
                <w:rFonts w:ascii="Arial" w:hAnsi="Arial" w:cs="Arial"/>
                <w:b/>
                <w:bCs/>
                <w:sz w:val="20"/>
                <w:szCs w:val="20"/>
              </w:rPr>
              <w:t>Ma</w:t>
            </w:r>
            <w:r>
              <w:rPr>
                <w:rFonts w:ascii="Arial" w:hAnsi="Arial" w:cs="Arial"/>
                <w:b/>
                <w:bCs/>
                <w:spacing w:val="-1"/>
                <w:sz w:val="20"/>
                <w:szCs w:val="20"/>
              </w:rPr>
              <w:t>ss</w:t>
            </w:r>
            <w:r>
              <w:rPr>
                <w:rFonts w:ascii="Arial" w:hAnsi="Arial" w:cs="Arial"/>
                <w:b/>
                <w:bCs/>
                <w:sz w:val="20"/>
                <w:szCs w:val="20"/>
              </w:rPr>
              <w:t>achu</w:t>
            </w:r>
            <w:r>
              <w:rPr>
                <w:rFonts w:ascii="Arial" w:hAnsi="Arial" w:cs="Arial"/>
                <w:b/>
                <w:bCs/>
                <w:spacing w:val="-1"/>
                <w:sz w:val="20"/>
                <w:szCs w:val="20"/>
              </w:rPr>
              <w:t>s</w:t>
            </w:r>
            <w:r>
              <w:rPr>
                <w:rFonts w:ascii="Arial" w:hAnsi="Arial" w:cs="Arial"/>
                <w:b/>
                <w:bCs/>
                <w:sz w:val="20"/>
                <w:szCs w:val="20"/>
              </w:rPr>
              <w:t>etts</w:t>
            </w:r>
          </w:p>
          <w:p w14:paraId="3DE59964" w14:textId="77777777" w:rsidR="002D15E9" w:rsidRDefault="002D15E9" w:rsidP="00B938CD">
            <w:pPr>
              <w:spacing w:before="4"/>
              <w:ind w:left="1438" w:right="1419"/>
              <w:jc w:val="center"/>
              <w:rPr>
                <w:rFonts w:ascii="Arial" w:hAnsi="Arial" w:cs="Arial"/>
                <w:sz w:val="20"/>
                <w:szCs w:val="20"/>
              </w:rPr>
            </w:pPr>
            <w:r>
              <w:rPr>
                <w:rFonts w:ascii="Arial" w:hAnsi="Arial" w:cs="Arial"/>
                <w:b/>
                <w:bCs/>
                <w:sz w:val="20"/>
                <w:szCs w:val="20"/>
              </w:rPr>
              <w:t>Mas</w:t>
            </w:r>
            <w:r>
              <w:rPr>
                <w:rFonts w:ascii="Arial" w:hAnsi="Arial" w:cs="Arial"/>
                <w:b/>
                <w:bCs/>
                <w:spacing w:val="-1"/>
                <w:sz w:val="20"/>
                <w:szCs w:val="20"/>
              </w:rPr>
              <w:t>s</w:t>
            </w:r>
            <w:r>
              <w:rPr>
                <w:rFonts w:ascii="Arial" w:hAnsi="Arial" w:cs="Arial"/>
                <w:b/>
                <w:bCs/>
                <w:sz w:val="20"/>
                <w:szCs w:val="20"/>
              </w:rPr>
              <w:t>Hea</w:t>
            </w:r>
            <w:r>
              <w:rPr>
                <w:rFonts w:ascii="Arial" w:hAnsi="Arial" w:cs="Arial"/>
                <w:b/>
                <w:bCs/>
                <w:spacing w:val="-2"/>
                <w:sz w:val="20"/>
                <w:szCs w:val="20"/>
              </w:rPr>
              <w:t>l</w:t>
            </w:r>
            <w:r>
              <w:rPr>
                <w:rFonts w:ascii="Arial" w:hAnsi="Arial" w:cs="Arial"/>
                <w:b/>
                <w:bCs/>
                <w:sz w:val="20"/>
                <w:szCs w:val="20"/>
              </w:rPr>
              <w:t>th</w:t>
            </w:r>
          </w:p>
          <w:p w14:paraId="2C3A6327" w14:textId="77777777" w:rsidR="002D15E9" w:rsidRDefault="002D15E9" w:rsidP="00B938CD">
            <w:pPr>
              <w:spacing w:before="4"/>
              <w:ind w:left="900" w:right="886"/>
              <w:jc w:val="center"/>
              <w:rPr>
                <w:rFonts w:ascii="Arial" w:hAnsi="Arial" w:cs="Arial"/>
                <w:sz w:val="20"/>
                <w:szCs w:val="20"/>
              </w:rPr>
            </w:pPr>
            <w:r>
              <w:rPr>
                <w:rFonts w:ascii="Arial" w:hAnsi="Arial" w:cs="Arial"/>
                <w:b/>
                <w:bCs/>
                <w:spacing w:val="-1"/>
                <w:sz w:val="20"/>
                <w:szCs w:val="20"/>
              </w:rPr>
              <w:t>Pr</w:t>
            </w:r>
            <w:r>
              <w:rPr>
                <w:rFonts w:ascii="Arial" w:hAnsi="Arial" w:cs="Arial"/>
                <w:b/>
                <w:bCs/>
                <w:sz w:val="20"/>
                <w:szCs w:val="20"/>
              </w:rPr>
              <w:t>o</w:t>
            </w:r>
            <w:r>
              <w:rPr>
                <w:rFonts w:ascii="Arial" w:hAnsi="Arial" w:cs="Arial"/>
                <w:b/>
                <w:bCs/>
                <w:spacing w:val="-5"/>
                <w:sz w:val="20"/>
                <w:szCs w:val="20"/>
              </w:rPr>
              <w:t>v</w:t>
            </w:r>
            <w:r>
              <w:rPr>
                <w:rFonts w:ascii="Arial" w:hAnsi="Arial" w:cs="Arial"/>
                <w:b/>
                <w:bCs/>
                <w:spacing w:val="-1"/>
                <w:sz w:val="20"/>
                <w:szCs w:val="20"/>
              </w:rPr>
              <w:t>ide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M</w:t>
            </w:r>
            <w:r>
              <w:rPr>
                <w:rFonts w:ascii="Arial" w:hAnsi="Arial" w:cs="Arial"/>
                <w:b/>
                <w:bCs/>
                <w:sz w:val="20"/>
                <w:szCs w:val="20"/>
              </w:rPr>
              <w:t>a</w:t>
            </w:r>
            <w:r>
              <w:rPr>
                <w:rFonts w:ascii="Arial" w:hAnsi="Arial" w:cs="Arial"/>
                <w:b/>
                <w:bCs/>
                <w:spacing w:val="-1"/>
                <w:sz w:val="20"/>
                <w:szCs w:val="20"/>
              </w:rPr>
              <w:t>nua</w:t>
            </w:r>
            <w:r>
              <w:rPr>
                <w:rFonts w:ascii="Arial" w:hAnsi="Arial" w:cs="Arial"/>
                <w:b/>
                <w:bCs/>
                <w:sz w:val="20"/>
                <w:szCs w:val="20"/>
              </w:rPr>
              <w:t>l</w:t>
            </w:r>
            <w:r>
              <w:rPr>
                <w:rFonts w:ascii="Arial" w:hAnsi="Arial" w:cs="Arial"/>
                <w:b/>
                <w:bCs/>
                <w:spacing w:val="-3"/>
                <w:sz w:val="20"/>
                <w:szCs w:val="20"/>
              </w:rPr>
              <w:t xml:space="preserve"> </w:t>
            </w:r>
            <w:r>
              <w:rPr>
                <w:rFonts w:ascii="Arial" w:hAnsi="Arial" w:cs="Arial"/>
                <w:b/>
                <w:bCs/>
                <w:spacing w:val="-1"/>
                <w:sz w:val="20"/>
                <w:szCs w:val="20"/>
              </w:rPr>
              <w:t>Series</w:t>
            </w:r>
          </w:p>
          <w:p w14:paraId="56FA9021" w14:textId="77777777" w:rsidR="002D15E9" w:rsidRPr="00AE57EC" w:rsidRDefault="002D15E9" w:rsidP="00B938CD">
            <w:pPr>
              <w:spacing w:line="200" w:lineRule="exact"/>
              <w:rPr>
                <w:sz w:val="20"/>
                <w:szCs w:val="20"/>
              </w:rPr>
            </w:pPr>
          </w:p>
          <w:p w14:paraId="65782E55" w14:textId="77777777" w:rsidR="002D15E9" w:rsidRDefault="002D15E9" w:rsidP="00B938CD">
            <w:pPr>
              <w:ind w:left="1080" w:right="1061"/>
              <w:jc w:val="center"/>
              <w:rPr>
                <w:rFonts w:ascii="Arial" w:hAnsi="Arial" w:cs="Arial"/>
                <w:sz w:val="20"/>
                <w:szCs w:val="20"/>
              </w:rPr>
            </w:pPr>
          </w:p>
          <w:p w14:paraId="4E9665BE" w14:textId="77777777" w:rsidR="002D15E9" w:rsidRDefault="002D15E9" w:rsidP="00B938CD">
            <w:pPr>
              <w:ind w:left="1080" w:right="1061"/>
              <w:jc w:val="center"/>
              <w:rPr>
                <w:rFonts w:ascii="Arial" w:hAnsi="Arial" w:cs="Arial"/>
                <w:sz w:val="20"/>
                <w:szCs w:val="20"/>
              </w:rPr>
            </w:pPr>
            <w:r>
              <w:rPr>
                <w:rFonts w:ascii="Arial" w:hAnsi="Arial" w:cs="Arial"/>
                <w:sz w:val="20"/>
                <w:szCs w:val="20"/>
              </w:rPr>
              <w:t>All</w:t>
            </w:r>
            <w:r>
              <w:rPr>
                <w:rFonts w:ascii="Arial" w:hAnsi="Arial" w:cs="Arial"/>
                <w:spacing w:val="-2"/>
                <w:sz w:val="20"/>
                <w:szCs w:val="20"/>
              </w:rPr>
              <w:t xml:space="preserve"> </w:t>
            </w:r>
            <w:r>
              <w:rPr>
                <w:rFonts w:ascii="Arial" w:hAnsi="Arial" w:cs="Arial"/>
                <w:sz w:val="20"/>
                <w:szCs w:val="20"/>
              </w:rPr>
              <w:t>Provider</w:t>
            </w:r>
            <w:r>
              <w:rPr>
                <w:rFonts w:ascii="Arial" w:hAnsi="Arial" w:cs="Arial"/>
                <w:spacing w:val="-2"/>
                <w:sz w:val="20"/>
                <w:szCs w:val="20"/>
              </w:rPr>
              <w:t xml:space="preserve"> </w:t>
            </w:r>
            <w:r>
              <w:rPr>
                <w:rFonts w:ascii="Arial" w:hAnsi="Arial" w:cs="Arial"/>
                <w:sz w:val="20"/>
                <w:szCs w:val="20"/>
              </w:rPr>
              <w:t>Manua</w:t>
            </w:r>
            <w:r>
              <w:rPr>
                <w:rFonts w:ascii="Arial" w:hAnsi="Arial" w:cs="Arial"/>
                <w:spacing w:val="-1"/>
                <w:sz w:val="20"/>
                <w:szCs w:val="20"/>
              </w:rPr>
              <w:t>l</w:t>
            </w:r>
            <w:r>
              <w:rPr>
                <w:rFonts w:ascii="Arial" w:hAnsi="Arial" w:cs="Arial"/>
                <w:sz w:val="20"/>
                <w:szCs w:val="20"/>
              </w:rPr>
              <w:t>s</w:t>
            </w:r>
          </w:p>
        </w:tc>
        <w:tc>
          <w:tcPr>
            <w:tcW w:w="3750" w:type="dxa"/>
            <w:tcBorders>
              <w:top w:val="single" w:sz="6" w:space="0" w:color="000000"/>
              <w:left w:val="single" w:sz="6" w:space="0" w:color="000000"/>
              <w:bottom w:val="single" w:sz="6" w:space="0" w:color="000000"/>
              <w:right w:val="single" w:sz="6" w:space="0" w:color="000000"/>
            </w:tcBorders>
          </w:tcPr>
          <w:p w14:paraId="7ACA1551" w14:textId="77777777" w:rsidR="002D15E9" w:rsidRPr="00AE57EC" w:rsidRDefault="002D15E9" w:rsidP="00B938CD">
            <w:pPr>
              <w:spacing w:line="120" w:lineRule="exact"/>
              <w:rPr>
                <w:sz w:val="12"/>
                <w:szCs w:val="12"/>
              </w:rPr>
            </w:pPr>
          </w:p>
          <w:p w14:paraId="35A0C8D3" w14:textId="77777777" w:rsidR="002D15E9" w:rsidRDefault="002D15E9" w:rsidP="00B938CD">
            <w:pPr>
              <w:spacing w:line="237" w:lineRule="auto"/>
              <w:ind w:left="188" w:right="170" w:hanging="2"/>
              <w:jc w:val="center"/>
              <w:rPr>
                <w:rFonts w:ascii="Arial" w:hAnsi="Arial" w:cs="Arial"/>
                <w:sz w:val="19"/>
                <w:szCs w:val="19"/>
              </w:rPr>
            </w:pPr>
            <w:r>
              <w:rPr>
                <w:rFonts w:ascii="Arial" w:hAnsi="Arial" w:cs="Arial"/>
                <w:b/>
                <w:bCs/>
                <w:spacing w:val="-1"/>
                <w:sz w:val="20"/>
                <w:szCs w:val="20"/>
              </w:rPr>
              <w:t>Subchapte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Numbe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an</w:t>
            </w:r>
            <w:r>
              <w:rPr>
                <w:rFonts w:ascii="Arial" w:hAnsi="Arial" w:cs="Arial"/>
                <w:b/>
                <w:bCs/>
                <w:sz w:val="20"/>
                <w:szCs w:val="20"/>
              </w:rPr>
              <w:t>d</w:t>
            </w:r>
            <w:r>
              <w:rPr>
                <w:rFonts w:ascii="Arial" w:hAnsi="Arial" w:cs="Arial"/>
                <w:b/>
                <w:bCs/>
                <w:spacing w:val="-2"/>
                <w:sz w:val="20"/>
                <w:szCs w:val="20"/>
              </w:rPr>
              <w:t xml:space="preserve"> </w:t>
            </w:r>
            <w:r>
              <w:rPr>
                <w:rFonts w:ascii="Arial" w:hAnsi="Arial" w:cs="Arial"/>
                <w:b/>
                <w:bCs/>
                <w:spacing w:val="-1"/>
                <w:sz w:val="20"/>
                <w:szCs w:val="20"/>
              </w:rPr>
              <w:t xml:space="preserve">Title </w:t>
            </w:r>
            <w:r w:rsidRPr="006257D3">
              <w:rPr>
                <w:rFonts w:ascii="Arial" w:hAnsi="Arial" w:cs="Arial"/>
                <w:sz w:val="20"/>
                <w:szCs w:val="20"/>
              </w:rPr>
              <w:t>Appendix</w:t>
            </w:r>
            <w:r w:rsidRPr="006257D3">
              <w:rPr>
                <w:rFonts w:ascii="Arial" w:hAnsi="Arial" w:cs="Arial"/>
                <w:spacing w:val="-16"/>
                <w:sz w:val="20"/>
                <w:szCs w:val="20"/>
              </w:rPr>
              <w:t xml:space="preserve"> </w:t>
            </w:r>
            <w:r w:rsidRPr="006257D3">
              <w:rPr>
                <w:rFonts w:ascii="Arial" w:hAnsi="Arial" w:cs="Arial"/>
                <w:sz w:val="20"/>
                <w:szCs w:val="20"/>
              </w:rPr>
              <w:t>W.</w:t>
            </w:r>
            <w:r w:rsidRPr="006257D3">
              <w:rPr>
                <w:rFonts w:ascii="Arial" w:hAnsi="Arial" w:cs="Arial"/>
                <w:spacing w:val="38"/>
                <w:sz w:val="20"/>
                <w:szCs w:val="20"/>
              </w:rPr>
              <w:t xml:space="preserve"> </w:t>
            </w:r>
            <w:r w:rsidRPr="006257D3">
              <w:rPr>
                <w:rFonts w:ascii="Arial" w:hAnsi="Arial" w:cs="Arial"/>
                <w:sz w:val="20"/>
                <w:szCs w:val="20"/>
              </w:rPr>
              <w:t>EPSDT</w:t>
            </w:r>
            <w:r w:rsidRPr="006257D3">
              <w:rPr>
                <w:rFonts w:ascii="Arial" w:hAnsi="Arial" w:cs="Arial"/>
                <w:spacing w:val="-12"/>
                <w:sz w:val="20"/>
                <w:szCs w:val="20"/>
              </w:rPr>
              <w:t xml:space="preserve"> </w:t>
            </w:r>
            <w:r w:rsidRPr="006257D3">
              <w:rPr>
                <w:rFonts w:ascii="Arial" w:hAnsi="Arial" w:cs="Arial"/>
                <w:sz w:val="20"/>
                <w:szCs w:val="20"/>
              </w:rPr>
              <w:t>Servi</w:t>
            </w:r>
            <w:r w:rsidRPr="006257D3">
              <w:rPr>
                <w:rFonts w:ascii="Arial" w:hAnsi="Arial" w:cs="Arial"/>
                <w:spacing w:val="1"/>
                <w:sz w:val="20"/>
                <w:szCs w:val="20"/>
              </w:rPr>
              <w:t>c</w:t>
            </w:r>
            <w:r w:rsidRPr="006257D3">
              <w:rPr>
                <w:rFonts w:ascii="Arial" w:hAnsi="Arial" w:cs="Arial"/>
                <w:sz w:val="20"/>
                <w:szCs w:val="20"/>
              </w:rPr>
              <w:t>es</w:t>
            </w:r>
            <w:r w:rsidRPr="006257D3">
              <w:rPr>
                <w:rFonts w:ascii="Arial" w:hAnsi="Arial" w:cs="Arial"/>
                <w:spacing w:val="-15"/>
                <w:sz w:val="20"/>
                <w:szCs w:val="20"/>
              </w:rPr>
              <w:t xml:space="preserve"> </w:t>
            </w:r>
            <w:r w:rsidRPr="006257D3">
              <w:rPr>
                <w:rFonts w:ascii="Arial" w:hAnsi="Arial" w:cs="Arial"/>
                <w:w w:val="99"/>
                <w:sz w:val="20"/>
                <w:szCs w:val="20"/>
              </w:rPr>
              <w:t xml:space="preserve">Medical </w:t>
            </w:r>
            <w:r w:rsidRPr="006257D3">
              <w:rPr>
                <w:rFonts w:ascii="Arial" w:hAnsi="Arial" w:cs="Arial"/>
                <w:sz w:val="20"/>
                <w:szCs w:val="20"/>
              </w:rPr>
              <w:t>and</w:t>
            </w:r>
            <w:r w:rsidRPr="006257D3">
              <w:rPr>
                <w:rFonts w:ascii="Arial" w:hAnsi="Arial" w:cs="Arial"/>
                <w:spacing w:val="-11"/>
                <w:sz w:val="20"/>
                <w:szCs w:val="20"/>
              </w:rPr>
              <w:t xml:space="preserve"> </w:t>
            </w:r>
            <w:r w:rsidRPr="006257D3">
              <w:rPr>
                <w:rFonts w:ascii="Arial" w:hAnsi="Arial" w:cs="Arial"/>
                <w:sz w:val="20"/>
                <w:szCs w:val="20"/>
              </w:rPr>
              <w:t>Dental</w:t>
            </w:r>
            <w:r w:rsidRPr="006257D3">
              <w:rPr>
                <w:rFonts w:ascii="Arial" w:hAnsi="Arial" w:cs="Arial"/>
                <w:spacing w:val="-11"/>
                <w:sz w:val="20"/>
                <w:szCs w:val="20"/>
              </w:rPr>
              <w:t xml:space="preserve"> </w:t>
            </w:r>
            <w:r w:rsidRPr="006257D3">
              <w:rPr>
                <w:rFonts w:ascii="Arial" w:hAnsi="Arial" w:cs="Arial"/>
                <w:sz w:val="20"/>
                <w:szCs w:val="20"/>
              </w:rPr>
              <w:t>P</w:t>
            </w:r>
            <w:r w:rsidRPr="006257D3">
              <w:rPr>
                <w:rFonts w:ascii="Arial" w:hAnsi="Arial" w:cs="Arial"/>
                <w:spacing w:val="2"/>
                <w:sz w:val="20"/>
                <w:szCs w:val="20"/>
              </w:rPr>
              <w:t>r</w:t>
            </w:r>
            <w:r w:rsidRPr="006257D3">
              <w:rPr>
                <w:rFonts w:ascii="Arial" w:hAnsi="Arial" w:cs="Arial"/>
                <w:sz w:val="20"/>
                <w:szCs w:val="20"/>
              </w:rPr>
              <w:t>otocols</w:t>
            </w:r>
            <w:r w:rsidRPr="006257D3">
              <w:rPr>
                <w:rFonts w:ascii="Arial" w:hAnsi="Arial" w:cs="Arial"/>
                <w:spacing w:val="-15"/>
                <w:sz w:val="20"/>
                <w:szCs w:val="20"/>
              </w:rPr>
              <w:t xml:space="preserve"> </w:t>
            </w:r>
            <w:r w:rsidRPr="006257D3">
              <w:rPr>
                <w:rFonts w:ascii="Arial" w:hAnsi="Arial" w:cs="Arial"/>
                <w:sz w:val="20"/>
                <w:szCs w:val="20"/>
              </w:rPr>
              <w:t>and</w:t>
            </w:r>
            <w:r w:rsidRPr="006257D3">
              <w:rPr>
                <w:rFonts w:ascii="Arial" w:hAnsi="Arial" w:cs="Arial"/>
                <w:spacing w:val="-9"/>
                <w:sz w:val="20"/>
                <w:szCs w:val="20"/>
              </w:rPr>
              <w:t xml:space="preserve"> </w:t>
            </w:r>
            <w:r w:rsidRPr="006257D3">
              <w:rPr>
                <w:rFonts w:ascii="Arial" w:hAnsi="Arial" w:cs="Arial"/>
                <w:w w:val="99"/>
                <w:sz w:val="20"/>
                <w:szCs w:val="20"/>
              </w:rPr>
              <w:t>Periodicity Schedules</w:t>
            </w:r>
          </w:p>
        </w:tc>
        <w:tc>
          <w:tcPr>
            <w:tcW w:w="1771" w:type="dxa"/>
            <w:tcBorders>
              <w:top w:val="single" w:sz="6" w:space="0" w:color="000000"/>
              <w:left w:val="single" w:sz="6" w:space="0" w:color="000000"/>
              <w:bottom w:val="single" w:sz="6" w:space="0" w:color="000000"/>
              <w:right w:val="single" w:sz="6" w:space="0" w:color="000000"/>
            </w:tcBorders>
          </w:tcPr>
          <w:p w14:paraId="74451EFD" w14:textId="77777777" w:rsidR="002D15E9" w:rsidRPr="00AE57EC" w:rsidRDefault="002D15E9" w:rsidP="00B938CD">
            <w:pPr>
              <w:spacing w:before="9" w:line="110" w:lineRule="exact"/>
              <w:rPr>
                <w:sz w:val="11"/>
                <w:szCs w:val="11"/>
              </w:rPr>
            </w:pPr>
          </w:p>
          <w:p w14:paraId="1AC2D609" w14:textId="77777777" w:rsidR="002D15E9" w:rsidRDefault="002D15E9" w:rsidP="00B938CD">
            <w:pPr>
              <w:ind w:left="603" w:right="584"/>
              <w:jc w:val="center"/>
              <w:rPr>
                <w:rFonts w:ascii="Arial" w:hAnsi="Arial" w:cs="Arial"/>
                <w:sz w:val="20"/>
                <w:szCs w:val="20"/>
              </w:rPr>
            </w:pPr>
            <w:r>
              <w:rPr>
                <w:rFonts w:ascii="Arial" w:hAnsi="Arial" w:cs="Arial"/>
                <w:b/>
                <w:bCs/>
                <w:spacing w:val="-1"/>
                <w:sz w:val="20"/>
                <w:szCs w:val="20"/>
              </w:rPr>
              <w:t>Page</w:t>
            </w:r>
          </w:p>
          <w:p w14:paraId="3F99D024" w14:textId="77777777" w:rsidR="002D15E9" w:rsidRPr="00AE57EC" w:rsidRDefault="002D15E9" w:rsidP="00B938CD">
            <w:pPr>
              <w:spacing w:before="8" w:line="110" w:lineRule="exact"/>
              <w:rPr>
                <w:sz w:val="11"/>
                <w:szCs w:val="11"/>
              </w:rPr>
            </w:pPr>
          </w:p>
          <w:p w14:paraId="539287F7" w14:textId="1D699EA9" w:rsidR="002D15E9" w:rsidRDefault="002D15E9" w:rsidP="002D15E9">
            <w:pPr>
              <w:pStyle w:val="Header"/>
              <w:jc w:val="center"/>
              <w:rPr>
                <w:rFonts w:ascii="Arial" w:hAnsi="Arial" w:cs="Arial"/>
              </w:rPr>
            </w:pPr>
            <w:r w:rsidRPr="004A6519">
              <w:rPr>
                <w:rFonts w:ascii="Arial" w:hAnsi="Arial" w:cs="Arial"/>
                <w:b w:val="0"/>
                <w:bCs/>
                <w:i w:val="0"/>
                <w:iCs w:val="0"/>
              </w:rPr>
              <w:t>W-</w:t>
            </w:r>
            <w:r>
              <w:rPr>
                <w:rFonts w:ascii="Arial" w:hAnsi="Arial" w:cs="Arial"/>
                <w:b w:val="0"/>
                <w:bCs/>
                <w:i w:val="0"/>
                <w:iCs w:val="0"/>
              </w:rPr>
              <w:t>8</w:t>
            </w:r>
          </w:p>
        </w:tc>
      </w:tr>
      <w:tr w:rsidR="002D15E9" w:rsidRPr="00AE57EC" w14:paraId="423FF4DF" w14:textId="77777777" w:rsidTr="00B938CD">
        <w:trPr>
          <w:trHeight w:hRule="exact" w:val="866"/>
        </w:trPr>
        <w:tc>
          <w:tcPr>
            <w:tcW w:w="4080" w:type="dxa"/>
            <w:vMerge/>
            <w:tcBorders>
              <w:left w:val="single" w:sz="6" w:space="0" w:color="000000"/>
              <w:bottom w:val="single" w:sz="6" w:space="0" w:color="000000"/>
              <w:right w:val="single" w:sz="6" w:space="0" w:color="000000"/>
            </w:tcBorders>
          </w:tcPr>
          <w:p w14:paraId="6A124032" w14:textId="77777777" w:rsidR="002D15E9" w:rsidRPr="00AE57EC" w:rsidRDefault="002D15E9" w:rsidP="00B938CD"/>
        </w:tc>
        <w:tc>
          <w:tcPr>
            <w:tcW w:w="3750" w:type="dxa"/>
            <w:tcBorders>
              <w:top w:val="single" w:sz="6" w:space="0" w:color="000000"/>
              <w:left w:val="single" w:sz="6" w:space="0" w:color="000000"/>
              <w:bottom w:val="single" w:sz="6" w:space="0" w:color="000000"/>
              <w:right w:val="single" w:sz="6" w:space="0" w:color="000000"/>
            </w:tcBorders>
          </w:tcPr>
          <w:p w14:paraId="5935BD17" w14:textId="77777777" w:rsidR="002D15E9" w:rsidRPr="00AE57EC" w:rsidRDefault="002D15E9" w:rsidP="00B938CD">
            <w:pPr>
              <w:spacing w:before="10" w:line="110" w:lineRule="exact"/>
              <w:rPr>
                <w:sz w:val="11"/>
                <w:szCs w:val="11"/>
              </w:rPr>
            </w:pPr>
          </w:p>
          <w:p w14:paraId="7DA41004" w14:textId="77777777" w:rsidR="002D15E9" w:rsidRDefault="002D15E9" w:rsidP="00B938CD">
            <w:pPr>
              <w:ind w:left="985" w:right="966"/>
              <w:jc w:val="center"/>
              <w:rPr>
                <w:rFonts w:ascii="Arial" w:hAnsi="Arial" w:cs="Arial"/>
                <w:sz w:val="20"/>
                <w:szCs w:val="20"/>
              </w:rPr>
            </w:pPr>
            <w:r>
              <w:rPr>
                <w:rFonts w:ascii="Arial" w:hAnsi="Arial" w:cs="Arial"/>
                <w:b/>
                <w:bCs/>
                <w:sz w:val="20"/>
                <w:szCs w:val="20"/>
              </w:rPr>
              <w:t>Trans</w:t>
            </w:r>
            <w:r>
              <w:rPr>
                <w:rFonts w:ascii="Arial" w:hAnsi="Arial" w:cs="Arial"/>
                <w:b/>
                <w:bCs/>
                <w:spacing w:val="-2"/>
                <w:sz w:val="20"/>
                <w:szCs w:val="20"/>
              </w:rPr>
              <w:t>m</w:t>
            </w:r>
            <w:r>
              <w:rPr>
                <w:rFonts w:ascii="Arial" w:hAnsi="Arial" w:cs="Arial"/>
                <w:b/>
                <w:bCs/>
                <w:sz w:val="20"/>
                <w:szCs w:val="20"/>
              </w:rPr>
              <w:t>ittal</w:t>
            </w:r>
            <w:r>
              <w:rPr>
                <w:rFonts w:ascii="Arial" w:hAnsi="Arial" w:cs="Arial"/>
                <w:b/>
                <w:bCs/>
                <w:spacing w:val="-2"/>
                <w:sz w:val="20"/>
                <w:szCs w:val="20"/>
              </w:rPr>
              <w:t xml:space="preserve"> </w:t>
            </w:r>
            <w:r>
              <w:rPr>
                <w:rFonts w:ascii="Arial" w:hAnsi="Arial" w:cs="Arial"/>
                <w:b/>
                <w:bCs/>
                <w:sz w:val="20"/>
                <w:szCs w:val="20"/>
              </w:rPr>
              <w:t>Letter</w:t>
            </w:r>
          </w:p>
          <w:p w14:paraId="1A07628A" w14:textId="77777777" w:rsidR="002D15E9" w:rsidRPr="00AE57EC" w:rsidRDefault="002D15E9" w:rsidP="00B938CD">
            <w:pPr>
              <w:spacing w:before="7" w:line="110" w:lineRule="exact"/>
              <w:rPr>
                <w:sz w:val="11"/>
                <w:szCs w:val="11"/>
              </w:rPr>
            </w:pPr>
          </w:p>
          <w:p w14:paraId="285C0FFE" w14:textId="77777777" w:rsidR="002D15E9" w:rsidRPr="00DB19DD" w:rsidRDefault="002D15E9" w:rsidP="00B938CD">
            <w:pPr>
              <w:ind w:left="1452" w:right="1435"/>
              <w:jc w:val="center"/>
              <w:rPr>
                <w:rFonts w:ascii="Arial" w:hAnsi="Arial" w:cs="Arial"/>
                <w:sz w:val="20"/>
                <w:szCs w:val="20"/>
              </w:rPr>
            </w:pPr>
            <w:r>
              <w:rPr>
                <w:rFonts w:ascii="Arial" w:hAnsi="Arial" w:cs="Arial"/>
                <w:sz w:val="20"/>
                <w:szCs w:val="20"/>
              </w:rPr>
              <w:t>ALL-249</w:t>
            </w:r>
          </w:p>
        </w:tc>
        <w:tc>
          <w:tcPr>
            <w:tcW w:w="1771" w:type="dxa"/>
            <w:tcBorders>
              <w:top w:val="single" w:sz="6" w:space="0" w:color="000000"/>
              <w:left w:val="single" w:sz="6" w:space="0" w:color="000000"/>
              <w:bottom w:val="single" w:sz="6" w:space="0" w:color="000000"/>
              <w:right w:val="single" w:sz="6" w:space="0" w:color="000000"/>
            </w:tcBorders>
          </w:tcPr>
          <w:p w14:paraId="6EDE3E2A" w14:textId="77777777" w:rsidR="002D15E9" w:rsidRPr="00AE57EC" w:rsidRDefault="002D15E9" w:rsidP="00B938CD">
            <w:pPr>
              <w:spacing w:before="10" w:line="110" w:lineRule="exact"/>
              <w:rPr>
                <w:sz w:val="11"/>
                <w:szCs w:val="11"/>
              </w:rPr>
            </w:pPr>
          </w:p>
          <w:p w14:paraId="5F03C89E" w14:textId="77777777" w:rsidR="002D15E9" w:rsidRDefault="002D15E9" w:rsidP="00B938CD">
            <w:pPr>
              <w:ind w:left="624" w:right="607"/>
              <w:jc w:val="center"/>
              <w:rPr>
                <w:rFonts w:ascii="Arial" w:hAnsi="Arial" w:cs="Arial"/>
                <w:sz w:val="20"/>
                <w:szCs w:val="20"/>
              </w:rPr>
            </w:pPr>
            <w:r>
              <w:rPr>
                <w:rFonts w:ascii="Arial" w:hAnsi="Arial" w:cs="Arial"/>
                <w:b/>
                <w:bCs/>
                <w:sz w:val="20"/>
                <w:szCs w:val="20"/>
              </w:rPr>
              <w:t>Da</w:t>
            </w:r>
            <w:r>
              <w:rPr>
                <w:rFonts w:ascii="Arial" w:hAnsi="Arial" w:cs="Arial"/>
                <w:b/>
                <w:bCs/>
                <w:spacing w:val="-1"/>
                <w:sz w:val="20"/>
                <w:szCs w:val="20"/>
              </w:rPr>
              <w:t>t</w:t>
            </w:r>
            <w:r>
              <w:rPr>
                <w:rFonts w:ascii="Arial" w:hAnsi="Arial" w:cs="Arial"/>
                <w:b/>
                <w:bCs/>
                <w:sz w:val="20"/>
                <w:szCs w:val="20"/>
              </w:rPr>
              <w:t>e</w:t>
            </w:r>
          </w:p>
          <w:p w14:paraId="2F343CE0" w14:textId="77777777" w:rsidR="002D15E9" w:rsidRPr="00AE57EC" w:rsidRDefault="002D15E9" w:rsidP="00B938CD">
            <w:pPr>
              <w:spacing w:before="7" w:line="110" w:lineRule="exact"/>
              <w:rPr>
                <w:sz w:val="11"/>
                <w:szCs w:val="11"/>
              </w:rPr>
            </w:pPr>
          </w:p>
          <w:p w14:paraId="0210314C" w14:textId="77777777" w:rsidR="002D15E9" w:rsidRPr="00DB19DD" w:rsidRDefault="002D15E9" w:rsidP="00B938CD">
            <w:pPr>
              <w:ind w:left="452" w:right="433"/>
              <w:jc w:val="center"/>
              <w:rPr>
                <w:rFonts w:ascii="Arial" w:hAnsi="Arial" w:cs="Arial"/>
                <w:sz w:val="20"/>
                <w:szCs w:val="20"/>
              </w:rPr>
            </w:pPr>
            <w:r>
              <w:rPr>
                <w:rFonts w:ascii="Arial" w:hAnsi="Arial" w:cs="Arial"/>
                <w:sz w:val="20"/>
                <w:szCs w:val="20"/>
              </w:rPr>
              <w:t>11/21/24</w:t>
            </w:r>
          </w:p>
        </w:tc>
      </w:tr>
    </w:tbl>
    <w:p w14:paraId="38C9C8CF" w14:textId="77777777" w:rsidR="002D15E9" w:rsidRPr="002D15E9" w:rsidRDefault="002D15E9" w:rsidP="002D15E9">
      <w:pPr>
        <w:pStyle w:val="Heading5"/>
      </w:pPr>
    </w:p>
    <w:p w14:paraId="4CD1F63C" w14:textId="02608B04" w:rsidR="00E65281" w:rsidRPr="00122052" w:rsidRDefault="00E65281" w:rsidP="00E65281">
      <w:pPr>
        <w:pStyle w:val="Heading5"/>
        <w:keepNext/>
        <w:keepLines/>
        <w:widowControl w:val="0"/>
        <w:spacing w:before="40" w:line="276" w:lineRule="auto"/>
        <w:ind w:left="720" w:hanging="360"/>
        <w:rPr>
          <w:color w:val="auto"/>
        </w:rPr>
      </w:pPr>
      <w:r w:rsidRPr="00122052">
        <w:rPr>
          <w:color w:val="auto"/>
        </w:rPr>
        <w:t>Cervical Dysplasia Screening</w:t>
      </w:r>
    </w:p>
    <w:p w14:paraId="2DE04CDD" w14:textId="77777777" w:rsidR="00E65281" w:rsidRPr="001D528D" w:rsidRDefault="00E65281" w:rsidP="0096178C">
      <w:pPr>
        <w:autoSpaceDE w:val="0"/>
        <w:autoSpaceDN w:val="0"/>
        <w:adjustRightInd w:val="0"/>
        <w:ind w:left="720"/>
      </w:pPr>
      <w:r w:rsidRPr="001D528D">
        <w:t xml:space="preserve">Cytology screening for cervical cancer should begin at the 21-year preventive healthcare visit. In compliance with guidance from the </w:t>
      </w:r>
      <w:r w:rsidRPr="001D528D">
        <w:rPr>
          <w:shd w:val="clear" w:color="auto" w:fill="FFFFFF"/>
        </w:rPr>
        <w:t>U.S. Preventive Services Task Force</w:t>
      </w:r>
      <w:r w:rsidRPr="001D528D">
        <w:t>, human papillomavirus (HPV) testing is not recommended at age 21 (</w:t>
      </w:r>
      <w:hyperlink r:id="rId69" w:history="1">
        <w:r w:rsidRPr="001D528D">
          <w:rPr>
            <w:rStyle w:val="Hyperlink"/>
          </w:rPr>
          <w:t>www.uspreventiveservicestaskforce.org/uspstf/recommendation/cervical-cancer-screening</w:t>
        </w:r>
      </w:hyperlink>
      <w:r w:rsidRPr="001D528D">
        <w:t>).</w:t>
      </w:r>
    </w:p>
    <w:p w14:paraId="10F197CD" w14:textId="77777777" w:rsidR="00E65281" w:rsidRPr="001D528D" w:rsidRDefault="00E65281" w:rsidP="00D97B6B">
      <w:pPr>
        <w:autoSpaceDE w:val="0"/>
        <w:autoSpaceDN w:val="0"/>
        <w:adjustRightInd w:val="0"/>
      </w:pPr>
    </w:p>
    <w:p w14:paraId="1F593AF6" w14:textId="77777777" w:rsidR="00E65281" w:rsidRPr="001D528D" w:rsidRDefault="00E65281" w:rsidP="002D15E9">
      <w:pPr>
        <w:pStyle w:val="Heading3"/>
        <w:spacing w:before="0"/>
      </w:pPr>
      <w:r w:rsidRPr="001D528D">
        <w:t>Oral Health</w:t>
      </w:r>
    </w:p>
    <w:p w14:paraId="3D37BEA4" w14:textId="1A4A40A6" w:rsidR="00E65281" w:rsidRPr="001D528D" w:rsidRDefault="00E65281" w:rsidP="00FF391C">
      <w:pPr>
        <w:tabs>
          <w:tab w:val="left" w:pos="9810"/>
        </w:tabs>
        <w:ind w:right="10"/>
      </w:pPr>
      <w:r w:rsidRPr="001D528D">
        <w:t>It is recommended that a dental home is established for a child by no later than 12 months of age. A dental home is the ongoing relationship between a dentist and a patient, including oral health care delivered in a safe, culturally sensitive, individualized, complete, continuous, accessible, compassionate, and patient and family-centered way, regardless of race, ethnicity, religion, sexual or gender identity, and family structure. A dental home addresses anticipatory guidance and preventive, acute, and comprehensive oral health care and includes referral to dental specialists when appropriate.</w:t>
      </w:r>
      <w:r w:rsidRPr="001D528D">
        <w:br/>
      </w:r>
      <w:r w:rsidRPr="001D528D">
        <w:br/>
        <w:t>For further details regarding oral health, see the Dental Schedule below in Section II of this Appendix II.</w:t>
      </w:r>
    </w:p>
    <w:p w14:paraId="1E997A2A" w14:textId="77777777" w:rsidR="00E65281" w:rsidRPr="001D528D" w:rsidRDefault="00E65281" w:rsidP="00FF391C">
      <w:pPr>
        <w:tabs>
          <w:tab w:val="left" w:pos="9810"/>
        </w:tabs>
        <w:ind w:right="10"/>
        <w:rPr>
          <w:b/>
          <w:bCs/>
        </w:rPr>
      </w:pPr>
      <w:r w:rsidRPr="001D528D">
        <w:t>Basic oral health education (as described in the Anticipatory Guidance section below), fluoride varnish, and fluoride supplementation are three aspects of oral health that are addressed by both primary care providers and dental providers.</w:t>
      </w:r>
    </w:p>
    <w:p w14:paraId="00F055E8" w14:textId="77777777" w:rsidR="00E65281" w:rsidRPr="001D528D" w:rsidRDefault="00E65281" w:rsidP="00D97B6B">
      <w:pPr>
        <w:tabs>
          <w:tab w:val="left" w:pos="9810"/>
        </w:tabs>
        <w:ind w:left="476" w:right="10"/>
        <w:rPr>
          <w:b/>
          <w:bCs/>
        </w:rPr>
      </w:pPr>
      <w:r w:rsidRPr="001D528D">
        <w:t xml:space="preserve"> </w:t>
      </w:r>
    </w:p>
    <w:p w14:paraId="1F1C650C" w14:textId="77777777" w:rsidR="00E65281" w:rsidRPr="004C78A8" w:rsidRDefault="00E65281" w:rsidP="00E65281">
      <w:pPr>
        <w:pStyle w:val="Heading5"/>
        <w:keepNext/>
        <w:keepLines/>
        <w:widowControl w:val="0"/>
        <w:spacing w:before="40" w:line="276" w:lineRule="auto"/>
        <w:ind w:left="720" w:hanging="360"/>
        <w:rPr>
          <w:color w:val="auto"/>
        </w:rPr>
      </w:pPr>
      <w:r w:rsidRPr="004C78A8">
        <w:rPr>
          <w:color w:val="auto"/>
        </w:rPr>
        <w:t>Fluoride Varnish</w:t>
      </w:r>
    </w:p>
    <w:p w14:paraId="1F5D46F1" w14:textId="77777777" w:rsidR="00E65281" w:rsidRPr="001D528D" w:rsidRDefault="00E65281" w:rsidP="00BF215A">
      <w:pPr>
        <w:autoSpaceDE w:val="0"/>
        <w:autoSpaceDN w:val="0"/>
        <w:adjustRightInd w:val="0"/>
        <w:ind w:left="720"/>
      </w:pPr>
      <w:r w:rsidRPr="001D528D">
        <w:t xml:space="preserve">Assess the need for fluoride varnish at all preventive visits from 6 months to 5 years old. Once teeth are present, fluoride varnish may be applied to the child every 3 to 6 months in the primary care or dental office. </w:t>
      </w:r>
    </w:p>
    <w:p w14:paraId="587758C3" w14:textId="77777777" w:rsidR="00E65281" w:rsidRPr="001D528D" w:rsidRDefault="00E65281" w:rsidP="00D97B6B">
      <w:pPr>
        <w:tabs>
          <w:tab w:val="left" w:pos="9810"/>
        </w:tabs>
        <w:ind w:left="900" w:right="10"/>
        <w:rPr>
          <w:sz w:val="16"/>
          <w:szCs w:val="16"/>
        </w:rPr>
      </w:pPr>
    </w:p>
    <w:p w14:paraId="759524CA" w14:textId="77777777" w:rsidR="00E65281" w:rsidRPr="004C78A8" w:rsidRDefault="00E65281" w:rsidP="00E65281">
      <w:pPr>
        <w:pStyle w:val="Heading5"/>
        <w:keepNext/>
        <w:keepLines/>
        <w:widowControl w:val="0"/>
        <w:spacing w:before="40" w:line="276" w:lineRule="auto"/>
        <w:ind w:left="720" w:hanging="360"/>
        <w:rPr>
          <w:color w:val="auto"/>
        </w:rPr>
      </w:pPr>
      <w:r w:rsidRPr="004C78A8">
        <w:rPr>
          <w:color w:val="auto"/>
        </w:rPr>
        <w:t>Fluoride Supplementation</w:t>
      </w:r>
    </w:p>
    <w:p w14:paraId="75B149C6" w14:textId="77777777" w:rsidR="00E65281" w:rsidRPr="001D528D" w:rsidRDefault="00E65281" w:rsidP="009D19AA">
      <w:pPr>
        <w:autoSpaceDE w:val="0"/>
        <w:autoSpaceDN w:val="0"/>
        <w:adjustRightInd w:val="0"/>
        <w:ind w:left="720"/>
      </w:pPr>
      <w:r w:rsidRPr="001D528D">
        <w:t>Assess the need for dietary fluoride supplementation at 6 months, 9 months, 12 months, and then at all preventive visits from 18 months to 16 years old. Dietary fluoride supplements should be considered for children if their primary water source is lacking in fluoride.</w:t>
      </w:r>
    </w:p>
    <w:p w14:paraId="2D681C74" w14:textId="77777777" w:rsidR="00E65281" w:rsidRPr="001D528D" w:rsidRDefault="00E65281" w:rsidP="00D97B6B">
      <w:pPr>
        <w:tabs>
          <w:tab w:val="left" w:pos="9810"/>
        </w:tabs>
        <w:ind w:right="10"/>
        <w:rPr>
          <w:b/>
          <w:bCs/>
        </w:rPr>
      </w:pPr>
    </w:p>
    <w:p w14:paraId="0E185ACC" w14:textId="77777777" w:rsidR="00E65281" w:rsidRPr="00AD1701" w:rsidRDefault="00E65281" w:rsidP="002D15E9">
      <w:pPr>
        <w:pStyle w:val="Heading3"/>
        <w:spacing w:before="0"/>
      </w:pPr>
      <w:r>
        <w:t>Anticipatory</w:t>
      </w:r>
      <w:r w:rsidRPr="001D528D">
        <w:t xml:space="preserve"> Guidance</w:t>
      </w:r>
    </w:p>
    <w:p w14:paraId="575FF09E" w14:textId="77777777" w:rsidR="00E65281" w:rsidRPr="001D528D" w:rsidRDefault="00E65281" w:rsidP="00376484">
      <w:pPr>
        <w:spacing w:after="120"/>
        <w:ind w:right="-20"/>
      </w:pPr>
      <w:r w:rsidRPr="784BB4EF">
        <w:t>Age-appropriate a</w:t>
      </w:r>
      <w:r w:rsidRPr="001D528D">
        <w:rPr>
          <w:bCs/>
        </w:rPr>
        <w:t>nticipatory guidance should be provided at every preventive healthcare visit with discussion topics including,</w:t>
      </w:r>
      <w:r w:rsidRPr="001D528D">
        <w:t xml:space="preserve"> but not be limited to:</w:t>
      </w:r>
    </w:p>
    <w:p w14:paraId="169EB332" w14:textId="77777777" w:rsidR="00E65281" w:rsidRPr="001D528D" w:rsidRDefault="00E65281" w:rsidP="00E65281">
      <w:pPr>
        <w:pStyle w:val="ListParagraph"/>
        <w:widowControl w:val="0"/>
        <w:numPr>
          <w:ilvl w:val="0"/>
          <w:numId w:val="54"/>
        </w:numPr>
        <w:tabs>
          <w:tab w:val="left" w:pos="9810"/>
        </w:tabs>
        <w:spacing w:before="4" w:after="120"/>
        <w:ind w:right="10"/>
      </w:pPr>
      <w:r w:rsidRPr="001D528D">
        <w:t>developmental expectations and sound parenting practices;</w:t>
      </w:r>
    </w:p>
    <w:p w14:paraId="614D37D0" w14:textId="77777777" w:rsidR="00E65281" w:rsidRPr="001D528D" w:rsidRDefault="00E65281" w:rsidP="00E65281">
      <w:pPr>
        <w:pStyle w:val="ListParagraph"/>
        <w:widowControl w:val="0"/>
        <w:numPr>
          <w:ilvl w:val="0"/>
          <w:numId w:val="54"/>
        </w:numPr>
        <w:tabs>
          <w:tab w:val="left" w:pos="9810"/>
        </w:tabs>
        <w:spacing w:before="4" w:after="120"/>
        <w:ind w:right="10"/>
      </w:pPr>
      <w:r w:rsidRPr="001D528D">
        <w:t xml:space="preserve">behavioral risks, such as avoidance of the use of alcohol, drugs, tobacco, e-cigarettes (also known as vaping), opiates, cannabis, and other substances; </w:t>
      </w:r>
    </w:p>
    <w:p w14:paraId="6A631EAC" w14:textId="77777777" w:rsidR="00E65281" w:rsidRPr="001D528D" w:rsidRDefault="00E65281" w:rsidP="00E65281">
      <w:pPr>
        <w:pStyle w:val="ListParagraph"/>
        <w:widowControl w:val="0"/>
        <w:numPr>
          <w:ilvl w:val="0"/>
          <w:numId w:val="54"/>
        </w:numPr>
        <w:tabs>
          <w:tab w:val="left" w:pos="9810"/>
        </w:tabs>
        <w:spacing w:before="4" w:after="120"/>
        <w:ind w:right="10"/>
      </w:pPr>
      <w:r w:rsidRPr="001D528D">
        <w:t>safe environments at home, in school, and in the community, which are free of violence, toxic stress, bullying, and ostracism;</w:t>
      </w:r>
    </w:p>
    <w:p w14:paraId="779C8CD7" w14:textId="77777777" w:rsidR="00E65281" w:rsidRPr="001D528D" w:rsidRDefault="00E65281" w:rsidP="00E65281">
      <w:pPr>
        <w:pStyle w:val="ListParagraph"/>
        <w:widowControl w:val="0"/>
        <w:numPr>
          <w:ilvl w:val="0"/>
          <w:numId w:val="54"/>
        </w:numPr>
        <w:tabs>
          <w:tab w:val="left" w:pos="9810"/>
        </w:tabs>
        <w:spacing w:before="4" w:after="120"/>
        <w:ind w:right="10"/>
      </w:pPr>
      <w:r w:rsidRPr="001D528D">
        <w:t>mental health, including depression and anxiety, based on risk factors and individual patient presentation in adolescence;</w:t>
      </w:r>
    </w:p>
    <w:p w14:paraId="4BD40493" w14:textId="77777777" w:rsidR="00E65281" w:rsidRPr="001D528D" w:rsidRDefault="00E65281" w:rsidP="00E65281">
      <w:pPr>
        <w:pStyle w:val="ListParagraph"/>
        <w:widowControl w:val="0"/>
        <w:numPr>
          <w:ilvl w:val="0"/>
          <w:numId w:val="54"/>
        </w:numPr>
        <w:tabs>
          <w:tab w:val="left" w:pos="9810"/>
        </w:tabs>
        <w:spacing w:before="4" w:after="120"/>
        <w:ind w:right="10"/>
      </w:pPr>
      <w:r w:rsidRPr="001D528D">
        <w:t>academic or behavioral problems that may be signs of attention deficit hyperactivity disorder (ADHD);</w:t>
      </w:r>
    </w:p>
    <w:p w14:paraId="1FC0479B" w14:textId="61B91072" w:rsidR="00E65281" w:rsidRDefault="00E65281" w:rsidP="00E65281">
      <w:pPr>
        <w:pStyle w:val="ListParagraph"/>
        <w:widowControl w:val="0"/>
        <w:numPr>
          <w:ilvl w:val="0"/>
          <w:numId w:val="54"/>
        </w:numPr>
        <w:tabs>
          <w:tab w:val="left" w:pos="9810"/>
        </w:tabs>
        <w:spacing w:before="4" w:after="120"/>
        <w:ind w:right="10"/>
      </w:pPr>
      <w:r w:rsidRPr="001D528D">
        <w:t xml:space="preserve">safe and healthy sexual behaviors, including family planning options, with sensitivity to sexual orientation and gender identity; </w:t>
      </w:r>
    </w:p>
    <w:tbl>
      <w:tblPr>
        <w:tblW w:w="9601" w:type="dxa"/>
        <w:tblInd w:w="92" w:type="dxa"/>
        <w:tblLayout w:type="fixed"/>
        <w:tblCellMar>
          <w:left w:w="0" w:type="dxa"/>
          <w:right w:w="0" w:type="dxa"/>
        </w:tblCellMar>
        <w:tblLook w:val="01E0" w:firstRow="1" w:lastRow="1" w:firstColumn="1" w:lastColumn="1" w:noHBand="0" w:noVBand="0"/>
      </w:tblPr>
      <w:tblGrid>
        <w:gridCol w:w="4080"/>
        <w:gridCol w:w="3750"/>
        <w:gridCol w:w="1771"/>
      </w:tblGrid>
      <w:tr w:rsidR="002D15E9" w:rsidRPr="00AE57EC" w14:paraId="50D99C07" w14:textId="77777777" w:rsidTr="00B938CD">
        <w:trPr>
          <w:trHeight w:hRule="exact" w:val="1095"/>
        </w:trPr>
        <w:tc>
          <w:tcPr>
            <w:tcW w:w="4080" w:type="dxa"/>
            <w:vMerge w:val="restart"/>
            <w:tcBorders>
              <w:top w:val="single" w:sz="6" w:space="0" w:color="000000"/>
              <w:left w:val="single" w:sz="6" w:space="0" w:color="000000"/>
              <w:right w:val="single" w:sz="6" w:space="0" w:color="000000"/>
            </w:tcBorders>
          </w:tcPr>
          <w:p w14:paraId="174ACD46" w14:textId="77777777" w:rsidR="002D15E9" w:rsidRPr="00AE57EC" w:rsidRDefault="002D15E9" w:rsidP="00B938CD">
            <w:pPr>
              <w:spacing w:before="9" w:line="110" w:lineRule="exact"/>
              <w:ind w:right="360"/>
              <w:rPr>
                <w:sz w:val="11"/>
                <w:szCs w:val="11"/>
              </w:rPr>
            </w:pPr>
          </w:p>
          <w:p w14:paraId="2BB1C568" w14:textId="77777777" w:rsidR="002D15E9" w:rsidRDefault="002D15E9" w:rsidP="00B938CD">
            <w:pPr>
              <w:ind w:left="379" w:right="363"/>
              <w:jc w:val="center"/>
              <w:rPr>
                <w:rFonts w:ascii="Arial" w:hAnsi="Arial" w:cs="Arial"/>
                <w:sz w:val="20"/>
                <w:szCs w:val="20"/>
              </w:rPr>
            </w:pPr>
            <w:r>
              <w:rPr>
                <w:rFonts w:ascii="Arial" w:hAnsi="Arial" w:cs="Arial"/>
                <w:b/>
                <w:bCs/>
                <w:sz w:val="20"/>
                <w:szCs w:val="20"/>
              </w:rPr>
              <w:t>Commo</w:t>
            </w:r>
            <w:r>
              <w:rPr>
                <w:rFonts w:ascii="Arial" w:hAnsi="Arial" w:cs="Arial"/>
                <w:b/>
                <w:bCs/>
                <w:spacing w:val="-4"/>
                <w:sz w:val="20"/>
                <w:szCs w:val="20"/>
              </w:rPr>
              <w:t>n</w:t>
            </w:r>
            <w:r>
              <w:rPr>
                <w:rFonts w:ascii="Arial" w:hAnsi="Arial" w:cs="Arial"/>
                <w:b/>
                <w:bCs/>
                <w:spacing w:val="10"/>
                <w:sz w:val="20"/>
                <w:szCs w:val="20"/>
              </w:rPr>
              <w:t>w</w:t>
            </w:r>
            <w:r>
              <w:rPr>
                <w:rFonts w:ascii="Arial" w:hAnsi="Arial" w:cs="Arial"/>
                <w:b/>
                <w:bCs/>
                <w:spacing w:val="-2"/>
                <w:sz w:val="20"/>
                <w:szCs w:val="20"/>
              </w:rPr>
              <w:t>e</w:t>
            </w:r>
            <w:r>
              <w:rPr>
                <w:rFonts w:ascii="Arial" w:hAnsi="Arial" w:cs="Arial"/>
                <w:b/>
                <w:bCs/>
                <w:sz w:val="20"/>
                <w:szCs w:val="20"/>
              </w:rPr>
              <w:t>alth</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spacing w:val="-2"/>
                <w:sz w:val="20"/>
                <w:szCs w:val="20"/>
              </w:rPr>
              <w:t xml:space="preserve"> </w:t>
            </w:r>
            <w:r>
              <w:rPr>
                <w:rFonts w:ascii="Arial" w:hAnsi="Arial" w:cs="Arial"/>
                <w:b/>
                <w:bCs/>
                <w:sz w:val="20"/>
                <w:szCs w:val="20"/>
              </w:rPr>
              <w:t>Ma</w:t>
            </w:r>
            <w:r>
              <w:rPr>
                <w:rFonts w:ascii="Arial" w:hAnsi="Arial" w:cs="Arial"/>
                <w:b/>
                <w:bCs/>
                <w:spacing w:val="-1"/>
                <w:sz w:val="20"/>
                <w:szCs w:val="20"/>
              </w:rPr>
              <w:t>ss</w:t>
            </w:r>
            <w:r>
              <w:rPr>
                <w:rFonts w:ascii="Arial" w:hAnsi="Arial" w:cs="Arial"/>
                <w:b/>
                <w:bCs/>
                <w:sz w:val="20"/>
                <w:szCs w:val="20"/>
              </w:rPr>
              <w:t>achu</w:t>
            </w:r>
            <w:r>
              <w:rPr>
                <w:rFonts w:ascii="Arial" w:hAnsi="Arial" w:cs="Arial"/>
                <w:b/>
                <w:bCs/>
                <w:spacing w:val="-1"/>
                <w:sz w:val="20"/>
                <w:szCs w:val="20"/>
              </w:rPr>
              <w:t>s</w:t>
            </w:r>
            <w:r>
              <w:rPr>
                <w:rFonts w:ascii="Arial" w:hAnsi="Arial" w:cs="Arial"/>
                <w:b/>
                <w:bCs/>
                <w:sz w:val="20"/>
                <w:szCs w:val="20"/>
              </w:rPr>
              <w:t>etts</w:t>
            </w:r>
          </w:p>
          <w:p w14:paraId="5DEEEB7D" w14:textId="77777777" w:rsidR="002D15E9" w:rsidRDefault="002D15E9" w:rsidP="00B938CD">
            <w:pPr>
              <w:spacing w:before="4"/>
              <w:ind w:left="1438" w:right="1419"/>
              <w:jc w:val="center"/>
              <w:rPr>
                <w:rFonts w:ascii="Arial" w:hAnsi="Arial" w:cs="Arial"/>
                <w:sz w:val="20"/>
                <w:szCs w:val="20"/>
              </w:rPr>
            </w:pPr>
            <w:r>
              <w:rPr>
                <w:rFonts w:ascii="Arial" w:hAnsi="Arial" w:cs="Arial"/>
                <w:b/>
                <w:bCs/>
                <w:sz w:val="20"/>
                <w:szCs w:val="20"/>
              </w:rPr>
              <w:t>Mas</w:t>
            </w:r>
            <w:r>
              <w:rPr>
                <w:rFonts w:ascii="Arial" w:hAnsi="Arial" w:cs="Arial"/>
                <w:b/>
                <w:bCs/>
                <w:spacing w:val="-1"/>
                <w:sz w:val="20"/>
                <w:szCs w:val="20"/>
              </w:rPr>
              <w:t>s</w:t>
            </w:r>
            <w:r>
              <w:rPr>
                <w:rFonts w:ascii="Arial" w:hAnsi="Arial" w:cs="Arial"/>
                <w:b/>
                <w:bCs/>
                <w:sz w:val="20"/>
                <w:szCs w:val="20"/>
              </w:rPr>
              <w:t>Hea</w:t>
            </w:r>
            <w:r>
              <w:rPr>
                <w:rFonts w:ascii="Arial" w:hAnsi="Arial" w:cs="Arial"/>
                <w:b/>
                <w:bCs/>
                <w:spacing w:val="-2"/>
                <w:sz w:val="20"/>
                <w:szCs w:val="20"/>
              </w:rPr>
              <w:t>l</w:t>
            </w:r>
            <w:r>
              <w:rPr>
                <w:rFonts w:ascii="Arial" w:hAnsi="Arial" w:cs="Arial"/>
                <w:b/>
                <w:bCs/>
                <w:sz w:val="20"/>
                <w:szCs w:val="20"/>
              </w:rPr>
              <w:t>th</w:t>
            </w:r>
          </w:p>
          <w:p w14:paraId="31CD09E8" w14:textId="77777777" w:rsidR="002D15E9" w:rsidRDefault="002D15E9" w:rsidP="00B938CD">
            <w:pPr>
              <w:spacing w:before="4"/>
              <w:ind w:left="900" w:right="886"/>
              <w:jc w:val="center"/>
              <w:rPr>
                <w:rFonts w:ascii="Arial" w:hAnsi="Arial" w:cs="Arial"/>
                <w:sz w:val="20"/>
                <w:szCs w:val="20"/>
              </w:rPr>
            </w:pPr>
            <w:r>
              <w:rPr>
                <w:rFonts w:ascii="Arial" w:hAnsi="Arial" w:cs="Arial"/>
                <w:b/>
                <w:bCs/>
                <w:spacing w:val="-1"/>
                <w:sz w:val="20"/>
                <w:szCs w:val="20"/>
              </w:rPr>
              <w:t>Pr</w:t>
            </w:r>
            <w:r>
              <w:rPr>
                <w:rFonts w:ascii="Arial" w:hAnsi="Arial" w:cs="Arial"/>
                <w:b/>
                <w:bCs/>
                <w:sz w:val="20"/>
                <w:szCs w:val="20"/>
              </w:rPr>
              <w:t>o</w:t>
            </w:r>
            <w:r>
              <w:rPr>
                <w:rFonts w:ascii="Arial" w:hAnsi="Arial" w:cs="Arial"/>
                <w:b/>
                <w:bCs/>
                <w:spacing w:val="-5"/>
                <w:sz w:val="20"/>
                <w:szCs w:val="20"/>
              </w:rPr>
              <w:t>v</w:t>
            </w:r>
            <w:r>
              <w:rPr>
                <w:rFonts w:ascii="Arial" w:hAnsi="Arial" w:cs="Arial"/>
                <w:b/>
                <w:bCs/>
                <w:spacing w:val="-1"/>
                <w:sz w:val="20"/>
                <w:szCs w:val="20"/>
              </w:rPr>
              <w:t>ide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M</w:t>
            </w:r>
            <w:r>
              <w:rPr>
                <w:rFonts w:ascii="Arial" w:hAnsi="Arial" w:cs="Arial"/>
                <w:b/>
                <w:bCs/>
                <w:sz w:val="20"/>
                <w:szCs w:val="20"/>
              </w:rPr>
              <w:t>a</w:t>
            </w:r>
            <w:r>
              <w:rPr>
                <w:rFonts w:ascii="Arial" w:hAnsi="Arial" w:cs="Arial"/>
                <w:b/>
                <w:bCs/>
                <w:spacing w:val="-1"/>
                <w:sz w:val="20"/>
                <w:szCs w:val="20"/>
              </w:rPr>
              <w:t>nua</w:t>
            </w:r>
            <w:r>
              <w:rPr>
                <w:rFonts w:ascii="Arial" w:hAnsi="Arial" w:cs="Arial"/>
                <w:b/>
                <w:bCs/>
                <w:sz w:val="20"/>
                <w:szCs w:val="20"/>
              </w:rPr>
              <w:t>l</w:t>
            </w:r>
            <w:r>
              <w:rPr>
                <w:rFonts w:ascii="Arial" w:hAnsi="Arial" w:cs="Arial"/>
                <w:b/>
                <w:bCs/>
                <w:spacing w:val="-3"/>
                <w:sz w:val="20"/>
                <w:szCs w:val="20"/>
              </w:rPr>
              <w:t xml:space="preserve"> </w:t>
            </w:r>
            <w:r>
              <w:rPr>
                <w:rFonts w:ascii="Arial" w:hAnsi="Arial" w:cs="Arial"/>
                <w:b/>
                <w:bCs/>
                <w:spacing w:val="-1"/>
                <w:sz w:val="20"/>
                <w:szCs w:val="20"/>
              </w:rPr>
              <w:t>Series</w:t>
            </w:r>
          </w:p>
          <w:p w14:paraId="2201C78C" w14:textId="77777777" w:rsidR="002D15E9" w:rsidRPr="00AE57EC" w:rsidRDefault="002D15E9" w:rsidP="00B938CD">
            <w:pPr>
              <w:spacing w:line="200" w:lineRule="exact"/>
              <w:rPr>
                <w:sz w:val="20"/>
                <w:szCs w:val="20"/>
              </w:rPr>
            </w:pPr>
          </w:p>
          <w:p w14:paraId="39511D87" w14:textId="77777777" w:rsidR="002D15E9" w:rsidRDefault="002D15E9" w:rsidP="00B938CD">
            <w:pPr>
              <w:ind w:left="1080" w:right="1061"/>
              <w:jc w:val="center"/>
              <w:rPr>
                <w:rFonts w:ascii="Arial" w:hAnsi="Arial" w:cs="Arial"/>
                <w:sz w:val="20"/>
                <w:szCs w:val="20"/>
              </w:rPr>
            </w:pPr>
          </w:p>
          <w:p w14:paraId="77E68B72" w14:textId="77777777" w:rsidR="002D15E9" w:rsidRDefault="002D15E9" w:rsidP="00B938CD">
            <w:pPr>
              <w:ind w:left="1080" w:right="1061"/>
              <w:jc w:val="center"/>
              <w:rPr>
                <w:rFonts w:ascii="Arial" w:hAnsi="Arial" w:cs="Arial"/>
                <w:sz w:val="20"/>
                <w:szCs w:val="20"/>
              </w:rPr>
            </w:pPr>
            <w:r>
              <w:rPr>
                <w:rFonts w:ascii="Arial" w:hAnsi="Arial" w:cs="Arial"/>
                <w:sz w:val="20"/>
                <w:szCs w:val="20"/>
              </w:rPr>
              <w:t>All</w:t>
            </w:r>
            <w:r>
              <w:rPr>
                <w:rFonts w:ascii="Arial" w:hAnsi="Arial" w:cs="Arial"/>
                <w:spacing w:val="-2"/>
                <w:sz w:val="20"/>
                <w:szCs w:val="20"/>
              </w:rPr>
              <w:t xml:space="preserve"> </w:t>
            </w:r>
            <w:r>
              <w:rPr>
                <w:rFonts w:ascii="Arial" w:hAnsi="Arial" w:cs="Arial"/>
                <w:sz w:val="20"/>
                <w:szCs w:val="20"/>
              </w:rPr>
              <w:t>Provider</w:t>
            </w:r>
            <w:r>
              <w:rPr>
                <w:rFonts w:ascii="Arial" w:hAnsi="Arial" w:cs="Arial"/>
                <w:spacing w:val="-2"/>
                <w:sz w:val="20"/>
                <w:szCs w:val="20"/>
              </w:rPr>
              <w:t xml:space="preserve"> </w:t>
            </w:r>
            <w:r>
              <w:rPr>
                <w:rFonts w:ascii="Arial" w:hAnsi="Arial" w:cs="Arial"/>
                <w:sz w:val="20"/>
                <w:szCs w:val="20"/>
              </w:rPr>
              <w:t>Manua</w:t>
            </w:r>
            <w:r>
              <w:rPr>
                <w:rFonts w:ascii="Arial" w:hAnsi="Arial" w:cs="Arial"/>
                <w:spacing w:val="-1"/>
                <w:sz w:val="20"/>
                <w:szCs w:val="20"/>
              </w:rPr>
              <w:t>l</w:t>
            </w:r>
            <w:r>
              <w:rPr>
                <w:rFonts w:ascii="Arial" w:hAnsi="Arial" w:cs="Arial"/>
                <w:sz w:val="20"/>
                <w:szCs w:val="20"/>
              </w:rPr>
              <w:t>s</w:t>
            </w:r>
          </w:p>
        </w:tc>
        <w:tc>
          <w:tcPr>
            <w:tcW w:w="3750" w:type="dxa"/>
            <w:tcBorders>
              <w:top w:val="single" w:sz="6" w:space="0" w:color="000000"/>
              <w:left w:val="single" w:sz="6" w:space="0" w:color="000000"/>
              <w:bottom w:val="single" w:sz="6" w:space="0" w:color="000000"/>
              <w:right w:val="single" w:sz="6" w:space="0" w:color="000000"/>
            </w:tcBorders>
          </w:tcPr>
          <w:p w14:paraId="62809896" w14:textId="77777777" w:rsidR="002D15E9" w:rsidRPr="00AE57EC" w:rsidRDefault="002D15E9" w:rsidP="00B938CD">
            <w:pPr>
              <w:spacing w:line="120" w:lineRule="exact"/>
              <w:rPr>
                <w:sz w:val="12"/>
                <w:szCs w:val="12"/>
              </w:rPr>
            </w:pPr>
          </w:p>
          <w:p w14:paraId="7A6A9C36" w14:textId="77777777" w:rsidR="002D15E9" w:rsidRDefault="002D15E9" w:rsidP="00B938CD">
            <w:pPr>
              <w:spacing w:line="237" w:lineRule="auto"/>
              <w:ind w:left="188" w:right="170" w:hanging="2"/>
              <w:jc w:val="center"/>
              <w:rPr>
                <w:rFonts w:ascii="Arial" w:hAnsi="Arial" w:cs="Arial"/>
                <w:sz w:val="19"/>
                <w:szCs w:val="19"/>
              </w:rPr>
            </w:pPr>
            <w:r>
              <w:rPr>
                <w:rFonts w:ascii="Arial" w:hAnsi="Arial" w:cs="Arial"/>
                <w:b/>
                <w:bCs/>
                <w:spacing w:val="-1"/>
                <w:sz w:val="20"/>
                <w:szCs w:val="20"/>
              </w:rPr>
              <w:t>Subchapte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Numbe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an</w:t>
            </w:r>
            <w:r>
              <w:rPr>
                <w:rFonts w:ascii="Arial" w:hAnsi="Arial" w:cs="Arial"/>
                <w:b/>
                <w:bCs/>
                <w:sz w:val="20"/>
                <w:szCs w:val="20"/>
              </w:rPr>
              <w:t>d</w:t>
            </w:r>
            <w:r>
              <w:rPr>
                <w:rFonts w:ascii="Arial" w:hAnsi="Arial" w:cs="Arial"/>
                <w:b/>
                <w:bCs/>
                <w:spacing w:val="-2"/>
                <w:sz w:val="20"/>
                <w:szCs w:val="20"/>
              </w:rPr>
              <w:t xml:space="preserve"> </w:t>
            </w:r>
            <w:r>
              <w:rPr>
                <w:rFonts w:ascii="Arial" w:hAnsi="Arial" w:cs="Arial"/>
                <w:b/>
                <w:bCs/>
                <w:spacing w:val="-1"/>
                <w:sz w:val="20"/>
                <w:szCs w:val="20"/>
              </w:rPr>
              <w:t xml:space="preserve">Title </w:t>
            </w:r>
            <w:r w:rsidRPr="006257D3">
              <w:rPr>
                <w:rFonts w:ascii="Arial" w:hAnsi="Arial" w:cs="Arial"/>
                <w:sz w:val="20"/>
                <w:szCs w:val="20"/>
              </w:rPr>
              <w:t>Appendix</w:t>
            </w:r>
            <w:r w:rsidRPr="006257D3">
              <w:rPr>
                <w:rFonts w:ascii="Arial" w:hAnsi="Arial" w:cs="Arial"/>
                <w:spacing w:val="-16"/>
                <w:sz w:val="20"/>
                <w:szCs w:val="20"/>
              </w:rPr>
              <w:t xml:space="preserve"> </w:t>
            </w:r>
            <w:r w:rsidRPr="006257D3">
              <w:rPr>
                <w:rFonts w:ascii="Arial" w:hAnsi="Arial" w:cs="Arial"/>
                <w:sz w:val="20"/>
                <w:szCs w:val="20"/>
              </w:rPr>
              <w:t>W.</w:t>
            </w:r>
            <w:r w:rsidRPr="006257D3">
              <w:rPr>
                <w:rFonts w:ascii="Arial" w:hAnsi="Arial" w:cs="Arial"/>
                <w:spacing w:val="38"/>
                <w:sz w:val="20"/>
                <w:szCs w:val="20"/>
              </w:rPr>
              <w:t xml:space="preserve"> </w:t>
            </w:r>
            <w:r w:rsidRPr="006257D3">
              <w:rPr>
                <w:rFonts w:ascii="Arial" w:hAnsi="Arial" w:cs="Arial"/>
                <w:sz w:val="20"/>
                <w:szCs w:val="20"/>
              </w:rPr>
              <w:t>EPSDT</w:t>
            </w:r>
            <w:r w:rsidRPr="006257D3">
              <w:rPr>
                <w:rFonts w:ascii="Arial" w:hAnsi="Arial" w:cs="Arial"/>
                <w:spacing w:val="-12"/>
                <w:sz w:val="20"/>
                <w:szCs w:val="20"/>
              </w:rPr>
              <w:t xml:space="preserve"> </w:t>
            </w:r>
            <w:r w:rsidRPr="006257D3">
              <w:rPr>
                <w:rFonts w:ascii="Arial" w:hAnsi="Arial" w:cs="Arial"/>
                <w:sz w:val="20"/>
                <w:szCs w:val="20"/>
              </w:rPr>
              <w:t>Servi</w:t>
            </w:r>
            <w:r w:rsidRPr="006257D3">
              <w:rPr>
                <w:rFonts w:ascii="Arial" w:hAnsi="Arial" w:cs="Arial"/>
                <w:spacing w:val="1"/>
                <w:sz w:val="20"/>
                <w:szCs w:val="20"/>
              </w:rPr>
              <w:t>c</w:t>
            </w:r>
            <w:r w:rsidRPr="006257D3">
              <w:rPr>
                <w:rFonts w:ascii="Arial" w:hAnsi="Arial" w:cs="Arial"/>
                <w:sz w:val="20"/>
                <w:szCs w:val="20"/>
              </w:rPr>
              <w:t>es</w:t>
            </w:r>
            <w:r w:rsidRPr="006257D3">
              <w:rPr>
                <w:rFonts w:ascii="Arial" w:hAnsi="Arial" w:cs="Arial"/>
                <w:spacing w:val="-15"/>
                <w:sz w:val="20"/>
                <w:szCs w:val="20"/>
              </w:rPr>
              <w:t xml:space="preserve"> </w:t>
            </w:r>
            <w:r w:rsidRPr="006257D3">
              <w:rPr>
                <w:rFonts w:ascii="Arial" w:hAnsi="Arial" w:cs="Arial"/>
                <w:w w:val="99"/>
                <w:sz w:val="20"/>
                <w:szCs w:val="20"/>
              </w:rPr>
              <w:t xml:space="preserve">Medical </w:t>
            </w:r>
            <w:r w:rsidRPr="006257D3">
              <w:rPr>
                <w:rFonts w:ascii="Arial" w:hAnsi="Arial" w:cs="Arial"/>
                <w:sz w:val="20"/>
                <w:szCs w:val="20"/>
              </w:rPr>
              <w:t>and</w:t>
            </w:r>
            <w:r w:rsidRPr="006257D3">
              <w:rPr>
                <w:rFonts w:ascii="Arial" w:hAnsi="Arial" w:cs="Arial"/>
                <w:spacing w:val="-11"/>
                <w:sz w:val="20"/>
                <w:szCs w:val="20"/>
              </w:rPr>
              <w:t xml:space="preserve"> </w:t>
            </w:r>
            <w:r w:rsidRPr="006257D3">
              <w:rPr>
                <w:rFonts w:ascii="Arial" w:hAnsi="Arial" w:cs="Arial"/>
                <w:sz w:val="20"/>
                <w:szCs w:val="20"/>
              </w:rPr>
              <w:t>Dental</w:t>
            </w:r>
            <w:r w:rsidRPr="006257D3">
              <w:rPr>
                <w:rFonts w:ascii="Arial" w:hAnsi="Arial" w:cs="Arial"/>
                <w:spacing w:val="-11"/>
                <w:sz w:val="20"/>
                <w:szCs w:val="20"/>
              </w:rPr>
              <w:t xml:space="preserve"> </w:t>
            </w:r>
            <w:r w:rsidRPr="006257D3">
              <w:rPr>
                <w:rFonts w:ascii="Arial" w:hAnsi="Arial" w:cs="Arial"/>
                <w:sz w:val="20"/>
                <w:szCs w:val="20"/>
              </w:rPr>
              <w:t>P</w:t>
            </w:r>
            <w:r w:rsidRPr="006257D3">
              <w:rPr>
                <w:rFonts w:ascii="Arial" w:hAnsi="Arial" w:cs="Arial"/>
                <w:spacing w:val="2"/>
                <w:sz w:val="20"/>
                <w:szCs w:val="20"/>
              </w:rPr>
              <w:t>r</w:t>
            </w:r>
            <w:r w:rsidRPr="006257D3">
              <w:rPr>
                <w:rFonts w:ascii="Arial" w:hAnsi="Arial" w:cs="Arial"/>
                <w:sz w:val="20"/>
                <w:szCs w:val="20"/>
              </w:rPr>
              <w:t>otocols</w:t>
            </w:r>
            <w:r w:rsidRPr="006257D3">
              <w:rPr>
                <w:rFonts w:ascii="Arial" w:hAnsi="Arial" w:cs="Arial"/>
                <w:spacing w:val="-15"/>
                <w:sz w:val="20"/>
                <w:szCs w:val="20"/>
              </w:rPr>
              <w:t xml:space="preserve"> </w:t>
            </w:r>
            <w:r w:rsidRPr="006257D3">
              <w:rPr>
                <w:rFonts w:ascii="Arial" w:hAnsi="Arial" w:cs="Arial"/>
                <w:sz w:val="20"/>
                <w:szCs w:val="20"/>
              </w:rPr>
              <w:t>and</w:t>
            </w:r>
            <w:r w:rsidRPr="006257D3">
              <w:rPr>
                <w:rFonts w:ascii="Arial" w:hAnsi="Arial" w:cs="Arial"/>
                <w:spacing w:val="-9"/>
                <w:sz w:val="20"/>
                <w:szCs w:val="20"/>
              </w:rPr>
              <w:t xml:space="preserve"> </w:t>
            </w:r>
            <w:r w:rsidRPr="006257D3">
              <w:rPr>
                <w:rFonts w:ascii="Arial" w:hAnsi="Arial" w:cs="Arial"/>
                <w:w w:val="99"/>
                <w:sz w:val="20"/>
                <w:szCs w:val="20"/>
              </w:rPr>
              <w:t>Periodicity Schedules</w:t>
            </w:r>
          </w:p>
        </w:tc>
        <w:tc>
          <w:tcPr>
            <w:tcW w:w="1771" w:type="dxa"/>
            <w:tcBorders>
              <w:top w:val="single" w:sz="6" w:space="0" w:color="000000"/>
              <w:left w:val="single" w:sz="6" w:space="0" w:color="000000"/>
              <w:bottom w:val="single" w:sz="6" w:space="0" w:color="000000"/>
              <w:right w:val="single" w:sz="6" w:space="0" w:color="000000"/>
            </w:tcBorders>
          </w:tcPr>
          <w:p w14:paraId="66F7CF22" w14:textId="77777777" w:rsidR="002D15E9" w:rsidRPr="00AE57EC" w:rsidRDefault="002D15E9" w:rsidP="00B938CD">
            <w:pPr>
              <w:spacing w:before="9" w:line="110" w:lineRule="exact"/>
              <w:rPr>
                <w:sz w:val="11"/>
                <w:szCs w:val="11"/>
              </w:rPr>
            </w:pPr>
          </w:p>
          <w:p w14:paraId="4BD22D95" w14:textId="77777777" w:rsidR="002D15E9" w:rsidRDefault="002D15E9" w:rsidP="00B938CD">
            <w:pPr>
              <w:ind w:left="603" w:right="584"/>
              <w:jc w:val="center"/>
              <w:rPr>
                <w:rFonts w:ascii="Arial" w:hAnsi="Arial" w:cs="Arial"/>
                <w:sz w:val="20"/>
                <w:szCs w:val="20"/>
              </w:rPr>
            </w:pPr>
            <w:r>
              <w:rPr>
                <w:rFonts w:ascii="Arial" w:hAnsi="Arial" w:cs="Arial"/>
                <w:b/>
                <w:bCs/>
                <w:spacing w:val="-1"/>
                <w:sz w:val="20"/>
                <w:szCs w:val="20"/>
              </w:rPr>
              <w:t>Page</w:t>
            </w:r>
          </w:p>
          <w:p w14:paraId="592B8BFD" w14:textId="77777777" w:rsidR="002D15E9" w:rsidRPr="00AE57EC" w:rsidRDefault="002D15E9" w:rsidP="00B938CD">
            <w:pPr>
              <w:spacing w:before="8" w:line="110" w:lineRule="exact"/>
              <w:rPr>
                <w:sz w:val="11"/>
                <w:szCs w:val="11"/>
              </w:rPr>
            </w:pPr>
          </w:p>
          <w:p w14:paraId="76A64119" w14:textId="7E572763" w:rsidR="002D15E9" w:rsidRPr="004A6519" w:rsidRDefault="002D15E9" w:rsidP="00B938CD">
            <w:pPr>
              <w:pStyle w:val="Header"/>
              <w:jc w:val="center"/>
              <w:rPr>
                <w:rStyle w:val="PageNumber"/>
                <w:b w:val="0"/>
                <w:bCs/>
                <w:i w:val="0"/>
                <w:iCs w:val="0"/>
              </w:rPr>
            </w:pPr>
            <w:r w:rsidRPr="004A6519">
              <w:rPr>
                <w:rFonts w:ascii="Arial" w:hAnsi="Arial" w:cs="Arial"/>
                <w:b w:val="0"/>
                <w:bCs/>
                <w:i w:val="0"/>
                <w:iCs w:val="0"/>
              </w:rPr>
              <w:t>W-</w:t>
            </w:r>
            <w:r>
              <w:rPr>
                <w:rFonts w:ascii="Arial" w:hAnsi="Arial" w:cs="Arial"/>
                <w:b w:val="0"/>
                <w:bCs/>
                <w:i w:val="0"/>
                <w:iCs w:val="0"/>
              </w:rPr>
              <w:t>9</w:t>
            </w:r>
          </w:p>
          <w:p w14:paraId="631C5444" w14:textId="77777777" w:rsidR="002D15E9" w:rsidRDefault="002D15E9" w:rsidP="00B938CD">
            <w:pPr>
              <w:ind w:left="650" w:right="630"/>
              <w:jc w:val="center"/>
              <w:rPr>
                <w:rFonts w:ascii="Arial" w:hAnsi="Arial" w:cs="Arial"/>
                <w:sz w:val="20"/>
                <w:szCs w:val="20"/>
              </w:rPr>
            </w:pPr>
          </w:p>
        </w:tc>
      </w:tr>
      <w:tr w:rsidR="002D15E9" w:rsidRPr="00AE57EC" w14:paraId="2513D690" w14:textId="77777777" w:rsidTr="00B938CD">
        <w:trPr>
          <w:trHeight w:hRule="exact" w:val="866"/>
        </w:trPr>
        <w:tc>
          <w:tcPr>
            <w:tcW w:w="4080" w:type="dxa"/>
            <w:vMerge/>
            <w:tcBorders>
              <w:left w:val="single" w:sz="6" w:space="0" w:color="000000"/>
              <w:bottom w:val="single" w:sz="6" w:space="0" w:color="000000"/>
              <w:right w:val="single" w:sz="6" w:space="0" w:color="000000"/>
            </w:tcBorders>
          </w:tcPr>
          <w:p w14:paraId="4743A4E4" w14:textId="77777777" w:rsidR="002D15E9" w:rsidRPr="00AE57EC" w:rsidRDefault="002D15E9" w:rsidP="00B938CD"/>
        </w:tc>
        <w:tc>
          <w:tcPr>
            <w:tcW w:w="3750" w:type="dxa"/>
            <w:tcBorders>
              <w:top w:val="single" w:sz="6" w:space="0" w:color="000000"/>
              <w:left w:val="single" w:sz="6" w:space="0" w:color="000000"/>
              <w:bottom w:val="single" w:sz="6" w:space="0" w:color="000000"/>
              <w:right w:val="single" w:sz="6" w:space="0" w:color="000000"/>
            </w:tcBorders>
          </w:tcPr>
          <w:p w14:paraId="09198B55" w14:textId="77777777" w:rsidR="002D15E9" w:rsidRPr="00AE57EC" w:rsidRDefault="002D15E9" w:rsidP="00B938CD">
            <w:pPr>
              <w:spacing w:before="10" w:line="110" w:lineRule="exact"/>
              <w:rPr>
                <w:sz w:val="11"/>
                <w:szCs w:val="11"/>
              </w:rPr>
            </w:pPr>
          </w:p>
          <w:p w14:paraId="340300D0" w14:textId="77777777" w:rsidR="002D15E9" w:rsidRDefault="002D15E9" w:rsidP="00B938CD">
            <w:pPr>
              <w:ind w:left="985" w:right="966"/>
              <w:jc w:val="center"/>
              <w:rPr>
                <w:rFonts w:ascii="Arial" w:hAnsi="Arial" w:cs="Arial"/>
                <w:sz w:val="20"/>
                <w:szCs w:val="20"/>
              </w:rPr>
            </w:pPr>
            <w:r>
              <w:rPr>
                <w:rFonts w:ascii="Arial" w:hAnsi="Arial" w:cs="Arial"/>
                <w:b/>
                <w:bCs/>
                <w:sz w:val="20"/>
                <w:szCs w:val="20"/>
              </w:rPr>
              <w:t>Trans</w:t>
            </w:r>
            <w:r>
              <w:rPr>
                <w:rFonts w:ascii="Arial" w:hAnsi="Arial" w:cs="Arial"/>
                <w:b/>
                <w:bCs/>
                <w:spacing w:val="-2"/>
                <w:sz w:val="20"/>
                <w:szCs w:val="20"/>
              </w:rPr>
              <w:t>m</w:t>
            </w:r>
            <w:r>
              <w:rPr>
                <w:rFonts w:ascii="Arial" w:hAnsi="Arial" w:cs="Arial"/>
                <w:b/>
                <w:bCs/>
                <w:sz w:val="20"/>
                <w:szCs w:val="20"/>
              </w:rPr>
              <w:t>ittal</w:t>
            </w:r>
            <w:r>
              <w:rPr>
                <w:rFonts w:ascii="Arial" w:hAnsi="Arial" w:cs="Arial"/>
                <w:b/>
                <w:bCs/>
                <w:spacing w:val="-2"/>
                <w:sz w:val="20"/>
                <w:szCs w:val="20"/>
              </w:rPr>
              <w:t xml:space="preserve"> </w:t>
            </w:r>
            <w:r>
              <w:rPr>
                <w:rFonts w:ascii="Arial" w:hAnsi="Arial" w:cs="Arial"/>
                <w:b/>
                <w:bCs/>
                <w:sz w:val="20"/>
                <w:szCs w:val="20"/>
              </w:rPr>
              <w:t>Letter</w:t>
            </w:r>
          </w:p>
          <w:p w14:paraId="72430998" w14:textId="77777777" w:rsidR="002D15E9" w:rsidRPr="00AE57EC" w:rsidRDefault="002D15E9" w:rsidP="00B938CD">
            <w:pPr>
              <w:spacing w:before="7" w:line="110" w:lineRule="exact"/>
              <w:rPr>
                <w:sz w:val="11"/>
                <w:szCs w:val="11"/>
              </w:rPr>
            </w:pPr>
          </w:p>
          <w:p w14:paraId="10D40ADA" w14:textId="77777777" w:rsidR="002D15E9" w:rsidRPr="00DB19DD" w:rsidRDefault="002D15E9" w:rsidP="00B938CD">
            <w:pPr>
              <w:ind w:left="1452" w:right="1435"/>
              <w:jc w:val="center"/>
              <w:rPr>
                <w:rFonts w:ascii="Arial" w:hAnsi="Arial" w:cs="Arial"/>
                <w:sz w:val="20"/>
                <w:szCs w:val="20"/>
              </w:rPr>
            </w:pPr>
            <w:r>
              <w:rPr>
                <w:rFonts w:ascii="Arial" w:hAnsi="Arial" w:cs="Arial"/>
                <w:sz w:val="20"/>
                <w:szCs w:val="20"/>
              </w:rPr>
              <w:t>ALL-249</w:t>
            </w:r>
          </w:p>
        </w:tc>
        <w:tc>
          <w:tcPr>
            <w:tcW w:w="1771" w:type="dxa"/>
            <w:tcBorders>
              <w:top w:val="single" w:sz="6" w:space="0" w:color="000000"/>
              <w:left w:val="single" w:sz="6" w:space="0" w:color="000000"/>
              <w:bottom w:val="single" w:sz="6" w:space="0" w:color="000000"/>
              <w:right w:val="single" w:sz="6" w:space="0" w:color="000000"/>
            </w:tcBorders>
          </w:tcPr>
          <w:p w14:paraId="31B0FFC6" w14:textId="77777777" w:rsidR="002D15E9" w:rsidRPr="00AE57EC" w:rsidRDefault="002D15E9" w:rsidP="00B938CD">
            <w:pPr>
              <w:spacing w:before="10" w:line="110" w:lineRule="exact"/>
              <w:rPr>
                <w:sz w:val="11"/>
                <w:szCs w:val="11"/>
              </w:rPr>
            </w:pPr>
          </w:p>
          <w:p w14:paraId="6E5119B5" w14:textId="77777777" w:rsidR="002D15E9" w:rsidRDefault="002D15E9" w:rsidP="00B938CD">
            <w:pPr>
              <w:ind w:left="624" w:right="607"/>
              <w:jc w:val="center"/>
              <w:rPr>
                <w:rFonts w:ascii="Arial" w:hAnsi="Arial" w:cs="Arial"/>
                <w:sz w:val="20"/>
                <w:szCs w:val="20"/>
              </w:rPr>
            </w:pPr>
            <w:r>
              <w:rPr>
                <w:rFonts w:ascii="Arial" w:hAnsi="Arial" w:cs="Arial"/>
                <w:b/>
                <w:bCs/>
                <w:sz w:val="20"/>
                <w:szCs w:val="20"/>
              </w:rPr>
              <w:t>Da</w:t>
            </w:r>
            <w:r>
              <w:rPr>
                <w:rFonts w:ascii="Arial" w:hAnsi="Arial" w:cs="Arial"/>
                <w:b/>
                <w:bCs/>
                <w:spacing w:val="-1"/>
                <w:sz w:val="20"/>
                <w:szCs w:val="20"/>
              </w:rPr>
              <w:t>t</w:t>
            </w:r>
            <w:r>
              <w:rPr>
                <w:rFonts w:ascii="Arial" w:hAnsi="Arial" w:cs="Arial"/>
                <w:b/>
                <w:bCs/>
                <w:sz w:val="20"/>
                <w:szCs w:val="20"/>
              </w:rPr>
              <w:t>e</w:t>
            </w:r>
          </w:p>
          <w:p w14:paraId="3854193C" w14:textId="77777777" w:rsidR="002D15E9" w:rsidRPr="00AE57EC" w:rsidRDefault="002D15E9" w:rsidP="00B938CD">
            <w:pPr>
              <w:spacing w:before="7" w:line="110" w:lineRule="exact"/>
              <w:rPr>
                <w:sz w:val="11"/>
                <w:szCs w:val="11"/>
              </w:rPr>
            </w:pPr>
          </w:p>
          <w:p w14:paraId="0D58DC9B" w14:textId="77777777" w:rsidR="002D15E9" w:rsidRPr="00DB19DD" w:rsidRDefault="002D15E9" w:rsidP="00B938CD">
            <w:pPr>
              <w:ind w:left="452" w:right="433"/>
              <w:jc w:val="center"/>
              <w:rPr>
                <w:rFonts w:ascii="Arial" w:hAnsi="Arial" w:cs="Arial"/>
                <w:sz w:val="20"/>
                <w:szCs w:val="20"/>
              </w:rPr>
            </w:pPr>
            <w:r>
              <w:rPr>
                <w:rFonts w:ascii="Arial" w:hAnsi="Arial" w:cs="Arial"/>
                <w:sz w:val="20"/>
                <w:szCs w:val="20"/>
              </w:rPr>
              <w:t>11/21/24</w:t>
            </w:r>
          </w:p>
        </w:tc>
      </w:tr>
    </w:tbl>
    <w:p w14:paraId="6219EA9F" w14:textId="77777777" w:rsidR="002D15E9" w:rsidRDefault="002D15E9" w:rsidP="002D15E9">
      <w:pPr>
        <w:widowControl w:val="0"/>
        <w:tabs>
          <w:tab w:val="left" w:pos="9810"/>
        </w:tabs>
        <w:spacing w:before="4" w:after="120"/>
        <w:ind w:right="10"/>
      </w:pPr>
    </w:p>
    <w:p w14:paraId="2E87D4BC" w14:textId="4A2BBDB6" w:rsidR="00E65281" w:rsidRPr="001D528D" w:rsidRDefault="00E65281" w:rsidP="00E65281">
      <w:pPr>
        <w:pStyle w:val="ListParagraph"/>
        <w:widowControl w:val="0"/>
        <w:numPr>
          <w:ilvl w:val="0"/>
          <w:numId w:val="54"/>
        </w:numPr>
        <w:tabs>
          <w:tab w:val="left" w:pos="9810"/>
        </w:tabs>
        <w:spacing w:before="4" w:after="120"/>
        <w:ind w:right="10"/>
      </w:pPr>
      <w:r w:rsidRPr="001D528D">
        <w:t>benefits and components of a healthy diet and safe weight management, ways to maintain adequate calcium and vitamin D, and counseling against sugar-sweetened and caffeinated drinks;</w:t>
      </w:r>
    </w:p>
    <w:p w14:paraId="2BF8F874" w14:textId="77777777" w:rsidR="00E65281" w:rsidRPr="001D528D" w:rsidRDefault="00E65281" w:rsidP="00E65281">
      <w:pPr>
        <w:pStyle w:val="ListParagraph"/>
        <w:widowControl w:val="0"/>
        <w:numPr>
          <w:ilvl w:val="0"/>
          <w:numId w:val="54"/>
        </w:numPr>
        <w:tabs>
          <w:tab w:val="left" w:pos="9810"/>
        </w:tabs>
        <w:spacing w:before="4" w:after="120"/>
        <w:ind w:right="10"/>
      </w:pPr>
      <w:r w:rsidRPr="001D528D">
        <w:t>benefits of daily physical activity, opportunities for daily physical activity, and parents as role models;</w:t>
      </w:r>
    </w:p>
    <w:p w14:paraId="096050E9" w14:textId="77777777" w:rsidR="00E65281" w:rsidRPr="001D528D" w:rsidRDefault="00E65281" w:rsidP="00E65281">
      <w:pPr>
        <w:pStyle w:val="ListParagraph"/>
        <w:widowControl w:val="0"/>
        <w:numPr>
          <w:ilvl w:val="0"/>
          <w:numId w:val="54"/>
        </w:numPr>
        <w:tabs>
          <w:tab w:val="left" w:pos="9810"/>
        </w:tabs>
        <w:spacing w:before="4" w:after="120"/>
        <w:ind w:right="10"/>
      </w:pPr>
      <w:r w:rsidRPr="001D528D">
        <w:t>healthy sleep habits and encouraging proper sleep amounts and safe sleep practices, including placing infants on their backs when putting them to sleep, avoiding co-sleeping, and use of a firm sleep surface without soft bedding or toys;</w:t>
      </w:r>
    </w:p>
    <w:p w14:paraId="4F0CBB28" w14:textId="77777777" w:rsidR="00E65281" w:rsidRPr="001D528D" w:rsidRDefault="00E65281" w:rsidP="00E65281">
      <w:pPr>
        <w:pStyle w:val="ListParagraph"/>
        <w:widowControl w:val="0"/>
        <w:numPr>
          <w:ilvl w:val="0"/>
          <w:numId w:val="54"/>
        </w:numPr>
        <w:tabs>
          <w:tab w:val="left" w:pos="9810"/>
        </w:tabs>
        <w:spacing w:before="4" w:after="120"/>
        <w:ind w:right="10"/>
      </w:pPr>
      <w:r w:rsidRPr="001D528D">
        <w:t>impact of electronic media as a risk factor for being overweight, low school performance, and violent behavior. Encourage limiting of screen time. Discourage placement of computers and TVs in bedrooms;</w:t>
      </w:r>
    </w:p>
    <w:p w14:paraId="3674D66F" w14:textId="77777777" w:rsidR="00E65281" w:rsidRPr="001D528D" w:rsidRDefault="00E65281" w:rsidP="00E65281">
      <w:pPr>
        <w:pStyle w:val="ListParagraph"/>
        <w:widowControl w:val="0"/>
        <w:numPr>
          <w:ilvl w:val="0"/>
          <w:numId w:val="54"/>
        </w:numPr>
        <w:tabs>
          <w:tab w:val="left" w:pos="9810"/>
        </w:tabs>
        <w:spacing w:before="4" w:after="120"/>
        <w:ind w:right="10"/>
      </w:pPr>
      <w:r w:rsidRPr="001D528D">
        <w:t xml:space="preserve">safety related to online activity, social networking, and use of smartphones and other handheld devices; </w:t>
      </w:r>
    </w:p>
    <w:p w14:paraId="3B531F31" w14:textId="77777777" w:rsidR="00E65281" w:rsidRPr="001D528D" w:rsidRDefault="00E65281" w:rsidP="00E65281">
      <w:pPr>
        <w:pStyle w:val="ListParagraph"/>
        <w:widowControl w:val="0"/>
        <w:numPr>
          <w:ilvl w:val="0"/>
          <w:numId w:val="54"/>
        </w:numPr>
        <w:tabs>
          <w:tab w:val="left" w:pos="9810"/>
        </w:tabs>
        <w:spacing w:before="4" w:after="120"/>
        <w:ind w:right="10"/>
      </w:pPr>
      <w:r w:rsidRPr="001D528D">
        <w:t>chronic and communicable disease prevention;</w:t>
      </w:r>
    </w:p>
    <w:p w14:paraId="7EE05D7C" w14:textId="77777777" w:rsidR="00E65281" w:rsidRPr="001D528D" w:rsidRDefault="00E65281" w:rsidP="00E65281">
      <w:pPr>
        <w:pStyle w:val="ListParagraph"/>
        <w:widowControl w:val="0"/>
        <w:numPr>
          <w:ilvl w:val="0"/>
          <w:numId w:val="54"/>
        </w:numPr>
        <w:tabs>
          <w:tab w:val="left" w:pos="9810"/>
        </w:tabs>
        <w:spacing w:before="4" w:after="120"/>
        <w:ind w:right="10"/>
      </w:pPr>
      <w:r w:rsidRPr="001D528D">
        <w:t>basic oral health education, including the benefits of daily oral hygiene, fluoride, and the benefits of establishing a dental home; safety measures and injury prevention, including childproofing, car seats and seat belts, bike and motorcycle helmets, poison prevention, firearm safety, and other age-appropriate counseling;</w:t>
      </w:r>
    </w:p>
    <w:p w14:paraId="006F5137" w14:textId="77777777" w:rsidR="00E65281" w:rsidRPr="001D528D" w:rsidRDefault="00E65281" w:rsidP="00E65281">
      <w:pPr>
        <w:pStyle w:val="ListParagraph"/>
        <w:widowControl w:val="0"/>
        <w:numPr>
          <w:ilvl w:val="0"/>
          <w:numId w:val="54"/>
        </w:numPr>
        <w:tabs>
          <w:tab w:val="left" w:pos="9810"/>
        </w:tabs>
        <w:spacing w:before="4" w:after="120"/>
        <w:ind w:right="10"/>
      </w:pPr>
      <w:r w:rsidRPr="001D528D">
        <w:t>skin protection, including using sunscreen, reducing exposure to the sun, and discouraging use of indoor tanning;</w:t>
      </w:r>
    </w:p>
    <w:p w14:paraId="498B6580" w14:textId="77777777" w:rsidR="00E65281" w:rsidRPr="001D528D" w:rsidRDefault="00E65281" w:rsidP="00E65281">
      <w:pPr>
        <w:pStyle w:val="ListParagraph"/>
        <w:widowControl w:val="0"/>
        <w:numPr>
          <w:ilvl w:val="0"/>
          <w:numId w:val="54"/>
        </w:numPr>
        <w:tabs>
          <w:tab w:val="left" w:pos="9810"/>
        </w:tabs>
        <w:spacing w:before="4" w:after="120"/>
        <w:ind w:right="10"/>
      </w:pPr>
      <w:r w:rsidRPr="001D528D">
        <w:t>potential risks of body piercing and tattooing;</w:t>
      </w:r>
    </w:p>
    <w:p w14:paraId="03C1B406" w14:textId="77777777" w:rsidR="00E65281" w:rsidRPr="001D528D" w:rsidRDefault="00E65281" w:rsidP="00E65281">
      <w:pPr>
        <w:pStyle w:val="ListParagraph"/>
        <w:widowControl w:val="0"/>
        <w:numPr>
          <w:ilvl w:val="0"/>
          <w:numId w:val="54"/>
        </w:numPr>
        <w:tabs>
          <w:tab w:val="left" w:pos="9810"/>
        </w:tabs>
        <w:spacing w:before="4" w:after="120"/>
      </w:pPr>
      <w:r w:rsidRPr="001D528D">
        <w:t>nutrition, which primary care providers may assess and promote by doing the following:</w:t>
      </w:r>
    </w:p>
    <w:p w14:paraId="392404ED" w14:textId="77777777" w:rsidR="00E65281" w:rsidRPr="001D528D" w:rsidRDefault="00E65281" w:rsidP="00E65281">
      <w:pPr>
        <w:pStyle w:val="ListParagraph"/>
        <w:widowControl w:val="0"/>
        <w:numPr>
          <w:ilvl w:val="1"/>
          <w:numId w:val="54"/>
        </w:numPr>
        <w:tabs>
          <w:tab w:val="left" w:pos="9810"/>
        </w:tabs>
        <w:spacing w:before="4" w:after="120"/>
        <w:ind w:left="1080" w:right="14"/>
      </w:pPr>
      <w:r w:rsidRPr="001D528D">
        <w:rPr>
          <w:bCs/>
        </w:rPr>
        <w:t>ask about dietary habits;</w:t>
      </w:r>
    </w:p>
    <w:p w14:paraId="35DDBB29" w14:textId="77777777" w:rsidR="00E65281" w:rsidRPr="001D528D" w:rsidRDefault="00E65281" w:rsidP="00E65281">
      <w:pPr>
        <w:pStyle w:val="ListParagraph"/>
        <w:widowControl w:val="0"/>
        <w:numPr>
          <w:ilvl w:val="1"/>
          <w:numId w:val="54"/>
        </w:numPr>
        <w:tabs>
          <w:tab w:val="left" w:pos="9810"/>
        </w:tabs>
        <w:spacing w:before="4" w:after="120"/>
        <w:ind w:left="1080" w:right="14"/>
      </w:pPr>
      <w:r w:rsidRPr="001D528D">
        <w:t>promote breastfeeding as the optimal form of infant nutrition and assess breastfed infants between two and five days old;</w:t>
      </w:r>
    </w:p>
    <w:p w14:paraId="1661DD2D" w14:textId="77777777" w:rsidR="00E65281" w:rsidRPr="001D528D" w:rsidRDefault="00E65281" w:rsidP="00E65281">
      <w:pPr>
        <w:pStyle w:val="ListParagraph"/>
        <w:widowControl w:val="0"/>
        <w:numPr>
          <w:ilvl w:val="1"/>
          <w:numId w:val="54"/>
        </w:numPr>
        <w:tabs>
          <w:tab w:val="left" w:pos="9810"/>
        </w:tabs>
        <w:spacing w:before="4" w:after="120"/>
        <w:ind w:left="1080" w:right="14"/>
      </w:pPr>
      <w:r w:rsidRPr="001D528D">
        <w:rPr>
          <w:bCs/>
        </w:rPr>
        <w:t>starting in middle childhood, screen annually for eating disorders and ask about body image and dieting patters; and</w:t>
      </w:r>
    </w:p>
    <w:p w14:paraId="436ED38D" w14:textId="77777777" w:rsidR="00E65281" w:rsidRDefault="00E65281" w:rsidP="00E65281">
      <w:pPr>
        <w:pStyle w:val="ListParagraph"/>
        <w:widowControl w:val="0"/>
        <w:numPr>
          <w:ilvl w:val="1"/>
          <w:numId w:val="54"/>
        </w:numPr>
        <w:tabs>
          <w:tab w:val="left" w:pos="9810"/>
        </w:tabs>
        <w:spacing w:before="4" w:after="120"/>
        <w:ind w:left="1080" w:right="14"/>
      </w:pPr>
      <w:r w:rsidRPr="001D528D">
        <w:t xml:space="preserve">make every effort to inform a possibly eligible member or the parent or guardian about the Women, Infants, and Children (WIC) nutrition program, including providing information on the pre-application, which can be found at </w:t>
      </w:r>
      <w:hyperlink r:id="rId70" w:history="1">
        <w:r w:rsidRPr="001D528D">
          <w:rPr>
            <w:rStyle w:val="Hyperlink"/>
          </w:rPr>
          <w:t>www.mass.gov/forms/apply-for-wic-online</w:t>
        </w:r>
      </w:hyperlink>
      <w:r w:rsidRPr="001D528D">
        <w:t xml:space="preserve">. If eligible, a referral to WIC should be made using the </w:t>
      </w:r>
      <w:hyperlink r:id="rId71" w:history="1">
        <w:r w:rsidRPr="001D528D">
          <w:rPr>
            <w:rStyle w:val="Hyperlink"/>
          </w:rPr>
          <w:t>WIC Medical Referral Form (MRF)</w:t>
        </w:r>
      </w:hyperlink>
      <w:r w:rsidRPr="001D528D">
        <w:t xml:space="preserve"> from the Massachusetts WIC Program. In addition, if eligible, the member, parent, or guardian should also be referred to the </w:t>
      </w:r>
      <w:hyperlink r:id="rId72" w:history="1">
        <w:r w:rsidRPr="001D528D">
          <w:rPr>
            <w:rStyle w:val="Hyperlink"/>
          </w:rPr>
          <w:t>Supplemental Nutrition Assistance Program (SNAP)</w:t>
        </w:r>
      </w:hyperlink>
      <w:r w:rsidRPr="001D528D">
        <w:t>, which is administered by the Department of Transitional Assistance.</w:t>
      </w:r>
    </w:p>
    <w:p w14:paraId="0DB697A6" w14:textId="77777777" w:rsidR="00E65281" w:rsidRPr="00192305" w:rsidRDefault="00E65281" w:rsidP="00192305">
      <w:pPr>
        <w:tabs>
          <w:tab w:val="left" w:pos="9810"/>
        </w:tabs>
        <w:spacing w:before="4" w:after="120"/>
        <w:ind w:right="10"/>
      </w:pPr>
    </w:p>
    <w:p w14:paraId="30E48376" w14:textId="77777777" w:rsidR="00E65281" w:rsidRPr="001D528D" w:rsidRDefault="00E65281" w:rsidP="002D15E9">
      <w:pPr>
        <w:pStyle w:val="Heading3"/>
        <w:spacing w:before="0"/>
      </w:pPr>
      <w:r>
        <mc:AlternateContent>
          <mc:Choice Requires="wpi">
            <w:drawing>
              <wp:anchor distT="0" distB="0" distL="114300" distR="114300" simplePos="0" relativeHeight="251662336" behindDoc="0" locked="0" layoutInCell="1" allowOverlap="1" wp14:anchorId="01E9EDC1" wp14:editId="0652C3FB">
                <wp:simplePos x="0" y="0"/>
                <wp:positionH relativeFrom="column">
                  <wp:posOffset>-2514600</wp:posOffset>
                </wp:positionH>
                <wp:positionV relativeFrom="paragraph">
                  <wp:posOffset>-1130935</wp:posOffset>
                </wp:positionV>
                <wp:extent cx="9525" cy="9525"/>
                <wp:effectExtent l="47625" t="50800" r="57150" b="53975"/>
                <wp:wrapNone/>
                <wp:docPr id="966393179" name="Ink 1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3">
                      <w14:nvContentPartPr>
                        <w14:cNvContentPartPr>
                          <a14:cpLocks xmlns:a14="http://schemas.microsoft.com/office/drawing/2010/main" noRot="1" noChangeAspect="1" noEditPoints="1" noChangeArrowheads="1" noChangeShapeType="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w14:anchorId="13E17E2C" id="Ink 14" o:spid="_x0000_s1026" type="#_x0000_t75" style="position:absolute;margin-left:-207pt;margin-top:-98.05pt;width:18.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">
                <v:imagedata r:id="rId59" o:title=""/>
                <o:lock v:ext="edit" rotation="t" verticies="t" shapetype="t"/>
              </v:shape>
            </w:pict>
          </mc:Fallback>
        </mc:AlternateContent>
      </w:r>
      <w:r w:rsidRPr="001D528D">
        <w:t>IC Medical Schedule Table</w:t>
      </w:r>
    </w:p>
    <w:p w14:paraId="49941CA2" w14:textId="77777777" w:rsidR="00E65281" w:rsidRPr="001D528D" w:rsidRDefault="00E65281" w:rsidP="00E56F34">
      <w:pPr>
        <w:tabs>
          <w:tab w:val="left" w:pos="9810"/>
        </w:tabs>
        <w:ind w:left="116" w:right="10"/>
        <w:rPr>
          <w:b/>
        </w:rPr>
      </w:pPr>
    </w:p>
    <w:p w14:paraId="521B59BA" w14:textId="77777777" w:rsidR="00E65281" w:rsidRDefault="00E65281" w:rsidP="00BB5FA8">
      <w:pPr>
        <w:tabs>
          <w:tab w:val="left" w:pos="9810"/>
        </w:tabs>
        <w:ind w:right="10"/>
      </w:pPr>
      <w:r w:rsidRPr="001D528D">
        <w:t xml:space="preserve">The Medical Schedule is included in </w:t>
      </w:r>
      <w:r>
        <w:t>this</w:t>
      </w:r>
      <w:r w:rsidRPr="001D528D">
        <w:t xml:space="preserve"> table</w:t>
      </w:r>
      <w:r>
        <w:t xml:space="preserve"> at </w:t>
      </w:r>
      <w:hyperlink r:id="rId74" w:history="1">
        <w:r>
          <w:rPr>
            <w:rStyle w:val="Hyperlink"/>
          </w:rPr>
          <w:t>www.mass.gov/doc/epsdt-medical-periodicity-schedule-matrix2024-11-21-0/download</w:t>
        </w:r>
      </w:hyperlink>
      <w:r>
        <w:t>.</w:t>
      </w:r>
    </w:p>
    <w:p w14:paraId="7E4E1D77" w14:textId="77777777" w:rsidR="00E65281" w:rsidRDefault="00E65281" w:rsidP="00BB5FA8">
      <w:pPr>
        <w:tabs>
          <w:tab w:val="left" w:pos="9810"/>
        </w:tabs>
        <w:ind w:right="10"/>
      </w:pPr>
    </w:p>
    <w:p w14:paraId="15CD69D3" w14:textId="77777777" w:rsidR="00E65281" w:rsidRDefault="00E65281" w:rsidP="00BB5FA8">
      <w:pPr>
        <w:tabs>
          <w:tab w:val="left" w:pos="9810"/>
        </w:tabs>
        <w:ind w:right="10"/>
      </w:pPr>
    </w:p>
    <w:p w14:paraId="33D77AD4" w14:textId="77777777" w:rsidR="00E65281" w:rsidRDefault="00E65281" w:rsidP="00BB5FA8">
      <w:pPr>
        <w:tabs>
          <w:tab w:val="left" w:pos="9810"/>
        </w:tabs>
        <w:ind w:right="10"/>
      </w:pPr>
    </w:p>
    <w:p w14:paraId="16FA5244" w14:textId="77777777" w:rsidR="002D15E9" w:rsidRDefault="002D15E9" w:rsidP="00BB5FA8">
      <w:pPr>
        <w:tabs>
          <w:tab w:val="left" w:pos="9810"/>
        </w:tabs>
        <w:ind w:right="10"/>
      </w:pPr>
    </w:p>
    <w:p w14:paraId="6726899A" w14:textId="77777777" w:rsidR="00122052" w:rsidRDefault="00122052" w:rsidP="00BB5FA8">
      <w:pPr>
        <w:tabs>
          <w:tab w:val="left" w:pos="9810"/>
        </w:tabs>
        <w:ind w:right="10"/>
      </w:pPr>
    </w:p>
    <w:p w14:paraId="7719B4AB" w14:textId="77777777" w:rsidR="00122052" w:rsidRDefault="00122052" w:rsidP="00BB5FA8">
      <w:pPr>
        <w:tabs>
          <w:tab w:val="left" w:pos="9810"/>
        </w:tabs>
        <w:ind w:right="10"/>
      </w:pPr>
    </w:p>
    <w:p w14:paraId="0461866B" w14:textId="77777777" w:rsidR="00122052" w:rsidRPr="00BB5FA8" w:rsidRDefault="00122052" w:rsidP="00BB5FA8">
      <w:pPr>
        <w:tabs>
          <w:tab w:val="left" w:pos="9810"/>
        </w:tabs>
        <w:ind w:right="10"/>
        <w:sectPr w:rsidR="00122052" w:rsidRPr="00BB5FA8" w:rsidSect="00122052">
          <w:headerReference w:type="default" r:id="rId75"/>
          <w:footerReference w:type="default" r:id="rId76"/>
          <w:pgSz w:w="12240" w:h="15840"/>
          <w:pgMar w:top="576" w:right="1440" w:bottom="1080" w:left="1440" w:header="144" w:footer="576" w:gutter="0"/>
          <w:pgNumType w:start="1"/>
          <w:cols w:space="720"/>
          <w:docGrid w:linePitch="299"/>
        </w:sectPr>
      </w:pPr>
    </w:p>
    <w:p w14:paraId="4FEF9DFA" w14:textId="77777777" w:rsidR="002D15E9" w:rsidRPr="002D15E9" w:rsidRDefault="002D15E9" w:rsidP="002D15E9">
      <w:pPr>
        <w:pStyle w:val="Heading2"/>
        <w:spacing w:before="0"/>
        <w:rPr>
          <w:sz w:val="22"/>
          <w:szCs w:val="22"/>
          <w:u w:color="000000"/>
        </w:rPr>
      </w:pPr>
    </w:p>
    <w:tbl>
      <w:tblPr>
        <w:tblW w:w="9601" w:type="dxa"/>
        <w:tblInd w:w="92" w:type="dxa"/>
        <w:tblLayout w:type="fixed"/>
        <w:tblCellMar>
          <w:left w:w="0" w:type="dxa"/>
          <w:right w:w="0" w:type="dxa"/>
        </w:tblCellMar>
        <w:tblLook w:val="01E0" w:firstRow="1" w:lastRow="1" w:firstColumn="1" w:lastColumn="1" w:noHBand="0" w:noVBand="0"/>
      </w:tblPr>
      <w:tblGrid>
        <w:gridCol w:w="4080"/>
        <w:gridCol w:w="3750"/>
        <w:gridCol w:w="1771"/>
      </w:tblGrid>
      <w:tr w:rsidR="002D15E9" w:rsidRPr="00AE57EC" w14:paraId="66FAE39A" w14:textId="77777777" w:rsidTr="00B938CD">
        <w:trPr>
          <w:trHeight w:hRule="exact" w:val="1095"/>
        </w:trPr>
        <w:tc>
          <w:tcPr>
            <w:tcW w:w="4080" w:type="dxa"/>
            <w:vMerge w:val="restart"/>
            <w:tcBorders>
              <w:top w:val="single" w:sz="6" w:space="0" w:color="000000"/>
              <w:left w:val="single" w:sz="6" w:space="0" w:color="000000"/>
              <w:right w:val="single" w:sz="6" w:space="0" w:color="000000"/>
            </w:tcBorders>
          </w:tcPr>
          <w:p w14:paraId="29387DF2" w14:textId="77777777" w:rsidR="002D15E9" w:rsidRPr="00AE57EC" w:rsidRDefault="002D15E9" w:rsidP="00B938CD">
            <w:pPr>
              <w:spacing w:before="9" w:line="110" w:lineRule="exact"/>
              <w:ind w:right="360"/>
              <w:rPr>
                <w:sz w:val="11"/>
                <w:szCs w:val="11"/>
              </w:rPr>
            </w:pPr>
          </w:p>
          <w:p w14:paraId="77447298" w14:textId="77777777" w:rsidR="002D15E9" w:rsidRDefault="002D15E9" w:rsidP="00B938CD">
            <w:pPr>
              <w:ind w:left="379" w:right="363"/>
              <w:jc w:val="center"/>
              <w:rPr>
                <w:rFonts w:ascii="Arial" w:hAnsi="Arial" w:cs="Arial"/>
                <w:sz w:val="20"/>
                <w:szCs w:val="20"/>
              </w:rPr>
            </w:pPr>
            <w:r>
              <w:rPr>
                <w:rFonts w:ascii="Arial" w:hAnsi="Arial" w:cs="Arial"/>
                <w:b/>
                <w:bCs/>
                <w:sz w:val="20"/>
                <w:szCs w:val="20"/>
              </w:rPr>
              <w:t>Commo</w:t>
            </w:r>
            <w:r>
              <w:rPr>
                <w:rFonts w:ascii="Arial" w:hAnsi="Arial" w:cs="Arial"/>
                <w:b/>
                <w:bCs/>
                <w:spacing w:val="-4"/>
                <w:sz w:val="20"/>
                <w:szCs w:val="20"/>
              </w:rPr>
              <w:t>n</w:t>
            </w:r>
            <w:r>
              <w:rPr>
                <w:rFonts w:ascii="Arial" w:hAnsi="Arial" w:cs="Arial"/>
                <w:b/>
                <w:bCs/>
                <w:spacing w:val="10"/>
                <w:sz w:val="20"/>
                <w:szCs w:val="20"/>
              </w:rPr>
              <w:t>w</w:t>
            </w:r>
            <w:r>
              <w:rPr>
                <w:rFonts w:ascii="Arial" w:hAnsi="Arial" w:cs="Arial"/>
                <w:b/>
                <w:bCs/>
                <w:spacing w:val="-2"/>
                <w:sz w:val="20"/>
                <w:szCs w:val="20"/>
              </w:rPr>
              <w:t>e</w:t>
            </w:r>
            <w:r>
              <w:rPr>
                <w:rFonts w:ascii="Arial" w:hAnsi="Arial" w:cs="Arial"/>
                <w:b/>
                <w:bCs/>
                <w:sz w:val="20"/>
                <w:szCs w:val="20"/>
              </w:rPr>
              <w:t>alth</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spacing w:val="-2"/>
                <w:sz w:val="20"/>
                <w:szCs w:val="20"/>
              </w:rPr>
              <w:t xml:space="preserve"> </w:t>
            </w:r>
            <w:r>
              <w:rPr>
                <w:rFonts w:ascii="Arial" w:hAnsi="Arial" w:cs="Arial"/>
                <w:b/>
                <w:bCs/>
                <w:sz w:val="20"/>
                <w:szCs w:val="20"/>
              </w:rPr>
              <w:t>Ma</w:t>
            </w:r>
            <w:r>
              <w:rPr>
                <w:rFonts w:ascii="Arial" w:hAnsi="Arial" w:cs="Arial"/>
                <w:b/>
                <w:bCs/>
                <w:spacing w:val="-1"/>
                <w:sz w:val="20"/>
                <w:szCs w:val="20"/>
              </w:rPr>
              <w:t>ss</w:t>
            </w:r>
            <w:r>
              <w:rPr>
                <w:rFonts w:ascii="Arial" w:hAnsi="Arial" w:cs="Arial"/>
                <w:b/>
                <w:bCs/>
                <w:sz w:val="20"/>
                <w:szCs w:val="20"/>
              </w:rPr>
              <w:t>achu</w:t>
            </w:r>
            <w:r>
              <w:rPr>
                <w:rFonts w:ascii="Arial" w:hAnsi="Arial" w:cs="Arial"/>
                <w:b/>
                <w:bCs/>
                <w:spacing w:val="-1"/>
                <w:sz w:val="20"/>
                <w:szCs w:val="20"/>
              </w:rPr>
              <w:t>s</w:t>
            </w:r>
            <w:r>
              <w:rPr>
                <w:rFonts w:ascii="Arial" w:hAnsi="Arial" w:cs="Arial"/>
                <w:b/>
                <w:bCs/>
                <w:sz w:val="20"/>
                <w:szCs w:val="20"/>
              </w:rPr>
              <w:t>etts</w:t>
            </w:r>
          </w:p>
          <w:p w14:paraId="17ED2E94" w14:textId="77777777" w:rsidR="002D15E9" w:rsidRDefault="002D15E9" w:rsidP="00B938CD">
            <w:pPr>
              <w:spacing w:before="4"/>
              <w:ind w:left="1438" w:right="1419"/>
              <w:jc w:val="center"/>
              <w:rPr>
                <w:rFonts w:ascii="Arial" w:hAnsi="Arial" w:cs="Arial"/>
                <w:sz w:val="20"/>
                <w:szCs w:val="20"/>
              </w:rPr>
            </w:pPr>
            <w:r>
              <w:rPr>
                <w:rFonts w:ascii="Arial" w:hAnsi="Arial" w:cs="Arial"/>
                <w:b/>
                <w:bCs/>
                <w:sz w:val="20"/>
                <w:szCs w:val="20"/>
              </w:rPr>
              <w:t>Mas</w:t>
            </w:r>
            <w:r>
              <w:rPr>
                <w:rFonts w:ascii="Arial" w:hAnsi="Arial" w:cs="Arial"/>
                <w:b/>
                <w:bCs/>
                <w:spacing w:val="-1"/>
                <w:sz w:val="20"/>
                <w:szCs w:val="20"/>
              </w:rPr>
              <w:t>s</w:t>
            </w:r>
            <w:r>
              <w:rPr>
                <w:rFonts w:ascii="Arial" w:hAnsi="Arial" w:cs="Arial"/>
                <w:b/>
                <w:bCs/>
                <w:sz w:val="20"/>
                <w:szCs w:val="20"/>
              </w:rPr>
              <w:t>Hea</w:t>
            </w:r>
            <w:r>
              <w:rPr>
                <w:rFonts w:ascii="Arial" w:hAnsi="Arial" w:cs="Arial"/>
                <w:b/>
                <w:bCs/>
                <w:spacing w:val="-2"/>
                <w:sz w:val="20"/>
                <w:szCs w:val="20"/>
              </w:rPr>
              <w:t>l</w:t>
            </w:r>
            <w:r>
              <w:rPr>
                <w:rFonts w:ascii="Arial" w:hAnsi="Arial" w:cs="Arial"/>
                <w:b/>
                <w:bCs/>
                <w:sz w:val="20"/>
                <w:szCs w:val="20"/>
              </w:rPr>
              <w:t>th</w:t>
            </w:r>
          </w:p>
          <w:p w14:paraId="012092E6" w14:textId="77777777" w:rsidR="002D15E9" w:rsidRDefault="002D15E9" w:rsidP="00B938CD">
            <w:pPr>
              <w:spacing w:before="4"/>
              <w:ind w:left="900" w:right="886"/>
              <w:jc w:val="center"/>
              <w:rPr>
                <w:rFonts w:ascii="Arial" w:hAnsi="Arial" w:cs="Arial"/>
                <w:sz w:val="20"/>
                <w:szCs w:val="20"/>
              </w:rPr>
            </w:pPr>
            <w:r>
              <w:rPr>
                <w:rFonts w:ascii="Arial" w:hAnsi="Arial" w:cs="Arial"/>
                <w:b/>
                <w:bCs/>
                <w:spacing w:val="-1"/>
                <w:sz w:val="20"/>
                <w:szCs w:val="20"/>
              </w:rPr>
              <w:t>Pr</w:t>
            </w:r>
            <w:r>
              <w:rPr>
                <w:rFonts w:ascii="Arial" w:hAnsi="Arial" w:cs="Arial"/>
                <w:b/>
                <w:bCs/>
                <w:sz w:val="20"/>
                <w:szCs w:val="20"/>
              </w:rPr>
              <w:t>o</w:t>
            </w:r>
            <w:r>
              <w:rPr>
                <w:rFonts w:ascii="Arial" w:hAnsi="Arial" w:cs="Arial"/>
                <w:b/>
                <w:bCs/>
                <w:spacing w:val="-5"/>
                <w:sz w:val="20"/>
                <w:szCs w:val="20"/>
              </w:rPr>
              <w:t>v</w:t>
            </w:r>
            <w:r>
              <w:rPr>
                <w:rFonts w:ascii="Arial" w:hAnsi="Arial" w:cs="Arial"/>
                <w:b/>
                <w:bCs/>
                <w:spacing w:val="-1"/>
                <w:sz w:val="20"/>
                <w:szCs w:val="20"/>
              </w:rPr>
              <w:t>ide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M</w:t>
            </w:r>
            <w:r>
              <w:rPr>
                <w:rFonts w:ascii="Arial" w:hAnsi="Arial" w:cs="Arial"/>
                <w:b/>
                <w:bCs/>
                <w:sz w:val="20"/>
                <w:szCs w:val="20"/>
              </w:rPr>
              <w:t>a</w:t>
            </w:r>
            <w:r>
              <w:rPr>
                <w:rFonts w:ascii="Arial" w:hAnsi="Arial" w:cs="Arial"/>
                <w:b/>
                <w:bCs/>
                <w:spacing w:val="-1"/>
                <w:sz w:val="20"/>
                <w:szCs w:val="20"/>
              </w:rPr>
              <w:t>nua</w:t>
            </w:r>
            <w:r>
              <w:rPr>
                <w:rFonts w:ascii="Arial" w:hAnsi="Arial" w:cs="Arial"/>
                <w:b/>
                <w:bCs/>
                <w:sz w:val="20"/>
                <w:szCs w:val="20"/>
              </w:rPr>
              <w:t>l</w:t>
            </w:r>
            <w:r>
              <w:rPr>
                <w:rFonts w:ascii="Arial" w:hAnsi="Arial" w:cs="Arial"/>
                <w:b/>
                <w:bCs/>
                <w:spacing w:val="-3"/>
                <w:sz w:val="20"/>
                <w:szCs w:val="20"/>
              </w:rPr>
              <w:t xml:space="preserve"> </w:t>
            </w:r>
            <w:r>
              <w:rPr>
                <w:rFonts w:ascii="Arial" w:hAnsi="Arial" w:cs="Arial"/>
                <w:b/>
                <w:bCs/>
                <w:spacing w:val="-1"/>
                <w:sz w:val="20"/>
                <w:szCs w:val="20"/>
              </w:rPr>
              <w:t>Series</w:t>
            </w:r>
          </w:p>
          <w:p w14:paraId="59B03EB2" w14:textId="77777777" w:rsidR="002D15E9" w:rsidRPr="00AE57EC" w:rsidRDefault="002D15E9" w:rsidP="00B938CD">
            <w:pPr>
              <w:spacing w:line="200" w:lineRule="exact"/>
              <w:rPr>
                <w:sz w:val="20"/>
                <w:szCs w:val="20"/>
              </w:rPr>
            </w:pPr>
          </w:p>
          <w:p w14:paraId="596214E5" w14:textId="77777777" w:rsidR="002D15E9" w:rsidRDefault="002D15E9" w:rsidP="00B938CD">
            <w:pPr>
              <w:ind w:left="1080" w:right="1061"/>
              <w:jc w:val="center"/>
              <w:rPr>
                <w:rFonts w:ascii="Arial" w:hAnsi="Arial" w:cs="Arial"/>
                <w:sz w:val="20"/>
                <w:szCs w:val="20"/>
              </w:rPr>
            </w:pPr>
          </w:p>
          <w:p w14:paraId="22C87F84" w14:textId="77777777" w:rsidR="002D15E9" w:rsidRDefault="002D15E9" w:rsidP="00B938CD">
            <w:pPr>
              <w:ind w:left="1080" w:right="1061"/>
              <w:jc w:val="center"/>
              <w:rPr>
                <w:rFonts w:ascii="Arial" w:hAnsi="Arial" w:cs="Arial"/>
                <w:sz w:val="20"/>
                <w:szCs w:val="20"/>
              </w:rPr>
            </w:pPr>
            <w:r>
              <w:rPr>
                <w:rFonts w:ascii="Arial" w:hAnsi="Arial" w:cs="Arial"/>
                <w:sz w:val="20"/>
                <w:szCs w:val="20"/>
              </w:rPr>
              <w:t>All</w:t>
            </w:r>
            <w:r>
              <w:rPr>
                <w:rFonts w:ascii="Arial" w:hAnsi="Arial" w:cs="Arial"/>
                <w:spacing w:val="-2"/>
                <w:sz w:val="20"/>
                <w:szCs w:val="20"/>
              </w:rPr>
              <w:t xml:space="preserve"> </w:t>
            </w:r>
            <w:r>
              <w:rPr>
                <w:rFonts w:ascii="Arial" w:hAnsi="Arial" w:cs="Arial"/>
                <w:sz w:val="20"/>
                <w:szCs w:val="20"/>
              </w:rPr>
              <w:t>Provider</w:t>
            </w:r>
            <w:r>
              <w:rPr>
                <w:rFonts w:ascii="Arial" w:hAnsi="Arial" w:cs="Arial"/>
                <w:spacing w:val="-2"/>
                <w:sz w:val="20"/>
                <w:szCs w:val="20"/>
              </w:rPr>
              <w:t xml:space="preserve"> </w:t>
            </w:r>
            <w:r>
              <w:rPr>
                <w:rFonts w:ascii="Arial" w:hAnsi="Arial" w:cs="Arial"/>
                <w:sz w:val="20"/>
                <w:szCs w:val="20"/>
              </w:rPr>
              <w:t>Manua</w:t>
            </w:r>
            <w:r>
              <w:rPr>
                <w:rFonts w:ascii="Arial" w:hAnsi="Arial" w:cs="Arial"/>
                <w:spacing w:val="-1"/>
                <w:sz w:val="20"/>
                <w:szCs w:val="20"/>
              </w:rPr>
              <w:t>l</w:t>
            </w:r>
            <w:r>
              <w:rPr>
                <w:rFonts w:ascii="Arial" w:hAnsi="Arial" w:cs="Arial"/>
                <w:sz w:val="20"/>
                <w:szCs w:val="20"/>
              </w:rPr>
              <w:t>s</w:t>
            </w:r>
          </w:p>
        </w:tc>
        <w:tc>
          <w:tcPr>
            <w:tcW w:w="3750" w:type="dxa"/>
            <w:tcBorders>
              <w:top w:val="single" w:sz="6" w:space="0" w:color="000000"/>
              <w:left w:val="single" w:sz="6" w:space="0" w:color="000000"/>
              <w:bottom w:val="single" w:sz="6" w:space="0" w:color="000000"/>
              <w:right w:val="single" w:sz="6" w:space="0" w:color="000000"/>
            </w:tcBorders>
          </w:tcPr>
          <w:p w14:paraId="00D0BB21" w14:textId="77777777" w:rsidR="002D15E9" w:rsidRPr="00AE57EC" w:rsidRDefault="002D15E9" w:rsidP="00B938CD">
            <w:pPr>
              <w:spacing w:line="120" w:lineRule="exact"/>
              <w:rPr>
                <w:sz w:val="12"/>
                <w:szCs w:val="12"/>
              </w:rPr>
            </w:pPr>
          </w:p>
          <w:p w14:paraId="62A7A219" w14:textId="77777777" w:rsidR="002D15E9" w:rsidRDefault="002D15E9" w:rsidP="00B938CD">
            <w:pPr>
              <w:spacing w:line="237" w:lineRule="auto"/>
              <w:ind w:left="188" w:right="170" w:hanging="2"/>
              <w:jc w:val="center"/>
              <w:rPr>
                <w:rFonts w:ascii="Arial" w:hAnsi="Arial" w:cs="Arial"/>
                <w:sz w:val="19"/>
                <w:szCs w:val="19"/>
              </w:rPr>
            </w:pPr>
            <w:r>
              <w:rPr>
                <w:rFonts w:ascii="Arial" w:hAnsi="Arial" w:cs="Arial"/>
                <w:b/>
                <w:bCs/>
                <w:spacing w:val="-1"/>
                <w:sz w:val="20"/>
                <w:szCs w:val="20"/>
              </w:rPr>
              <w:t>Subchapte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Numbe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an</w:t>
            </w:r>
            <w:r>
              <w:rPr>
                <w:rFonts w:ascii="Arial" w:hAnsi="Arial" w:cs="Arial"/>
                <w:b/>
                <w:bCs/>
                <w:sz w:val="20"/>
                <w:szCs w:val="20"/>
              </w:rPr>
              <w:t>d</w:t>
            </w:r>
            <w:r>
              <w:rPr>
                <w:rFonts w:ascii="Arial" w:hAnsi="Arial" w:cs="Arial"/>
                <w:b/>
                <w:bCs/>
                <w:spacing w:val="-2"/>
                <w:sz w:val="20"/>
                <w:szCs w:val="20"/>
              </w:rPr>
              <w:t xml:space="preserve"> </w:t>
            </w:r>
            <w:r>
              <w:rPr>
                <w:rFonts w:ascii="Arial" w:hAnsi="Arial" w:cs="Arial"/>
                <w:b/>
                <w:bCs/>
                <w:spacing w:val="-1"/>
                <w:sz w:val="20"/>
                <w:szCs w:val="20"/>
              </w:rPr>
              <w:t xml:space="preserve">Title </w:t>
            </w:r>
            <w:r w:rsidRPr="006257D3">
              <w:rPr>
                <w:rFonts w:ascii="Arial" w:hAnsi="Arial" w:cs="Arial"/>
                <w:sz w:val="20"/>
                <w:szCs w:val="20"/>
              </w:rPr>
              <w:t>Appendix</w:t>
            </w:r>
            <w:r w:rsidRPr="006257D3">
              <w:rPr>
                <w:rFonts w:ascii="Arial" w:hAnsi="Arial" w:cs="Arial"/>
                <w:spacing w:val="-16"/>
                <w:sz w:val="20"/>
                <w:szCs w:val="20"/>
              </w:rPr>
              <w:t xml:space="preserve"> </w:t>
            </w:r>
            <w:r w:rsidRPr="006257D3">
              <w:rPr>
                <w:rFonts w:ascii="Arial" w:hAnsi="Arial" w:cs="Arial"/>
                <w:sz w:val="20"/>
                <w:szCs w:val="20"/>
              </w:rPr>
              <w:t>W.</w:t>
            </w:r>
            <w:r w:rsidRPr="006257D3">
              <w:rPr>
                <w:rFonts w:ascii="Arial" w:hAnsi="Arial" w:cs="Arial"/>
                <w:spacing w:val="38"/>
                <w:sz w:val="20"/>
                <w:szCs w:val="20"/>
              </w:rPr>
              <w:t xml:space="preserve"> </w:t>
            </w:r>
            <w:r w:rsidRPr="006257D3">
              <w:rPr>
                <w:rFonts w:ascii="Arial" w:hAnsi="Arial" w:cs="Arial"/>
                <w:sz w:val="20"/>
                <w:szCs w:val="20"/>
              </w:rPr>
              <w:t>EPSDT</w:t>
            </w:r>
            <w:r w:rsidRPr="006257D3">
              <w:rPr>
                <w:rFonts w:ascii="Arial" w:hAnsi="Arial" w:cs="Arial"/>
                <w:spacing w:val="-12"/>
                <w:sz w:val="20"/>
                <w:szCs w:val="20"/>
              </w:rPr>
              <w:t xml:space="preserve"> </w:t>
            </w:r>
            <w:r w:rsidRPr="006257D3">
              <w:rPr>
                <w:rFonts w:ascii="Arial" w:hAnsi="Arial" w:cs="Arial"/>
                <w:sz w:val="20"/>
                <w:szCs w:val="20"/>
              </w:rPr>
              <w:t>Servi</w:t>
            </w:r>
            <w:r w:rsidRPr="006257D3">
              <w:rPr>
                <w:rFonts w:ascii="Arial" w:hAnsi="Arial" w:cs="Arial"/>
                <w:spacing w:val="1"/>
                <w:sz w:val="20"/>
                <w:szCs w:val="20"/>
              </w:rPr>
              <w:t>c</w:t>
            </w:r>
            <w:r w:rsidRPr="006257D3">
              <w:rPr>
                <w:rFonts w:ascii="Arial" w:hAnsi="Arial" w:cs="Arial"/>
                <w:sz w:val="20"/>
                <w:szCs w:val="20"/>
              </w:rPr>
              <w:t>es</w:t>
            </w:r>
            <w:r w:rsidRPr="006257D3">
              <w:rPr>
                <w:rFonts w:ascii="Arial" w:hAnsi="Arial" w:cs="Arial"/>
                <w:spacing w:val="-15"/>
                <w:sz w:val="20"/>
                <w:szCs w:val="20"/>
              </w:rPr>
              <w:t xml:space="preserve"> </w:t>
            </w:r>
            <w:r w:rsidRPr="006257D3">
              <w:rPr>
                <w:rFonts w:ascii="Arial" w:hAnsi="Arial" w:cs="Arial"/>
                <w:w w:val="99"/>
                <w:sz w:val="20"/>
                <w:szCs w:val="20"/>
              </w:rPr>
              <w:t xml:space="preserve">Medical </w:t>
            </w:r>
            <w:r w:rsidRPr="006257D3">
              <w:rPr>
                <w:rFonts w:ascii="Arial" w:hAnsi="Arial" w:cs="Arial"/>
                <w:sz w:val="20"/>
                <w:szCs w:val="20"/>
              </w:rPr>
              <w:t>and</w:t>
            </w:r>
            <w:r w:rsidRPr="006257D3">
              <w:rPr>
                <w:rFonts w:ascii="Arial" w:hAnsi="Arial" w:cs="Arial"/>
                <w:spacing w:val="-11"/>
                <w:sz w:val="20"/>
                <w:szCs w:val="20"/>
              </w:rPr>
              <w:t xml:space="preserve"> </w:t>
            </w:r>
            <w:r w:rsidRPr="006257D3">
              <w:rPr>
                <w:rFonts w:ascii="Arial" w:hAnsi="Arial" w:cs="Arial"/>
                <w:sz w:val="20"/>
                <w:szCs w:val="20"/>
              </w:rPr>
              <w:t>Dental</w:t>
            </w:r>
            <w:r w:rsidRPr="006257D3">
              <w:rPr>
                <w:rFonts w:ascii="Arial" w:hAnsi="Arial" w:cs="Arial"/>
                <w:spacing w:val="-11"/>
                <w:sz w:val="20"/>
                <w:szCs w:val="20"/>
              </w:rPr>
              <w:t xml:space="preserve"> </w:t>
            </w:r>
            <w:r w:rsidRPr="006257D3">
              <w:rPr>
                <w:rFonts w:ascii="Arial" w:hAnsi="Arial" w:cs="Arial"/>
                <w:sz w:val="20"/>
                <w:szCs w:val="20"/>
              </w:rPr>
              <w:t>P</w:t>
            </w:r>
            <w:r w:rsidRPr="006257D3">
              <w:rPr>
                <w:rFonts w:ascii="Arial" w:hAnsi="Arial" w:cs="Arial"/>
                <w:spacing w:val="2"/>
                <w:sz w:val="20"/>
                <w:szCs w:val="20"/>
              </w:rPr>
              <w:t>r</w:t>
            </w:r>
            <w:r w:rsidRPr="006257D3">
              <w:rPr>
                <w:rFonts w:ascii="Arial" w:hAnsi="Arial" w:cs="Arial"/>
                <w:sz w:val="20"/>
                <w:szCs w:val="20"/>
              </w:rPr>
              <w:t>otocols</w:t>
            </w:r>
            <w:r w:rsidRPr="006257D3">
              <w:rPr>
                <w:rFonts w:ascii="Arial" w:hAnsi="Arial" w:cs="Arial"/>
                <w:spacing w:val="-15"/>
                <w:sz w:val="20"/>
                <w:szCs w:val="20"/>
              </w:rPr>
              <w:t xml:space="preserve"> </w:t>
            </w:r>
            <w:r w:rsidRPr="006257D3">
              <w:rPr>
                <w:rFonts w:ascii="Arial" w:hAnsi="Arial" w:cs="Arial"/>
                <w:sz w:val="20"/>
                <w:szCs w:val="20"/>
              </w:rPr>
              <w:t>and</w:t>
            </w:r>
            <w:r w:rsidRPr="006257D3">
              <w:rPr>
                <w:rFonts w:ascii="Arial" w:hAnsi="Arial" w:cs="Arial"/>
                <w:spacing w:val="-9"/>
                <w:sz w:val="20"/>
                <w:szCs w:val="20"/>
              </w:rPr>
              <w:t xml:space="preserve"> </w:t>
            </w:r>
            <w:r w:rsidRPr="006257D3">
              <w:rPr>
                <w:rFonts w:ascii="Arial" w:hAnsi="Arial" w:cs="Arial"/>
                <w:w w:val="99"/>
                <w:sz w:val="20"/>
                <w:szCs w:val="20"/>
              </w:rPr>
              <w:t>Periodicity Schedules</w:t>
            </w:r>
          </w:p>
        </w:tc>
        <w:tc>
          <w:tcPr>
            <w:tcW w:w="1771" w:type="dxa"/>
            <w:tcBorders>
              <w:top w:val="single" w:sz="6" w:space="0" w:color="000000"/>
              <w:left w:val="single" w:sz="6" w:space="0" w:color="000000"/>
              <w:bottom w:val="single" w:sz="6" w:space="0" w:color="000000"/>
              <w:right w:val="single" w:sz="6" w:space="0" w:color="000000"/>
            </w:tcBorders>
          </w:tcPr>
          <w:p w14:paraId="5402935E" w14:textId="77777777" w:rsidR="002D15E9" w:rsidRPr="00AE57EC" w:rsidRDefault="002D15E9" w:rsidP="00B938CD">
            <w:pPr>
              <w:spacing w:before="9" w:line="110" w:lineRule="exact"/>
              <w:rPr>
                <w:sz w:val="11"/>
                <w:szCs w:val="11"/>
              </w:rPr>
            </w:pPr>
          </w:p>
          <w:p w14:paraId="01DC4CE0" w14:textId="77777777" w:rsidR="002D15E9" w:rsidRDefault="002D15E9" w:rsidP="00B938CD">
            <w:pPr>
              <w:ind w:left="603" w:right="584"/>
              <w:jc w:val="center"/>
              <w:rPr>
                <w:rFonts w:ascii="Arial" w:hAnsi="Arial" w:cs="Arial"/>
                <w:sz w:val="20"/>
                <w:szCs w:val="20"/>
              </w:rPr>
            </w:pPr>
            <w:r>
              <w:rPr>
                <w:rFonts w:ascii="Arial" w:hAnsi="Arial" w:cs="Arial"/>
                <w:b/>
                <w:bCs/>
                <w:spacing w:val="-1"/>
                <w:sz w:val="20"/>
                <w:szCs w:val="20"/>
              </w:rPr>
              <w:t>Page</w:t>
            </w:r>
          </w:p>
          <w:p w14:paraId="7B7DEB0A" w14:textId="77777777" w:rsidR="002D15E9" w:rsidRPr="00AE57EC" w:rsidRDefault="002D15E9" w:rsidP="00B938CD">
            <w:pPr>
              <w:spacing w:before="8" w:line="110" w:lineRule="exact"/>
              <w:rPr>
                <w:sz w:val="11"/>
                <w:szCs w:val="11"/>
              </w:rPr>
            </w:pPr>
          </w:p>
          <w:p w14:paraId="28AECB48" w14:textId="2F5FF553" w:rsidR="002D15E9" w:rsidRPr="004A6519" w:rsidRDefault="002D15E9" w:rsidP="00B938CD">
            <w:pPr>
              <w:pStyle w:val="Header"/>
              <w:jc w:val="center"/>
              <w:rPr>
                <w:rStyle w:val="PageNumber"/>
                <w:b w:val="0"/>
                <w:bCs/>
                <w:i w:val="0"/>
                <w:iCs w:val="0"/>
              </w:rPr>
            </w:pPr>
            <w:r w:rsidRPr="004A6519">
              <w:rPr>
                <w:rFonts w:ascii="Arial" w:hAnsi="Arial" w:cs="Arial"/>
                <w:b w:val="0"/>
                <w:bCs/>
                <w:i w:val="0"/>
                <w:iCs w:val="0"/>
              </w:rPr>
              <w:t>W-</w:t>
            </w:r>
            <w:r w:rsidRPr="004A6519">
              <w:rPr>
                <w:rFonts w:ascii="Arial" w:hAnsi="Arial" w:cs="Arial"/>
                <w:b w:val="0"/>
                <w:bCs/>
                <w:i w:val="0"/>
                <w:iCs w:val="0"/>
              </w:rPr>
              <w:fldChar w:fldCharType="begin"/>
            </w:r>
            <w:r w:rsidRPr="004A6519">
              <w:rPr>
                <w:rFonts w:ascii="Arial" w:hAnsi="Arial" w:cs="Arial"/>
                <w:b w:val="0"/>
                <w:bCs/>
                <w:i w:val="0"/>
                <w:iCs w:val="0"/>
              </w:rPr>
              <w:instrText xml:space="preserve"> PAGE   \* MERGEFORMAT </w:instrText>
            </w:r>
            <w:r w:rsidRPr="004A6519">
              <w:rPr>
                <w:rFonts w:ascii="Arial" w:hAnsi="Arial" w:cs="Arial"/>
                <w:b w:val="0"/>
                <w:bCs/>
                <w:i w:val="0"/>
                <w:iCs w:val="0"/>
              </w:rPr>
              <w:fldChar w:fldCharType="separate"/>
            </w:r>
            <w:r w:rsidR="00ED05A2">
              <w:rPr>
                <w:rFonts w:ascii="Arial" w:hAnsi="Arial" w:cs="Arial"/>
                <w:b w:val="0"/>
                <w:bCs/>
                <w:i w:val="0"/>
                <w:iCs w:val="0"/>
                <w:noProof/>
              </w:rPr>
              <w:t>10</w:t>
            </w:r>
            <w:r w:rsidRPr="004A6519">
              <w:rPr>
                <w:rFonts w:ascii="Arial" w:hAnsi="Arial" w:cs="Arial"/>
                <w:b w:val="0"/>
                <w:bCs/>
                <w:i w:val="0"/>
                <w:iCs w:val="0"/>
                <w:noProof/>
              </w:rPr>
              <w:fldChar w:fldCharType="end"/>
            </w:r>
          </w:p>
          <w:p w14:paraId="54B9623F" w14:textId="77777777" w:rsidR="002D15E9" w:rsidRDefault="002D15E9" w:rsidP="00B938CD">
            <w:pPr>
              <w:ind w:left="650" w:right="630"/>
              <w:jc w:val="center"/>
              <w:rPr>
                <w:rFonts w:ascii="Arial" w:hAnsi="Arial" w:cs="Arial"/>
                <w:sz w:val="20"/>
                <w:szCs w:val="20"/>
              </w:rPr>
            </w:pPr>
          </w:p>
        </w:tc>
      </w:tr>
      <w:tr w:rsidR="002D15E9" w:rsidRPr="00AE57EC" w14:paraId="39157209" w14:textId="77777777" w:rsidTr="00B938CD">
        <w:trPr>
          <w:trHeight w:hRule="exact" w:val="866"/>
        </w:trPr>
        <w:tc>
          <w:tcPr>
            <w:tcW w:w="4080" w:type="dxa"/>
            <w:vMerge/>
            <w:tcBorders>
              <w:left w:val="single" w:sz="6" w:space="0" w:color="000000"/>
              <w:bottom w:val="single" w:sz="6" w:space="0" w:color="000000"/>
              <w:right w:val="single" w:sz="6" w:space="0" w:color="000000"/>
            </w:tcBorders>
          </w:tcPr>
          <w:p w14:paraId="41FA672F" w14:textId="77777777" w:rsidR="002D15E9" w:rsidRPr="00AE57EC" w:rsidRDefault="002D15E9" w:rsidP="00B938CD"/>
        </w:tc>
        <w:tc>
          <w:tcPr>
            <w:tcW w:w="3750" w:type="dxa"/>
            <w:tcBorders>
              <w:top w:val="single" w:sz="6" w:space="0" w:color="000000"/>
              <w:left w:val="single" w:sz="6" w:space="0" w:color="000000"/>
              <w:bottom w:val="single" w:sz="6" w:space="0" w:color="000000"/>
              <w:right w:val="single" w:sz="6" w:space="0" w:color="000000"/>
            </w:tcBorders>
          </w:tcPr>
          <w:p w14:paraId="3E55408E" w14:textId="77777777" w:rsidR="002D15E9" w:rsidRPr="00AE57EC" w:rsidRDefault="002D15E9" w:rsidP="00B938CD">
            <w:pPr>
              <w:spacing w:before="10" w:line="110" w:lineRule="exact"/>
              <w:rPr>
                <w:sz w:val="11"/>
                <w:szCs w:val="11"/>
              </w:rPr>
            </w:pPr>
          </w:p>
          <w:p w14:paraId="679A5030" w14:textId="77777777" w:rsidR="002D15E9" w:rsidRDefault="002D15E9" w:rsidP="00B938CD">
            <w:pPr>
              <w:ind w:left="985" w:right="966"/>
              <w:jc w:val="center"/>
              <w:rPr>
                <w:rFonts w:ascii="Arial" w:hAnsi="Arial" w:cs="Arial"/>
                <w:sz w:val="20"/>
                <w:szCs w:val="20"/>
              </w:rPr>
            </w:pPr>
            <w:r>
              <w:rPr>
                <w:rFonts w:ascii="Arial" w:hAnsi="Arial" w:cs="Arial"/>
                <w:b/>
                <w:bCs/>
                <w:sz w:val="20"/>
                <w:szCs w:val="20"/>
              </w:rPr>
              <w:t>Trans</w:t>
            </w:r>
            <w:r>
              <w:rPr>
                <w:rFonts w:ascii="Arial" w:hAnsi="Arial" w:cs="Arial"/>
                <w:b/>
                <w:bCs/>
                <w:spacing w:val="-2"/>
                <w:sz w:val="20"/>
                <w:szCs w:val="20"/>
              </w:rPr>
              <w:t>m</w:t>
            </w:r>
            <w:r>
              <w:rPr>
                <w:rFonts w:ascii="Arial" w:hAnsi="Arial" w:cs="Arial"/>
                <w:b/>
                <w:bCs/>
                <w:sz w:val="20"/>
                <w:szCs w:val="20"/>
              </w:rPr>
              <w:t>ittal</w:t>
            </w:r>
            <w:r>
              <w:rPr>
                <w:rFonts w:ascii="Arial" w:hAnsi="Arial" w:cs="Arial"/>
                <w:b/>
                <w:bCs/>
                <w:spacing w:val="-2"/>
                <w:sz w:val="20"/>
                <w:szCs w:val="20"/>
              </w:rPr>
              <w:t xml:space="preserve"> </w:t>
            </w:r>
            <w:r>
              <w:rPr>
                <w:rFonts w:ascii="Arial" w:hAnsi="Arial" w:cs="Arial"/>
                <w:b/>
                <w:bCs/>
                <w:sz w:val="20"/>
                <w:szCs w:val="20"/>
              </w:rPr>
              <w:t>Letter</w:t>
            </w:r>
          </w:p>
          <w:p w14:paraId="26034204" w14:textId="77777777" w:rsidR="002D15E9" w:rsidRPr="00AE57EC" w:rsidRDefault="002D15E9" w:rsidP="00B938CD">
            <w:pPr>
              <w:spacing w:before="7" w:line="110" w:lineRule="exact"/>
              <w:rPr>
                <w:sz w:val="11"/>
                <w:szCs w:val="11"/>
              </w:rPr>
            </w:pPr>
          </w:p>
          <w:p w14:paraId="6608619A" w14:textId="77777777" w:rsidR="002D15E9" w:rsidRPr="00DB19DD" w:rsidRDefault="002D15E9" w:rsidP="00B938CD">
            <w:pPr>
              <w:ind w:left="1452" w:right="1435"/>
              <w:jc w:val="center"/>
              <w:rPr>
                <w:rFonts w:ascii="Arial" w:hAnsi="Arial" w:cs="Arial"/>
                <w:sz w:val="20"/>
                <w:szCs w:val="20"/>
              </w:rPr>
            </w:pPr>
            <w:r>
              <w:rPr>
                <w:rFonts w:ascii="Arial" w:hAnsi="Arial" w:cs="Arial"/>
                <w:sz w:val="20"/>
                <w:szCs w:val="20"/>
              </w:rPr>
              <w:t>ALL-249</w:t>
            </w:r>
          </w:p>
        </w:tc>
        <w:tc>
          <w:tcPr>
            <w:tcW w:w="1771" w:type="dxa"/>
            <w:tcBorders>
              <w:top w:val="single" w:sz="6" w:space="0" w:color="000000"/>
              <w:left w:val="single" w:sz="6" w:space="0" w:color="000000"/>
              <w:bottom w:val="single" w:sz="6" w:space="0" w:color="000000"/>
              <w:right w:val="single" w:sz="6" w:space="0" w:color="000000"/>
            </w:tcBorders>
          </w:tcPr>
          <w:p w14:paraId="6A953C17" w14:textId="77777777" w:rsidR="002D15E9" w:rsidRPr="00AE57EC" w:rsidRDefault="002D15E9" w:rsidP="00B938CD">
            <w:pPr>
              <w:spacing w:before="10" w:line="110" w:lineRule="exact"/>
              <w:rPr>
                <w:sz w:val="11"/>
                <w:szCs w:val="11"/>
              </w:rPr>
            </w:pPr>
          </w:p>
          <w:p w14:paraId="7A2F34D0" w14:textId="77777777" w:rsidR="002D15E9" w:rsidRDefault="002D15E9" w:rsidP="00B938CD">
            <w:pPr>
              <w:ind w:left="624" w:right="607"/>
              <w:jc w:val="center"/>
              <w:rPr>
                <w:rFonts w:ascii="Arial" w:hAnsi="Arial" w:cs="Arial"/>
                <w:sz w:val="20"/>
                <w:szCs w:val="20"/>
              </w:rPr>
            </w:pPr>
            <w:r>
              <w:rPr>
                <w:rFonts w:ascii="Arial" w:hAnsi="Arial" w:cs="Arial"/>
                <w:b/>
                <w:bCs/>
                <w:sz w:val="20"/>
                <w:szCs w:val="20"/>
              </w:rPr>
              <w:t>Da</w:t>
            </w:r>
            <w:r>
              <w:rPr>
                <w:rFonts w:ascii="Arial" w:hAnsi="Arial" w:cs="Arial"/>
                <w:b/>
                <w:bCs/>
                <w:spacing w:val="-1"/>
                <w:sz w:val="20"/>
                <w:szCs w:val="20"/>
              </w:rPr>
              <w:t>t</w:t>
            </w:r>
            <w:r>
              <w:rPr>
                <w:rFonts w:ascii="Arial" w:hAnsi="Arial" w:cs="Arial"/>
                <w:b/>
                <w:bCs/>
                <w:sz w:val="20"/>
                <w:szCs w:val="20"/>
              </w:rPr>
              <w:t>e</w:t>
            </w:r>
          </w:p>
          <w:p w14:paraId="000A1670" w14:textId="77777777" w:rsidR="002D15E9" w:rsidRPr="00AE57EC" w:rsidRDefault="002D15E9" w:rsidP="00B938CD">
            <w:pPr>
              <w:spacing w:before="7" w:line="110" w:lineRule="exact"/>
              <w:rPr>
                <w:sz w:val="11"/>
                <w:szCs w:val="11"/>
              </w:rPr>
            </w:pPr>
          </w:p>
          <w:p w14:paraId="1E0B785E" w14:textId="77777777" w:rsidR="002D15E9" w:rsidRPr="00DB19DD" w:rsidRDefault="002D15E9" w:rsidP="00B938CD">
            <w:pPr>
              <w:ind w:left="452" w:right="433"/>
              <w:jc w:val="center"/>
              <w:rPr>
                <w:rFonts w:ascii="Arial" w:hAnsi="Arial" w:cs="Arial"/>
                <w:sz w:val="20"/>
                <w:szCs w:val="20"/>
              </w:rPr>
            </w:pPr>
            <w:r>
              <w:rPr>
                <w:rFonts w:ascii="Arial" w:hAnsi="Arial" w:cs="Arial"/>
                <w:sz w:val="20"/>
                <w:szCs w:val="20"/>
              </w:rPr>
              <w:t>11/21/24</w:t>
            </w:r>
          </w:p>
        </w:tc>
      </w:tr>
    </w:tbl>
    <w:p w14:paraId="3F591204" w14:textId="77777777" w:rsidR="002D15E9" w:rsidRDefault="002D15E9" w:rsidP="002D15E9">
      <w:pPr>
        <w:pStyle w:val="Heading2"/>
        <w:spacing w:before="0"/>
        <w:rPr>
          <w:u w:color="000000"/>
        </w:rPr>
      </w:pPr>
    </w:p>
    <w:p w14:paraId="2C6E6447" w14:textId="06C49A1E" w:rsidR="00E65281" w:rsidRPr="001D528D" w:rsidRDefault="00E65281" w:rsidP="002D15E9">
      <w:pPr>
        <w:pStyle w:val="Heading2"/>
        <w:spacing w:before="0"/>
        <w:rPr>
          <w:u w:color="000000"/>
        </w:rPr>
      </w:pPr>
      <w:r w:rsidRPr="001D528D">
        <w:rPr>
          <w:u w:color="000000"/>
        </w:rPr>
        <w:t>The Dental Schedule</w:t>
      </w:r>
    </w:p>
    <w:p w14:paraId="2209D47B" w14:textId="77777777" w:rsidR="00E65281" w:rsidRPr="001D528D" w:rsidRDefault="00E65281" w:rsidP="00D97B6B">
      <w:pPr>
        <w:spacing w:before="11" w:line="200" w:lineRule="exact"/>
      </w:pPr>
    </w:p>
    <w:p w14:paraId="6E29409B" w14:textId="77777777" w:rsidR="00E65281" w:rsidRPr="001D528D" w:rsidRDefault="00E65281" w:rsidP="007F3772">
      <w:r w:rsidRPr="001D528D">
        <w:t xml:space="preserve">The EPSDT Dental Protocol and Periodicity Schedule (the Dental Schedule) consists of procedures arranged according to the intervals or age levels at which each procedure is to be provided. The Dental Schedule is based on the </w:t>
      </w:r>
      <w:r w:rsidRPr="001D528D">
        <w:rPr>
          <w:i/>
          <w:iCs/>
        </w:rPr>
        <w:t>Periodicity of Examination, Preventive Dental Services, Anticipatory Guidance/Counseling, and Oral Treatment for Infants, Children, and Adolescents</w:t>
      </w:r>
      <w:r w:rsidRPr="001D528D">
        <w:t xml:space="preserve"> from the </w:t>
      </w:r>
      <w:hyperlink r:id="rId77" w:history="1">
        <w:r w:rsidRPr="001D528D">
          <w:rPr>
            <w:rStyle w:val="Hyperlink"/>
          </w:rPr>
          <w:t>American Academy of Pediatric Dentistry (AAPD)</w:t>
        </w:r>
      </w:hyperlink>
      <w:r w:rsidRPr="001D528D">
        <w:t xml:space="preserve"> Reference Manual 2023-2024. See </w:t>
      </w:r>
      <w:hyperlink r:id="rId78" w:history="1">
        <w:r w:rsidRPr="001D528D">
          <w:rPr>
            <w:rStyle w:val="Hyperlink"/>
          </w:rPr>
          <w:t>130 CMR 450.140 through 450.150</w:t>
        </w:r>
      </w:hyperlink>
      <w:r w:rsidRPr="001D528D">
        <w:t xml:space="preserve"> for more information about Early and Periodic Screening, Diagnostic, and Treatment (EPSDT) services and Preventive Pediatric Healthcare Screening and Diagnosis (PPHSD) services. This schedule reflects recommended well and preventive child healthcare screening services. If the clinical needs of a child justify deviation from this schedule, the provider must document this fact in the member’s dental record, including the provider’s clinical judgment and justification for that deviation. </w:t>
      </w:r>
    </w:p>
    <w:p w14:paraId="4195B8E9" w14:textId="77777777" w:rsidR="002D15E9" w:rsidRDefault="002D15E9" w:rsidP="002D15E9">
      <w:pPr>
        <w:pStyle w:val="Heading3"/>
        <w:spacing w:before="0"/>
      </w:pPr>
    </w:p>
    <w:p w14:paraId="3FA076EA" w14:textId="063F330A" w:rsidR="00E65281" w:rsidRPr="001D528D" w:rsidRDefault="00E65281" w:rsidP="002D15E9">
      <w:pPr>
        <w:pStyle w:val="Heading3"/>
        <w:spacing w:before="0"/>
      </w:pPr>
      <w:r w:rsidRPr="001D528D">
        <w:t>Dental Schedule Table</w:t>
      </w:r>
    </w:p>
    <w:p w14:paraId="09FECB8C" w14:textId="77777777" w:rsidR="00E65281" w:rsidRPr="001D528D" w:rsidRDefault="00E65281" w:rsidP="007F3772">
      <w:r w:rsidRPr="001D528D">
        <w:t>The Dental Schedule is included in the following table. Explanations of each part are included in next section.</w:t>
      </w:r>
    </w:p>
    <w:tbl>
      <w:tblPr>
        <w:tblStyle w:val="TableGrid"/>
        <w:tblW w:w="9542" w:type="dxa"/>
        <w:tblInd w:w="-10" w:type="dxa"/>
        <w:tblLayout w:type="fixed"/>
        <w:tblLook w:val="01E0" w:firstRow="1" w:lastRow="1" w:firstColumn="1" w:lastColumn="1" w:noHBand="0" w:noVBand="0"/>
      </w:tblPr>
      <w:tblGrid>
        <w:gridCol w:w="3420"/>
        <w:gridCol w:w="1024"/>
        <w:gridCol w:w="1157"/>
        <w:gridCol w:w="1334"/>
        <w:gridCol w:w="1334"/>
        <w:gridCol w:w="1273"/>
      </w:tblGrid>
      <w:tr w:rsidR="00E65281" w:rsidRPr="001D528D" w14:paraId="7CAA4EA2" w14:textId="77777777" w:rsidTr="00BB5FA8">
        <w:trPr>
          <w:trHeight w:val="525"/>
          <w:tblHeader/>
        </w:trPr>
        <w:tc>
          <w:tcPr>
            <w:tcW w:w="3420" w:type="dxa"/>
            <w:tcBorders>
              <w:top w:val="single" w:sz="8" w:space="0" w:color="auto"/>
              <w:left w:val="single" w:sz="8" w:space="0" w:color="auto"/>
              <w:bottom w:val="single" w:sz="8" w:space="0" w:color="auto"/>
              <w:right w:val="single" w:sz="8" w:space="0" w:color="auto"/>
            </w:tcBorders>
          </w:tcPr>
          <w:p w14:paraId="0ED379DA" w14:textId="77777777" w:rsidR="00E65281" w:rsidRPr="00AB33B5" w:rsidRDefault="00E65281" w:rsidP="00AB33B5">
            <w:pPr>
              <w:jc w:val="center"/>
              <w:rPr>
                <w:b/>
                <w:bCs/>
              </w:rPr>
            </w:pPr>
            <w:r w:rsidRPr="00AB33B5">
              <w:rPr>
                <w:b/>
                <w:bCs/>
              </w:rPr>
              <w:t>Procedure</w:t>
            </w:r>
          </w:p>
        </w:tc>
        <w:tc>
          <w:tcPr>
            <w:tcW w:w="1024" w:type="dxa"/>
            <w:tcBorders>
              <w:top w:val="single" w:sz="8" w:space="0" w:color="auto"/>
              <w:left w:val="single" w:sz="8" w:space="0" w:color="auto"/>
              <w:bottom w:val="single" w:sz="8" w:space="0" w:color="auto"/>
              <w:right w:val="single" w:sz="8" w:space="0" w:color="auto"/>
            </w:tcBorders>
          </w:tcPr>
          <w:p w14:paraId="61F65851" w14:textId="77777777" w:rsidR="00E65281" w:rsidRPr="001D528D" w:rsidRDefault="00E65281" w:rsidP="00BB5FA8">
            <w:pPr>
              <w:jc w:val="center"/>
              <w:rPr>
                <w:b/>
                <w:bCs/>
                <w:sz w:val="20"/>
                <w:szCs w:val="20"/>
              </w:rPr>
            </w:pPr>
            <w:r w:rsidRPr="001D528D">
              <w:rPr>
                <w:b/>
                <w:bCs/>
                <w:sz w:val="20"/>
                <w:szCs w:val="20"/>
              </w:rPr>
              <w:t>6 – 12</w:t>
            </w:r>
          </w:p>
          <w:p w14:paraId="42A6F723" w14:textId="77777777" w:rsidR="00E65281" w:rsidRPr="001D528D" w:rsidRDefault="00E65281" w:rsidP="00BB5FA8">
            <w:pPr>
              <w:jc w:val="center"/>
              <w:rPr>
                <w:b/>
                <w:bCs/>
                <w:sz w:val="20"/>
                <w:szCs w:val="20"/>
              </w:rPr>
            </w:pPr>
            <w:r w:rsidRPr="001D528D">
              <w:rPr>
                <w:b/>
                <w:bCs/>
                <w:sz w:val="20"/>
                <w:szCs w:val="20"/>
              </w:rPr>
              <w:t xml:space="preserve"> Months</w:t>
            </w:r>
          </w:p>
        </w:tc>
        <w:tc>
          <w:tcPr>
            <w:tcW w:w="1157" w:type="dxa"/>
            <w:tcBorders>
              <w:top w:val="single" w:sz="8" w:space="0" w:color="auto"/>
              <w:left w:val="single" w:sz="8" w:space="0" w:color="auto"/>
              <w:bottom w:val="single" w:sz="8" w:space="0" w:color="auto"/>
              <w:right w:val="single" w:sz="8" w:space="0" w:color="auto"/>
            </w:tcBorders>
          </w:tcPr>
          <w:p w14:paraId="1A63E025" w14:textId="77777777" w:rsidR="00E65281" w:rsidRPr="001D528D" w:rsidRDefault="00E65281" w:rsidP="00BB5FA8">
            <w:pPr>
              <w:jc w:val="center"/>
              <w:rPr>
                <w:b/>
                <w:bCs/>
                <w:sz w:val="20"/>
                <w:szCs w:val="20"/>
              </w:rPr>
            </w:pPr>
            <w:r w:rsidRPr="001D528D">
              <w:rPr>
                <w:b/>
                <w:bCs/>
                <w:sz w:val="20"/>
                <w:szCs w:val="20"/>
              </w:rPr>
              <w:t>12 -24</w:t>
            </w:r>
          </w:p>
          <w:p w14:paraId="049AAA89" w14:textId="77777777" w:rsidR="00E65281" w:rsidRPr="001D528D" w:rsidRDefault="00E65281" w:rsidP="00BB5FA8">
            <w:pPr>
              <w:jc w:val="center"/>
              <w:rPr>
                <w:b/>
                <w:bCs/>
                <w:sz w:val="20"/>
                <w:szCs w:val="20"/>
              </w:rPr>
            </w:pPr>
            <w:r w:rsidRPr="001D528D">
              <w:rPr>
                <w:b/>
                <w:bCs/>
                <w:sz w:val="20"/>
                <w:szCs w:val="20"/>
              </w:rPr>
              <w:t>Months</w:t>
            </w:r>
          </w:p>
        </w:tc>
        <w:tc>
          <w:tcPr>
            <w:tcW w:w="1334" w:type="dxa"/>
            <w:tcBorders>
              <w:top w:val="single" w:sz="8" w:space="0" w:color="auto"/>
              <w:left w:val="single" w:sz="8" w:space="0" w:color="auto"/>
              <w:bottom w:val="single" w:sz="8" w:space="0" w:color="auto"/>
              <w:right w:val="single" w:sz="8" w:space="0" w:color="auto"/>
            </w:tcBorders>
          </w:tcPr>
          <w:p w14:paraId="3C8CFAFF" w14:textId="77777777" w:rsidR="00E65281" w:rsidRPr="001D528D" w:rsidRDefault="00E65281" w:rsidP="00BB5FA8">
            <w:pPr>
              <w:jc w:val="center"/>
              <w:rPr>
                <w:b/>
                <w:bCs/>
                <w:sz w:val="20"/>
                <w:szCs w:val="20"/>
              </w:rPr>
            </w:pPr>
            <w:r w:rsidRPr="001D528D">
              <w:rPr>
                <w:b/>
                <w:bCs/>
                <w:sz w:val="20"/>
                <w:szCs w:val="20"/>
              </w:rPr>
              <w:t>2 - 6</w:t>
            </w:r>
          </w:p>
          <w:p w14:paraId="0785EF71" w14:textId="77777777" w:rsidR="00E65281" w:rsidRPr="001D528D" w:rsidRDefault="00E65281" w:rsidP="00BB5FA8">
            <w:pPr>
              <w:jc w:val="center"/>
              <w:rPr>
                <w:b/>
                <w:bCs/>
                <w:sz w:val="20"/>
                <w:szCs w:val="20"/>
              </w:rPr>
            </w:pPr>
            <w:r w:rsidRPr="001D528D">
              <w:rPr>
                <w:b/>
                <w:bCs/>
                <w:sz w:val="20"/>
                <w:szCs w:val="20"/>
              </w:rPr>
              <w:t>Years</w:t>
            </w:r>
          </w:p>
        </w:tc>
        <w:tc>
          <w:tcPr>
            <w:tcW w:w="1334" w:type="dxa"/>
            <w:tcBorders>
              <w:top w:val="single" w:sz="8" w:space="0" w:color="auto"/>
              <w:left w:val="single" w:sz="8" w:space="0" w:color="auto"/>
              <w:bottom w:val="single" w:sz="8" w:space="0" w:color="auto"/>
              <w:right w:val="single" w:sz="8" w:space="0" w:color="auto"/>
            </w:tcBorders>
          </w:tcPr>
          <w:p w14:paraId="383F7D9F" w14:textId="77777777" w:rsidR="00E65281" w:rsidRPr="001D528D" w:rsidRDefault="00E65281" w:rsidP="00BB5FA8">
            <w:pPr>
              <w:jc w:val="center"/>
              <w:rPr>
                <w:b/>
                <w:bCs/>
                <w:sz w:val="20"/>
                <w:szCs w:val="20"/>
              </w:rPr>
            </w:pPr>
            <w:r w:rsidRPr="001D528D">
              <w:rPr>
                <w:b/>
                <w:bCs/>
                <w:sz w:val="20"/>
                <w:szCs w:val="20"/>
              </w:rPr>
              <w:t>6 - 12</w:t>
            </w:r>
          </w:p>
          <w:p w14:paraId="76C2FFBF" w14:textId="77777777" w:rsidR="00E65281" w:rsidRPr="001D528D" w:rsidRDefault="00E65281" w:rsidP="00BB5FA8">
            <w:pPr>
              <w:jc w:val="center"/>
              <w:rPr>
                <w:b/>
                <w:bCs/>
                <w:sz w:val="20"/>
                <w:szCs w:val="20"/>
              </w:rPr>
            </w:pPr>
            <w:r w:rsidRPr="001D528D">
              <w:rPr>
                <w:b/>
                <w:bCs/>
                <w:sz w:val="20"/>
                <w:szCs w:val="20"/>
              </w:rPr>
              <w:t>Years</w:t>
            </w:r>
          </w:p>
        </w:tc>
        <w:tc>
          <w:tcPr>
            <w:tcW w:w="1273" w:type="dxa"/>
            <w:tcBorders>
              <w:top w:val="single" w:sz="8" w:space="0" w:color="auto"/>
              <w:left w:val="single" w:sz="8" w:space="0" w:color="auto"/>
              <w:bottom w:val="single" w:sz="8" w:space="0" w:color="auto"/>
              <w:right w:val="single" w:sz="8" w:space="0" w:color="auto"/>
            </w:tcBorders>
          </w:tcPr>
          <w:p w14:paraId="31DA2B10" w14:textId="77777777" w:rsidR="00E65281" w:rsidRPr="001D528D" w:rsidRDefault="00E65281" w:rsidP="00BB5FA8">
            <w:pPr>
              <w:jc w:val="center"/>
              <w:rPr>
                <w:b/>
                <w:bCs/>
                <w:sz w:val="20"/>
                <w:szCs w:val="20"/>
              </w:rPr>
            </w:pPr>
            <w:r w:rsidRPr="001D528D">
              <w:rPr>
                <w:b/>
                <w:bCs/>
                <w:sz w:val="20"/>
                <w:szCs w:val="20"/>
              </w:rPr>
              <w:t>12 - 20</w:t>
            </w:r>
          </w:p>
          <w:p w14:paraId="19B2D537" w14:textId="77777777" w:rsidR="00E65281" w:rsidRPr="001D528D" w:rsidRDefault="00E65281" w:rsidP="00BB5FA8">
            <w:pPr>
              <w:jc w:val="center"/>
              <w:rPr>
                <w:b/>
                <w:bCs/>
                <w:sz w:val="20"/>
                <w:szCs w:val="20"/>
              </w:rPr>
            </w:pPr>
            <w:r w:rsidRPr="001D528D">
              <w:rPr>
                <w:b/>
                <w:bCs/>
                <w:sz w:val="20"/>
                <w:szCs w:val="20"/>
              </w:rPr>
              <w:t>Years</w:t>
            </w:r>
          </w:p>
        </w:tc>
      </w:tr>
      <w:tr w:rsidR="00E65281" w:rsidRPr="001D528D" w14:paraId="6F21DBD4" w14:textId="77777777" w:rsidTr="00BB5FA8">
        <w:trPr>
          <w:trHeight w:val="345"/>
        </w:trPr>
        <w:tc>
          <w:tcPr>
            <w:tcW w:w="3420" w:type="dxa"/>
            <w:tcBorders>
              <w:top w:val="single" w:sz="8" w:space="0" w:color="auto"/>
              <w:left w:val="single" w:sz="8" w:space="0" w:color="auto"/>
              <w:bottom w:val="single" w:sz="8" w:space="0" w:color="auto"/>
              <w:right w:val="single" w:sz="8" w:space="0" w:color="auto"/>
            </w:tcBorders>
          </w:tcPr>
          <w:p w14:paraId="2C978AC6" w14:textId="77777777" w:rsidR="00E65281" w:rsidRPr="001D528D" w:rsidRDefault="00E65281" w:rsidP="00C832C5">
            <w:r w:rsidRPr="001D528D">
              <w:rPr>
                <w:sz w:val="20"/>
                <w:szCs w:val="20"/>
              </w:rPr>
              <w:t>Clinical oral examination</w:t>
            </w:r>
            <w:r w:rsidRPr="001D528D">
              <w:rPr>
                <w:sz w:val="20"/>
                <w:szCs w:val="20"/>
                <w:vertAlign w:val="superscript"/>
              </w:rPr>
              <w:t xml:space="preserve"> (1)</w:t>
            </w:r>
          </w:p>
        </w:tc>
        <w:tc>
          <w:tcPr>
            <w:tcW w:w="1024" w:type="dxa"/>
            <w:tcBorders>
              <w:top w:val="single" w:sz="8" w:space="0" w:color="auto"/>
              <w:left w:val="single" w:sz="8" w:space="0" w:color="auto"/>
              <w:bottom w:val="single" w:sz="8" w:space="0" w:color="auto"/>
              <w:right w:val="single" w:sz="8" w:space="0" w:color="auto"/>
            </w:tcBorders>
          </w:tcPr>
          <w:p w14:paraId="4CB39363" w14:textId="77777777" w:rsidR="00E65281" w:rsidRPr="001D528D" w:rsidRDefault="00E65281" w:rsidP="00C832C5">
            <w:pPr>
              <w:jc w:val="center"/>
              <w:rPr>
                <w:sz w:val="20"/>
                <w:szCs w:val="20"/>
              </w:rPr>
            </w:pPr>
            <w:r w:rsidRPr="001D528D">
              <w:rPr>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202A256B"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0BEA354B"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330B334C" w14:textId="77777777" w:rsidR="00E65281" w:rsidRPr="001D528D" w:rsidRDefault="00E65281" w:rsidP="00C832C5">
            <w:pPr>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4FBBB52A" w14:textId="77777777" w:rsidR="00E65281" w:rsidRPr="001D528D" w:rsidRDefault="00E65281" w:rsidP="00C832C5">
            <w:pPr>
              <w:jc w:val="center"/>
              <w:rPr>
                <w:sz w:val="20"/>
                <w:szCs w:val="20"/>
              </w:rPr>
            </w:pPr>
            <w:r w:rsidRPr="001D528D">
              <w:rPr>
                <w:sz w:val="20"/>
                <w:szCs w:val="20"/>
              </w:rPr>
              <w:t>x</w:t>
            </w:r>
          </w:p>
        </w:tc>
      </w:tr>
      <w:tr w:rsidR="00E65281" w:rsidRPr="001D528D" w14:paraId="10D86BED" w14:textId="77777777" w:rsidTr="00BB5FA8">
        <w:trPr>
          <w:trHeight w:val="525"/>
        </w:trPr>
        <w:tc>
          <w:tcPr>
            <w:tcW w:w="3420" w:type="dxa"/>
            <w:tcBorders>
              <w:top w:val="single" w:sz="8" w:space="0" w:color="auto"/>
              <w:left w:val="single" w:sz="8" w:space="0" w:color="auto"/>
              <w:bottom w:val="single" w:sz="8" w:space="0" w:color="auto"/>
              <w:right w:val="single" w:sz="8" w:space="0" w:color="auto"/>
            </w:tcBorders>
          </w:tcPr>
          <w:p w14:paraId="00FB507A" w14:textId="77777777" w:rsidR="00E65281" w:rsidRPr="001D528D" w:rsidRDefault="00E65281" w:rsidP="00C832C5">
            <w:r w:rsidRPr="001D528D">
              <w:rPr>
                <w:sz w:val="20"/>
                <w:szCs w:val="20"/>
              </w:rPr>
              <w:t xml:space="preserve">Assess oral growth and development </w:t>
            </w:r>
            <w:r w:rsidRPr="001D528D">
              <w:rPr>
                <w:sz w:val="20"/>
                <w:szCs w:val="20"/>
                <w:vertAlign w:val="superscript"/>
              </w:rPr>
              <w:t>(2)</w:t>
            </w:r>
            <w:r w:rsidRPr="001D528D">
              <w:rPr>
                <w:sz w:val="20"/>
                <w:szCs w:val="20"/>
              </w:rPr>
              <w:t xml:space="preserve"> </w:t>
            </w:r>
          </w:p>
        </w:tc>
        <w:tc>
          <w:tcPr>
            <w:tcW w:w="1024" w:type="dxa"/>
            <w:tcBorders>
              <w:top w:val="single" w:sz="8" w:space="0" w:color="auto"/>
              <w:left w:val="single" w:sz="8" w:space="0" w:color="auto"/>
              <w:bottom w:val="single" w:sz="8" w:space="0" w:color="auto"/>
              <w:right w:val="single" w:sz="8" w:space="0" w:color="auto"/>
            </w:tcBorders>
          </w:tcPr>
          <w:p w14:paraId="444B008F" w14:textId="77777777" w:rsidR="00E65281" w:rsidRPr="001D528D" w:rsidRDefault="00E65281" w:rsidP="00C832C5">
            <w:pPr>
              <w:jc w:val="center"/>
              <w:rPr>
                <w:sz w:val="20"/>
                <w:szCs w:val="20"/>
              </w:rPr>
            </w:pPr>
            <w:r w:rsidRPr="001D528D">
              <w:rPr>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0C61362F"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08686BEA"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2900A462" w14:textId="77777777" w:rsidR="00E65281" w:rsidRPr="001D528D" w:rsidRDefault="00E65281" w:rsidP="00C832C5">
            <w:pPr>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18AF1C2B" w14:textId="77777777" w:rsidR="00E65281" w:rsidRPr="001D528D" w:rsidRDefault="00E65281" w:rsidP="00C832C5">
            <w:pPr>
              <w:jc w:val="center"/>
              <w:rPr>
                <w:sz w:val="20"/>
                <w:szCs w:val="20"/>
              </w:rPr>
            </w:pPr>
            <w:r w:rsidRPr="001D528D">
              <w:rPr>
                <w:sz w:val="20"/>
                <w:szCs w:val="20"/>
              </w:rPr>
              <w:t>x</w:t>
            </w:r>
          </w:p>
        </w:tc>
      </w:tr>
      <w:tr w:rsidR="00E65281" w:rsidRPr="001D528D" w14:paraId="08B9FE56" w14:textId="77777777" w:rsidTr="00BB5FA8">
        <w:trPr>
          <w:trHeight w:val="330"/>
        </w:trPr>
        <w:tc>
          <w:tcPr>
            <w:tcW w:w="3420" w:type="dxa"/>
            <w:tcBorders>
              <w:top w:val="single" w:sz="8" w:space="0" w:color="auto"/>
              <w:left w:val="single" w:sz="8" w:space="0" w:color="auto"/>
              <w:bottom w:val="single" w:sz="8" w:space="0" w:color="auto"/>
              <w:right w:val="single" w:sz="8" w:space="0" w:color="auto"/>
            </w:tcBorders>
          </w:tcPr>
          <w:p w14:paraId="59B10F74" w14:textId="77777777" w:rsidR="00E65281" w:rsidRPr="001D528D" w:rsidRDefault="00E65281" w:rsidP="00C832C5">
            <w:r w:rsidRPr="001D528D">
              <w:rPr>
                <w:sz w:val="20"/>
                <w:szCs w:val="20"/>
              </w:rPr>
              <w:t xml:space="preserve">Caries-risk assessment </w:t>
            </w:r>
            <w:r w:rsidRPr="001D528D">
              <w:rPr>
                <w:sz w:val="20"/>
                <w:szCs w:val="20"/>
                <w:vertAlign w:val="superscript"/>
              </w:rPr>
              <w:t>(3)</w:t>
            </w:r>
            <w:r w:rsidRPr="001D528D">
              <w:rPr>
                <w:sz w:val="20"/>
                <w:szCs w:val="20"/>
              </w:rPr>
              <w:t xml:space="preserve"> </w:t>
            </w:r>
          </w:p>
        </w:tc>
        <w:tc>
          <w:tcPr>
            <w:tcW w:w="1024" w:type="dxa"/>
            <w:tcBorders>
              <w:top w:val="single" w:sz="8" w:space="0" w:color="auto"/>
              <w:left w:val="single" w:sz="8" w:space="0" w:color="auto"/>
              <w:bottom w:val="single" w:sz="8" w:space="0" w:color="auto"/>
              <w:right w:val="single" w:sz="8" w:space="0" w:color="auto"/>
            </w:tcBorders>
          </w:tcPr>
          <w:p w14:paraId="78AAC35B" w14:textId="77777777" w:rsidR="00E65281" w:rsidRPr="001D528D" w:rsidRDefault="00E65281" w:rsidP="00C832C5">
            <w:pPr>
              <w:jc w:val="center"/>
              <w:rPr>
                <w:sz w:val="20"/>
                <w:szCs w:val="20"/>
              </w:rPr>
            </w:pPr>
            <w:r w:rsidRPr="001D528D">
              <w:rPr>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4A1581AE"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361CC15C"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0832B566" w14:textId="77777777" w:rsidR="00E65281" w:rsidRPr="001D528D" w:rsidRDefault="00E65281" w:rsidP="00C832C5">
            <w:pPr>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1C65CEC4" w14:textId="77777777" w:rsidR="00E65281" w:rsidRPr="001D528D" w:rsidRDefault="00E65281" w:rsidP="00C832C5">
            <w:pPr>
              <w:jc w:val="center"/>
              <w:rPr>
                <w:sz w:val="20"/>
                <w:szCs w:val="20"/>
              </w:rPr>
            </w:pPr>
            <w:r w:rsidRPr="001D528D">
              <w:rPr>
                <w:sz w:val="20"/>
                <w:szCs w:val="20"/>
              </w:rPr>
              <w:t>x</w:t>
            </w:r>
          </w:p>
        </w:tc>
      </w:tr>
      <w:tr w:rsidR="00E65281" w:rsidRPr="001D528D" w14:paraId="64FC7CA8" w14:textId="77777777" w:rsidTr="00BB5FA8">
        <w:trPr>
          <w:trHeight w:val="345"/>
        </w:trPr>
        <w:tc>
          <w:tcPr>
            <w:tcW w:w="3420" w:type="dxa"/>
            <w:tcBorders>
              <w:top w:val="single" w:sz="8" w:space="0" w:color="auto"/>
              <w:left w:val="single" w:sz="8" w:space="0" w:color="auto"/>
              <w:bottom w:val="single" w:sz="8" w:space="0" w:color="auto"/>
              <w:right w:val="single" w:sz="8" w:space="0" w:color="auto"/>
            </w:tcBorders>
          </w:tcPr>
          <w:p w14:paraId="625EE781" w14:textId="77777777" w:rsidR="00E65281" w:rsidRPr="001D528D" w:rsidRDefault="00E65281" w:rsidP="00C832C5">
            <w:r w:rsidRPr="001D528D">
              <w:rPr>
                <w:sz w:val="20"/>
                <w:szCs w:val="20"/>
              </w:rPr>
              <w:t xml:space="preserve">Radiographic assessment </w:t>
            </w:r>
            <w:r w:rsidRPr="001D528D">
              <w:rPr>
                <w:sz w:val="20"/>
                <w:szCs w:val="20"/>
                <w:vertAlign w:val="superscript"/>
              </w:rPr>
              <w:t xml:space="preserve">(4) </w:t>
            </w:r>
          </w:p>
        </w:tc>
        <w:tc>
          <w:tcPr>
            <w:tcW w:w="1024" w:type="dxa"/>
            <w:tcBorders>
              <w:top w:val="single" w:sz="8" w:space="0" w:color="auto"/>
              <w:left w:val="single" w:sz="8" w:space="0" w:color="auto"/>
              <w:bottom w:val="single" w:sz="8" w:space="0" w:color="auto"/>
              <w:right w:val="single" w:sz="8" w:space="0" w:color="auto"/>
            </w:tcBorders>
          </w:tcPr>
          <w:p w14:paraId="6DE43DE4" w14:textId="77777777" w:rsidR="00E65281" w:rsidRPr="001D528D" w:rsidRDefault="00E65281" w:rsidP="00C832C5">
            <w:pPr>
              <w:jc w:val="center"/>
              <w:rPr>
                <w:sz w:val="20"/>
                <w:szCs w:val="20"/>
              </w:rPr>
            </w:pPr>
            <w:r w:rsidRPr="001D528D">
              <w:rPr>
                <w:sz w:val="20"/>
                <w:szCs w:val="20"/>
              </w:rPr>
              <w:t xml:space="preserve"> </w:t>
            </w:r>
          </w:p>
        </w:tc>
        <w:tc>
          <w:tcPr>
            <w:tcW w:w="1157" w:type="dxa"/>
            <w:tcBorders>
              <w:top w:val="single" w:sz="8" w:space="0" w:color="auto"/>
              <w:left w:val="single" w:sz="8" w:space="0" w:color="auto"/>
              <w:bottom w:val="single" w:sz="8" w:space="0" w:color="auto"/>
              <w:right w:val="single" w:sz="8" w:space="0" w:color="auto"/>
            </w:tcBorders>
          </w:tcPr>
          <w:p w14:paraId="68274199" w14:textId="77777777" w:rsidR="00E65281" w:rsidRPr="001D528D" w:rsidRDefault="00E65281" w:rsidP="00C832C5">
            <w:pPr>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450C6878"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08108DED" w14:textId="77777777" w:rsidR="00E65281" w:rsidRPr="001D528D" w:rsidRDefault="00E65281" w:rsidP="00C832C5">
            <w:pPr>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7E2177C3" w14:textId="77777777" w:rsidR="00E65281" w:rsidRPr="001D528D" w:rsidRDefault="00E65281" w:rsidP="00C832C5">
            <w:pPr>
              <w:jc w:val="center"/>
              <w:rPr>
                <w:sz w:val="20"/>
                <w:szCs w:val="20"/>
              </w:rPr>
            </w:pPr>
            <w:r w:rsidRPr="001D528D">
              <w:rPr>
                <w:sz w:val="20"/>
                <w:szCs w:val="20"/>
              </w:rPr>
              <w:t>x</w:t>
            </w:r>
          </w:p>
        </w:tc>
      </w:tr>
      <w:tr w:rsidR="00E65281" w:rsidRPr="001D528D" w14:paraId="012945EE" w14:textId="77777777" w:rsidTr="00BB5FA8">
        <w:trPr>
          <w:trHeight w:val="295"/>
        </w:trPr>
        <w:tc>
          <w:tcPr>
            <w:tcW w:w="3420" w:type="dxa"/>
            <w:tcBorders>
              <w:top w:val="single" w:sz="8" w:space="0" w:color="auto"/>
              <w:left w:val="single" w:sz="8" w:space="0" w:color="auto"/>
              <w:bottom w:val="single" w:sz="8" w:space="0" w:color="auto"/>
              <w:right w:val="single" w:sz="8" w:space="0" w:color="auto"/>
            </w:tcBorders>
          </w:tcPr>
          <w:p w14:paraId="45472CF2" w14:textId="77777777" w:rsidR="00E65281" w:rsidRPr="001D528D" w:rsidRDefault="00E65281" w:rsidP="00C832C5">
            <w:r w:rsidRPr="001D528D">
              <w:rPr>
                <w:sz w:val="20"/>
                <w:szCs w:val="20"/>
              </w:rPr>
              <w:t xml:space="preserve">Prophylaxis and topical fluoride </w:t>
            </w:r>
            <w:r w:rsidRPr="001D528D">
              <w:rPr>
                <w:sz w:val="20"/>
                <w:szCs w:val="20"/>
                <w:vertAlign w:val="superscript"/>
              </w:rPr>
              <w:t>(5)</w:t>
            </w:r>
            <w:r w:rsidRPr="001D528D">
              <w:rPr>
                <w:sz w:val="20"/>
                <w:szCs w:val="20"/>
              </w:rPr>
              <w:t xml:space="preserve"> </w:t>
            </w:r>
          </w:p>
        </w:tc>
        <w:tc>
          <w:tcPr>
            <w:tcW w:w="1024" w:type="dxa"/>
            <w:tcBorders>
              <w:top w:val="single" w:sz="8" w:space="0" w:color="auto"/>
              <w:left w:val="single" w:sz="8" w:space="0" w:color="auto"/>
              <w:bottom w:val="single" w:sz="8" w:space="0" w:color="auto"/>
              <w:right w:val="single" w:sz="8" w:space="0" w:color="auto"/>
            </w:tcBorders>
          </w:tcPr>
          <w:p w14:paraId="569419AD" w14:textId="77777777" w:rsidR="00E65281" w:rsidRPr="001D528D" w:rsidRDefault="00E65281" w:rsidP="00C832C5">
            <w:pPr>
              <w:jc w:val="center"/>
              <w:rPr>
                <w:sz w:val="20"/>
                <w:szCs w:val="20"/>
              </w:rPr>
            </w:pPr>
            <w:r w:rsidRPr="001D528D">
              <w:rPr>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0AA9F2EB"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34D8D885"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7DF7342A" w14:textId="77777777" w:rsidR="00E65281" w:rsidRPr="001D528D" w:rsidRDefault="00E65281" w:rsidP="00C832C5">
            <w:pPr>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0F9924E6" w14:textId="77777777" w:rsidR="00E65281" w:rsidRPr="001D528D" w:rsidRDefault="00E65281" w:rsidP="00C832C5">
            <w:pPr>
              <w:jc w:val="center"/>
              <w:rPr>
                <w:sz w:val="20"/>
                <w:szCs w:val="20"/>
              </w:rPr>
            </w:pPr>
            <w:r w:rsidRPr="001D528D">
              <w:rPr>
                <w:sz w:val="20"/>
                <w:szCs w:val="20"/>
              </w:rPr>
              <w:t>x</w:t>
            </w:r>
          </w:p>
        </w:tc>
      </w:tr>
      <w:tr w:rsidR="00E65281" w:rsidRPr="001D528D" w14:paraId="2A4A1587" w14:textId="77777777" w:rsidTr="00BB5FA8">
        <w:trPr>
          <w:trHeight w:val="330"/>
        </w:trPr>
        <w:tc>
          <w:tcPr>
            <w:tcW w:w="3420" w:type="dxa"/>
            <w:tcBorders>
              <w:top w:val="single" w:sz="8" w:space="0" w:color="auto"/>
              <w:left w:val="single" w:sz="8" w:space="0" w:color="auto"/>
              <w:bottom w:val="single" w:sz="8" w:space="0" w:color="auto"/>
              <w:right w:val="single" w:sz="8" w:space="0" w:color="auto"/>
            </w:tcBorders>
          </w:tcPr>
          <w:p w14:paraId="276C5BAF" w14:textId="77777777" w:rsidR="00E65281" w:rsidRPr="001D528D" w:rsidRDefault="00E65281" w:rsidP="00C832C5">
            <w:r w:rsidRPr="001D528D">
              <w:rPr>
                <w:sz w:val="20"/>
                <w:szCs w:val="20"/>
              </w:rPr>
              <w:t xml:space="preserve">Fluoride supplementation </w:t>
            </w:r>
            <w:r w:rsidRPr="001D528D">
              <w:rPr>
                <w:sz w:val="20"/>
                <w:szCs w:val="20"/>
                <w:vertAlign w:val="superscript"/>
              </w:rPr>
              <w:t>(6)</w:t>
            </w:r>
          </w:p>
        </w:tc>
        <w:tc>
          <w:tcPr>
            <w:tcW w:w="1024" w:type="dxa"/>
            <w:tcBorders>
              <w:top w:val="single" w:sz="8" w:space="0" w:color="auto"/>
              <w:left w:val="single" w:sz="8" w:space="0" w:color="auto"/>
              <w:bottom w:val="single" w:sz="8" w:space="0" w:color="auto"/>
              <w:right w:val="single" w:sz="8" w:space="0" w:color="auto"/>
            </w:tcBorders>
          </w:tcPr>
          <w:p w14:paraId="0306001A" w14:textId="77777777" w:rsidR="00E65281" w:rsidRPr="001D528D" w:rsidRDefault="00E65281" w:rsidP="00C832C5">
            <w:pPr>
              <w:jc w:val="center"/>
              <w:rPr>
                <w:sz w:val="20"/>
                <w:szCs w:val="20"/>
              </w:rPr>
            </w:pPr>
            <w:r w:rsidRPr="001D528D">
              <w:rPr>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183E94EA"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33E39E54"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3E3DD006" w14:textId="77777777" w:rsidR="00E65281" w:rsidRPr="001D528D" w:rsidRDefault="00E65281" w:rsidP="00C832C5">
            <w:pPr>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64624DA8" w14:textId="77777777" w:rsidR="00E65281" w:rsidRPr="001D528D" w:rsidRDefault="00E65281" w:rsidP="00C832C5">
            <w:pPr>
              <w:jc w:val="center"/>
              <w:rPr>
                <w:sz w:val="20"/>
                <w:szCs w:val="20"/>
              </w:rPr>
            </w:pPr>
            <w:r w:rsidRPr="001D528D">
              <w:rPr>
                <w:sz w:val="20"/>
                <w:szCs w:val="20"/>
              </w:rPr>
              <w:t>x</w:t>
            </w:r>
          </w:p>
        </w:tc>
      </w:tr>
      <w:tr w:rsidR="00E65281" w:rsidRPr="001D528D" w14:paraId="1BB8317E" w14:textId="77777777" w:rsidTr="00BB5FA8">
        <w:trPr>
          <w:trHeight w:val="525"/>
        </w:trPr>
        <w:tc>
          <w:tcPr>
            <w:tcW w:w="3420" w:type="dxa"/>
            <w:tcBorders>
              <w:top w:val="single" w:sz="8" w:space="0" w:color="auto"/>
              <w:left w:val="single" w:sz="8" w:space="0" w:color="auto"/>
              <w:bottom w:val="single" w:sz="8" w:space="0" w:color="auto"/>
              <w:right w:val="single" w:sz="8" w:space="0" w:color="auto"/>
            </w:tcBorders>
          </w:tcPr>
          <w:p w14:paraId="77289A4E" w14:textId="77777777" w:rsidR="00E65281" w:rsidRPr="00BB5FA8" w:rsidRDefault="00E65281" w:rsidP="00C832C5">
            <w:pPr>
              <w:rPr>
                <w:sz w:val="20"/>
                <w:szCs w:val="20"/>
              </w:rPr>
            </w:pPr>
            <w:r w:rsidRPr="001D528D">
              <w:rPr>
                <w:sz w:val="20"/>
                <w:szCs w:val="20"/>
              </w:rPr>
              <w:t xml:space="preserve">Anticipatory guidance/counseling </w:t>
            </w:r>
            <w:r w:rsidRPr="001D528D">
              <w:rPr>
                <w:sz w:val="20"/>
                <w:szCs w:val="20"/>
                <w:vertAlign w:val="superscript"/>
              </w:rPr>
              <w:t xml:space="preserve">(7) </w:t>
            </w:r>
          </w:p>
        </w:tc>
        <w:tc>
          <w:tcPr>
            <w:tcW w:w="1024" w:type="dxa"/>
            <w:tcBorders>
              <w:top w:val="single" w:sz="8" w:space="0" w:color="auto"/>
              <w:left w:val="single" w:sz="8" w:space="0" w:color="auto"/>
              <w:bottom w:val="single" w:sz="8" w:space="0" w:color="auto"/>
              <w:right w:val="single" w:sz="8" w:space="0" w:color="auto"/>
            </w:tcBorders>
          </w:tcPr>
          <w:p w14:paraId="6BB4A05D" w14:textId="77777777" w:rsidR="00E65281" w:rsidRPr="001D528D" w:rsidRDefault="00E65281" w:rsidP="00C832C5">
            <w:pPr>
              <w:jc w:val="center"/>
              <w:rPr>
                <w:sz w:val="20"/>
                <w:szCs w:val="20"/>
              </w:rPr>
            </w:pPr>
            <w:r w:rsidRPr="001D528D">
              <w:rPr>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0B78FDB5"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3BA9CE37"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7C58D610" w14:textId="77777777" w:rsidR="00E65281" w:rsidRPr="001D528D" w:rsidRDefault="00E65281" w:rsidP="00C832C5">
            <w:pPr>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77192BF4" w14:textId="77777777" w:rsidR="00E65281" w:rsidRPr="001D528D" w:rsidRDefault="00E65281" w:rsidP="00C832C5">
            <w:pPr>
              <w:jc w:val="center"/>
              <w:rPr>
                <w:sz w:val="20"/>
                <w:szCs w:val="20"/>
              </w:rPr>
            </w:pPr>
            <w:r w:rsidRPr="001D528D">
              <w:rPr>
                <w:sz w:val="20"/>
                <w:szCs w:val="20"/>
              </w:rPr>
              <w:t>x</w:t>
            </w:r>
          </w:p>
        </w:tc>
      </w:tr>
      <w:tr w:rsidR="00E65281" w:rsidRPr="001D528D" w14:paraId="6C89AECA" w14:textId="77777777" w:rsidTr="00BB5FA8">
        <w:trPr>
          <w:trHeight w:val="270"/>
        </w:trPr>
        <w:tc>
          <w:tcPr>
            <w:tcW w:w="3420" w:type="dxa"/>
            <w:tcBorders>
              <w:top w:val="single" w:sz="8" w:space="0" w:color="auto"/>
              <w:left w:val="single" w:sz="8" w:space="0" w:color="auto"/>
              <w:bottom w:val="single" w:sz="8" w:space="0" w:color="auto"/>
              <w:right w:val="single" w:sz="8" w:space="0" w:color="auto"/>
            </w:tcBorders>
          </w:tcPr>
          <w:p w14:paraId="044F8060" w14:textId="77777777" w:rsidR="00E65281" w:rsidRPr="001D528D" w:rsidRDefault="00E65281" w:rsidP="00C832C5">
            <w:r w:rsidRPr="001D528D">
              <w:rPr>
                <w:sz w:val="20"/>
                <w:szCs w:val="20"/>
              </w:rPr>
              <w:t xml:space="preserve">Oral hygiene counseling </w:t>
            </w:r>
            <w:r w:rsidRPr="001D528D">
              <w:rPr>
                <w:sz w:val="20"/>
                <w:szCs w:val="20"/>
                <w:vertAlign w:val="superscript"/>
              </w:rPr>
              <w:t>(8)</w:t>
            </w:r>
            <w:r w:rsidRPr="001D528D">
              <w:rPr>
                <w:sz w:val="20"/>
                <w:szCs w:val="20"/>
              </w:rPr>
              <w:t xml:space="preserve"> </w:t>
            </w:r>
          </w:p>
        </w:tc>
        <w:tc>
          <w:tcPr>
            <w:tcW w:w="1024" w:type="dxa"/>
            <w:tcBorders>
              <w:top w:val="single" w:sz="8" w:space="0" w:color="auto"/>
              <w:left w:val="single" w:sz="8" w:space="0" w:color="auto"/>
              <w:bottom w:val="single" w:sz="8" w:space="0" w:color="auto"/>
              <w:right w:val="single" w:sz="8" w:space="0" w:color="auto"/>
            </w:tcBorders>
          </w:tcPr>
          <w:p w14:paraId="78FC8EEE" w14:textId="77777777" w:rsidR="00E65281" w:rsidRPr="001D528D" w:rsidRDefault="00E65281" w:rsidP="00C832C5">
            <w:pPr>
              <w:jc w:val="center"/>
              <w:rPr>
                <w:sz w:val="20"/>
                <w:szCs w:val="20"/>
              </w:rPr>
            </w:pPr>
            <w:r w:rsidRPr="001D528D">
              <w:rPr>
                <w:sz w:val="20"/>
                <w:szCs w:val="20"/>
              </w:rPr>
              <w:t>Parent</w:t>
            </w:r>
          </w:p>
        </w:tc>
        <w:tc>
          <w:tcPr>
            <w:tcW w:w="1157" w:type="dxa"/>
            <w:tcBorders>
              <w:top w:val="single" w:sz="8" w:space="0" w:color="auto"/>
              <w:left w:val="single" w:sz="8" w:space="0" w:color="auto"/>
              <w:bottom w:val="single" w:sz="8" w:space="0" w:color="auto"/>
              <w:right w:val="single" w:sz="8" w:space="0" w:color="auto"/>
            </w:tcBorders>
          </w:tcPr>
          <w:p w14:paraId="0C04392D" w14:textId="77777777" w:rsidR="00E65281" w:rsidRPr="001D528D" w:rsidRDefault="00E65281" w:rsidP="00C832C5">
            <w:pPr>
              <w:jc w:val="center"/>
              <w:rPr>
                <w:sz w:val="20"/>
                <w:szCs w:val="20"/>
              </w:rPr>
            </w:pPr>
            <w:r w:rsidRPr="001D528D">
              <w:rPr>
                <w:sz w:val="20"/>
                <w:szCs w:val="20"/>
              </w:rPr>
              <w:t>Parent</w:t>
            </w:r>
          </w:p>
        </w:tc>
        <w:tc>
          <w:tcPr>
            <w:tcW w:w="1334" w:type="dxa"/>
            <w:tcBorders>
              <w:top w:val="single" w:sz="8" w:space="0" w:color="auto"/>
              <w:left w:val="single" w:sz="8" w:space="0" w:color="auto"/>
              <w:bottom w:val="single" w:sz="8" w:space="0" w:color="auto"/>
              <w:right w:val="single" w:sz="8" w:space="0" w:color="auto"/>
            </w:tcBorders>
          </w:tcPr>
          <w:p w14:paraId="19121871" w14:textId="77777777" w:rsidR="00E65281" w:rsidRPr="001D528D" w:rsidRDefault="00E65281" w:rsidP="00C832C5">
            <w:pPr>
              <w:jc w:val="center"/>
              <w:rPr>
                <w:sz w:val="20"/>
                <w:szCs w:val="20"/>
              </w:rPr>
            </w:pPr>
            <w:r w:rsidRPr="001D528D">
              <w:rPr>
                <w:sz w:val="20"/>
                <w:szCs w:val="20"/>
              </w:rPr>
              <w:t>Patient/parent</w:t>
            </w:r>
          </w:p>
        </w:tc>
        <w:tc>
          <w:tcPr>
            <w:tcW w:w="1334" w:type="dxa"/>
            <w:tcBorders>
              <w:top w:val="single" w:sz="8" w:space="0" w:color="auto"/>
              <w:left w:val="single" w:sz="8" w:space="0" w:color="auto"/>
              <w:bottom w:val="single" w:sz="8" w:space="0" w:color="auto"/>
              <w:right w:val="single" w:sz="8" w:space="0" w:color="auto"/>
            </w:tcBorders>
          </w:tcPr>
          <w:p w14:paraId="66405727" w14:textId="77777777" w:rsidR="00E65281" w:rsidRPr="001D528D" w:rsidRDefault="00E65281" w:rsidP="00C832C5">
            <w:pPr>
              <w:jc w:val="center"/>
              <w:rPr>
                <w:sz w:val="20"/>
                <w:szCs w:val="20"/>
              </w:rPr>
            </w:pPr>
            <w:r w:rsidRPr="001D528D">
              <w:rPr>
                <w:sz w:val="20"/>
                <w:szCs w:val="20"/>
              </w:rPr>
              <w:t>Patient/parent</w:t>
            </w:r>
          </w:p>
        </w:tc>
        <w:tc>
          <w:tcPr>
            <w:tcW w:w="1273" w:type="dxa"/>
            <w:tcBorders>
              <w:top w:val="single" w:sz="8" w:space="0" w:color="auto"/>
              <w:left w:val="single" w:sz="8" w:space="0" w:color="auto"/>
              <w:bottom w:val="single" w:sz="8" w:space="0" w:color="auto"/>
              <w:right w:val="single" w:sz="8" w:space="0" w:color="auto"/>
            </w:tcBorders>
          </w:tcPr>
          <w:p w14:paraId="4D5C6489" w14:textId="77777777" w:rsidR="00E65281" w:rsidRPr="001D528D" w:rsidRDefault="00E65281" w:rsidP="00C832C5">
            <w:pPr>
              <w:jc w:val="center"/>
              <w:rPr>
                <w:sz w:val="20"/>
                <w:szCs w:val="20"/>
              </w:rPr>
            </w:pPr>
            <w:r w:rsidRPr="001D528D">
              <w:rPr>
                <w:sz w:val="20"/>
                <w:szCs w:val="20"/>
              </w:rPr>
              <w:t>Patient</w:t>
            </w:r>
          </w:p>
        </w:tc>
      </w:tr>
      <w:tr w:rsidR="00E65281" w:rsidRPr="001D528D" w14:paraId="2ABBD97A" w14:textId="77777777" w:rsidTr="00BB5FA8">
        <w:trPr>
          <w:trHeight w:val="270"/>
        </w:trPr>
        <w:tc>
          <w:tcPr>
            <w:tcW w:w="3420" w:type="dxa"/>
            <w:tcBorders>
              <w:top w:val="single" w:sz="8" w:space="0" w:color="auto"/>
              <w:left w:val="single" w:sz="8" w:space="0" w:color="auto"/>
              <w:bottom w:val="single" w:sz="8" w:space="0" w:color="auto"/>
              <w:right w:val="single" w:sz="8" w:space="0" w:color="auto"/>
            </w:tcBorders>
          </w:tcPr>
          <w:p w14:paraId="79035F1C" w14:textId="77777777" w:rsidR="00E65281" w:rsidRPr="001D528D" w:rsidRDefault="00E65281" w:rsidP="00C832C5">
            <w:r w:rsidRPr="001D528D">
              <w:rPr>
                <w:sz w:val="20"/>
                <w:szCs w:val="20"/>
              </w:rPr>
              <w:t xml:space="preserve">Dietary counseling </w:t>
            </w:r>
            <w:r w:rsidRPr="001D528D">
              <w:rPr>
                <w:sz w:val="20"/>
                <w:szCs w:val="20"/>
                <w:vertAlign w:val="superscript"/>
              </w:rPr>
              <w:t>(9)</w:t>
            </w:r>
            <w:r w:rsidRPr="001D528D">
              <w:rPr>
                <w:sz w:val="20"/>
                <w:szCs w:val="20"/>
              </w:rPr>
              <w:t xml:space="preserve"> </w:t>
            </w:r>
          </w:p>
        </w:tc>
        <w:tc>
          <w:tcPr>
            <w:tcW w:w="1024" w:type="dxa"/>
            <w:tcBorders>
              <w:top w:val="single" w:sz="8" w:space="0" w:color="auto"/>
              <w:left w:val="single" w:sz="8" w:space="0" w:color="auto"/>
              <w:bottom w:val="single" w:sz="8" w:space="0" w:color="auto"/>
              <w:right w:val="single" w:sz="8" w:space="0" w:color="auto"/>
            </w:tcBorders>
          </w:tcPr>
          <w:p w14:paraId="1164AC63" w14:textId="77777777" w:rsidR="00E65281" w:rsidRPr="001D528D" w:rsidRDefault="00E65281" w:rsidP="00C832C5">
            <w:pPr>
              <w:jc w:val="center"/>
              <w:rPr>
                <w:sz w:val="20"/>
                <w:szCs w:val="20"/>
              </w:rPr>
            </w:pPr>
            <w:r w:rsidRPr="001D528D">
              <w:rPr>
                <w:sz w:val="20"/>
                <w:szCs w:val="20"/>
              </w:rPr>
              <w:t xml:space="preserve"> x</w:t>
            </w:r>
          </w:p>
        </w:tc>
        <w:tc>
          <w:tcPr>
            <w:tcW w:w="1157" w:type="dxa"/>
            <w:tcBorders>
              <w:top w:val="single" w:sz="8" w:space="0" w:color="auto"/>
              <w:left w:val="single" w:sz="8" w:space="0" w:color="auto"/>
              <w:bottom w:val="single" w:sz="8" w:space="0" w:color="auto"/>
              <w:right w:val="single" w:sz="8" w:space="0" w:color="auto"/>
            </w:tcBorders>
          </w:tcPr>
          <w:p w14:paraId="5E360524" w14:textId="77777777" w:rsidR="00E65281" w:rsidRPr="001D528D" w:rsidRDefault="00E65281" w:rsidP="00C832C5">
            <w:pPr>
              <w:jc w:val="center"/>
              <w:rPr>
                <w:sz w:val="20"/>
                <w:szCs w:val="20"/>
              </w:rPr>
            </w:pPr>
            <w:r w:rsidRPr="001D528D">
              <w:rPr>
                <w:sz w:val="20"/>
                <w:szCs w:val="20"/>
              </w:rPr>
              <w:t xml:space="preserve"> x</w:t>
            </w:r>
          </w:p>
        </w:tc>
        <w:tc>
          <w:tcPr>
            <w:tcW w:w="1334" w:type="dxa"/>
            <w:tcBorders>
              <w:top w:val="single" w:sz="8" w:space="0" w:color="auto"/>
              <w:left w:val="single" w:sz="8" w:space="0" w:color="auto"/>
              <w:bottom w:val="single" w:sz="8" w:space="0" w:color="auto"/>
              <w:right w:val="single" w:sz="8" w:space="0" w:color="auto"/>
            </w:tcBorders>
          </w:tcPr>
          <w:p w14:paraId="5970123D"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3B789809" w14:textId="77777777" w:rsidR="00E65281" w:rsidRPr="001D528D" w:rsidRDefault="00E65281" w:rsidP="00C832C5">
            <w:pPr>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1C6D5E00" w14:textId="77777777" w:rsidR="00E65281" w:rsidRPr="001D528D" w:rsidRDefault="00E65281" w:rsidP="00C832C5">
            <w:pPr>
              <w:jc w:val="center"/>
              <w:rPr>
                <w:sz w:val="20"/>
                <w:szCs w:val="20"/>
              </w:rPr>
            </w:pPr>
            <w:r w:rsidRPr="001D528D">
              <w:rPr>
                <w:sz w:val="20"/>
                <w:szCs w:val="20"/>
              </w:rPr>
              <w:t>x</w:t>
            </w:r>
          </w:p>
        </w:tc>
      </w:tr>
      <w:tr w:rsidR="00E65281" w:rsidRPr="001D528D" w14:paraId="1A7B6A28" w14:textId="77777777" w:rsidTr="00BB5FA8">
        <w:trPr>
          <w:trHeight w:val="525"/>
        </w:trPr>
        <w:tc>
          <w:tcPr>
            <w:tcW w:w="3420" w:type="dxa"/>
            <w:tcBorders>
              <w:top w:val="single" w:sz="8" w:space="0" w:color="auto"/>
              <w:left w:val="single" w:sz="8" w:space="0" w:color="auto"/>
              <w:bottom w:val="single" w:sz="8" w:space="0" w:color="auto"/>
              <w:right w:val="single" w:sz="8" w:space="0" w:color="auto"/>
            </w:tcBorders>
          </w:tcPr>
          <w:p w14:paraId="0392EEFF" w14:textId="77777777" w:rsidR="00E65281" w:rsidRPr="001D528D" w:rsidRDefault="00E65281" w:rsidP="007940ED">
            <w:bookmarkStart w:id="4" w:name="_Hlk57719955"/>
            <w:r w:rsidRPr="001D528D">
              <w:rPr>
                <w:sz w:val="20"/>
                <w:szCs w:val="20"/>
              </w:rPr>
              <w:t xml:space="preserve">Counseling for nonnutritive habits </w:t>
            </w:r>
            <w:r w:rsidRPr="001D528D">
              <w:rPr>
                <w:sz w:val="20"/>
                <w:szCs w:val="20"/>
                <w:vertAlign w:val="superscript"/>
              </w:rPr>
              <w:t>(10)</w:t>
            </w:r>
          </w:p>
        </w:tc>
        <w:tc>
          <w:tcPr>
            <w:tcW w:w="1024" w:type="dxa"/>
            <w:tcBorders>
              <w:top w:val="single" w:sz="8" w:space="0" w:color="auto"/>
              <w:left w:val="single" w:sz="8" w:space="0" w:color="auto"/>
              <w:bottom w:val="single" w:sz="8" w:space="0" w:color="auto"/>
              <w:right w:val="single" w:sz="8" w:space="0" w:color="auto"/>
            </w:tcBorders>
          </w:tcPr>
          <w:p w14:paraId="36E75FAA" w14:textId="77777777" w:rsidR="00E65281" w:rsidRPr="001D528D" w:rsidRDefault="00E65281" w:rsidP="00C832C5">
            <w:pPr>
              <w:jc w:val="center"/>
              <w:rPr>
                <w:sz w:val="20"/>
                <w:szCs w:val="20"/>
              </w:rPr>
            </w:pPr>
            <w:r w:rsidRPr="001D528D">
              <w:rPr>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654DCAFB"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7470F14C"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2BE5E2F4" w14:textId="77777777" w:rsidR="00E65281" w:rsidRPr="001D528D" w:rsidRDefault="00E65281" w:rsidP="00C832C5">
            <w:pPr>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2D406550" w14:textId="77777777" w:rsidR="00E65281" w:rsidRPr="001D528D" w:rsidRDefault="00E65281" w:rsidP="00C832C5">
            <w:pPr>
              <w:jc w:val="center"/>
              <w:rPr>
                <w:sz w:val="20"/>
                <w:szCs w:val="20"/>
              </w:rPr>
            </w:pPr>
            <w:r w:rsidRPr="001D528D">
              <w:rPr>
                <w:sz w:val="20"/>
                <w:szCs w:val="20"/>
              </w:rPr>
              <w:t>x</w:t>
            </w:r>
          </w:p>
        </w:tc>
      </w:tr>
      <w:tr w:rsidR="00E65281" w:rsidRPr="001D528D" w14:paraId="303371E2" w14:textId="77777777" w:rsidTr="00BB5FA8">
        <w:trPr>
          <w:trHeight w:val="255"/>
        </w:trPr>
        <w:tc>
          <w:tcPr>
            <w:tcW w:w="3420" w:type="dxa"/>
            <w:tcBorders>
              <w:top w:val="single" w:sz="8" w:space="0" w:color="auto"/>
              <w:left w:val="single" w:sz="8" w:space="0" w:color="auto"/>
              <w:bottom w:val="single" w:sz="8" w:space="0" w:color="auto"/>
              <w:right w:val="single" w:sz="8" w:space="0" w:color="auto"/>
            </w:tcBorders>
          </w:tcPr>
          <w:p w14:paraId="0BA44DF0" w14:textId="77777777" w:rsidR="00E65281" w:rsidRPr="001D528D" w:rsidRDefault="00E65281" w:rsidP="002E635A">
            <w:pPr>
              <w:rPr>
                <w:sz w:val="20"/>
                <w:szCs w:val="20"/>
              </w:rPr>
            </w:pPr>
            <w:r w:rsidRPr="001D528D">
              <w:rPr>
                <w:sz w:val="20"/>
                <w:szCs w:val="20"/>
              </w:rPr>
              <w:t xml:space="preserve">Injury prevention and safety counseling </w:t>
            </w:r>
            <w:r w:rsidRPr="001D528D">
              <w:rPr>
                <w:sz w:val="20"/>
                <w:szCs w:val="20"/>
                <w:vertAlign w:val="superscript"/>
              </w:rPr>
              <w:t>(11)</w:t>
            </w:r>
          </w:p>
        </w:tc>
        <w:tc>
          <w:tcPr>
            <w:tcW w:w="1024" w:type="dxa"/>
            <w:tcBorders>
              <w:top w:val="single" w:sz="8" w:space="0" w:color="auto"/>
              <w:left w:val="single" w:sz="8" w:space="0" w:color="auto"/>
              <w:bottom w:val="single" w:sz="8" w:space="0" w:color="auto"/>
              <w:right w:val="single" w:sz="8" w:space="0" w:color="auto"/>
            </w:tcBorders>
          </w:tcPr>
          <w:p w14:paraId="394E95A7" w14:textId="77777777" w:rsidR="00E65281" w:rsidRPr="001D528D" w:rsidRDefault="00E65281" w:rsidP="00C832C5">
            <w:pPr>
              <w:jc w:val="center"/>
              <w:rPr>
                <w:sz w:val="20"/>
                <w:szCs w:val="20"/>
              </w:rPr>
            </w:pPr>
            <w:r w:rsidRPr="001D528D">
              <w:rPr>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16CFFA9E"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43CE35CC"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58F2A800" w14:textId="77777777" w:rsidR="00E65281" w:rsidRPr="001D528D" w:rsidRDefault="00E65281" w:rsidP="00C832C5">
            <w:pPr>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7024007B" w14:textId="77777777" w:rsidR="00E65281" w:rsidRPr="001D528D" w:rsidRDefault="00E65281" w:rsidP="00C832C5">
            <w:pPr>
              <w:jc w:val="center"/>
              <w:rPr>
                <w:sz w:val="20"/>
                <w:szCs w:val="20"/>
              </w:rPr>
            </w:pPr>
            <w:r w:rsidRPr="001D528D">
              <w:rPr>
                <w:sz w:val="20"/>
                <w:szCs w:val="20"/>
              </w:rPr>
              <w:t>x</w:t>
            </w:r>
          </w:p>
        </w:tc>
      </w:tr>
      <w:tr w:rsidR="00E65281" w:rsidRPr="001D528D" w14:paraId="2F68181B" w14:textId="77777777" w:rsidTr="00BB5FA8">
        <w:trPr>
          <w:trHeight w:val="255"/>
        </w:trPr>
        <w:tc>
          <w:tcPr>
            <w:tcW w:w="3420" w:type="dxa"/>
            <w:tcBorders>
              <w:top w:val="single" w:sz="8" w:space="0" w:color="auto"/>
              <w:left w:val="single" w:sz="8" w:space="0" w:color="auto"/>
              <w:bottom w:val="single" w:sz="8" w:space="0" w:color="auto"/>
              <w:right w:val="single" w:sz="8" w:space="0" w:color="auto"/>
            </w:tcBorders>
          </w:tcPr>
          <w:p w14:paraId="40A4C70A" w14:textId="77777777" w:rsidR="00E65281" w:rsidRPr="001D528D" w:rsidRDefault="00E65281" w:rsidP="00BB5FA8">
            <w:pPr>
              <w:rPr>
                <w:sz w:val="20"/>
                <w:szCs w:val="20"/>
              </w:rPr>
            </w:pPr>
            <w:r w:rsidRPr="001D528D">
              <w:rPr>
                <w:sz w:val="20"/>
                <w:szCs w:val="20"/>
              </w:rPr>
              <w:t>Assess speech/language</w:t>
            </w:r>
            <w:r>
              <w:rPr>
                <w:sz w:val="20"/>
                <w:szCs w:val="20"/>
              </w:rPr>
              <w:t xml:space="preserve"> </w:t>
            </w:r>
            <w:r w:rsidRPr="001D528D">
              <w:rPr>
                <w:sz w:val="20"/>
                <w:szCs w:val="20"/>
              </w:rPr>
              <w:t xml:space="preserve">development </w:t>
            </w:r>
            <w:r w:rsidRPr="001D528D">
              <w:rPr>
                <w:sz w:val="20"/>
                <w:szCs w:val="20"/>
                <w:vertAlign w:val="superscript"/>
              </w:rPr>
              <w:t>(12)</w:t>
            </w:r>
          </w:p>
        </w:tc>
        <w:tc>
          <w:tcPr>
            <w:tcW w:w="1024" w:type="dxa"/>
            <w:tcBorders>
              <w:top w:val="single" w:sz="8" w:space="0" w:color="auto"/>
              <w:left w:val="single" w:sz="8" w:space="0" w:color="auto"/>
              <w:bottom w:val="single" w:sz="8" w:space="0" w:color="auto"/>
              <w:right w:val="single" w:sz="8" w:space="0" w:color="auto"/>
            </w:tcBorders>
          </w:tcPr>
          <w:p w14:paraId="0C749F9B" w14:textId="77777777" w:rsidR="00E65281" w:rsidRPr="001D528D" w:rsidRDefault="00E65281" w:rsidP="00C832C5">
            <w:pPr>
              <w:jc w:val="center"/>
              <w:rPr>
                <w:sz w:val="20"/>
                <w:szCs w:val="20"/>
              </w:rPr>
            </w:pPr>
            <w:r w:rsidRPr="001D528D">
              <w:rPr>
                <w:sz w:val="20"/>
                <w:szCs w:val="20"/>
              </w:rPr>
              <w:t>x</w:t>
            </w:r>
          </w:p>
        </w:tc>
        <w:tc>
          <w:tcPr>
            <w:tcW w:w="1157" w:type="dxa"/>
            <w:tcBorders>
              <w:top w:val="single" w:sz="8" w:space="0" w:color="auto"/>
              <w:left w:val="single" w:sz="8" w:space="0" w:color="auto"/>
              <w:bottom w:val="single" w:sz="8" w:space="0" w:color="auto"/>
              <w:right w:val="single" w:sz="8" w:space="0" w:color="auto"/>
            </w:tcBorders>
          </w:tcPr>
          <w:p w14:paraId="711BB008"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4E3D21FC"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1A4D9CC9" w14:textId="77777777" w:rsidR="00E65281" w:rsidRPr="001D528D" w:rsidRDefault="00E65281" w:rsidP="00C832C5">
            <w:pPr>
              <w:jc w:val="center"/>
              <w:rPr>
                <w:sz w:val="20"/>
                <w:szCs w:val="20"/>
              </w:rPr>
            </w:pPr>
          </w:p>
        </w:tc>
        <w:tc>
          <w:tcPr>
            <w:tcW w:w="1273" w:type="dxa"/>
            <w:tcBorders>
              <w:top w:val="single" w:sz="8" w:space="0" w:color="auto"/>
              <w:left w:val="single" w:sz="8" w:space="0" w:color="auto"/>
              <w:bottom w:val="single" w:sz="8" w:space="0" w:color="auto"/>
              <w:right w:val="single" w:sz="8" w:space="0" w:color="auto"/>
            </w:tcBorders>
          </w:tcPr>
          <w:p w14:paraId="2E849580" w14:textId="77777777" w:rsidR="00E65281" w:rsidRPr="001D528D" w:rsidRDefault="00E65281" w:rsidP="00C832C5">
            <w:pPr>
              <w:jc w:val="center"/>
              <w:rPr>
                <w:sz w:val="20"/>
                <w:szCs w:val="20"/>
              </w:rPr>
            </w:pPr>
          </w:p>
        </w:tc>
      </w:tr>
      <w:tr w:rsidR="00E65281" w:rsidRPr="001D528D" w14:paraId="1340AEA3" w14:textId="77777777" w:rsidTr="00BB5FA8">
        <w:trPr>
          <w:trHeight w:val="255"/>
        </w:trPr>
        <w:tc>
          <w:tcPr>
            <w:tcW w:w="3420" w:type="dxa"/>
            <w:tcBorders>
              <w:top w:val="single" w:sz="8" w:space="0" w:color="auto"/>
              <w:left w:val="single" w:sz="8" w:space="0" w:color="auto"/>
              <w:bottom w:val="single" w:sz="8" w:space="0" w:color="auto"/>
              <w:right w:val="single" w:sz="8" w:space="0" w:color="auto"/>
            </w:tcBorders>
          </w:tcPr>
          <w:p w14:paraId="47719E06" w14:textId="77777777" w:rsidR="00E65281" w:rsidRPr="001D528D" w:rsidRDefault="00E65281" w:rsidP="00BB5FA8">
            <w:pPr>
              <w:rPr>
                <w:sz w:val="20"/>
                <w:szCs w:val="20"/>
              </w:rPr>
            </w:pPr>
            <w:r w:rsidRPr="001D528D">
              <w:rPr>
                <w:sz w:val="20"/>
                <w:szCs w:val="20"/>
              </w:rPr>
              <w:t>Assessment developing</w:t>
            </w:r>
            <w:r>
              <w:rPr>
                <w:sz w:val="20"/>
                <w:szCs w:val="20"/>
              </w:rPr>
              <w:t xml:space="preserve"> </w:t>
            </w:r>
            <w:r w:rsidRPr="001D528D">
              <w:rPr>
                <w:sz w:val="20"/>
                <w:szCs w:val="20"/>
              </w:rPr>
              <w:t xml:space="preserve">occlusion </w:t>
            </w:r>
            <w:r w:rsidRPr="001D528D">
              <w:rPr>
                <w:sz w:val="20"/>
                <w:szCs w:val="20"/>
                <w:vertAlign w:val="superscript"/>
              </w:rPr>
              <w:t>(13)</w:t>
            </w:r>
          </w:p>
        </w:tc>
        <w:tc>
          <w:tcPr>
            <w:tcW w:w="1024" w:type="dxa"/>
            <w:tcBorders>
              <w:top w:val="single" w:sz="8" w:space="0" w:color="auto"/>
              <w:left w:val="single" w:sz="8" w:space="0" w:color="auto"/>
              <w:bottom w:val="single" w:sz="8" w:space="0" w:color="auto"/>
              <w:right w:val="single" w:sz="8" w:space="0" w:color="auto"/>
            </w:tcBorders>
          </w:tcPr>
          <w:p w14:paraId="6CC81A54" w14:textId="77777777" w:rsidR="00E65281" w:rsidRPr="001D528D" w:rsidRDefault="00E65281" w:rsidP="00C832C5">
            <w:pPr>
              <w:jc w:val="center"/>
              <w:rPr>
                <w:sz w:val="20"/>
                <w:szCs w:val="20"/>
              </w:rPr>
            </w:pPr>
          </w:p>
        </w:tc>
        <w:tc>
          <w:tcPr>
            <w:tcW w:w="1157" w:type="dxa"/>
            <w:tcBorders>
              <w:top w:val="single" w:sz="8" w:space="0" w:color="auto"/>
              <w:left w:val="single" w:sz="8" w:space="0" w:color="auto"/>
              <w:bottom w:val="single" w:sz="8" w:space="0" w:color="auto"/>
              <w:right w:val="single" w:sz="8" w:space="0" w:color="auto"/>
            </w:tcBorders>
          </w:tcPr>
          <w:p w14:paraId="53A6F3AA" w14:textId="77777777" w:rsidR="00E65281" w:rsidRPr="001D528D" w:rsidRDefault="00E65281" w:rsidP="00C832C5">
            <w:pPr>
              <w:jc w:val="center"/>
              <w:rPr>
                <w:sz w:val="20"/>
                <w:szCs w:val="20"/>
              </w:rPr>
            </w:pPr>
          </w:p>
        </w:tc>
        <w:tc>
          <w:tcPr>
            <w:tcW w:w="1334" w:type="dxa"/>
            <w:tcBorders>
              <w:top w:val="single" w:sz="8" w:space="0" w:color="auto"/>
              <w:left w:val="single" w:sz="8" w:space="0" w:color="auto"/>
              <w:bottom w:val="single" w:sz="8" w:space="0" w:color="auto"/>
              <w:right w:val="single" w:sz="8" w:space="0" w:color="auto"/>
            </w:tcBorders>
          </w:tcPr>
          <w:p w14:paraId="46DE9102"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636DC1CE" w14:textId="77777777" w:rsidR="00E65281" w:rsidRPr="001D528D" w:rsidRDefault="00E65281" w:rsidP="00C832C5">
            <w:pPr>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04B0F200" w14:textId="77777777" w:rsidR="00E65281" w:rsidRPr="001D528D" w:rsidRDefault="00E65281" w:rsidP="00C832C5">
            <w:pPr>
              <w:jc w:val="center"/>
              <w:rPr>
                <w:sz w:val="20"/>
                <w:szCs w:val="20"/>
              </w:rPr>
            </w:pPr>
            <w:r w:rsidRPr="001D528D">
              <w:rPr>
                <w:sz w:val="20"/>
                <w:szCs w:val="20"/>
              </w:rPr>
              <w:t>x</w:t>
            </w:r>
          </w:p>
        </w:tc>
      </w:tr>
      <w:tr w:rsidR="00E65281" w:rsidRPr="001D528D" w14:paraId="4ADB6DCE" w14:textId="77777777" w:rsidTr="00BB5FA8">
        <w:trPr>
          <w:trHeight w:val="255"/>
        </w:trPr>
        <w:tc>
          <w:tcPr>
            <w:tcW w:w="3420" w:type="dxa"/>
            <w:tcBorders>
              <w:top w:val="single" w:sz="8" w:space="0" w:color="auto"/>
              <w:left w:val="single" w:sz="8" w:space="0" w:color="auto"/>
              <w:bottom w:val="single" w:sz="8" w:space="0" w:color="auto"/>
              <w:right w:val="single" w:sz="8" w:space="0" w:color="auto"/>
            </w:tcBorders>
          </w:tcPr>
          <w:p w14:paraId="33786561" w14:textId="77777777" w:rsidR="00E65281" w:rsidRPr="001D528D" w:rsidRDefault="00E65281" w:rsidP="00C832C5">
            <w:r w:rsidRPr="001D528D">
              <w:rPr>
                <w:sz w:val="20"/>
                <w:szCs w:val="20"/>
              </w:rPr>
              <w:t xml:space="preserve">Assessment for pit and fissure sealants </w:t>
            </w:r>
            <w:r w:rsidRPr="001D528D">
              <w:rPr>
                <w:sz w:val="20"/>
                <w:szCs w:val="20"/>
                <w:vertAlign w:val="superscript"/>
              </w:rPr>
              <w:t>(14)</w:t>
            </w:r>
          </w:p>
        </w:tc>
        <w:tc>
          <w:tcPr>
            <w:tcW w:w="1024" w:type="dxa"/>
            <w:tcBorders>
              <w:top w:val="single" w:sz="8" w:space="0" w:color="auto"/>
              <w:left w:val="single" w:sz="8" w:space="0" w:color="auto"/>
              <w:bottom w:val="single" w:sz="8" w:space="0" w:color="auto"/>
              <w:right w:val="single" w:sz="8" w:space="0" w:color="auto"/>
            </w:tcBorders>
          </w:tcPr>
          <w:p w14:paraId="2CD5FCA0" w14:textId="77777777" w:rsidR="00E65281" w:rsidRPr="001D528D" w:rsidRDefault="00E65281" w:rsidP="00C832C5">
            <w:pPr>
              <w:jc w:val="center"/>
              <w:rPr>
                <w:sz w:val="20"/>
                <w:szCs w:val="20"/>
              </w:rPr>
            </w:pPr>
            <w:r w:rsidRPr="001D528D">
              <w:rPr>
                <w:sz w:val="20"/>
                <w:szCs w:val="20"/>
              </w:rPr>
              <w:t xml:space="preserve"> </w:t>
            </w:r>
          </w:p>
        </w:tc>
        <w:tc>
          <w:tcPr>
            <w:tcW w:w="1157" w:type="dxa"/>
            <w:tcBorders>
              <w:top w:val="single" w:sz="8" w:space="0" w:color="auto"/>
              <w:left w:val="single" w:sz="8" w:space="0" w:color="auto"/>
              <w:bottom w:val="single" w:sz="8" w:space="0" w:color="auto"/>
              <w:right w:val="single" w:sz="8" w:space="0" w:color="auto"/>
            </w:tcBorders>
          </w:tcPr>
          <w:p w14:paraId="28495D6B" w14:textId="77777777" w:rsidR="00E65281" w:rsidRPr="001D528D" w:rsidRDefault="00E65281" w:rsidP="00C832C5">
            <w:pPr>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21919CCD"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6A393086" w14:textId="77777777" w:rsidR="00E65281" w:rsidRPr="001D528D" w:rsidRDefault="00E65281" w:rsidP="00C832C5">
            <w:pPr>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2F076C88" w14:textId="77777777" w:rsidR="00E65281" w:rsidRPr="001D528D" w:rsidRDefault="00E65281" w:rsidP="00C832C5">
            <w:pPr>
              <w:jc w:val="center"/>
              <w:rPr>
                <w:sz w:val="20"/>
                <w:szCs w:val="20"/>
              </w:rPr>
            </w:pPr>
            <w:r w:rsidRPr="001D528D">
              <w:rPr>
                <w:sz w:val="20"/>
                <w:szCs w:val="20"/>
              </w:rPr>
              <w:t>x</w:t>
            </w:r>
          </w:p>
        </w:tc>
      </w:tr>
      <w:tr w:rsidR="00E65281" w:rsidRPr="001D528D" w14:paraId="7C864A42" w14:textId="77777777" w:rsidTr="00BB5FA8">
        <w:trPr>
          <w:trHeight w:val="540"/>
        </w:trPr>
        <w:tc>
          <w:tcPr>
            <w:tcW w:w="3420" w:type="dxa"/>
            <w:tcBorders>
              <w:top w:val="single" w:sz="8" w:space="0" w:color="auto"/>
              <w:left w:val="single" w:sz="8" w:space="0" w:color="auto"/>
              <w:bottom w:val="single" w:sz="8" w:space="0" w:color="auto"/>
              <w:right w:val="single" w:sz="8" w:space="0" w:color="auto"/>
            </w:tcBorders>
          </w:tcPr>
          <w:p w14:paraId="5F104DDA" w14:textId="77777777" w:rsidR="00E65281" w:rsidRPr="001D528D" w:rsidRDefault="00E65281" w:rsidP="007940ED">
            <w:pPr>
              <w:rPr>
                <w:sz w:val="20"/>
                <w:szCs w:val="20"/>
              </w:rPr>
            </w:pPr>
            <w:r w:rsidRPr="001D528D">
              <w:rPr>
                <w:sz w:val="20"/>
                <w:szCs w:val="20"/>
              </w:rPr>
              <w:lastRenderedPageBreak/>
              <w:t xml:space="preserve">Periodontal-risk assessment </w:t>
            </w:r>
            <w:r w:rsidRPr="001D528D">
              <w:rPr>
                <w:sz w:val="20"/>
                <w:szCs w:val="20"/>
                <w:vertAlign w:val="superscript"/>
              </w:rPr>
              <w:t>(15)</w:t>
            </w:r>
          </w:p>
        </w:tc>
        <w:tc>
          <w:tcPr>
            <w:tcW w:w="1024" w:type="dxa"/>
            <w:tcBorders>
              <w:top w:val="single" w:sz="8" w:space="0" w:color="auto"/>
              <w:left w:val="single" w:sz="8" w:space="0" w:color="auto"/>
              <w:bottom w:val="single" w:sz="8" w:space="0" w:color="auto"/>
              <w:right w:val="single" w:sz="8" w:space="0" w:color="auto"/>
            </w:tcBorders>
          </w:tcPr>
          <w:p w14:paraId="0F87921E" w14:textId="77777777" w:rsidR="00E65281" w:rsidRPr="001D528D" w:rsidRDefault="00E65281" w:rsidP="00C832C5">
            <w:pPr>
              <w:jc w:val="center"/>
              <w:rPr>
                <w:sz w:val="20"/>
                <w:szCs w:val="20"/>
              </w:rPr>
            </w:pPr>
          </w:p>
        </w:tc>
        <w:tc>
          <w:tcPr>
            <w:tcW w:w="1157" w:type="dxa"/>
            <w:tcBorders>
              <w:top w:val="single" w:sz="8" w:space="0" w:color="auto"/>
              <w:left w:val="single" w:sz="8" w:space="0" w:color="auto"/>
              <w:bottom w:val="single" w:sz="8" w:space="0" w:color="auto"/>
              <w:right w:val="single" w:sz="8" w:space="0" w:color="auto"/>
            </w:tcBorders>
          </w:tcPr>
          <w:p w14:paraId="5EFD4E48" w14:textId="77777777" w:rsidR="00E65281" w:rsidRPr="001D528D" w:rsidRDefault="00E65281" w:rsidP="00C832C5">
            <w:pPr>
              <w:jc w:val="center"/>
              <w:rPr>
                <w:sz w:val="20"/>
                <w:szCs w:val="20"/>
              </w:rPr>
            </w:pPr>
          </w:p>
        </w:tc>
        <w:tc>
          <w:tcPr>
            <w:tcW w:w="1334" w:type="dxa"/>
            <w:tcBorders>
              <w:top w:val="single" w:sz="8" w:space="0" w:color="auto"/>
              <w:left w:val="single" w:sz="8" w:space="0" w:color="auto"/>
              <w:bottom w:val="single" w:sz="8" w:space="0" w:color="auto"/>
              <w:right w:val="single" w:sz="8" w:space="0" w:color="auto"/>
            </w:tcBorders>
          </w:tcPr>
          <w:p w14:paraId="36B101A4" w14:textId="77777777" w:rsidR="00E65281" w:rsidRPr="001D528D" w:rsidRDefault="00E65281" w:rsidP="00C832C5">
            <w:pPr>
              <w:jc w:val="center"/>
              <w:rPr>
                <w:sz w:val="20"/>
                <w:szCs w:val="20"/>
              </w:rPr>
            </w:pPr>
            <w:r w:rsidRPr="001D528D">
              <w:rPr>
                <w:sz w:val="20"/>
                <w:szCs w:val="20"/>
              </w:rPr>
              <w:t>x</w:t>
            </w:r>
          </w:p>
        </w:tc>
        <w:tc>
          <w:tcPr>
            <w:tcW w:w="1334" w:type="dxa"/>
            <w:tcBorders>
              <w:top w:val="single" w:sz="8" w:space="0" w:color="auto"/>
              <w:left w:val="single" w:sz="8" w:space="0" w:color="auto"/>
              <w:bottom w:val="single" w:sz="8" w:space="0" w:color="auto"/>
              <w:right w:val="single" w:sz="8" w:space="0" w:color="auto"/>
            </w:tcBorders>
          </w:tcPr>
          <w:p w14:paraId="3F98B01E" w14:textId="77777777" w:rsidR="00E65281" w:rsidRPr="001D528D" w:rsidRDefault="00E65281" w:rsidP="00C832C5">
            <w:pPr>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5FA949EF" w14:textId="77777777" w:rsidR="00E65281" w:rsidRPr="001D528D" w:rsidRDefault="00E65281" w:rsidP="00C832C5">
            <w:pPr>
              <w:jc w:val="center"/>
              <w:rPr>
                <w:sz w:val="20"/>
                <w:szCs w:val="20"/>
              </w:rPr>
            </w:pPr>
            <w:r w:rsidRPr="001D528D">
              <w:rPr>
                <w:sz w:val="20"/>
                <w:szCs w:val="20"/>
              </w:rPr>
              <w:t>x</w:t>
            </w:r>
          </w:p>
        </w:tc>
      </w:tr>
      <w:tr w:rsidR="00E65281" w:rsidRPr="001D528D" w14:paraId="561104D9" w14:textId="77777777" w:rsidTr="00BB5FA8">
        <w:trPr>
          <w:trHeight w:val="520"/>
        </w:trPr>
        <w:tc>
          <w:tcPr>
            <w:tcW w:w="3420" w:type="dxa"/>
            <w:tcBorders>
              <w:top w:val="single" w:sz="8" w:space="0" w:color="auto"/>
              <w:left w:val="single" w:sz="8" w:space="0" w:color="auto"/>
              <w:bottom w:val="single" w:sz="8" w:space="0" w:color="auto"/>
              <w:right w:val="single" w:sz="8" w:space="0" w:color="auto"/>
            </w:tcBorders>
          </w:tcPr>
          <w:p w14:paraId="46DBD085" w14:textId="77777777" w:rsidR="00E65281" w:rsidRPr="001D528D" w:rsidRDefault="00E65281" w:rsidP="00C832C5">
            <w:r w:rsidRPr="001D528D">
              <w:rPr>
                <w:sz w:val="20"/>
                <w:szCs w:val="20"/>
              </w:rPr>
              <w:t xml:space="preserve">Counseling for tobacco, vaping, and substance misuse </w:t>
            </w:r>
            <w:r w:rsidRPr="001D528D">
              <w:rPr>
                <w:sz w:val="20"/>
                <w:szCs w:val="20"/>
                <w:vertAlign w:val="superscript"/>
              </w:rPr>
              <w:t>(16)</w:t>
            </w:r>
          </w:p>
        </w:tc>
        <w:tc>
          <w:tcPr>
            <w:tcW w:w="1024" w:type="dxa"/>
            <w:tcBorders>
              <w:top w:val="single" w:sz="8" w:space="0" w:color="auto"/>
              <w:left w:val="single" w:sz="8" w:space="0" w:color="auto"/>
              <w:bottom w:val="single" w:sz="8" w:space="0" w:color="auto"/>
              <w:right w:val="single" w:sz="8" w:space="0" w:color="auto"/>
            </w:tcBorders>
          </w:tcPr>
          <w:p w14:paraId="79DB529C" w14:textId="77777777" w:rsidR="00E65281" w:rsidRPr="001D528D" w:rsidRDefault="00E65281" w:rsidP="00C832C5">
            <w:pPr>
              <w:jc w:val="center"/>
              <w:rPr>
                <w:sz w:val="20"/>
                <w:szCs w:val="20"/>
              </w:rPr>
            </w:pPr>
            <w:r w:rsidRPr="001D528D">
              <w:rPr>
                <w:sz w:val="20"/>
                <w:szCs w:val="20"/>
              </w:rPr>
              <w:t xml:space="preserve"> </w:t>
            </w:r>
          </w:p>
        </w:tc>
        <w:tc>
          <w:tcPr>
            <w:tcW w:w="1157" w:type="dxa"/>
            <w:tcBorders>
              <w:top w:val="single" w:sz="8" w:space="0" w:color="auto"/>
              <w:left w:val="single" w:sz="8" w:space="0" w:color="auto"/>
              <w:bottom w:val="single" w:sz="8" w:space="0" w:color="auto"/>
              <w:right w:val="single" w:sz="8" w:space="0" w:color="auto"/>
            </w:tcBorders>
          </w:tcPr>
          <w:p w14:paraId="6DFD11C5" w14:textId="77777777" w:rsidR="00E65281" w:rsidRPr="001D528D" w:rsidRDefault="00E65281" w:rsidP="00C832C5">
            <w:pPr>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209FB060" w14:textId="77777777" w:rsidR="00E65281" w:rsidRPr="001D528D" w:rsidRDefault="00E65281" w:rsidP="00C832C5">
            <w:pPr>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293E0574" w14:textId="77777777" w:rsidR="00E65281" w:rsidRPr="001D528D" w:rsidRDefault="00E65281" w:rsidP="00C832C5">
            <w:pPr>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4B63FDEB" w14:textId="77777777" w:rsidR="00E65281" w:rsidRPr="001D528D" w:rsidRDefault="00E65281" w:rsidP="00C832C5">
            <w:pPr>
              <w:jc w:val="center"/>
              <w:rPr>
                <w:sz w:val="20"/>
                <w:szCs w:val="20"/>
              </w:rPr>
            </w:pPr>
            <w:r w:rsidRPr="001D528D">
              <w:rPr>
                <w:sz w:val="20"/>
                <w:szCs w:val="20"/>
              </w:rPr>
              <w:t>x</w:t>
            </w:r>
          </w:p>
        </w:tc>
      </w:tr>
      <w:tr w:rsidR="00E65281" w:rsidRPr="001D528D" w14:paraId="0A3D48FF" w14:textId="77777777" w:rsidTr="00BB5FA8">
        <w:trPr>
          <w:trHeight w:val="510"/>
        </w:trPr>
        <w:tc>
          <w:tcPr>
            <w:tcW w:w="3420" w:type="dxa"/>
            <w:tcBorders>
              <w:top w:val="single" w:sz="8" w:space="0" w:color="auto"/>
              <w:left w:val="single" w:sz="8" w:space="0" w:color="auto"/>
              <w:bottom w:val="single" w:sz="8" w:space="0" w:color="auto"/>
              <w:right w:val="single" w:sz="8" w:space="0" w:color="auto"/>
            </w:tcBorders>
          </w:tcPr>
          <w:p w14:paraId="65F3E8EC" w14:textId="77777777" w:rsidR="00E65281" w:rsidRPr="001D528D" w:rsidRDefault="00E65281" w:rsidP="007940ED">
            <w:pPr>
              <w:rPr>
                <w:sz w:val="20"/>
                <w:szCs w:val="20"/>
              </w:rPr>
            </w:pPr>
            <w:r w:rsidRPr="001D528D">
              <w:rPr>
                <w:sz w:val="20"/>
                <w:szCs w:val="20"/>
              </w:rPr>
              <w:t xml:space="preserve">Counseling for human papilloma virus/vaccine </w:t>
            </w:r>
            <w:r w:rsidRPr="001D528D">
              <w:rPr>
                <w:sz w:val="20"/>
                <w:szCs w:val="20"/>
                <w:vertAlign w:val="superscript"/>
              </w:rPr>
              <w:t>(17)</w:t>
            </w:r>
          </w:p>
        </w:tc>
        <w:tc>
          <w:tcPr>
            <w:tcW w:w="1024" w:type="dxa"/>
            <w:tcBorders>
              <w:top w:val="single" w:sz="8" w:space="0" w:color="auto"/>
              <w:left w:val="single" w:sz="8" w:space="0" w:color="auto"/>
              <w:bottom w:val="single" w:sz="8" w:space="0" w:color="auto"/>
              <w:right w:val="single" w:sz="8" w:space="0" w:color="auto"/>
            </w:tcBorders>
          </w:tcPr>
          <w:p w14:paraId="593B9BBF" w14:textId="77777777" w:rsidR="00E65281" w:rsidRPr="001D528D" w:rsidRDefault="00E65281" w:rsidP="00C832C5">
            <w:pPr>
              <w:jc w:val="center"/>
              <w:rPr>
                <w:sz w:val="20"/>
                <w:szCs w:val="20"/>
              </w:rPr>
            </w:pPr>
          </w:p>
        </w:tc>
        <w:tc>
          <w:tcPr>
            <w:tcW w:w="1157" w:type="dxa"/>
            <w:tcBorders>
              <w:top w:val="single" w:sz="8" w:space="0" w:color="auto"/>
              <w:left w:val="single" w:sz="8" w:space="0" w:color="auto"/>
              <w:bottom w:val="single" w:sz="8" w:space="0" w:color="auto"/>
              <w:right w:val="single" w:sz="8" w:space="0" w:color="auto"/>
            </w:tcBorders>
          </w:tcPr>
          <w:p w14:paraId="5ED2CB72" w14:textId="77777777" w:rsidR="00E65281" w:rsidRPr="001D528D" w:rsidRDefault="00E65281" w:rsidP="00C832C5">
            <w:pPr>
              <w:jc w:val="center"/>
              <w:rPr>
                <w:sz w:val="20"/>
                <w:szCs w:val="20"/>
              </w:rPr>
            </w:pPr>
          </w:p>
        </w:tc>
        <w:tc>
          <w:tcPr>
            <w:tcW w:w="1334" w:type="dxa"/>
            <w:tcBorders>
              <w:top w:val="single" w:sz="8" w:space="0" w:color="auto"/>
              <w:left w:val="single" w:sz="8" w:space="0" w:color="auto"/>
              <w:bottom w:val="single" w:sz="8" w:space="0" w:color="auto"/>
              <w:right w:val="single" w:sz="8" w:space="0" w:color="auto"/>
            </w:tcBorders>
          </w:tcPr>
          <w:p w14:paraId="57D3C52E" w14:textId="77777777" w:rsidR="00E65281" w:rsidRPr="001D528D" w:rsidRDefault="00E65281" w:rsidP="00C832C5">
            <w:pPr>
              <w:jc w:val="center"/>
              <w:rPr>
                <w:sz w:val="20"/>
                <w:szCs w:val="20"/>
              </w:rPr>
            </w:pPr>
          </w:p>
        </w:tc>
        <w:tc>
          <w:tcPr>
            <w:tcW w:w="1334" w:type="dxa"/>
            <w:tcBorders>
              <w:top w:val="single" w:sz="8" w:space="0" w:color="auto"/>
              <w:left w:val="single" w:sz="8" w:space="0" w:color="auto"/>
              <w:bottom w:val="single" w:sz="8" w:space="0" w:color="auto"/>
              <w:right w:val="single" w:sz="8" w:space="0" w:color="auto"/>
            </w:tcBorders>
          </w:tcPr>
          <w:p w14:paraId="72405DB5" w14:textId="77777777" w:rsidR="00E65281" w:rsidRPr="001D528D" w:rsidRDefault="00E65281" w:rsidP="00C832C5">
            <w:pPr>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2A57ED74" w14:textId="77777777" w:rsidR="00E65281" w:rsidRPr="001D528D" w:rsidRDefault="00E65281" w:rsidP="00C832C5">
            <w:pPr>
              <w:jc w:val="center"/>
              <w:rPr>
                <w:sz w:val="20"/>
                <w:szCs w:val="20"/>
              </w:rPr>
            </w:pPr>
            <w:r w:rsidRPr="001D528D">
              <w:rPr>
                <w:sz w:val="20"/>
                <w:szCs w:val="20"/>
              </w:rPr>
              <w:t>x</w:t>
            </w:r>
          </w:p>
        </w:tc>
      </w:tr>
      <w:tr w:rsidR="00E65281" w:rsidRPr="001D528D" w14:paraId="6B865EAA" w14:textId="77777777" w:rsidTr="00BB5FA8">
        <w:trPr>
          <w:trHeight w:val="510"/>
        </w:trPr>
        <w:tc>
          <w:tcPr>
            <w:tcW w:w="3420" w:type="dxa"/>
            <w:tcBorders>
              <w:top w:val="single" w:sz="8" w:space="0" w:color="auto"/>
              <w:left w:val="single" w:sz="8" w:space="0" w:color="auto"/>
              <w:bottom w:val="single" w:sz="8" w:space="0" w:color="auto"/>
              <w:right w:val="single" w:sz="8" w:space="0" w:color="auto"/>
            </w:tcBorders>
          </w:tcPr>
          <w:p w14:paraId="6C26078C" w14:textId="77777777" w:rsidR="00E65281" w:rsidRPr="001D528D" w:rsidRDefault="00E65281" w:rsidP="007940ED">
            <w:r w:rsidRPr="001D528D">
              <w:rPr>
                <w:sz w:val="20"/>
                <w:szCs w:val="20"/>
              </w:rPr>
              <w:t xml:space="preserve">Counseling for intraoral/perioral piercing </w:t>
            </w:r>
            <w:r w:rsidRPr="001D528D">
              <w:rPr>
                <w:sz w:val="20"/>
                <w:szCs w:val="20"/>
                <w:vertAlign w:val="superscript"/>
              </w:rPr>
              <w:t>(18)</w:t>
            </w:r>
          </w:p>
        </w:tc>
        <w:tc>
          <w:tcPr>
            <w:tcW w:w="1024" w:type="dxa"/>
            <w:tcBorders>
              <w:top w:val="single" w:sz="8" w:space="0" w:color="auto"/>
              <w:left w:val="single" w:sz="8" w:space="0" w:color="auto"/>
              <w:bottom w:val="single" w:sz="8" w:space="0" w:color="auto"/>
              <w:right w:val="single" w:sz="8" w:space="0" w:color="auto"/>
            </w:tcBorders>
          </w:tcPr>
          <w:p w14:paraId="09FC6672" w14:textId="77777777" w:rsidR="00E65281" w:rsidRPr="001D528D" w:rsidRDefault="00E65281" w:rsidP="00C832C5">
            <w:pPr>
              <w:jc w:val="center"/>
              <w:rPr>
                <w:sz w:val="20"/>
                <w:szCs w:val="20"/>
              </w:rPr>
            </w:pPr>
            <w:r w:rsidRPr="001D528D">
              <w:rPr>
                <w:sz w:val="20"/>
                <w:szCs w:val="20"/>
              </w:rPr>
              <w:t xml:space="preserve"> </w:t>
            </w:r>
          </w:p>
        </w:tc>
        <w:tc>
          <w:tcPr>
            <w:tcW w:w="1157" w:type="dxa"/>
            <w:tcBorders>
              <w:top w:val="single" w:sz="8" w:space="0" w:color="auto"/>
              <w:left w:val="single" w:sz="8" w:space="0" w:color="auto"/>
              <w:bottom w:val="single" w:sz="8" w:space="0" w:color="auto"/>
              <w:right w:val="single" w:sz="8" w:space="0" w:color="auto"/>
            </w:tcBorders>
          </w:tcPr>
          <w:p w14:paraId="32F2DC23" w14:textId="77777777" w:rsidR="00E65281" w:rsidRPr="001D528D" w:rsidRDefault="00E65281" w:rsidP="00C832C5">
            <w:pPr>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29F3F173" w14:textId="77777777" w:rsidR="00E65281" w:rsidRPr="001D528D" w:rsidRDefault="00E65281" w:rsidP="00C832C5">
            <w:pPr>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0E828E3D" w14:textId="77777777" w:rsidR="00E65281" w:rsidRPr="001D528D" w:rsidRDefault="00E65281" w:rsidP="00C832C5">
            <w:pPr>
              <w:jc w:val="center"/>
              <w:rPr>
                <w:sz w:val="20"/>
                <w:szCs w:val="20"/>
              </w:rPr>
            </w:pPr>
            <w:r w:rsidRPr="001D528D">
              <w:rPr>
                <w:sz w:val="20"/>
                <w:szCs w:val="20"/>
              </w:rPr>
              <w:t>x</w:t>
            </w:r>
          </w:p>
        </w:tc>
        <w:tc>
          <w:tcPr>
            <w:tcW w:w="1273" w:type="dxa"/>
            <w:tcBorders>
              <w:top w:val="single" w:sz="8" w:space="0" w:color="auto"/>
              <w:left w:val="single" w:sz="8" w:space="0" w:color="auto"/>
              <w:bottom w:val="single" w:sz="8" w:space="0" w:color="auto"/>
              <w:right w:val="single" w:sz="8" w:space="0" w:color="auto"/>
            </w:tcBorders>
          </w:tcPr>
          <w:p w14:paraId="41977C3F" w14:textId="77777777" w:rsidR="00E65281" w:rsidRPr="001D528D" w:rsidRDefault="00E65281" w:rsidP="00C832C5">
            <w:pPr>
              <w:jc w:val="center"/>
              <w:rPr>
                <w:sz w:val="20"/>
                <w:szCs w:val="20"/>
              </w:rPr>
            </w:pPr>
            <w:r w:rsidRPr="001D528D">
              <w:rPr>
                <w:sz w:val="20"/>
                <w:szCs w:val="20"/>
              </w:rPr>
              <w:t>x</w:t>
            </w:r>
          </w:p>
        </w:tc>
      </w:tr>
      <w:tr w:rsidR="00E65281" w:rsidRPr="001D528D" w14:paraId="511554CF" w14:textId="77777777" w:rsidTr="00BB5FA8">
        <w:trPr>
          <w:trHeight w:val="510"/>
        </w:trPr>
        <w:tc>
          <w:tcPr>
            <w:tcW w:w="3420" w:type="dxa"/>
            <w:tcBorders>
              <w:top w:val="single" w:sz="8" w:space="0" w:color="auto"/>
              <w:left w:val="single" w:sz="8" w:space="0" w:color="auto"/>
              <w:bottom w:val="single" w:sz="8" w:space="0" w:color="auto"/>
              <w:right w:val="single" w:sz="8" w:space="0" w:color="auto"/>
            </w:tcBorders>
          </w:tcPr>
          <w:p w14:paraId="1CEAA189" w14:textId="77777777" w:rsidR="00E65281" w:rsidRPr="001D528D" w:rsidRDefault="00E65281" w:rsidP="007940ED">
            <w:r w:rsidRPr="001D528D">
              <w:rPr>
                <w:sz w:val="20"/>
                <w:szCs w:val="20"/>
              </w:rPr>
              <w:t xml:space="preserve">Assess third molars </w:t>
            </w:r>
            <w:r w:rsidRPr="001D528D">
              <w:rPr>
                <w:sz w:val="20"/>
                <w:szCs w:val="20"/>
                <w:vertAlign w:val="superscript"/>
              </w:rPr>
              <w:t>(19)</w:t>
            </w:r>
          </w:p>
        </w:tc>
        <w:tc>
          <w:tcPr>
            <w:tcW w:w="1024" w:type="dxa"/>
            <w:tcBorders>
              <w:top w:val="single" w:sz="8" w:space="0" w:color="auto"/>
              <w:left w:val="single" w:sz="8" w:space="0" w:color="auto"/>
              <w:bottom w:val="single" w:sz="8" w:space="0" w:color="auto"/>
              <w:right w:val="single" w:sz="8" w:space="0" w:color="auto"/>
            </w:tcBorders>
          </w:tcPr>
          <w:p w14:paraId="7043CF52" w14:textId="77777777" w:rsidR="00E65281" w:rsidRPr="001D528D" w:rsidRDefault="00E65281" w:rsidP="00C832C5">
            <w:pPr>
              <w:jc w:val="center"/>
              <w:rPr>
                <w:sz w:val="20"/>
                <w:szCs w:val="20"/>
              </w:rPr>
            </w:pPr>
            <w:r w:rsidRPr="001D528D">
              <w:rPr>
                <w:sz w:val="20"/>
                <w:szCs w:val="20"/>
              </w:rPr>
              <w:t xml:space="preserve"> </w:t>
            </w:r>
          </w:p>
        </w:tc>
        <w:tc>
          <w:tcPr>
            <w:tcW w:w="1157" w:type="dxa"/>
            <w:tcBorders>
              <w:top w:val="single" w:sz="8" w:space="0" w:color="auto"/>
              <w:left w:val="single" w:sz="8" w:space="0" w:color="auto"/>
              <w:bottom w:val="single" w:sz="8" w:space="0" w:color="auto"/>
              <w:right w:val="single" w:sz="8" w:space="0" w:color="auto"/>
            </w:tcBorders>
          </w:tcPr>
          <w:p w14:paraId="747572B9" w14:textId="77777777" w:rsidR="00E65281" w:rsidRPr="001D528D" w:rsidRDefault="00E65281" w:rsidP="00C832C5">
            <w:pPr>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58BF1FD0" w14:textId="77777777" w:rsidR="00E65281" w:rsidRPr="001D528D" w:rsidRDefault="00E65281" w:rsidP="00C832C5">
            <w:pPr>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37344B1A" w14:textId="77777777" w:rsidR="00E65281" w:rsidRPr="001D528D" w:rsidRDefault="00E65281" w:rsidP="00C832C5">
            <w:pPr>
              <w:jc w:val="center"/>
              <w:rPr>
                <w:sz w:val="20"/>
                <w:szCs w:val="20"/>
              </w:rPr>
            </w:pPr>
            <w:r w:rsidRPr="001D528D">
              <w:rPr>
                <w:sz w:val="20"/>
                <w:szCs w:val="20"/>
              </w:rPr>
              <w:t xml:space="preserve"> </w:t>
            </w:r>
          </w:p>
        </w:tc>
        <w:tc>
          <w:tcPr>
            <w:tcW w:w="1273" w:type="dxa"/>
            <w:tcBorders>
              <w:top w:val="single" w:sz="8" w:space="0" w:color="auto"/>
              <w:left w:val="single" w:sz="8" w:space="0" w:color="auto"/>
              <w:bottom w:val="single" w:sz="8" w:space="0" w:color="auto"/>
              <w:right w:val="single" w:sz="8" w:space="0" w:color="auto"/>
            </w:tcBorders>
          </w:tcPr>
          <w:p w14:paraId="6C31E46F" w14:textId="77777777" w:rsidR="00E65281" w:rsidRPr="001D528D" w:rsidRDefault="00E65281" w:rsidP="00C832C5">
            <w:pPr>
              <w:jc w:val="center"/>
              <w:rPr>
                <w:sz w:val="20"/>
                <w:szCs w:val="20"/>
              </w:rPr>
            </w:pPr>
            <w:r w:rsidRPr="001D528D">
              <w:rPr>
                <w:sz w:val="20"/>
                <w:szCs w:val="20"/>
              </w:rPr>
              <w:t>x</w:t>
            </w:r>
          </w:p>
        </w:tc>
      </w:tr>
      <w:tr w:rsidR="00E65281" w:rsidRPr="001D528D" w14:paraId="0C4D583E" w14:textId="77777777" w:rsidTr="00BB5FA8">
        <w:trPr>
          <w:trHeight w:val="360"/>
        </w:trPr>
        <w:tc>
          <w:tcPr>
            <w:tcW w:w="3420" w:type="dxa"/>
            <w:tcBorders>
              <w:top w:val="single" w:sz="8" w:space="0" w:color="auto"/>
              <w:left w:val="single" w:sz="8" w:space="0" w:color="auto"/>
              <w:bottom w:val="single" w:sz="8" w:space="0" w:color="auto"/>
              <w:right w:val="single" w:sz="8" w:space="0" w:color="auto"/>
            </w:tcBorders>
          </w:tcPr>
          <w:p w14:paraId="3A6364FD" w14:textId="77777777" w:rsidR="00E65281" w:rsidRPr="001D528D" w:rsidRDefault="00E65281" w:rsidP="007940ED">
            <w:r w:rsidRPr="001D528D">
              <w:rPr>
                <w:sz w:val="20"/>
                <w:szCs w:val="20"/>
              </w:rPr>
              <w:t xml:space="preserve">Transition to adult dental care </w:t>
            </w:r>
            <w:r w:rsidRPr="001D528D">
              <w:rPr>
                <w:sz w:val="20"/>
                <w:szCs w:val="20"/>
                <w:vertAlign w:val="superscript"/>
              </w:rPr>
              <w:t>(21)</w:t>
            </w:r>
          </w:p>
        </w:tc>
        <w:tc>
          <w:tcPr>
            <w:tcW w:w="1024" w:type="dxa"/>
            <w:tcBorders>
              <w:top w:val="single" w:sz="8" w:space="0" w:color="auto"/>
              <w:left w:val="single" w:sz="8" w:space="0" w:color="auto"/>
              <w:bottom w:val="single" w:sz="8" w:space="0" w:color="auto"/>
              <w:right w:val="single" w:sz="8" w:space="0" w:color="auto"/>
            </w:tcBorders>
          </w:tcPr>
          <w:p w14:paraId="122604F2" w14:textId="77777777" w:rsidR="00E65281" w:rsidRPr="001D528D" w:rsidRDefault="00E65281" w:rsidP="00C832C5">
            <w:pPr>
              <w:jc w:val="center"/>
              <w:rPr>
                <w:sz w:val="20"/>
                <w:szCs w:val="20"/>
              </w:rPr>
            </w:pPr>
            <w:r w:rsidRPr="001D528D">
              <w:rPr>
                <w:sz w:val="20"/>
                <w:szCs w:val="20"/>
              </w:rPr>
              <w:t xml:space="preserve"> </w:t>
            </w:r>
          </w:p>
        </w:tc>
        <w:tc>
          <w:tcPr>
            <w:tcW w:w="1157" w:type="dxa"/>
            <w:tcBorders>
              <w:top w:val="single" w:sz="8" w:space="0" w:color="auto"/>
              <w:left w:val="single" w:sz="8" w:space="0" w:color="auto"/>
              <w:bottom w:val="single" w:sz="8" w:space="0" w:color="auto"/>
              <w:right w:val="single" w:sz="8" w:space="0" w:color="auto"/>
            </w:tcBorders>
          </w:tcPr>
          <w:p w14:paraId="579872E2" w14:textId="77777777" w:rsidR="00E65281" w:rsidRPr="001D528D" w:rsidRDefault="00E65281" w:rsidP="00C832C5">
            <w:pPr>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0E7C2012" w14:textId="77777777" w:rsidR="00E65281" w:rsidRPr="001D528D" w:rsidRDefault="00E65281" w:rsidP="00C832C5">
            <w:pPr>
              <w:jc w:val="center"/>
              <w:rPr>
                <w:sz w:val="20"/>
                <w:szCs w:val="20"/>
              </w:rPr>
            </w:pPr>
            <w:r w:rsidRPr="001D528D">
              <w:rPr>
                <w:sz w:val="20"/>
                <w:szCs w:val="20"/>
              </w:rPr>
              <w:t xml:space="preserve"> </w:t>
            </w:r>
          </w:p>
        </w:tc>
        <w:tc>
          <w:tcPr>
            <w:tcW w:w="1334" w:type="dxa"/>
            <w:tcBorders>
              <w:top w:val="single" w:sz="8" w:space="0" w:color="auto"/>
              <w:left w:val="single" w:sz="8" w:space="0" w:color="auto"/>
              <w:bottom w:val="single" w:sz="8" w:space="0" w:color="auto"/>
              <w:right w:val="single" w:sz="8" w:space="0" w:color="auto"/>
            </w:tcBorders>
          </w:tcPr>
          <w:p w14:paraId="4AE70F75" w14:textId="77777777" w:rsidR="00E65281" w:rsidRPr="001D528D" w:rsidRDefault="00E65281" w:rsidP="00C832C5">
            <w:pPr>
              <w:jc w:val="center"/>
              <w:rPr>
                <w:sz w:val="20"/>
                <w:szCs w:val="20"/>
              </w:rPr>
            </w:pPr>
            <w:r w:rsidRPr="001D528D">
              <w:rPr>
                <w:sz w:val="20"/>
                <w:szCs w:val="20"/>
              </w:rPr>
              <w:t xml:space="preserve"> </w:t>
            </w:r>
          </w:p>
        </w:tc>
        <w:tc>
          <w:tcPr>
            <w:tcW w:w="1273" w:type="dxa"/>
            <w:tcBorders>
              <w:top w:val="single" w:sz="8" w:space="0" w:color="auto"/>
              <w:left w:val="single" w:sz="8" w:space="0" w:color="auto"/>
              <w:bottom w:val="single" w:sz="8" w:space="0" w:color="auto"/>
              <w:right w:val="single" w:sz="8" w:space="0" w:color="auto"/>
            </w:tcBorders>
          </w:tcPr>
          <w:p w14:paraId="1D48C8D5" w14:textId="77777777" w:rsidR="00E65281" w:rsidRPr="001D528D" w:rsidRDefault="00E65281" w:rsidP="00C832C5">
            <w:pPr>
              <w:jc w:val="center"/>
              <w:rPr>
                <w:sz w:val="20"/>
                <w:szCs w:val="20"/>
              </w:rPr>
            </w:pPr>
            <w:r w:rsidRPr="001D528D">
              <w:rPr>
                <w:sz w:val="20"/>
                <w:szCs w:val="20"/>
              </w:rPr>
              <w:t>x</w:t>
            </w:r>
          </w:p>
        </w:tc>
      </w:tr>
      <w:bookmarkEnd w:id="4"/>
    </w:tbl>
    <w:p w14:paraId="0E3EF33B" w14:textId="77777777" w:rsidR="00E65281" w:rsidRPr="001D528D" w:rsidRDefault="00E65281" w:rsidP="007940ED">
      <w:pPr>
        <w:ind w:left="116"/>
      </w:pPr>
    </w:p>
    <w:p w14:paraId="2005D476" w14:textId="77777777" w:rsidR="00E65281" w:rsidRPr="001D528D" w:rsidRDefault="00E65281" w:rsidP="007F3772">
      <w:pPr>
        <w:pStyle w:val="Heading3"/>
      </w:pPr>
      <w:r w:rsidRPr="001D528D">
        <w:t>Explanations of the Dental Schedule Table</w:t>
      </w:r>
    </w:p>
    <w:p w14:paraId="1AB464EC" w14:textId="77777777" w:rsidR="00E65281" w:rsidRPr="001D528D" w:rsidRDefault="00E65281" w:rsidP="007F3772">
      <w:pPr>
        <w:tabs>
          <w:tab w:val="left" w:pos="9810"/>
        </w:tabs>
        <w:ind w:right="10"/>
      </w:pPr>
      <w:r w:rsidRPr="001D528D">
        <w:t>The explanations in this section are numbered and align with the numbers that appear in the Dental Schedule Table.</w:t>
      </w:r>
    </w:p>
    <w:p w14:paraId="1590721A" w14:textId="77777777" w:rsidR="00E65281" w:rsidRPr="001D528D" w:rsidRDefault="00E65281" w:rsidP="007F3772">
      <w:pPr>
        <w:tabs>
          <w:tab w:val="left" w:pos="9810"/>
        </w:tabs>
        <w:ind w:right="10"/>
        <w:rPr>
          <w:b/>
          <w:bCs/>
          <w:u w:val="single"/>
        </w:rPr>
      </w:pPr>
    </w:p>
    <w:p w14:paraId="6176040B" w14:textId="77777777" w:rsidR="00E65281" w:rsidRPr="001D528D" w:rsidRDefault="00E65281" w:rsidP="00E65281">
      <w:pPr>
        <w:pStyle w:val="ListParagraph"/>
        <w:widowControl w:val="0"/>
        <w:numPr>
          <w:ilvl w:val="0"/>
          <w:numId w:val="13"/>
        </w:numPr>
        <w:spacing w:after="120"/>
        <w:contextualSpacing w:val="0"/>
        <w:rPr>
          <w:rFonts w:eastAsiaTheme="minorEastAsia"/>
        </w:rPr>
      </w:pPr>
      <w:r w:rsidRPr="001D528D">
        <w:t>The first clinical oral exam should occur at the eruption of the first tooth and no later than 12 months old. Clinical exams should take place every six months or as indicated by the child’s risk status and susceptibility to disease. The clinical exam includes assessment of all hard and soft tissues, as well as pathology and injuries.</w:t>
      </w:r>
    </w:p>
    <w:p w14:paraId="07860778" w14:textId="77777777" w:rsidR="00E65281" w:rsidRPr="001D528D" w:rsidRDefault="00E65281" w:rsidP="00E65281">
      <w:pPr>
        <w:pStyle w:val="ListParagraph"/>
        <w:widowControl w:val="0"/>
        <w:numPr>
          <w:ilvl w:val="0"/>
          <w:numId w:val="13"/>
        </w:numPr>
        <w:spacing w:after="120"/>
        <w:contextualSpacing w:val="0"/>
        <w:rPr>
          <w:rFonts w:eastAsiaTheme="minorEastAsia"/>
        </w:rPr>
      </w:pPr>
      <w:r w:rsidRPr="001D528D">
        <w:t>Oral growth and development are assessed by clinical exam.</w:t>
      </w:r>
    </w:p>
    <w:p w14:paraId="3BD94888" w14:textId="77777777" w:rsidR="00E65281" w:rsidRPr="001D528D" w:rsidRDefault="00E65281" w:rsidP="00E65281">
      <w:pPr>
        <w:pStyle w:val="ListParagraph"/>
        <w:widowControl w:val="0"/>
        <w:numPr>
          <w:ilvl w:val="0"/>
          <w:numId w:val="13"/>
        </w:numPr>
        <w:spacing w:after="120"/>
        <w:contextualSpacing w:val="0"/>
        <w:rPr>
          <w:rFonts w:eastAsiaTheme="minorEastAsia"/>
        </w:rPr>
      </w:pPr>
      <w:r w:rsidRPr="001D528D">
        <w:t xml:space="preserve">Caries risk review should be performed as soon as the first primary tooth erupts to prevent disease by identifying patients at high risk for caries and developing individualized preventive measures and caries management, as well as determining appropriate periodicity of services. Because a child’s risk for developing dental disease can change over time due to changes in habits (e.g., diet, home care), oral microflora, or physical condition, risk assessment must be documented and repeated regularly and frequently to maximize effectiveness. </w:t>
      </w:r>
    </w:p>
    <w:p w14:paraId="19C05D41" w14:textId="77777777" w:rsidR="00E65281" w:rsidRPr="001D528D" w:rsidRDefault="00E65281" w:rsidP="00E65281">
      <w:pPr>
        <w:pStyle w:val="ListParagraph"/>
        <w:widowControl w:val="0"/>
        <w:numPr>
          <w:ilvl w:val="0"/>
          <w:numId w:val="13"/>
        </w:numPr>
        <w:spacing w:after="120"/>
        <w:contextualSpacing w:val="0"/>
        <w:rPr>
          <w:rFonts w:eastAsiaTheme="minorEastAsia"/>
        </w:rPr>
      </w:pPr>
      <w:r w:rsidRPr="001D528D">
        <w:t>Radiographic reviews are an important component of the clinical assessment. Timing, selection, and frequency are determined by child’s history, clinical findings, and susceptibility to oral disease and in compliance with ADA/FDA guidelines (</w:t>
      </w:r>
      <w:hyperlink r:id="rId79" w:history="1">
        <w:r w:rsidRPr="001D528D">
          <w:rPr>
            <w:rStyle w:val="Hyperlink"/>
          </w:rPr>
          <w:t>www.fda.gov/radiation-emitting-products/medical-x-ray-imaging/selection-patients-dental-radiographic-examinations</w:t>
        </w:r>
      </w:hyperlink>
      <w:r w:rsidRPr="001D528D">
        <w:t xml:space="preserve">). Every effort must be made to minimize the patient’s radiation exposure by applying </w:t>
      </w:r>
      <w:r>
        <w:t>best</w:t>
      </w:r>
      <w:r w:rsidRPr="001D528D">
        <w:t xml:space="preserve"> radiological practices and minimizing radiographs only to those necessary to obtain essential diagnostic information and achieve satisfactory diagnosis.</w:t>
      </w:r>
      <w:r w:rsidRPr="001104BD">
        <w:t xml:space="preserve"> </w:t>
      </w:r>
      <w:r w:rsidRPr="001D528D">
        <w:t>Variations from the ADA/FDA clinical guidelines must be documented in the patient record.</w:t>
      </w:r>
    </w:p>
    <w:p w14:paraId="03C643E9" w14:textId="77777777" w:rsidR="00E65281" w:rsidRPr="001D528D" w:rsidRDefault="00E65281" w:rsidP="00E65281">
      <w:pPr>
        <w:pStyle w:val="ListParagraph"/>
        <w:widowControl w:val="0"/>
        <w:numPr>
          <w:ilvl w:val="0"/>
          <w:numId w:val="13"/>
        </w:numPr>
        <w:spacing w:after="120"/>
        <w:contextualSpacing w:val="0"/>
        <w:rPr>
          <w:rFonts w:eastAsiaTheme="minorEastAsia"/>
        </w:rPr>
      </w:pPr>
      <w:r w:rsidRPr="001D528D">
        <w:t xml:space="preserve">Prophylaxis and topical fluoride treatments are important preventive measures that should be a regular part of the periodic exam and assessment process. The interval for frequency of professional preventive services is based upon assessed risk for caries and periodontal disease. Once teeth are present, fluoride varnish may be applied every three to six months in the dental </w:t>
      </w:r>
      <w:r w:rsidRPr="001D528D">
        <w:lastRenderedPageBreak/>
        <w:t>office or primary care setting. (</w:t>
      </w:r>
      <w:hyperlink r:id="rId80" w:history="1">
        <w:r w:rsidRPr="001D528D">
          <w:rPr>
            <w:rStyle w:val="Hyperlink"/>
          </w:rPr>
          <w:t>https://publications.aap.org/pediatrics/article/146/6/e2020034637/33536/Fluoride-Use-in-Caries-Prevention-in-the-Primary</w:t>
        </w:r>
      </w:hyperlink>
      <w:r w:rsidRPr="001D528D">
        <w:t>)</w:t>
      </w:r>
    </w:p>
    <w:p w14:paraId="6827E515" w14:textId="77777777" w:rsidR="00E65281" w:rsidRPr="001D528D" w:rsidRDefault="00E65281" w:rsidP="00E65281">
      <w:pPr>
        <w:pStyle w:val="ListParagraph"/>
        <w:widowControl w:val="0"/>
        <w:numPr>
          <w:ilvl w:val="0"/>
          <w:numId w:val="13"/>
        </w:numPr>
        <w:spacing w:after="120"/>
        <w:contextualSpacing w:val="0"/>
      </w:pPr>
      <w:r w:rsidRPr="001D528D">
        <w:t xml:space="preserve">Consider fluoride supplementation for children up to at least 16 years of age when systemic fluoride exposure is suboptimal or as otherwise indicated by guidance of the American Academy of Pediatric Dentistry and the Bright Futures Periodicity schedule. See list of Massachusetts fluoridated communities at </w:t>
      </w:r>
      <w:hyperlink r:id="rId81" w:anchor="search-by-city-or-town-name-" w:history="1">
        <w:r w:rsidRPr="00192305">
          <w:t>www.mass.gov/info-details/community-water-fluoridation-status</w:t>
        </w:r>
      </w:hyperlink>
      <w:r w:rsidRPr="001D528D">
        <w:t xml:space="preserve">. </w:t>
      </w:r>
    </w:p>
    <w:p w14:paraId="5D8C539C" w14:textId="77777777" w:rsidR="00E65281" w:rsidRPr="001D528D" w:rsidRDefault="00E65281" w:rsidP="00E65281">
      <w:pPr>
        <w:pStyle w:val="ListParagraph"/>
        <w:widowControl w:val="0"/>
        <w:numPr>
          <w:ilvl w:val="0"/>
          <w:numId w:val="13"/>
        </w:numPr>
        <w:spacing w:after="120"/>
        <w:contextualSpacing w:val="0"/>
        <w:rPr>
          <w:rFonts w:eastAsiaTheme="minorEastAsia"/>
        </w:rPr>
      </w:pPr>
      <w:r w:rsidRPr="001D528D">
        <w:t>Anticipatory guidance is the process of providing practical and developmentally appropriate information to prepare parents for significant milestones in oral development, teething and tooth eruption, oral hygiene, feeding and eating practices, fluoride, and injury prevention.  Individualized discussion and counseling are integral component</w:t>
      </w:r>
      <w:r>
        <w:t>s</w:t>
      </w:r>
      <w:r w:rsidRPr="001D528D">
        <w:t xml:space="preserve"> of each visit.</w:t>
      </w:r>
    </w:p>
    <w:p w14:paraId="6B70609C" w14:textId="77777777" w:rsidR="00E65281" w:rsidRPr="001D528D" w:rsidRDefault="00E65281" w:rsidP="00E65281">
      <w:pPr>
        <w:pStyle w:val="ListParagraph"/>
        <w:widowControl w:val="0"/>
        <w:numPr>
          <w:ilvl w:val="0"/>
          <w:numId w:val="13"/>
        </w:numPr>
        <w:spacing w:after="120"/>
        <w:contextualSpacing w:val="0"/>
        <w:rPr>
          <w:rFonts w:eastAsiaTheme="minorEastAsia"/>
        </w:rPr>
      </w:pPr>
      <w:r w:rsidRPr="001D528D">
        <w:t>Oral hygiene counseling involves the parents and child. Initially, oral hygiene is the responsibility of the parent. As the child develops, home care can be performed jointly by the parent and child. When a child demonstrates the understanding and ability to perform personal hygiene techniques, age-appropriate instruction should be provided to the child. The effectiveness of home care should be monitored at every visit and includes a discussion on the consistency of daily oral hygiene preventative activities, including adequate fluoride exposure.</w:t>
      </w:r>
    </w:p>
    <w:p w14:paraId="513731D0" w14:textId="77777777" w:rsidR="00E65281" w:rsidRPr="001D528D" w:rsidRDefault="00E65281" w:rsidP="00E65281">
      <w:pPr>
        <w:pStyle w:val="ListParagraph"/>
        <w:widowControl w:val="0"/>
        <w:numPr>
          <w:ilvl w:val="0"/>
          <w:numId w:val="13"/>
        </w:numPr>
        <w:spacing w:after="120"/>
        <w:contextualSpacing w:val="0"/>
        <w:rPr>
          <w:rFonts w:eastAsiaTheme="minorEastAsia"/>
        </w:rPr>
      </w:pPr>
      <w:r w:rsidRPr="001D528D">
        <w:t xml:space="preserve">Dietary counseling is an integral part of </w:t>
      </w:r>
      <w:r>
        <w:t xml:space="preserve">every </w:t>
      </w:r>
      <w:r w:rsidRPr="001D528D">
        <w:t xml:space="preserve">visit. For very young children, this should include a discussion of appropriate feeding practices and prevention of early childhood caries. By age one, the counseling should include the role of refined carbohydrates and frequency of snacking and sugar-sweetened beverages in caries development and childhood obesity. </w:t>
      </w:r>
    </w:p>
    <w:p w14:paraId="4D7EDD31" w14:textId="77777777" w:rsidR="00E65281" w:rsidRPr="001D528D" w:rsidRDefault="00E65281" w:rsidP="00E65281">
      <w:pPr>
        <w:pStyle w:val="ListParagraph"/>
        <w:widowControl w:val="0"/>
        <w:numPr>
          <w:ilvl w:val="0"/>
          <w:numId w:val="13"/>
        </w:numPr>
        <w:spacing w:after="120"/>
        <w:contextualSpacing w:val="0"/>
        <w:rPr>
          <w:rFonts w:eastAsiaTheme="minorEastAsia"/>
        </w:rPr>
      </w:pPr>
      <w:r w:rsidRPr="001D528D">
        <w:t>Counseling related to non-nutritive sucking habits should include information about the need for additional sucking (e.g. digits vs. pacifiers). As the child grows, counseling should include the need to wean from the sucking habit before malocclusion or deleterious effect on the dentofacial complex occurs. For school-aged children and adolescent patients, counseling should include any existing habits such as fingernail biting, clenching, or bruxism.</w:t>
      </w:r>
    </w:p>
    <w:p w14:paraId="16F87878" w14:textId="77777777" w:rsidR="00E65281" w:rsidRPr="001D528D" w:rsidRDefault="00E65281" w:rsidP="00E65281">
      <w:pPr>
        <w:pStyle w:val="ListParagraph"/>
        <w:widowControl w:val="0"/>
        <w:numPr>
          <w:ilvl w:val="0"/>
          <w:numId w:val="13"/>
        </w:numPr>
        <w:spacing w:after="120"/>
        <w:contextualSpacing w:val="0"/>
        <w:rPr>
          <w:rFonts w:eastAsiaTheme="minorEastAsia"/>
        </w:rPr>
      </w:pPr>
      <w:r w:rsidRPr="001D528D">
        <w:t>Injury prevention counseling should initially include information about play objects, pacifiers, car seats, electrical cords, and secondhand smoke. As the child nears age one, counseling should include learning to walk and routine playing. As motor coordination develops and the child grows older, the parent/patient should be counseled on additional safety and preventive measures, including use of protective equipment (e.g., athletic mouthguards, helmets with face shields) for contact sports and high-speed activities.</w:t>
      </w:r>
    </w:p>
    <w:p w14:paraId="55325B00" w14:textId="77777777" w:rsidR="00E65281" w:rsidRPr="001D528D" w:rsidRDefault="00E65281" w:rsidP="00E65281">
      <w:pPr>
        <w:pStyle w:val="ListParagraph"/>
        <w:widowControl w:val="0"/>
        <w:numPr>
          <w:ilvl w:val="0"/>
          <w:numId w:val="13"/>
        </w:numPr>
        <w:spacing w:after="120"/>
        <w:contextualSpacing w:val="0"/>
        <w:rPr>
          <w:rFonts w:eastAsiaTheme="minorEastAsia"/>
        </w:rPr>
      </w:pPr>
      <w:r w:rsidRPr="001D528D">
        <w:t>Observation for age-appropriate speech articulation and fluency as well as receptive and expressive language milestones</w:t>
      </w:r>
      <w:r w:rsidRPr="00CE7F5F">
        <w:t xml:space="preserve"> </w:t>
      </w:r>
      <w:r w:rsidRPr="001D528D">
        <w:t xml:space="preserve">is crucial for early recognition of potential delays and appropriate referral to therapeutic services. </w:t>
      </w:r>
    </w:p>
    <w:p w14:paraId="07D9ECD0" w14:textId="77777777" w:rsidR="00E65281" w:rsidRPr="001D528D" w:rsidRDefault="00E65281" w:rsidP="00E65281">
      <w:pPr>
        <w:pStyle w:val="ListParagraph"/>
        <w:widowControl w:val="0"/>
        <w:numPr>
          <w:ilvl w:val="0"/>
          <w:numId w:val="13"/>
        </w:numPr>
        <w:spacing w:after="120"/>
        <w:contextualSpacing w:val="0"/>
        <w:rPr>
          <w:rFonts w:eastAsiaTheme="minorEastAsia"/>
        </w:rPr>
      </w:pPr>
      <w:r w:rsidRPr="001D528D">
        <w:t>Assessment of developing occlusion should begin in the two- to six-year age range and include identification of:</w:t>
      </w:r>
      <w:r w:rsidRPr="001D528D" w:rsidDel="00035B11">
        <w:t xml:space="preserve"> </w:t>
      </w:r>
      <w:r w:rsidRPr="001D528D">
        <w:t>transverse, vertical, and sagittal growth patterns; asymmetry; occlusal disharmonies; functional status including temporomandibular joint dysfunction; and esthetic influences on self-image and emotional development. Abnormalities in occlusal development should be recognized, diagnosed, and managed or referred in a timely manner.</w:t>
      </w:r>
    </w:p>
    <w:p w14:paraId="4E5EAAEC" w14:textId="77777777" w:rsidR="00E65281" w:rsidRPr="001D528D" w:rsidRDefault="00E65281" w:rsidP="00E65281">
      <w:pPr>
        <w:pStyle w:val="ListParagraph"/>
        <w:widowControl w:val="0"/>
        <w:numPr>
          <w:ilvl w:val="0"/>
          <w:numId w:val="13"/>
        </w:numPr>
        <w:spacing w:after="120"/>
        <w:contextualSpacing w:val="0"/>
        <w:rPr>
          <w:rFonts w:eastAsiaTheme="minorEastAsia"/>
        </w:rPr>
      </w:pPr>
      <w:r w:rsidRPr="001D528D">
        <w:t xml:space="preserve">For caries-susceptible primary molars, permanent molars, premolars, and anterior teeth with deep pits and fissures; dental sealants should be placed as soon as possible after eruption. Sealants are </w:t>
      </w:r>
      <w:r w:rsidRPr="001D528D">
        <w:lastRenderedPageBreak/>
        <w:t>a crucial part of preventive dental care and can minimize the progression of non</w:t>
      </w:r>
      <w:r>
        <w:t>-</w:t>
      </w:r>
      <w:r w:rsidRPr="001D528D">
        <w:t>cavitated occlusal caries lesions.</w:t>
      </w:r>
    </w:p>
    <w:p w14:paraId="20D004E4" w14:textId="77777777" w:rsidR="00E65281" w:rsidRPr="001D528D" w:rsidRDefault="00E65281" w:rsidP="00E65281">
      <w:pPr>
        <w:pStyle w:val="ListParagraph"/>
        <w:widowControl w:val="0"/>
        <w:numPr>
          <w:ilvl w:val="0"/>
          <w:numId w:val="13"/>
        </w:numPr>
        <w:spacing w:after="120"/>
        <w:contextualSpacing w:val="0"/>
        <w:rPr>
          <w:rFonts w:eastAsiaTheme="minorEastAsia"/>
        </w:rPr>
      </w:pPr>
      <w:r w:rsidRPr="001D528D">
        <w:rPr>
          <w:rFonts w:eastAsiaTheme="minorEastAsia"/>
        </w:rPr>
        <w:t>Periodontal risk assessment identifies individuals at increased risk of developing gingival and periodontal diseases and pathologies and should be repeated during each clinical examination to monitor changes in risk status and to maximize effectiveness. Periodontal probing should be added to the risk-assessment process after the eruption of the first permanent molars and incisors as tolerated by the child. Probing of primary teeth may be indicated when clinical and radiographic findings indicate the presence of periodontal pathology.</w:t>
      </w:r>
    </w:p>
    <w:p w14:paraId="67585A8B" w14:textId="77777777" w:rsidR="00E65281" w:rsidRPr="001D528D" w:rsidRDefault="00E65281" w:rsidP="00E65281">
      <w:pPr>
        <w:pStyle w:val="ListParagraph"/>
        <w:widowControl w:val="0"/>
        <w:numPr>
          <w:ilvl w:val="0"/>
          <w:numId w:val="13"/>
        </w:numPr>
        <w:spacing w:after="120"/>
        <w:contextualSpacing w:val="0"/>
        <w:rPr>
          <w:rFonts w:eastAsiaTheme="minorEastAsia"/>
        </w:rPr>
      </w:pPr>
      <w:r w:rsidRPr="001D528D">
        <w:t>Education regarding prevention of tobacco use, vaping, and substance misuse should begin as early as age six according to the National Cancer Institute and American Dental Association. When tobacco or substance use has been identified, brief interventions should encourage, support, and positively reinforce avoiding substance use. If indicated, appropriate referrals should be made for assessment and/or treatment of substance use disorders.</w:t>
      </w:r>
    </w:p>
    <w:p w14:paraId="43967DC8" w14:textId="77777777" w:rsidR="00E65281" w:rsidRPr="001D528D" w:rsidRDefault="00E65281" w:rsidP="00E65281">
      <w:pPr>
        <w:pStyle w:val="ListParagraph"/>
        <w:widowControl w:val="0"/>
        <w:numPr>
          <w:ilvl w:val="0"/>
          <w:numId w:val="13"/>
        </w:numPr>
        <w:spacing w:after="120"/>
        <w:contextualSpacing w:val="0"/>
        <w:rPr>
          <w:rFonts w:eastAsiaTheme="minorEastAsia"/>
        </w:rPr>
      </w:pPr>
      <w:r w:rsidRPr="001D528D">
        <w:rPr>
          <w:rFonts w:eastAsiaTheme="minorEastAsia"/>
        </w:rPr>
        <w:t>Human papilloma virus (HPV) is associated with several types of cancers, including oral and oropharyngeal cancers. As adolescent patients tend to see the dentist twice yearly and more often than their medical care provider, this is a window of opportunity for the dental professional to counsel patients and parents about HPV’s link to oral cancer and the potential benefits of receiving the HPV vaccine.</w:t>
      </w:r>
    </w:p>
    <w:p w14:paraId="7F644216" w14:textId="77777777" w:rsidR="00E65281" w:rsidRPr="001D528D" w:rsidRDefault="00E65281" w:rsidP="00E65281">
      <w:pPr>
        <w:pStyle w:val="ListParagraph"/>
        <w:widowControl w:val="0"/>
        <w:numPr>
          <w:ilvl w:val="0"/>
          <w:numId w:val="13"/>
        </w:numPr>
        <w:spacing w:after="120"/>
        <w:contextualSpacing w:val="0"/>
        <w:rPr>
          <w:rFonts w:eastAsiaTheme="minorEastAsia"/>
        </w:rPr>
      </w:pPr>
      <w:r w:rsidRPr="001D528D">
        <w:t>The oral health consequences of intraoral/perioral piercings should be initiated for the preteen child and parent and reinforced during subsequent periodic visits.</w:t>
      </w:r>
    </w:p>
    <w:p w14:paraId="44483D6E" w14:textId="77777777" w:rsidR="00E65281" w:rsidRPr="001D528D" w:rsidRDefault="00E65281" w:rsidP="00E65281">
      <w:pPr>
        <w:pStyle w:val="ListParagraph"/>
        <w:widowControl w:val="0"/>
        <w:numPr>
          <w:ilvl w:val="0"/>
          <w:numId w:val="13"/>
        </w:numPr>
        <w:spacing w:after="120"/>
        <w:contextualSpacing w:val="0"/>
        <w:rPr>
          <w:rFonts w:eastAsiaTheme="minorEastAsia"/>
        </w:rPr>
      </w:pPr>
      <w:r w:rsidRPr="001D528D">
        <w:rPr>
          <w:rFonts w:eastAsiaTheme="minorEastAsia"/>
        </w:rPr>
        <w:t xml:space="preserve">During late adolescence, assess the presence, position, and development of third molars, giving consideration to removal when there is a high probability of disease or pathology or the risks associated with early removal are less than the risks of later removal. </w:t>
      </w:r>
    </w:p>
    <w:p w14:paraId="22696D1E" w14:textId="77777777" w:rsidR="00E65281" w:rsidRPr="001D528D" w:rsidRDefault="00E65281" w:rsidP="00E65281">
      <w:pPr>
        <w:pStyle w:val="ListParagraph"/>
        <w:widowControl w:val="0"/>
        <w:numPr>
          <w:ilvl w:val="0"/>
          <w:numId w:val="13"/>
        </w:numPr>
        <w:spacing w:line="271" w:lineRule="exact"/>
        <w:ind w:right="-20"/>
        <w:rPr>
          <w:sz w:val="20"/>
          <w:szCs w:val="20"/>
        </w:rPr>
      </w:pPr>
      <w:r w:rsidRPr="001D528D">
        <w:t xml:space="preserve">As adolescent patients approach 21 years of age, educating the patient and parent on the value of transitioning to a dentist who is experienced in adult oral health can help minimize disruption of high-quality, developmentally appropriate health care. At the time agreed upon by the patient, parent, and pediatric dentist, the patient should be referred to a specific practitioner in an environment sensitive to the adolescent’s individual needs. </w:t>
      </w:r>
    </w:p>
    <w:p w14:paraId="7DF5ADC8" w14:textId="77777777" w:rsidR="00E65281" w:rsidRDefault="00E65281" w:rsidP="00815A53">
      <w:pPr>
        <w:pStyle w:val="BodyText"/>
      </w:pPr>
    </w:p>
    <w:p w14:paraId="03C003B4" w14:textId="77777777" w:rsidR="00AE1AD1" w:rsidRDefault="00AE1AD1" w:rsidP="00815A53">
      <w:pPr>
        <w:pStyle w:val="BodyText"/>
      </w:pPr>
    </w:p>
    <w:p w14:paraId="4723841E" w14:textId="77777777" w:rsidR="00AE1AD1" w:rsidRDefault="00AE1AD1" w:rsidP="00815A53">
      <w:pPr>
        <w:pStyle w:val="BodyText"/>
        <w:sectPr w:rsidR="00AE1AD1" w:rsidSect="005B1804">
          <w:headerReference w:type="default" r:id="rId82"/>
          <w:footerReference w:type="default" r:id="rId83"/>
          <w:type w:val="continuous"/>
          <w:pgSz w:w="12240" w:h="15840" w:code="1"/>
          <w:pgMar w:top="576" w:right="1440" w:bottom="1440" w:left="1440" w:header="446" w:footer="490" w:gutter="0"/>
          <w:cols w:space="720"/>
          <w:titlePg/>
          <w:docGrid w:linePitch="299"/>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50"/>
        <w:gridCol w:w="3780"/>
        <w:gridCol w:w="1771"/>
      </w:tblGrid>
      <w:tr w:rsidR="00AE1AD1" w:rsidRPr="002B61E2" w14:paraId="490DE51A" w14:textId="77777777" w:rsidTr="004D2C48">
        <w:trPr>
          <w:trHeight w:hRule="exact" w:val="864"/>
        </w:trPr>
        <w:tc>
          <w:tcPr>
            <w:tcW w:w="4050" w:type="dxa"/>
            <w:tcBorders>
              <w:bottom w:val="nil"/>
            </w:tcBorders>
          </w:tcPr>
          <w:p w14:paraId="4798ED4D" w14:textId="77777777" w:rsidR="00AE1AD1" w:rsidRPr="00AE1AD1" w:rsidRDefault="00AE1AD1" w:rsidP="004114BD">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AE1AD1">
                  <w:rPr>
                    <w:rFonts w:ascii="Arial" w:hAnsi="Arial" w:cs="Arial"/>
                    <w:b/>
                  </w:rPr>
                  <w:lastRenderedPageBreak/>
                  <w:t>Commonwealth</w:t>
                </w:r>
              </w:smartTag>
              <w:r w:rsidRPr="00AE1AD1">
                <w:rPr>
                  <w:rFonts w:ascii="Arial" w:hAnsi="Arial" w:cs="Arial"/>
                  <w:b/>
                </w:rPr>
                <w:t xml:space="preserve"> of </w:t>
              </w:r>
              <w:smartTag w:uri="urn:schemas-microsoft-com:office:smarttags" w:element="PlaceName">
                <w:r w:rsidRPr="00AE1AD1">
                  <w:rPr>
                    <w:rFonts w:ascii="Arial" w:hAnsi="Arial" w:cs="Arial"/>
                    <w:b/>
                  </w:rPr>
                  <w:t>Massachusetts</w:t>
                </w:r>
              </w:smartTag>
            </w:smartTag>
          </w:p>
          <w:p w14:paraId="50D46EE0" w14:textId="77777777" w:rsidR="00AE1AD1" w:rsidRPr="00AE1AD1" w:rsidRDefault="00AE1AD1" w:rsidP="004114BD">
            <w:pPr>
              <w:widowControl w:val="0"/>
              <w:tabs>
                <w:tab w:val="left" w:pos="936"/>
                <w:tab w:val="left" w:pos="1314"/>
                <w:tab w:val="left" w:pos="1692"/>
                <w:tab w:val="left" w:pos="2070"/>
              </w:tabs>
              <w:jc w:val="center"/>
              <w:rPr>
                <w:rFonts w:ascii="Arial" w:hAnsi="Arial" w:cs="Arial"/>
                <w:b/>
              </w:rPr>
            </w:pPr>
            <w:r w:rsidRPr="00AE1AD1">
              <w:rPr>
                <w:rFonts w:ascii="Arial" w:hAnsi="Arial" w:cs="Arial"/>
                <w:b/>
              </w:rPr>
              <w:t>MassHealth</w:t>
            </w:r>
          </w:p>
          <w:p w14:paraId="00AE614B" w14:textId="77777777" w:rsidR="00AE1AD1" w:rsidRPr="00AE1AD1" w:rsidRDefault="00AE1AD1" w:rsidP="004114BD">
            <w:pPr>
              <w:widowControl w:val="0"/>
              <w:tabs>
                <w:tab w:val="left" w:pos="936"/>
                <w:tab w:val="left" w:pos="1314"/>
                <w:tab w:val="left" w:pos="1692"/>
                <w:tab w:val="left" w:pos="2070"/>
              </w:tabs>
              <w:jc w:val="center"/>
              <w:rPr>
                <w:rFonts w:ascii="Arial" w:hAnsi="Arial" w:cs="Arial"/>
                <w:b/>
              </w:rPr>
            </w:pPr>
            <w:r w:rsidRPr="00AE1AD1">
              <w:rPr>
                <w:rFonts w:ascii="Arial" w:hAnsi="Arial" w:cs="Arial"/>
                <w:b/>
              </w:rPr>
              <w:t>Provider Manual Series</w:t>
            </w:r>
          </w:p>
        </w:tc>
        <w:tc>
          <w:tcPr>
            <w:tcW w:w="3780" w:type="dxa"/>
          </w:tcPr>
          <w:p w14:paraId="3CD72C86" w14:textId="77777777" w:rsidR="00AE1AD1" w:rsidRPr="00AE1AD1" w:rsidRDefault="00AE1AD1" w:rsidP="004114BD">
            <w:pPr>
              <w:widowControl w:val="0"/>
              <w:tabs>
                <w:tab w:val="left" w:pos="936"/>
                <w:tab w:val="left" w:pos="1314"/>
                <w:tab w:val="left" w:pos="1692"/>
                <w:tab w:val="left" w:pos="2070"/>
              </w:tabs>
              <w:spacing w:before="120"/>
              <w:jc w:val="center"/>
              <w:rPr>
                <w:rFonts w:ascii="Arial" w:hAnsi="Arial" w:cs="Arial"/>
              </w:rPr>
            </w:pPr>
            <w:r w:rsidRPr="00AE1AD1">
              <w:rPr>
                <w:rFonts w:ascii="Arial" w:hAnsi="Arial" w:cs="Arial"/>
                <w:b/>
              </w:rPr>
              <w:t>Subchapter Number and Title</w:t>
            </w:r>
          </w:p>
          <w:p w14:paraId="25D3E5F4" w14:textId="77777777" w:rsidR="00AE1AD1" w:rsidRPr="00AE1AD1" w:rsidRDefault="00AE1AD1" w:rsidP="004114BD">
            <w:pPr>
              <w:widowControl w:val="0"/>
              <w:tabs>
                <w:tab w:val="left" w:pos="936"/>
                <w:tab w:val="left" w:pos="1314"/>
                <w:tab w:val="left" w:pos="1692"/>
                <w:tab w:val="left" w:pos="2070"/>
              </w:tabs>
              <w:jc w:val="center"/>
              <w:rPr>
                <w:rFonts w:ascii="Arial" w:hAnsi="Arial" w:cs="Arial"/>
              </w:rPr>
            </w:pPr>
            <w:r w:rsidRPr="00AE1AD1">
              <w:rPr>
                <w:rFonts w:ascii="Arial" w:hAnsi="Arial" w:cs="Arial"/>
              </w:rPr>
              <w:t>Appendix Z.  EPSDT/PPHSD Screening Services Codes</w:t>
            </w:r>
          </w:p>
        </w:tc>
        <w:tc>
          <w:tcPr>
            <w:tcW w:w="1771" w:type="dxa"/>
          </w:tcPr>
          <w:p w14:paraId="4D297557" w14:textId="77777777" w:rsidR="00AE1AD1" w:rsidRPr="00AE1AD1" w:rsidRDefault="00AE1AD1" w:rsidP="004114BD">
            <w:pPr>
              <w:widowControl w:val="0"/>
              <w:tabs>
                <w:tab w:val="left" w:pos="936"/>
                <w:tab w:val="left" w:pos="1314"/>
                <w:tab w:val="left" w:pos="1692"/>
                <w:tab w:val="left" w:pos="2070"/>
              </w:tabs>
              <w:spacing w:before="120"/>
              <w:jc w:val="center"/>
              <w:rPr>
                <w:rFonts w:ascii="Arial" w:hAnsi="Arial" w:cs="Arial"/>
              </w:rPr>
            </w:pPr>
            <w:r w:rsidRPr="00AE1AD1">
              <w:rPr>
                <w:rFonts w:ascii="Arial" w:hAnsi="Arial" w:cs="Arial"/>
                <w:b/>
              </w:rPr>
              <w:t>Page</w:t>
            </w:r>
          </w:p>
          <w:p w14:paraId="4A87712F" w14:textId="77777777" w:rsidR="00AE1AD1" w:rsidRPr="00AE1AD1" w:rsidRDefault="00AE1AD1" w:rsidP="004114BD">
            <w:pPr>
              <w:widowControl w:val="0"/>
              <w:tabs>
                <w:tab w:val="left" w:pos="936"/>
                <w:tab w:val="left" w:pos="1314"/>
                <w:tab w:val="left" w:pos="1692"/>
                <w:tab w:val="left" w:pos="2070"/>
              </w:tabs>
              <w:spacing w:before="120"/>
              <w:jc w:val="center"/>
              <w:rPr>
                <w:rFonts w:ascii="Arial" w:hAnsi="Arial" w:cs="Arial"/>
              </w:rPr>
            </w:pPr>
            <w:r w:rsidRPr="00AE1AD1">
              <w:rPr>
                <w:rFonts w:ascii="Arial" w:hAnsi="Arial" w:cs="Arial"/>
              </w:rPr>
              <w:t>Z-1</w:t>
            </w:r>
          </w:p>
        </w:tc>
      </w:tr>
      <w:tr w:rsidR="00AE1AD1" w:rsidRPr="002B61E2" w14:paraId="12736DB0" w14:textId="77777777" w:rsidTr="004D2C48">
        <w:trPr>
          <w:trHeight w:hRule="exact" w:val="864"/>
        </w:trPr>
        <w:tc>
          <w:tcPr>
            <w:tcW w:w="4050" w:type="dxa"/>
            <w:tcBorders>
              <w:top w:val="nil"/>
            </w:tcBorders>
            <w:vAlign w:val="center"/>
          </w:tcPr>
          <w:p w14:paraId="351AE5CC" w14:textId="77777777" w:rsidR="00AE1AD1" w:rsidRPr="00AE1AD1" w:rsidRDefault="00AE1AD1" w:rsidP="004114BD">
            <w:pPr>
              <w:widowControl w:val="0"/>
              <w:tabs>
                <w:tab w:val="left" w:pos="936"/>
                <w:tab w:val="left" w:pos="1314"/>
                <w:tab w:val="left" w:pos="1692"/>
                <w:tab w:val="left" w:pos="2070"/>
              </w:tabs>
              <w:jc w:val="center"/>
              <w:rPr>
                <w:rFonts w:ascii="Arial" w:hAnsi="Arial" w:cs="Arial"/>
              </w:rPr>
            </w:pPr>
            <w:r w:rsidRPr="00AE1AD1">
              <w:rPr>
                <w:rFonts w:ascii="Arial" w:hAnsi="Arial" w:cs="Arial"/>
              </w:rPr>
              <w:t>All Provider Manuals</w:t>
            </w:r>
          </w:p>
        </w:tc>
        <w:tc>
          <w:tcPr>
            <w:tcW w:w="3780" w:type="dxa"/>
          </w:tcPr>
          <w:p w14:paraId="63EE844C" w14:textId="77777777" w:rsidR="00AE1AD1" w:rsidRPr="00AE1AD1" w:rsidRDefault="00AE1AD1" w:rsidP="004114BD">
            <w:pPr>
              <w:widowControl w:val="0"/>
              <w:tabs>
                <w:tab w:val="left" w:pos="936"/>
                <w:tab w:val="left" w:pos="1314"/>
                <w:tab w:val="left" w:pos="1692"/>
                <w:tab w:val="left" w:pos="2070"/>
              </w:tabs>
              <w:spacing w:before="120"/>
              <w:jc w:val="center"/>
              <w:rPr>
                <w:rFonts w:ascii="Arial" w:hAnsi="Arial" w:cs="Arial"/>
                <w:b/>
              </w:rPr>
            </w:pPr>
            <w:r w:rsidRPr="00AE1AD1">
              <w:rPr>
                <w:rFonts w:ascii="Arial" w:hAnsi="Arial" w:cs="Arial"/>
                <w:b/>
              </w:rPr>
              <w:t>Transmittal Letter</w:t>
            </w:r>
          </w:p>
          <w:p w14:paraId="5056327F" w14:textId="77777777" w:rsidR="00AE1AD1" w:rsidRPr="00AE1AD1" w:rsidRDefault="00AE1AD1" w:rsidP="00A11B76">
            <w:pPr>
              <w:widowControl w:val="0"/>
              <w:tabs>
                <w:tab w:val="left" w:pos="936"/>
                <w:tab w:val="left" w:pos="1314"/>
                <w:tab w:val="left" w:pos="1692"/>
                <w:tab w:val="left" w:pos="2070"/>
              </w:tabs>
              <w:spacing w:before="120"/>
              <w:jc w:val="center"/>
              <w:rPr>
                <w:rFonts w:ascii="Arial" w:hAnsi="Arial" w:cs="Arial"/>
              </w:rPr>
            </w:pPr>
            <w:r w:rsidRPr="00AE1AD1">
              <w:rPr>
                <w:rFonts w:ascii="Arial" w:hAnsi="Arial" w:cs="Arial"/>
              </w:rPr>
              <w:t>ALL-249</w:t>
            </w:r>
          </w:p>
        </w:tc>
        <w:tc>
          <w:tcPr>
            <w:tcW w:w="1771" w:type="dxa"/>
          </w:tcPr>
          <w:p w14:paraId="15DC18A4" w14:textId="77777777" w:rsidR="00AE1AD1" w:rsidRPr="00AE1AD1" w:rsidRDefault="00AE1AD1" w:rsidP="004114BD">
            <w:pPr>
              <w:widowControl w:val="0"/>
              <w:tabs>
                <w:tab w:val="left" w:pos="936"/>
                <w:tab w:val="left" w:pos="1314"/>
                <w:tab w:val="left" w:pos="1692"/>
                <w:tab w:val="left" w:pos="2070"/>
              </w:tabs>
              <w:spacing w:before="120"/>
              <w:jc w:val="center"/>
              <w:rPr>
                <w:rFonts w:ascii="Arial" w:hAnsi="Arial" w:cs="Arial"/>
                <w:b/>
              </w:rPr>
            </w:pPr>
            <w:r w:rsidRPr="00AE1AD1">
              <w:rPr>
                <w:rFonts w:ascii="Arial" w:hAnsi="Arial" w:cs="Arial"/>
                <w:b/>
              </w:rPr>
              <w:t>Date</w:t>
            </w:r>
          </w:p>
          <w:p w14:paraId="37AA11A3" w14:textId="77777777" w:rsidR="00AE1AD1" w:rsidRPr="00AE1AD1" w:rsidRDefault="00AE1AD1" w:rsidP="00414D98">
            <w:pPr>
              <w:widowControl w:val="0"/>
              <w:tabs>
                <w:tab w:val="left" w:pos="936"/>
                <w:tab w:val="left" w:pos="1314"/>
                <w:tab w:val="left" w:pos="1692"/>
                <w:tab w:val="left" w:pos="2070"/>
              </w:tabs>
              <w:spacing w:before="120"/>
              <w:jc w:val="center"/>
              <w:rPr>
                <w:rFonts w:ascii="Arial" w:hAnsi="Arial" w:cs="Arial"/>
              </w:rPr>
            </w:pPr>
            <w:r w:rsidRPr="00AE1AD1">
              <w:rPr>
                <w:rFonts w:ascii="Arial" w:hAnsi="Arial" w:cs="Arial"/>
              </w:rPr>
              <w:t>11/21/24</w:t>
            </w:r>
          </w:p>
        </w:tc>
      </w:tr>
    </w:tbl>
    <w:p w14:paraId="7143B9BF" w14:textId="77777777" w:rsidR="00AE1AD1" w:rsidRDefault="00AE1AD1">
      <w:pPr>
        <w:widowControl w:val="0"/>
        <w:tabs>
          <w:tab w:val="left" w:pos="936"/>
          <w:tab w:val="left" w:pos="1314"/>
          <w:tab w:val="left" w:pos="1692"/>
          <w:tab w:val="left" w:pos="2070"/>
        </w:tabs>
      </w:pPr>
    </w:p>
    <w:p w14:paraId="1C4CCEA4" w14:textId="5F41E9AA" w:rsidR="00AE1AD1" w:rsidRPr="00AE1AD1" w:rsidRDefault="00AE1AD1" w:rsidP="00AE1AD1">
      <w:pPr>
        <w:pStyle w:val="Heading1"/>
        <w:spacing w:before="120"/>
      </w:pPr>
      <w:r w:rsidRPr="005053A3">
        <w:t>EPDT/PPHSD Screening Services Codes</w:t>
      </w:r>
    </w:p>
    <w:p w14:paraId="49A02DC3" w14:textId="77777777" w:rsidR="00AE1AD1" w:rsidRDefault="00AE1AD1">
      <w:pPr>
        <w:widowControl w:val="0"/>
        <w:tabs>
          <w:tab w:val="left" w:pos="936"/>
          <w:tab w:val="left" w:pos="1314"/>
          <w:tab w:val="left" w:pos="1692"/>
          <w:tab w:val="left" w:pos="2070"/>
        </w:tabs>
      </w:pPr>
      <w:r>
        <w:t xml:space="preserve">The following services are payable according to 130 CMR 450.146 through 450.150 in addition to the initial, periodic, or </w:t>
      </w:r>
      <w:proofErr w:type="spellStart"/>
      <w:r>
        <w:t>interperiodic</w:t>
      </w:r>
      <w:proofErr w:type="spellEnd"/>
      <w:r>
        <w:t xml:space="preserve">, Early and Periodic Screening, Diagnostic and Treatment (EPSDT) or Preventive </w:t>
      </w:r>
      <w:r w:rsidRPr="00BE14DE">
        <w:t>Pediatric</w:t>
      </w:r>
      <w:r>
        <w:t xml:space="preserve"> Health-</w:t>
      </w:r>
      <w:r w:rsidRPr="00BE14DE">
        <w:t>care</w:t>
      </w:r>
      <w:r>
        <w:t xml:space="preserve"> Screening and Diagnosis (PPHSD) visit when they are performed and interpreted in the office of the provider who furnished the visit.</w:t>
      </w:r>
    </w:p>
    <w:p w14:paraId="210876EC" w14:textId="77777777" w:rsidR="00AE1AD1" w:rsidRDefault="00AE1AD1">
      <w:pPr>
        <w:widowControl w:val="0"/>
        <w:tabs>
          <w:tab w:val="left" w:pos="936"/>
          <w:tab w:val="left" w:pos="1314"/>
          <w:tab w:val="left" w:pos="1692"/>
          <w:tab w:val="left" w:pos="2070"/>
        </w:tabs>
      </w:pPr>
    </w:p>
    <w:p w14:paraId="5CC6F07C" w14:textId="77777777" w:rsidR="00AE1AD1" w:rsidRDefault="00AE1AD1">
      <w:pPr>
        <w:widowControl w:val="0"/>
        <w:tabs>
          <w:tab w:val="left" w:pos="936"/>
          <w:tab w:val="left" w:pos="1314"/>
          <w:tab w:val="left" w:pos="1692"/>
          <w:tab w:val="left" w:pos="2070"/>
        </w:tabs>
        <w:jc w:val="center"/>
        <w:rPr>
          <w:b/>
          <w:u w:val="single"/>
        </w:rPr>
      </w:pPr>
      <w:r>
        <w:rPr>
          <w:b/>
          <w:u w:val="single"/>
        </w:rPr>
        <w:t>Laboratory Services</w:t>
      </w:r>
    </w:p>
    <w:p w14:paraId="57049A17" w14:textId="77777777" w:rsidR="00AE1AD1" w:rsidRDefault="00AE1AD1" w:rsidP="003C7EE1">
      <w:pPr>
        <w:widowControl w:val="0"/>
        <w:tabs>
          <w:tab w:val="left" w:pos="936"/>
          <w:tab w:val="left" w:pos="1314"/>
          <w:tab w:val="left" w:pos="1692"/>
          <w:tab w:val="left" w:pos="2070"/>
        </w:tabs>
      </w:pPr>
      <w:r>
        <w:t>Service</w:t>
      </w:r>
    </w:p>
    <w:p w14:paraId="66984469" w14:textId="77777777" w:rsidR="00AE1AD1" w:rsidRDefault="00AE1AD1" w:rsidP="003C7EE1">
      <w:pPr>
        <w:widowControl w:val="0"/>
        <w:tabs>
          <w:tab w:val="left" w:pos="936"/>
          <w:tab w:val="left" w:pos="1314"/>
          <w:tab w:val="left" w:pos="1692"/>
          <w:tab w:val="left" w:pos="2070"/>
        </w:tabs>
      </w:pPr>
      <w:r>
        <w:rPr>
          <w:u w:val="single"/>
        </w:rPr>
        <w:t>Code</w:t>
      </w:r>
      <w:r>
        <w:tab/>
      </w:r>
      <w:r>
        <w:rPr>
          <w:u w:val="single"/>
        </w:rPr>
        <w:t>Service Description</w:t>
      </w:r>
    </w:p>
    <w:p w14:paraId="7A856B19" w14:textId="77777777" w:rsidR="00AE1AD1" w:rsidRDefault="00AE1AD1">
      <w:pPr>
        <w:widowControl w:val="0"/>
        <w:tabs>
          <w:tab w:val="left" w:pos="936"/>
          <w:tab w:val="left" w:pos="1314"/>
          <w:tab w:val="left" w:pos="1692"/>
          <w:tab w:val="left" w:pos="2070"/>
        </w:tabs>
      </w:pPr>
    </w:p>
    <w:p w14:paraId="6B6AA10E" w14:textId="77777777" w:rsidR="00AE1AD1" w:rsidRPr="00CA2850" w:rsidRDefault="00AE1AD1" w:rsidP="006576CB">
      <w:pPr>
        <w:widowControl w:val="0"/>
        <w:tabs>
          <w:tab w:val="left" w:pos="936"/>
          <w:tab w:val="left" w:pos="1314"/>
          <w:tab w:val="left" w:pos="1692"/>
          <w:tab w:val="left" w:pos="2070"/>
        </w:tabs>
        <w:ind w:left="1310" w:hanging="1310"/>
      </w:pPr>
      <w:r w:rsidRPr="00CA2850">
        <w:t>81000</w:t>
      </w:r>
      <w:r w:rsidRPr="00CA2850">
        <w:tab/>
        <w:t>Urinalysis, by dip stick or tablet reagent for bilirubin, glucose, hemoglobin, ketones, leukocytes, nitrite, pH, protein, specific gravity, urobilinogen, any number of these constituents; non-automated, with microscopy</w:t>
      </w:r>
    </w:p>
    <w:p w14:paraId="74B18367" w14:textId="77777777" w:rsidR="00AE1AD1" w:rsidRDefault="00AE1AD1" w:rsidP="00C81B2E">
      <w:pPr>
        <w:widowControl w:val="0"/>
        <w:tabs>
          <w:tab w:val="left" w:pos="936"/>
          <w:tab w:val="left" w:pos="1314"/>
          <w:tab w:val="left" w:pos="1692"/>
          <w:tab w:val="left" w:pos="2070"/>
        </w:tabs>
        <w:ind w:left="1310" w:hanging="1310"/>
      </w:pPr>
      <w:r>
        <w:t>81002</w:t>
      </w:r>
      <w:r>
        <w:tab/>
      </w:r>
      <w:r w:rsidRPr="00CA2850">
        <w:t>Urinalysis, by dip stick or tablet reagent for bilirubin, glucose, hemoglobin, ketones, leukocytes, nitrite, pH, protein, specific gravity, urobilinogen, any number of these constituents; non-automated, with</w:t>
      </w:r>
      <w:r>
        <w:t>out</w:t>
      </w:r>
      <w:r w:rsidRPr="00CA2850">
        <w:t xml:space="preserve"> microscopy</w:t>
      </w:r>
    </w:p>
    <w:p w14:paraId="590B0738" w14:textId="77777777" w:rsidR="00AE1AD1" w:rsidRDefault="00AE1AD1">
      <w:pPr>
        <w:widowControl w:val="0"/>
        <w:tabs>
          <w:tab w:val="left" w:pos="936"/>
          <w:tab w:val="left" w:pos="1314"/>
          <w:tab w:val="left" w:pos="1692"/>
          <w:tab w:val="left" w:pos="2070"/>
        </w:tabs>
      </w:pPr>
      <w:r>
        <w:t>84703</w:t>
      </w:r>
      <w:r>
        <w:tab/>
        <w:t>Gonadotropin, chorionic (</w:t>
      </w:r>
      <w:proofErr w:type="spellStart"/>
      <w:r>
        <w:t>hCG</w:t>
      </w:r>
      <w:proofErr w:type="spellEnd"/>
      <w:r>
        <w:t>); qualitative</w:t>
      </w:r>
    </w:p>
    <w:p w14:paraId="1720D27A" w14:textId="77777777" w:rsidR="00AE1AD1" w:rsidRDefault="00AE1AD1">
      <w:pPr>
        <w:widowControl w:val="0"/>
        <w:tabs>
          <w:tab w:val="left" w:pos="936"/>
          <w:tab w:val="left" w:pos="1314"/>
          <w:tab w:val="left" w:pos="1692"/>
          <w:tab w:val="left" w:pos="2070"/>
        </w:tabs>
      </w:pPr>
      <w:r>
        <w:t>85013</w:t>
      </w:r>
      <w:r>
        <w:tab/>
        <w:t>Blood count; spun microhematocrit</w:t>
      </w:r>
    </w:p>
    <w:p w14:paraId="613751B5" w14:textId="77777777" w:rsidR="00AE1AD1" w:rsidRDefault="00AE1AD1">
      <w:pPr>
        <w:widowControl w:val="0"/>
        <w:tabs>
          <w:tab w:val="left" w:pos="936"/>
          <w:tab w:val="left" w:pos="1314"/>
          <w:tab w:val="left" w:pos="1692"/>
          <w:tab w:val="left" w:pos="2070"/>
        </w:tabs>
      </w:pPr>
      <w:r w:rsidRPr="002B5717">
        <w:t>85014</w:t>
      </w:r>
      <w:r w:rsidRPr="002B5717">
        <w:tab/>
      </w:r>
      <w:r>
        <w:t xml:space="preserve">Blood count; </w:t>
      </w:r>
      <w:r w:rsidRPr="002B5717">
        <w:t>hematocrit</w:t>
      </w:r>
      <w:r>
        <w:t xml:space="preserve"> (Hct)</w:t>
      </w:r>
    </w:p>
    <w:p w14:paraId="22468038" w14:textId="77777777" w:rsidR="00AE1AD1" w:rsidRDefault="00AE1AD1">
      <w:pPr>
        <w:widowControl w:val="0"/>
        <w:tabs>
          <w:tab w:val="left" w:pos="936"/>
          <w:tab w:val="left" w:pos="1314"/>
          <w:tab w:val="left" w:pos="1692"/>
          <w:tab w:val="left" w:pos="2070"/>
        </w:tabs>
      </w:pPr>
      <w:r w:rsidRPr="002B5717">
        <w:t>85018</w:t>
      </w:r>
      <w:r w:rsidRPr="002B5717">
        <w:tab/>
      </w:r>
      <w:r>
        <w:t xml:space="preserve">Blood count; </w:t>
      </w:r>
      <w:r w:rsidRPr="002B5717">
        <w:t>hemoglobin</w:t>
      </w:r>
      <w:r>
        <w:t xml:space="preserve"> (Hgb)</w:t>
      </w:r>
    </w:p>
    <w:p w14:paraId="05B1BAAA" w14:textId="77777777" w:rsidR="00AE1AD1" w:rsidRDefault="00AE1AD1">
      <w:pPr>
        <w:widowControl w:val="0"/>
        <w:tabs>
          <w:tab w:val="left" w:pos="936"/>
          <w:tab w:val="left" w:pos="1314"/>
          <w:tab w:val="left" w:pos="1692"/>
          <w:tab w:val="left" w:pos="2070"/>
        </w:tabs>
      </w:pPr>
      <w:r>
        <w:t>86580</w:t>
      </w:r>
      <w:r>
        <w:tab/>
        <w:t>Skin test, tuberculosis, intradermal</w:t>
      </w:r>
    </w:p>
    <w:p w14:paraId="0E52C8D4" w14:textId="77777777" w:rsidR="00AE1AD1" w:rsidRDefault="00AE1AD1">
      <w:pPr>
        <w:widowControl w:val="0"/>
        <w:tabs>
          <w:tab w:val="left" w:pos="936"/>
          <w:tab w:val="left" w:pos="1314"/>
          <w:tab w:val="left" w:pos="1692"/>
          <w:tab w:val="left" w:pos="2070"/>
        </w:tabs>
      </w:pPr>
      <w:r w:rsidRPr="002B5717">
        <w:t>87081</w:t>
      </w:r>
      <w:r w:rsidRPr="002B5717">
        <w:tab/>
        <w:t>Culture,</w:t>
      </w:r>
      <w:r>
        <w:t xml:space="preserve"> presumptive, pathogenic organisms, screening only</w:t>
      </w:r>
    </w:p>
    <w:p w14:paraId="18EF21EB" w14:textId="77777777" w:rsidR="00AE1AD1" w:rsidRDefault="00AE1AD1" w:rsidP="00A53F4C">
      <w:pPr>
        <w:widowControl w:val="0"/>
        <w:tabs>
          <w:tab w:val="left" w:pos="936"/>
          <w:tab w:val="left" w:pos="1314"/>
          <w:tab w:val="left" w:pos="1350"/>
          <w:tab w:val="left" w:pos="1692"/>
          <w:tab w:val="left" w:pos="2070"/>
        </w:tabs>
        <w:ind w:left="1314" w:hanging="1314"/>
      </w:pPr>
      <w:r>
        <w:t>87210</w:t>
      </w:r>
      <w:r>
        <w:tab/>
        <w:t>Smear, primary source, with interpretation; wet mount for infectious agents (e.g., saline, India ink, KOH preps)</w:t>
      </w:r>
    </w:p>
    <w:p w14:paraId="28F4F0FD" w14:textId="77777777" w:rsidR="00AE1AD1" w:rsidRDefault="00AE1AD1">
      <w:pPr>
        <w:widowControl w:val="0"/>
        <w:tabs>
          <w:tab w:val="left" w:pos="936"/>
          <w:tab w:val="left" w:pos="1314"/>
          <w:tab w:val="left" w:pos="1692"/>
          <w:tab w:val="left" w:pos="2070"/>
        </w:tabs>
      </w:pPr>
    </w:p>
    <w:p w14:paraId="57CDF1BA" w14:textId="77777777" w:rsidR="00AE1AD1" w:rsidRDefault="00AE1AD1" w:rsidP="00BE14DE">
      <w:pPr>
        <w:widowControl w:val="0"/>
        <w:tabs>
          <w:tab w:val="left" w:pos="936"/>
          <w:tab w:val="left" w:pos="1314"/>
          <w:tab w:val="left" w:pos="1692"/>
          <w:tab w:val="left" w:pos="2070"/>
        </w:tabs>
        <w:jc w:val="center"/>
        <w:rPr>
          <w:b/>
          <w:u w:val="single"/>
        </w:rPr>
      </w:pPr>
      <w:r>
        <w:rPr>
          <w:b/>
          <w:u w:val="single"/>
        </w:rPr>
        <w:t xml:space="preserve">Audiometric Hearing Function Tests </w:t>
      </w:r>
    </w:p>
    <w:p w14:paraId="12BF41EB" w14:textId="77777777" w:rsidR="00AE1AD1" w:rsidRDefault="00AE1AD1">
      <w:pPr>
        <w:widowControl w:val="0"/>
        <w:tabs>
          <w:tab w:val="left" w:pos="936"/>
          <w:tab w:val="left" w:pos="1314"/>
          <w:tab w:val="left" w:pos="1692"/>
          <w:tab w:val="left" w:pos="2070"/>
        </w:tabs>
        <w:jc w:val="center"/>
        <w:rPr>
          <w:b/>
          <w:u w:val="single"/>
        </w:rPr>
      </w:pPr>
    </w:p>
    <w:p w14:paraId="4E508393" w14:textId="77777777" w:rsidR="00AE1AD1" w:rsidRDefault="00AE1AD1">
      <w:pPr>
        <w:widowControl w:val="0"/>
        <w:tabs>
          <w:tab w:val="left" w:pos="936"/>
          <w:tab w:val="left" w:pos="1314"/>
          <w:tab w:val="left" w:pos="1692"/>
          <w:tab w:val="left" w:pos="2070"/>
        </w:tabs>
      </w:pPr>
      <w:r>
        <w:t>92551</w:t>
      </w:r>
      <w:r>
        <w:tab/>
        <w:t>Screening test, pure tone, air only</w:t>
      </w:r>
    </w:p>
    <w:p w14:paraId="01D488E1" w14:textId="77777777" w:rsidR="00AE1AD1" w:rsidRDefault="00AE1AD1" w:rsidP="00407C70">
      <w:pPr>
        <w:widowControl w:val="0"/>
        <w:tabs>
          <w:tab w:val="left" w:pos="936"/>
          <w:tab w:val="left" w:pos="1314"/>
          <w:tab w:val="left" w:pos="1692"/>
          <w:tab w:val="left" w:pos="2070"/>
        </w:tabs>
      </w:pPr>
      <w:r>
        <w:t>92552</w:t>
      </w:r>
      <w:r>
        <w:tab/>
        <w:t>Pure tone audiometry (threshold); air only</w:t>
      </w:r>
    </w:p>
    <w:p w14:paraId="5193D77C" w14:textId="77777777" w:rsidR="00AE1AD1" w:rsidRDefault="00AE1AD1" w:rsidP="005053A3">
      <w:pPr>
        <w:widowControl w:val="0"/>
        <w:tabs>
          <w:tab w:val="left" w:pos="936"/>
          <w:tab w:val="left" w:pos="1314"/>
          <w:tab w:val="left" w:pos="1350"/>
          <w:tab w:val="left" w:pos="1692"/>
          <w:tab w:val="left" w:pos="2070"/>
        </w:tabs>
        <w:ind w:left="1310" w:hanging="1310"/>
        <w:rPr>
          <w:b/>
          <w:bCs/>
        </w:rPr>
      </w:pPr>
      <w:r>
        <w:t>92587</w:t>
      </w:r>
      <w:r>
        <w:tab/>
        <w:t>Distortion product evoked otoacoustic emissions; limited evaluation (to confirm the presence or absence of hearing disorder, 3-6 frequencies) or transient evoked otoacoustic emissions, with interpretation and report</w:t>
      </w:r>
    </w:p>
    <w:p w14:paraId="2FBE8F49" w14:textId="77777777" w:rsidR="00AE1AD1" w:rsidRDefault="00AE1AD1">
      <w:pPr>
        <w:widowControl w:val="0"/>
        <w:tabs>
          <w:tab w:val="left" w:pos="936"/>
          <w:tab w:val="left" w:pos="1314"/>
          <w:tab w:val="left" w:pos="1692"/>
          <w:tab w:val="left" w:pos="2070"/>
        </w:tabs>
      </w:pPr>
    </w:p>
    <w:p w14:paraId="3C8BA8D4" w14:textId="77777777" w:rsidR="00AE1AD1" w:rsidRDefault="00AE1AD1" w:rsidP="00CF05F7">
      <w:pPr>
        <w:widowControl w:val="0"/>
        <w:tabs>
          <w:tab w:val="left" w:pos="936"/>
          <w:tab w:val="left" w:pos="1314"/>
          <w:tab w:val="left" w:pos="1692"/>
          <w:tab w:val="left" w:pos="2070"/>
        </w:tabs>
        <w:jc w:val="center"/>
        <w:rPr>
          <w:b/>
          <w:u w:val="single"/>
        </w:rPr>
      </w:pPr>
      <w:bookmarkStart w:id="5" w:name="_Hlk180664925"/>
      <w:r>
        <w:rPr>
          <w:b/>
          <w:bCs/>
          <w:u w:val="single"/>
        </w:rPr>
        <w:t xml:space="preserve">Parent and Caregiver Depression, </w:t>
      </w:r>
      <w:r w:rsidRPr="58249D51">
        <w:rPr>
          <w:b/>
          <w:bCs/>
          <w:u w:val="single"/>
        </w:rPr>
        <w:t>Developmental</w:t>
      </w:r>
      <w:r>
        <w:rPr>
          <w:b/>
          <w:bCs/>
          <w:u w:val="single"/>
        </w:rPr>
        <w:t xml:space="preserve">, or Autism Spectrum Disorder </w:t>
      </w:r>
      <w:bookmarkEnd w:id="5"/>
      <w:r w:rsidRPr="58249D51">
        <w:rPr>
          <w:b/>
          <w:bCs/>
          <w:u w:val="single"/>
        </w:rPr>
        <w:t>Screening</w:t>
      </w:r>
    </w:p>
    <w:p w14:paraId="54D8A787" w14:textId="77777777" w:rsidR="00AE1AD1" w:rsidRDefault="00AE1AD1" w:rsidP="00AB0117">
      <w:pPr>
        <w:widowControl w:val="0"/>
        <w:tabs>
          <w:tab w:val="left" w:pos="936"/>
          <w:tab w:val="left" w:pos="1314"/>
          <w:tab w:val="left" w:pos="1692"/>
          <w:tab w:val="left" w:pos="2070"/>
        </w:tabs>
        <w:ind w:left="2070" w:hanging="2070"/>
      </w:pPr>
    </w:p>
    <w:p w14:paraId="169FD012" w14:textId="77777777" w:rsidR="00AE1AD1" w:rsidRDefault="00AE1AD1" w:rsidP="00957059">
      <w:pPr>
        <w:widowControl w:val="0"/>
        <w:tabs>
          <w:tab w:val="left" w:pos="936"/>
          <w:tab w:val="left" w:pos="1314"/>
          <w:tab w:val="left" w:pos="1692"/>
        </w:tabs>
        <w:spacing w:line="259" w:lineRule="auto"/>
        <w:ind w:left="900" w:hanging="900"/>
      </w:pPr>
      <w:r w:rsidRPr="5EC4BEA7">
        <w:t>96110</w:t>
      </w:r>
      <w:r>
        <w:tab/>
      </w:r>
      <w:r w:rsidRPr="5EC4BEA7">
        <w:t xml:space="preserve">Developmental screening, with scoring and documentation, per standardized instrument  </w:t>
      </w:r>
    </w:p>
    <w:p w14:paraId="0BFDF6D8" w14:textId="77777777" w:rsidR="00AE1AD1" w:rsidRDefault="00AE1AD1" w:rsidP="00957059">
      <w:pPr>
        <w:widowControl w:val="0"/>
        <w:tabs>
          <w:tab w:val="left" w:pos="936"/>
          <w:tab w:val="left" w:pos="1314"/>
          <w:tab w:val="left" w:pos="1692"/>
        </w:tabs>
        <w:spacing w:line="259" w:lineRule="auto"/>
        <w:ind w:left="900" w:hanging="900"/>
      </w:pPr>
    </w:p>
    <w:p w14:paraId="28F367B4" w14:textId="77777777" w:rsidR="00AE1AD1" w:rsidRDefault="00AE1AD1" w:rsidP="005053A3">
      <w:pPr>
        <w:widowControl w:val="0"/>
        <w:tabs>
          <w:tab w:val="left" w:pos="936"/>
          <w:tab w:val="left" w:pos="1314"/>
          <w:tab w:val="left" w:pos="1350"/>
          <w:tab w:val="left" w:pos="1692"/>
          <w:tab w:val="left" w:pos="2070"/>
        </w:tabs>
        <w:ind w:left="1310" w:hanging="1310"/>
      </w:pPr>
      <w:r>
        <w:tab/>
      </w:r>
      <w:r w:rsidRPr="00957059">
        <w:t xml:space="preserve">(Parent and Caregiver Depression Screening, should occur at every </w:t>
      </w:r>
      <w:r w:rsidRPr="00A34C11">
        <w:t xml:space="preserve">preventive pediatric  </w:t>
      </w:r>
      <w:r>
        <w:t xml:space="preserve">visit </w:t>
      </w:r>
      <w:r w:rsidRPr="00957059">
        <w:t xml:space="preserve">from the </w:t>
      </w:r>
      <w:r w:rsidRPr="003C7EE1">
        <w:t>one</w:t>
      </w:r>
      <w:r w:rsidRPr="00957059">
        <w:t xml:space="preserve"> month visit to the twelve month visit, may be billed up to the twelve month preventive pediatric visit for the administration and scoring of a recommended postpartum depression screening tool</w:t>
      </w:r>
      <w:r>
        <w:t>,</w:t>
      </w:r>
      <w:r w:rsidRPr="00957059">
        <w:t xml:space="preserve"> and must be billed with the UD modifier used together with either modifier -U1 or U2.</w:t>
      </w:r>
    </w:p>
    <w:p w14:paraId="1CDE36D0" w14:textId="77777777" w:rsidR="00AE1AD1" w:rsidRPr="00957059" w:rsidRDefault="00AE1AD1" w:rsidP="008142B8">
      <w:pPr>
        <w:widowControl w:val="0"/>
        <w:tabs>
          <w:tab w:val="left" w:pos="936"/>
          <w:tab w:val="left" w:pos="1314"/>
          <w:tab w:val="left" w:pos="1692"/>
        </w:tabs>
        <w:spacing w:line="259" w:lineRule="auto"/>
        <w:ind w:left="1314" w:hanging="900"/>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50"/>
        <w:gridCol w:w="3780"/>
        <w:gridCol w:w="1771"/>
      </w:tblGrid>
      <w:tr w:rsidR="00AE1AD1" w:rsidRPr="002B61E2" w14:paraId="642E3B6F" w14:textId="77777777" w:rsidTr="00E8496F">
        <w:trPr>
          <w:trHeight w:hRule="exact" w:val="864"/>
        </w:trPr>
        <w:tc>
          <w:tcPr>
            <w:tcW w:w="4050" w:type="dxa"/>
            <w:tcBorders>
              <w:bottom w:val="nil"/>
            </w:tcBorders>
          </w:tcPr>
          <w:p w14:paraId="13E99BE9" w14:textId="77777777" w:rsidR="00AE1AD1" w:rsidRPr="002B61E2" w:rsidRDefault="00AE1AD1" w:rsidP="00E8496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040F0507" w14:textId="77777777" w:rsidR="00AE1AD1" w:rsidRPr="002B61E2" w:rsidRDefault="00AE1AD1" w:rsidP="00E8496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F4086AE" w14:textId="77777777" w:rsidR="00AE1AD1" w:rsidRPr="002B61E2" w:rsidRDefault="00AE1AD1" w:rsidP="00E8496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80" w:type="dxa"/>
          </w:tcPr>
          <w:p w14:paraId="797B9055" w14:textId="77777777" w:rsidR="00AE1AD1" w:rsidRPr="002B61E2" w:rsidRDefault="00AE1AD1" w:rsidP="00E8496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45D05E4" w14:textId="77777777" w:rsidR="00AE1AD1" w:rsidRPr="002B61E2" w:rsidRDefault="00AE1AD1" w:rsidP="00E8496F">
            <w:pPr>
              <w:widowControl w:val="0"/>
              <w:tabs>
                <w:tab w:val="left" w:pos="936"/>
                <w:tab w:val="left" w:pos="1314"/>
                <w:tab w:val="left" w:pos="1692"/>
                <w:tab w:val="left" w:pos="2070"/>
              </w:tabs>
              <w:jc w:val="center"/>
              <w:rPr>
                <w:rFonts w:ascii="Arial" w:hAnsi="Arial" w:cs="Arial"/>
              </w:rPr>
            </w:pPr>
            <w:r>
              <w:rPr>
                <w:rFonts w:ascii="Arial" w:hAnsi="Arial" w:cs="Arial"/>
              </w:rPr>
              <w:t>Appendix Z.  EPSDT/PPHSD Screening Services Codes</w:t>
            </w:r>
          </w:p>
        </w:tc>
        <w:tc>
          <w:tcPr>
            <w:tcW w:w="1771" w:type="dxa"/>
          </w:tcPr>
          <w:p w14:paraId="4FB7BCCA" w14:textId="77777777" w:rsidR="00AE1AD1" w:rsidRPr="002B61E2" w:rsidRDefault="00AE1AD1" w:rsidP="00E8496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6D27DBA" w14:textId="77777777" w:rsidR="00AE1AD1" w:rsidRPr="002B61E2" w:rsidRDefault="00AE1AD1" w:rsidP="00E8496F">
            <w:pPr>
              <w:widowControl w:val="0"/>
              <w:tabs>
                <w:tab w:val="left" w:pos="936"/>
                <w:tab w:val="left" w:pos="1314"/>
                <w:tab w:val="left" w:pos="1692"/>
                <w:tab w:val="left" w:pos="2070"/>
              </w:tabs>
              <w:spacing w:before="120"/>
              <w:jc w:val="center"/>
              <w:rPr>
                <w:rFonts w:ascii="Arial" w:hAnsi="Arial" w:cs="Arial"/>
              </w:rPr>
            </w:pPr>
            <w:r>
              <w:rPr>
                <w:rFonts w:ascii="Arial" w:hAnsi="Arial" w:cs="Arial"/>
              </w:rPr>
              <w:t>Z-2</w:t>
            </w:r>
          </w:p>
        </w:tc>
      </w:tr>
      <w:tr w:rsidR="00AE1AD1" w:rsidRPr="002B61E2" w14:paraId="11EC4809" w14:textId="77777777" w:rsidTr="00E8496F">
        <w:trPr>
          <w:trHeight w:hRule="exact" w:val="864"/>
        </w:trPr>
        <w:tc>
          <w:tcPr>
            <w:tcW w:w="4050" w:type="dxa"/>
            <w:tcBorders>
              <w:top w:val="nil"/>
            </w:tcBorders>
            <w:vAlign w:val="center"/>
          </w:tcPr>
          <w:p w14:paraId="5CAAFC9F" w14:textId="77777777" w:rsidR="00AE1AD1" w:rsidRPr="002B61E2" w:rsidRDefault="00AE1AD1" w:rsidP="00E8496F">
            <w:pPr>
              <w:widowControl w:val="0"/>
              <w:tabs>
                <w:tab w:val="left" w:pos="936"/>
                <w:tab w:val="left" w:pos="1314"/>
                <w:tab w:val="left" w:pos="1692"/>
                <w:tab w:val="left" w:pos="2070"/>
              </w:tabs>
              <w:jc w:val="center"/>
              <w:rPr>
                <w:rFonts w:ascii="Arial" w:hAnsi="Arial" w:cs="Arial"/>
              </w:rPr>
            </w:pPr>
            <w:r>
              <w:rPr>
                <w:rFonts w:ascii="Arial" w:hAnsi="Arial" w:cs="Arial"/>
              </w:rPr>
              <w:t>All Provider Manuals</w:t>
            </w:r>
          </w:p>
        </w:tc>
        <w:tc>
          <w:tcPr>
            <w:tcW w:w="3780" w:type="dxa"/>
          </w:tcPr>
          <w:p w14:paraId="26AA3DCC" w14:textId="77777777" w:rsidR="00AE1AD1" w:rsidRPr="003F6F4E" w:rsidRDefault="00AE1AD1" w:rsidP="00E8496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C11935F" w14:textId="77777777" w:rsidR="00AE1AD1" w:rsidRPr="003F6F4E" w:rsidRDefault="00AE1AD1" w:rsidP="00E8496F">
            <w:pPr>
              <w:widowControl w:val="0"/>
              <w:tabs>
                <w:tab w:val="left" w:pos="936"/>
                <w:tab w:val="left" w:pos="1314"/>
                <w:tab w:val="left" w:pos="1692"/>
                <w:tab w:val="left" w:pos="2070"/>
              </w:tabs>
              <w:spacing w:before="120"/>
              <w:jc w:val="center"/>
              <w:rPr>
                <w:rFonts w:ascii="Arial" w:hAnsi="Arial" w:cs="Arial"/>
              </w:rPr>
            </w:pPr>
            <w:r>
              <w:rPr>
                <w:rFonts w:ascii="Arial" w:hAnsi="Arial" w:cs="Arial"/>
              </w:rPr>
              <w:t>ALL-249</w:t>
            </w:r>
          </w:p>
        </w:tc>
        <w:tc>
          <w:tcPr>
            <w:tcW w:w="1771" w:type="dxa"/>
          </w:tcPr>
          <w:p w14:paraId="794FA2A9" w14:textId="77777777" w:rsidR="00AE1AD1" w:rsidRPr="003F6F4E" w:rsidRDefault="00AE1AD1" w:rsidP="00E8496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F203709" w14:textId="77777777" w:rsidR="00AE1AD1" w:rsidRPr="00E205DB" w:rsidRDefault="00AE1AD1" w:rsidP="00E8496F">
            <w:pPr>
              <w:widowControl w:val="0"/>
              <w:tabs>
                <w:tab w:val="left" w:pos="936"/>
                <w:tab w:val="left" w:pos="1314"/>
                <w:tab w:val="left" w:pos="1692"/>
                <w:tab w:val="left" w:pos="2070"/>
              </w:tabs>
              <w:spacing w:before="120"/>
              <w:jc w:val="center"/>
              <w:rPr>
                <w:rFonts w:ascii="Arial" w:hAnsi="Arial" w:cs="Arial"/>
              </w:rPr>
            </w:pPr>
            <w:r>
              <w:rPr>
                <w:rFonts w:ascii="Arial" w:hAnsi="Arial" w:cs="Arial"/>
              </w:rPr>
              <w:t>11/21/24</w:t>
            </w:r>
          </w:p>
        </w:tc>
      </w:tr>
    </w:tbl>
    <w:p w14:paraId="30944D2C" w14:textId="77777777" w:rsidR="00AE1AD1" w:rsidRDefault="00AE1AD1" w:rsidP="008142B8">
      <w:pPr>
        <w:widowControl w:val="0"/>
        <w:tabs>
          <w:tab w:val="left" w:pos="936"/>
          <w:tab w:val="left" w:pos="1314"/>
          <w:tab w:val="left" w:pos="1692"/>
        </w:tabs>
        <w:spacing w:line="259" w:lineRule="auto"/>
        <w:ind w:left="1314" w:hanging="900"/>
      </w:pPr>
    </w:p>
    <w:p w14:paraId="44616AE6" w14:textId="77777777" w:rsidR="00AE1AD1" w:rsidRDefault="00AE1AD1" w:rsidP="003C7EE1">
      <w:pPr>
        <w:widowControl w:val="0"/>
        <w:tabs>
          <w:tab w:val="left" w:pos="936"/>
          <w:tab w:val="left" w:pos="1314"/>
          <w:tab w:val="left" w:pos="1692"/>
          <w:tab w:val="left" w:pos="2070"/>
        </w:tabs>
      </w:pPr>
      <w:r>
        <w:t>Service</w:t>
      </w:r>
    </w:p>
    <w:p w14:paraId="684ED231" w14:textId="77777777" w:rsidR="00AE1AD1" w:rsidRDefault="00AE1AD1" w:rsidP="003C7EE1">
      <w:pPr>
        <w:widowControl w:val="0"/>
        <w:tabs>
          <w:tab w:val="left" w:pos="936"/>
          <w:tab w:val="left" w:pos="1314"/>
          <w:tab w:val="left" w:pos="1692"/>
          <w:tab w:val="left" w:pos="2070"/>
        </w:tabs>
      </w:pPr>
      <w:r>
        <w:rPr>
          <w:u w:val="single"/>
        </w:rPr>
        <w:t>Code</w:t>
      </w:r>
      <w:r>
        <w:tab/>
      </w:r>
      <w:r>
        <w:rPr>
          <w:u w:val="single"/>
        </w:rPr>
        <w:t>Service Description</w:t>
      </w:r>
    </w:p>
    <w:p w14:paraId="32E29D6F" w14:textId="77777777" w:rsidR="00AE1AD1" w:rsidRDefault="00AE1AD1" w:rsidP="008142B8">
      <w:pPr>
        <w:widowControl w:val="0"/>
        <w:tabs>
          <w:tab w:val="left" w:pos="936"/>
          <w:tab w:val="left" w:pos="1314"/>
          <w:tab w:val="left" w:pos="1692"/>
        </w:tabs>
        <w:spacing w:line="259" w:lineRule="auto"/>
        <w:ind w:left="1314" w:hanging="900"/>
      </w:pPr>
    </w:p>
    <w:p w14:paraId="3ABE79ED" w14:textId="77777777" w:rsidR="00AE1AD1" w:rsidRDefault="00AE1AD1" w:rsidP="008142B8">
      <w:pPr>
        <w:widowControl w:val="0"/>
        <w:tabs>
          <w:tab w:val="left" w:pos="936"/>
          <w:tab w:val="left" w:pos="1314"/>
          <w:tab w:val="left" w:pos="1692"/>
        </w:tabs>
        <w:spacing w:line="259" w:lineRule="auto"/>
        <w:ind w:left="1314" w:hanging="900"/>
      </w:pPr>
      <w:r>
        <w:tab/>
      </w:r>
      <w:r w:rsidRPr="00D260CF">
        <w:t>Developmental Screening</w:t>
      </w:r>
      <w:r>
        <w:t xml:space="preserve">, </w:t>
      </w:r>
      <w:r w:rsidRPr="00957059">
        <w:t>should occur at the 9-, 18-, and 30-month preventive pediatric visits and at any visit in which developmental surveillance elicits a concern, may be billed up</w:t>
      </w:r>
      <w:r>
        <w:t xml:space="preserve"> </w:t>
      </w:r>
      <w:r w:rsidRPr="00957059">
        <w:t xml:space="preserve">to the age 8 preventative pediatric visit for administration and scoring of an age-appropriate standardized developmental screening tool per Appendix W and must be billed with modifier -U1 or -U2. </w:t>
      </w:r>
    </w:p>
    <w:p w14:paraId="38584154" w14:textId="77777777" w:rsidR="00AE1AD1" w:rsidRDefault="00AE1AD1" w:rsidP="008142B8">
      <w:pPr>
        <w:widowControl w:val="0"/>
        <w:tabs>
          <w:tab w:val="left" w:pos="936"/>
          <w:tab w:val="left" w:pos="1314"/>
          <w:tab w:val="left" w:pos="1692"/>
        </w:tabs>
        <w:spacing w:line="259" w:lineRule="auto"/>
        <w:ind w:left="1314" w:hanging="900"/>
      </w:pPr>
    </w:p>
    <w:p w14:paraId="2CCF1141" w14:textId="77777777" w:rsidR="00AE1AD1" w:rsidRDefault="00AE1AD1" w:rsidP="008142B8">
      <w:pPr>
        <w:widowControl w:val="0"/>
        <w:tabs>
          <w:tab w:val="left" w:pos="936"/>
          <w:tab w:val="left" w:pos="1314"/>
          <w:tab w:val="left" w:pos="1692"/>
        </w:tabs>
        <w:spacing w:line="259" w:lineRule="auto"/>
        <w:ind w:left="1314" w:hanging="900"/>
      </w:pPr>
      <w:r>
        <w:tab/>
      </w:r>
      <w:r w:rsidRPr="00957059">
        <w:t>Autism Spectrum Disorder Screening, should occur at the 18- and 24-month</w:t>
      </w:r>
      <w:r>
        <w:t xml:space="preserve"> </w:t>
      </w:r>
      <w:r w:rsidRPr="00957059">
        <w:t>preventive pediatric visits, may be billed up to the age 3 preventative pediatric visit for administration and scoring of a standardized autism screening tool per Appendix W and must be billed with modifier -U3 or -U4.</w:t>
      </w:r>
      <w:r>
        <w:t xml:space="preserve"> </w:t>
      </w:r>
    </w:p>
    <w:p w14:paraId="1ED5A702" w14:textId="77777777" w:rsidR="00AE1AD1" w:rsidRDefault="00AE1AD1" w:rsidP="008142B8">
      <w:pPr>
        <w:widowControl w:val="0"/>
        <w:tabs>
          <w:tab w:val="left" w:pos="936"/>
          <w:tab w:val="left" w:pos="1314"/>
          <w:tab w:val="left" w:pos="1692"/>
        </w:tabs>
        <w:spacing w:line="259" w:lineRule="auto"/>
        <w:ind w:left="1314" w:hanging="900"/>
      </w:pPr>
    </w:p>
    <w:p w14:paraId="0574BAA4" w14:textId="77777777" w:rsidR="00AE1AD1" w:rsidRDefault="00AE1AD1" w:rsidP="008142B8">
      <w:pPr>
        <w:widowControl w:val="0"/>
        <w:tabs>
          <w:tab w:val="left" w:pos="936"/>
          <w:tab w:val="left" w:pos="1314"/>
          <w:tab w:val="left" w:pos="1692"/>
        </w:tabs>
        <w:spacing w:line="259" w:lineRule="auto"/>
        <w:ind w:left="1314" w:hanging="900"/>
      </w:pPr>
      <w:r>
        <w:tab/>
      </w:r>
      <w:r w:rsidRPr="5EC4BEA7">
        <w:t>If multiple</w:t>
      </w:r>
      <w:r>
        <w:t xml:space="preserve"> </w:t>
      </w:r>
      <w:r w:rsidRPr="5EC4BEA7">
        <w:t>screenings</w:t>
      </w:r>
      <w:r>
        <w:t xml:space="preserve"> </w:t>
      </w:r>
      <w:r w:rsidRPr="5EC4BEA7">
        <w:t>are performed during a single visit,</w:t>
      </w:r>
      <w:r>
        <w:t xml:space="preserve"> i</w:t>
      </w:r>
      <w:r w:rsidRPr="5EC4BEA7">
        <w:t xml:space="preserve">t is permitted to list 96110 along with the appropriate modifier multiple times on the claim so long as </w:t>
      </w:r>
      <w:r>
        <w:t xml:space="preserve">different screenings are performed for each listing of 96110 and the exact modifiers do not repeat.)  </w:t>
      </w:r>
      <w:r w:rsidRPr="5EC4BEA7">
        <w:t xml:space="preserve"> </w:t>
      </w:r>
    </w:p>
    <w:p w14:paraId="6A28E0EB" w14:textId="77777777" w:rsidR="00AE1AD1" w:rsidRPr="008142B8" w:rsidRDefault="00AE1AD1" w:rsidP="008142B8">
      <w:pPr>
        <w:widowControl w:val="0"/>
        <w:tabs>
          <w:tab w:val="left" w:pos="936"/>
          <w:tab w:val="left" w:pos="1314"/>
          <w:tab w:val="left" w:pos="1692"/>
        </w:tabs>
        <w:spacing w:line="259" w:lineRule="auto"/>
        <w:ind w:left="1314" w:hanging="900"/>
      </w:pPr>
    </w:p>
    <w:p w14:paraId="3D49922E" w14:textId="77777777" w:rsidR="00AE1AD1" w:rsidRDefault="00AE1AD1" w:rsidP="004D2C48">
      <w:pPr>
        <w:widowControl w:val="0"/>
        <w:tabs>
          <w:tab w:val="left" w:pos="936"/>
          <w:tab w:val="left" w:pos="1314"/>
          <w:tab w:val="left" w:pos="1692"/>
          <w:tab w:val="left" w:pos="2070"/>
        </w:tabs>
        <w:ind w:left="900" w:hanging="900"/>
        <w:jc w:val="center"/>
        <w:rPr>
          <w:b/>
          <w:bCs/>
          <w:u w:val="single"/>
        </w:rPr>
      </w:pPr>
      <w:r w:rsidRPr="003A2460">
        <w:rPr>
          <w:b/>
          <w:bCs/>
          <w:u w:val="single"/>
        </w:rPr>
        <w:t xml:space="preserve">Behavioral </w:t>
      </w:r>
      <w:r>
        <w:rPr>
          <w:b/>
          <w:bCs/>
          <w:u w:val="single"/>
        </w:rPr>
        <w:t>Health Assessment</w:t>
      </w:r>
      <w:r w:rsidRPr="003A2460">
        <w:rPr>
          <w:b/>
          <w:bCs/>
          <w:u w:val="single"/>
        </w:rPr>
        <w:t xml:space="preserve"> </w:t>
      </w:r>
      <w:r>
        <w:rPr>
          <w:b/>
          <w:bCs/>
          <w:u w:val="single"/>
        </w:rPr>
        <w:t xml:space="preserve">and Depression </w:t>
      </w:r>
      <w:r w:rsidRPr="003A2460">
        <w:rPr>
          <w:b/>
          <w:bCs/>
          <w:u w:val="single"/>
        </w:rPr>
        <w:t>Screening</w:t>
      </w:r>
    </w:p>
    <w:p w14:paraId="4A79BD63" w14:textId="77777777" w:rsidR="00AE1AD1" w:rsidRDefault="00AE1AD1" w:rsidP="004D2C48">
      <w:pPr>
        <w:widowControl w:val="0"/>
        <w:tabs>
          <w:tab w:val="left" w:pos="936"/>
          <w:tab w:val="left" w:pos="1314"/>
          <w:tab w:val="left" w:pos="1692"/>
          <w:tab w:val="left" w:pos="2070"/>
        </w:tabs>
        <w:ind w:left="900" w:hanging="900"/>
        <w:jc w:val="center"/>
        <w:rPr>
          <w:b/>
          <w:bCs/>
          <w:u w:val="single"/>
        </w:rPr>
      </w:pPr>
    </w:p>
    <w:p w14:paraId="3B634E2A" w14:textId="77777777" w:rsidR="00AE1AD1" w:rsidRPr="003C7EE1" w:rsidRDefault="00AE1AD1" w:rsidP="005053A3">
      <w:pPr>
        <w:widowControl w:val="0"/>
        <w:tabs>
          <w:tab w:val="left" w:pos="936"/>
          <w:tab w:val="left" w:pos="1314"/>
          <w:tab w:val="left" w:pos="1692"/>
        </w:tabs>
        <w:spacing w:line="259" w:lineRule="auto"/>
        <w:ind w:left="1310" w:hanging="1310"/>
      </w:pPr>
      <w:r w:rsidRPr="00555163">
        <w:t xml:space="preserve">96127 </w:t>
      </w:r>
      <w:r w:rsidRPr="00C81B2E">
        <w:tab/>
      </w:r>
      <w:r w:rsidRPr="00555163">
        <w:t>Brief emotional/behavioral assessments, with scoring and documentation, per standardized instrument (</w:t>
      </w:r>
      <w:r>
        <w:t xml:space="preserve">4 to 21 years of age. </w:t>
      </w:r>
      <w:r w:rsidRPr="003C7EE1">
        <w:t>From 4 to 11 years of age, to be billed for the administration of a standardized behavioral health screening tool per Appendix W. From 12 to 21 years of age, to be billed for the administration of a standardized depression screening tool per Appendix W.</w:t>
      </w:r>
      <w:r>
        <w:t xml:space="preserve"> </w:t>
      </w:r>
      <w:r w:rsidRPr="00555163">
        <w:t>Must be billed with either modifier -U1 or -U2.</w:t>
      </w:r>
      <w:r>
        <w:t xml:space="preserve"> </w:t>
      </w:r>
      <w:r w:rsidRPr="00555163">
        <w:t>Code 96127</w:t>
      </w:r>
      <w:r>
        <w:t xml:space="preserve"> is not payable when code 90791 is billed for the same date of service for the same member. For such dates of service, the provider must bill only code 90791).  </w:t>
      </w:r>
    </w:p>
    <w:p w14:paraId="6BBA7ADF" w14:textId="77777777" w:rsidR="00AE1AD1" w:rsidRPr="00957059" w:rsidRDefault="00AE1AD1" w:rsidP="00957059">
      <w:pPr>
        <w:pStyle w:val="ListParagraph"/>
        <w:widowControl w:val="0"/>
        <w:tabs>
          <w:tab w:val="left" w:pos="936"/>
          <w:tab w:val="left" w:pos="1314"/>
          <w:tab w:val="left" w:pos="1692"/>
          <w:tab w:val="left" w:pos="2070"/>
        </w:tabs>
        <w:ind w:left="1620"/>
        <w:rPr>
          <w:bCs/>
        </w:rPr>
      </w:pPr>
    </w:p>
    <w:p w14:paraId="6C08A024" w14:textId="77777777" w:rsidR="00AE1AD1" w:rsidRPr="00E55323" w:rsidRDefault="00AE1AD1" w:rsidP="00E55323">
      <w:pPr>
        <w:jc w:val="center"/>
        <w:rPr>
          <w:b/>
          <w:bCs/>
          <w:u w:val="single"/>
        </w:rPr>
      </w:pPr>
      <w:r w:rsidRPr="00E55323">
        <w:rPr>
          <w:b/>
          <w:bCs/>
          <w:u w:val="single"/>
        </w:rPr>
        <w:t>Vision Tests</w:t>
      </w:r>
    </w:p>
    <w:p w14:paraId="21F46AE8" w14:textId="77777777" w:rsidR="00AE1AD1" w:rsidRDefault="00AE1AD1" w:rsidP="000D2403">
      <w:pPr>
        <w:widowControl w:val="0"/>
        <w:tabs>
          <w:tab w:val="left" w:pos="936"/>
          <w:tab w:val="left" w:pos="1314"/>
          <w:tab w:val="left" w:pos="1692"/>
          <w:tab w:val="left" w:pos="2070"/>
        </w:tabs>
        <w:jc w:val="center"/>
        <w:rPr>
          <w:b/>
          <w:bCs/>
        </w:rPr>
      </w:pPr>
    </w:p>
    <w:p w14:paraId="38B61A6D" w14:textId="77777777" w:rsidR="00AE1AD1" w:rsidRDefault="00AE1AD1" w:rsidP="000D2403">
      <w:pPr>
        <w:widowControl w:val="0"/>
        <w:tabs>
          <w:tab w:val="left" w:pos="936"/>
          <w:tab w:val="left" w:pos="1314"/>
          <w:tab w:val="left" w:pos="1692"/>
          <w:tab w:val="left" w:pos="2070"/>
        </w:tabs>
        <w:ind w:left="900" w:hanging="900"/>
        <w:rPr>
          <w:b/>
        </w:rPr>
      </w:pPr>
      <w:r>
        <w:t>99173</w:t>
      </w:r>
      <w:r>
        <w:tab/>
        <w:t>Screening test of visual acuity, quantitative, bilateral</w:t>
      </w:r>
    </w:p>
    <w:p w14:paraId="3D20A0C3" w14:textId="77777777" w:rsidR="00AE1AD1" w:rsidRDefault="00AE1AD1" w:rsidP="00CC1BA4">
      <w:pPr>
        <w:widowControl w:val="0"/>
        <w:tabs>
          <w:tab w:val="left" w:pos="936"/>
          <w:tab w:val="left" w:pos="1314"/>
          <w:tab w:val="left" w:pos="1692"/>
          <w:tab w:val="left" w:pos="2070"/>
        </w:tabs>
        <w:ind w:left="900" w:hanging="900"/>
        <w:rPr>
          <w:b/>
        </w:rPr>
      </w:pPr>
    </w:p>
    <w:p w14:paraId="27C43886" w14:textId="77777777" w:rsidR="00AE1AD1" w:rsidRPr="004D2C48" w:rsidRDefault="00AE1AD1" w:rsidP="004D2C48">
      <w:pPr>
        <w:ind w:left="180" w:hanging="180"/>
        <w:jc w:val="center"/>
        <w:rPr>
          <w:b/>
          <w:bCs/>
          <w:u w:val="single"/>
          <w:lang w:val="fr-FR"/>
        </w:rPr>
      </w:pPr>
      <w:r w:rsidRPr="004D2C48">
        <w:rPr>
          <w:b/>
          <w:bCs/>
          <w:u w:val="single"/>
          <w:lang w:val="fr-FR"/>
        </w:rPr>
        <w:t xml:space="preserve">Service Code </w:t>
      </w:r>
      <w:proofErr w:type="spellStart"/>
      <w:r w:rsidRPr="004D2C48">
        <w:rPr>
          <w:b/>
          <w:bCs/>
          <w:u w:val="single"/>
          <w:lang w:val="fr-FR"/>
        </w:rPr>
        <w:t>Modifiers</w:t>
      </w:r>
      <w:proofErr w:type="spellEnd"/>
      <w:r w:rsidRPr="004D2C48">
        <w:rPr>
          <w:b/>
          <w:bCs/>
          <w:u w:val="single"/>
          <w:lang w:val="fr-FR"/>
        </w:rPr>
        <w:t xml:space="preserve"> and Descriptions</w:t>
      </w:r>
    </w:p>
    <w:p w14:paraId="2DB944CC" w14:textId="77777777" w:rsidR="00AE1AD1" w:rsidRPr="006F6170" w:rsidRDefault="00AE1AD1" w:rsidP="003F451F">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lang w:val="fr-FR"/>
        </w:rPr>
      </w:pPr>
    </w:p>
    <w:p w14:paraId="379110F7" w14:textId="77777777" w:rsidR="00AE1AD1" w:rsidRPr="006F6170" w:rsidRDefault="00AE1AD1" w:rsidP="00E55323">
      <w:pPr>
        <w:widowControl w:val="0"/>
        <w:tabs>
          <w:tab w:val="left" w:pos="518"/>
          <w:tab w:val="left" w:pos="900"/>
          <w:tab w:val="left" w:pos="2070"/>
        </w:tabs>
        <w:ind w:right="230"/>
        <w:rPr>
          <w:u w:val="single"/>
          <w:lang w:val="fr-FR"/>
        </w:rPr>
      </w:pPr>
      <w:r w:rsidRPr="006F6170">
        <w:rPr>
          <w:u w:val="single"/>
          <w:lang w:val="fr-FR"/>
        </w:rPr>
        <w:t>Modifier</w:t>
      </w:r>
      <w:r>
        <w:rPr>
          <w:lang w:val="fr-FR"/>
        </w:rPr>
        <w:tab/>
      </w:r>
      <w:proofErr w:type="spellStart"/>
      <w:r w:rsidRPr="006F6170">
        <w:rPr>
          <w:u w:val="single"/>
          <w:lang w:val="fr-FR"/>
        </w:rPr>
        <w:t>Modifier</w:t>
      </w:r>
      <w:proofErr w:type="spellEnd"/>
      <w:r w:rsidRPr="006F6170">
        <w:rPr>
          <w:u w:val="single"/>
          <w:lang w:val="fr-FR"/>
        </w:rPr>
        <w:t xml:space="preserve"> Description</w:t>
      </w:r>
    </w:p>
    <w:p w14:paraId="534498D0" w14:textId="77777777" w:rsidR="00AE1AD1" w:rsidRPr="006F6170" w:rsidRDefault="00AE1AD1" w:rsidP="003F451F">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lang w:val="fr-FR"/>
        </w:rPr>
      </w:pPr>
    </w:p>
    <w:p w14:paraId="09A74F8A" w14:textId="77777777" w:rsidR="00AE1AD1" w:rsidRPr="003A25B8" w:rsidRDefault="00AE1AD1" w:rsidP="00E55323">
      <w:pPr>
        <w:pStyle w:val="ban"/>
        <w:widowControl w:val="0"/>
        <w:tabs>
          <w:tab w:val="clear" w:pos="2454"/>
          <w:tab w:val="left" w:pos="518"/>
          <w:tab w:val="left" w:pos="900"/>
        </w:tabs>
        <w:spacing w:line="240" w:lineRule="exact"/>
        <w:ind w:left="518" w:right="230" w:hanging="518"/>
        <w:rPr>
          <w:rFonts w:ascii="Times New Roman" w:hAnsi="Times New Roman"/>
          <w:szCs w:val="22"/>
        </w:rPr>
      </w:pPr>
      <w:r w:rsidRPr="0046761E">
        <w:rPr>
          <w:rFonts w:ascii="Times New Roman" w:hAnsi="Times New Roman"/>
        </w:rPr>
        <w:t>-U1</w:t>
      </w:r>
      <w:r w:rsidRPr="0046761E">
        <w:rPr>
          <w:rFonts w:ascii="Times New Roman" w:hAnsi="Times New Roman"/>
        </w:rPr>
        <w:tab/>
      </w:r>
      <w:r>
        <w:rPr>
          <w:rFonts w:ascii="Times New Roman" w:hAnsi="Times New Roman"/>
        </w:rPr>
        <w:tab/>
      </w:r>
      <w:r w:rsidRPr="003A25B8">
        <w:rPr>
          <w:rFonts w:ascii="Times New Roman" w:hAnsi="Times New Roman"/>
          <w:szCs w:val="22"/>
        </w:rPr>
        <w:t>No developmental health or behavioral health need identified. (Used with codes 96110, 96127)</w:t>
      </w:r>
    </w:p>
    <w:p w14:paraId="72A30ACA" w14:textId="77777777" w:rsidR="00AE1AD1" w:rsidRPr="003A25B8" w:rsidRDefault="00AE1AD1" w:rsidP="00ED6918">
      <w:pPr>
        <w:pStyle w:val="ban"/>
        <w:widowControl w:val="0"/>
        <w:tabs>
          <w:tab w:val="clear" w:pos="2454"/>
          <w:tab w:val="left" w:pos="518"/>
          <w:tab w:val="left" w:pos="900"/>
        </w:tabs>
        <w:suppressAutoHyphens w:val="0"/>
        <w:spacing w:line="240" w:lineRule="exact"/>
        <w:ind w:right="230"/>
        <w:rPr>
          <w:rFonts w:ascii="Times New Roman" w:hAnsi="Times New Roman"/>
          <w:szCs w:val="22"/>
        </w:rPr>
      </w:pPr>
      <w:r w:rsidRPr="003A25B8">
        <w:rPr>
          <w:rFonts w:ascii="Times New Roman" w:hAnsi="Times New Roman"/>
          <w:szCs w:val="22"/>
        </w:rPr>
        <w:t>-U2</w:t>
      </w:r>
      <w:r w:rsidRPr="003A25B8">
        <w:rPr>
          <w:rFonts w:ascii="Times New Roman" w:hAnsi="Times New Roman"/>
          <w:szCs w:val="22"/>
        </w:rPr>
        <w:tab/>
      </w:r>
      <w:r w:rsidRPr="003A25B8">
        <w:rPr>
          <w:rFonts w:ascii="Times New Roman" w:hAnsi="Times New Roman"/>
          <w:szCs w:val="22"/>
        </w:rPr>
        <w:tab/>
        <w:t>Developmental health or behavioral health need identified. (Used with codes 96110, 96127)</w:t>
      </w:r>
    </w:p>
    <w:p w14:paraId="73E1E748" w14:textId="77777777" w:rsidR="00AE1AD1" w:rsidRPr="003A25B8" w:rsidRDefault="00AE1AD1" w:rsidP="00ED6918">
      <w:pPr>
        <w:pStyle w:val="ban"/>
        <w:widowControl w:val="0"/>
        <w:tabs>
          <w:tab w:val="clear" w:pos="2454"/>
          <w:tab w:val="left" w:pos="518"/>
          <w:tab w:val="left" w:pos="900"/>
        </w:tabs>
        <w:suppressAutoHyphens w:val="0"/>
        <w:spacing w:line="240" w:lineRule="exact"/>
        <w:ind w:right="230"/>
        <w:rPr>
          <w:rFonts w:ascii="Times New Roman" w:hAnsi="Times New Roman"/>
          <w:szCs w:val="22"/>
        </w:rPr>
      </w:pPr>
      <w:r w:rsidRPr="003A25B8">
        <w:rPr>
          <w:rFonts w:ascii="Times New Roman" w:hAnsi="Times New Roman"/>
          <w:szCs w:val="22"/>
        </w:rPr>
        <w:t>-U3</w:t>
      </w:r>
      <w:r>
        <w:rPr>
          <w:rFonts w:ascii="Times New Roman" w:hAnsi="Times New Roman"/>
          <w:szCs w:val="22"/>
        </w:rPr>
        <w:tab/>
      </w:r>
      <w:r w:rsidRPr="003A25B8">
        <w:rPr>
          <w:rFonts w:ascii="Times New Roman" w:hAnsi="Times New Roman"/>
          <w:szCs w:val="22"/>
        </w:rPr>
        <w:tab/>
        <w:t>No follow-up needed (Used with code 96110)</w:t>
      </w:r>
    </w:p>
    <w:p w14:paraId="3C72B7C2" w14:textId="77777777" w:rsidR="00AE1AD1" w:rsidRPr="003A25B8" w:rsidRDefault="00AE1AD1" w:rsidP="00ED6918">
      <w:pPr>
        <w:pStyle w:val="ban"/>
        <w:widowControl w:val="0"/>
        <w:tabs>
          <w:tab w:val="clear" w:pos="2454"/>
          <w:tab w:val="left" w:pos="518"/>
          <w:tab w:val="left" w:pos="900"/>
        </w:tabs>
        <w:suppressAutoHyphens w:val="0"/>
        <w:spacing w:line="240" w:lineRule="exact"/>
        <w:ind w:right="230"/>
        <w:rPr>
          <w:rFonts w:ascii="Times New Roman" w:hAnsi="Times New Roman"/>
          <w:szCs w:val="22"/>
        </w:rPr>
      </w:pPr>
      <w:r w:rsidRPr="003A25B8">
        <w:rPr>
          <w:rFonts w:ascii="Times New Roman" w:hAnsi="Times New Roman"/>
          <w:szCs w:val="22"/>
        </w:rPr>
        <w:t xml:space="preserve">-U4 </w:t>
      </w:r>
      <w:r w:rsidRPr="003A25B8">
        <w:rPr>
          <w:rFonts w:ascii="Times New Roman" w:hAnsi="Times New Roman"/>
          <w:szCs w:val="22"/>
        </w:rPr>
        <w:tab/>
      </w:r>
      <w:r w:rsidRPr="003A25B8">
        <w:rPr>
          <w:rFonts w:ascii="Times New Roman" w:hAnsi="Times New Roman"/>
          <w:szCs w:val="22"/>
        </w:rPr>
        <w:tab/>
        <w:t>Follow-up needed (Used with code 96110)</w:t>
      </w:r>
    </w:p>
    <w:p w14:paraId="18005808" w14:textId="77777777" w:rsidR="00AE1AD1" w:rsidRPr="003A25B8" w:rsidRDefault="00AE1AD1" w:rsidP="009947E8">
      <w:pPr>
        <w:widowControl w:val="0"/>
        <w:tabs>
          <w:tab w:val="left" w:pos="1320"/>
          <w:tab w:val="left" w:pos="1692"/>
          <w:tab w:val="left" w:pos="2070"/>
        </w:tabs>
        <w:ind w:left="900" w:hanging="900"/>
        <w:rPr>
          <w:vanish/>
        </w:rPr>
      </w:pPr>
      <w:r w:rsidRPr="003A25B8">
        <w:rPr>
          <w:rFonts w:eastAsia="Calibri"/>
          <w:color w:val="000000" w:themeColor="text1"/>
        </w:rPr>
        <w:t>-UD</w:t>
      </w:r>
      <w:r w:rsidRPr="00C81B2E">
        <w:rPr>
          <w:rFonts w:eastAsia="Calibri"/>
          <w:color w:val="000000" w:themeColor="text1"/>
        </w:rPr>
        <w:tab/>
      </w:r>
      <w:r w:rsidRPr="003A25B8">
        <w:rPr>
          <w:rFonts w:eastAsia="Calibri"/>
          <w:color w:val="000000" w:themeColor="text1"/>
        </w:rPr>
        <w:t xml:space="preserve">Administration and scoring of a </w:t>
      </w:r>
      <w:r>
        <w:rPr>
          <w:rFonts w:eastAsia="Calibri"/>
          <w:color w:val="000000" w:themeColor="text1"/>
        </w:rPr>
        <w:t>standardized</w:t>
      </w:r>
      <w:r w:rsidRPr="003A25B8">
        <w:rPr>
          <w:rFonts w:eastAsia="Calibri"/>
          <w:color w:val="000000" w:themeColor="text1"/>
        </w:rPr>
        <w:t xml:space="preserve"> screening tool for parent and caregiver postpartum depression</w:t>
      </w:r>
      <w:r w:rsidRPr="00957059">
        <w:rPr>
          <w:rFonts w:eastAsia="Calibri"/>
          <w:color w:val="000000" w:themeColor="text1"/>
        </w:rPr>
        <w:t>. (U</w:t>
      </w:r>
      <w:r w:rsidRPr="003A25B8">
        <w:rPr>
          <w:rFonts w:eastAsia="Calibri"/>
          <w:color w:val="000000" w:themeColor="text1"/>
        </w:rPr>
        <w:t>sed with code 96110 in combination with U1 or U2</w:t>
      </w:r>
      <w:r w:rsidRPr="00957059">
        <w:rPr>
          <w:rFonts w:ascii="Calibri" w:eastAsia="Calibri" w:hAnsi="Calibri" w:cs="Calibri"/>
          <w:color w:val="000000" w:themeColor="text1"/>
        </w:rPr>
        <w:t>)</w:t>
      </w:r>
    </w:p>
    <w:p w14:paraId="603DFA7A" w14:textId="77777777" w:rsidR="00AE1AD1" w:rsidRDefault="00AE1AD1" w:rsidP="00ED6918">
      <w:pPr>
        <w:widowControl w:val="0"/>
        <w:tabs>
          <w:tab w:val="left" w:pos="1320"/>
          <w:tab w:val="center" w:pos="4824"/>
          <w:tab w:val="left" w:pos="7587"/>
        </w:tabs>
        <w:jc w:val="center"/>
      </w:pPr>
    </w:p>
    <w:p w14:paraId="44BF16C7" w14:textId="77777777" w:rsidR="00AE1AD1" w:rsidRDefault="00AE1AD1" w:rsidP="00DB193A">
      <w:pPr>
        <w:widowControl w:val="0"/>
        <w:tabs>
          <w:tab w:val="left" w:pos="0"/>
          <w:tab w:val="left" w:pos="1314"/>
          <w:tab w:val="left" w:pos="1692"/>
          <w:tab w:val="left" w:pos="2070"/>
        </w:tabs>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50"/>
        <w:gridCol w:w="3780"/>
        <w:gridCol w:w="1771"/>
      </w:tblGrid>
      <w:tr w:rsidR="00AE1AD1" w:rsidRPr="002B61E2" w14:paraId="5651EE02" w14:textId="77777777" w:rsidTr="00C01BCE">
        <w:trPr>
          <w:trHeight w:hRule="exact" w:val="864"/>
        </w:trPr>
        <w:tc>
          <w:tcPr>
            <w:tcW w:w="4050" w:type="dxa"/>
            <w:tcBorders>
              <w:bottom w:val="nil"/>
            </w:tcBorders>
          </w:tcPr>
          <w:p w14:paraId="71D99ED1" w14:textId="77777777" w:rsidR="00AE1AD1" w:rsidRPr="002B61E2" w:rsidRDefault="00AE1AD1" w:rsidP="00C01BCE">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44AE9F8D" w14:textId="77777777" w:rsidR="00AE1AD1" w:rsidRPr="002B61E2" w:rsidRDefault="00AE1AD1" w:rsidP="00C01BC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A2BC627" w14:textId="77777777" w:rsidR="00AE1AD1" w:rsidRPr="002B61E2" w:rsidRDefault="00AE1AD1" w:rsidP="00C01BC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80" w:type="dxa"/>
          </w:tcPr>
          <w:p w14:paraId="7C5DAF84" w14:textId="77777777" w:rsidR="00AE1AD1" w:rsidRPr="002B61E2" w:rsidRDefault="00AE1AD1" w:rsidP="00C01BC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12343C7" w14:textId="77777777" w:rsidR="00AE1AD1" w:rsidRPr="002B61E2" w:rsidRDefault="00AE1AD1" w:rsidP="00C01BCE">
            <w:pPr>
              <w:widowControl w:val="0"/>
              <w:tabs>
                <w:tab w:val="left" w:pos="936"/>
                <w:tab w:val="left" w:pos="1314"/>
                <w:tab w:val="left" w:pos="1692"/>
                <w:tab w:val="left" w:pos="2070"/>
              </w:tabs>
              <w:jc w:val="center"/>
              <w:rPr>
                <w:rFonts w:ascii="Arial" w:hAnsi="Arial" w:cs="Arial"/>
              </w:rPr>
            </w:pPr>
            <w:r>
              <w:rPr>
                <w:rFonts w:ascii="Arial" w:hAnsi="Arial" w:cs="Arial"/>
              </w:rPr>
              <w:t>Appendix Z.  EPSDT/PPHSD Screening Services Codes</w:t>
            </w:r>
          </w:p>
        </w:tc>
        <w:tc>
          <w:tcPr>
            <w:tcW w:w="1771" w:type="dxa"/>
          </w:tcPr>
          <w:p w14:paraId="30EC07A1" w14:textId="77777777" w:rsidR="00AE1AD1" w:rsidRPr="002B61E2" w:rsidRDefault="00AE1AD1" w:rsidP="00C01BC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9ED7943" w14:textId="77777777" w:rsidR="00AE1AD1" w:rsidRPr="002B61E2" w:rsidRDefault="00AE1AD1" w:rsidP="00C01BCE">
            <w:pPr>
              <w:widowControl w:val="0"/>
              <w:tabs>
                <w:tab w:val="left" w:pos="936"/>
                <w:tab w:val="left" w:pos="1314"/>
                <w:tab w:val="left" w:pos="1692"/>
                <w:tab w:val="left" w:pos="2070"/>
              </w:tabs>
              <w:spacing w:before="120"/>
              <w:jc w:val="center"/>
              <w:rPr>
                <w:rFonts w:ascii="Arial" w:hAnsi="Arial" w:cs="Arial"/>
              </w:rPr>
            </w:pPr>
            <w:r>
              <w:rPr>
                <w:rFonts w:ascii="Arial" w:hAnsi="Arial" w:cs="Arial"/>
              </w:rPr>
              <w:t>Z-3</w:t>
            </w:r>
          </w:p>
        </w:tc>
      </w:tr>
      <w:tr w:rsidR="00AE1AD1" w:rsidRPr="002B61E2" w14:paraId="3FB548AD" w14:textId="77777777" w:rsidTr="00C01BCE">
        <w:trPr>
          <w:trHeight w:hRule="exact" w:val="864"/>
        </w:trPr>
        <w:tc>
          <w:tcPr>
            <w:tcW w:w="4050" w:type="dxa"/>
            <w:tcBorders>
              <w:top w:val="nil"/>
            </w:tcBorders>
            <w:vAlign w:val="center"/>
          </w:tcPr>
          <w:p w14:paraId="2024A76F" w14:textId="77777777" w:rsidR="00AE1AD1" w:rsidRPr="002B61E2" w:rsidRDefault="00AE1AD1" w:rsidP="00C01BCE">
            <w:pPr>
              <w:widowControl w:val="0"/>
              <w:tabs>
                <w:tab w:val="left" w:pos="936"/>
                <w:tab w:val="left" w:pos="1314"/>
                <w:tab w:val="left" w:pos="1692"/>
                <w:tab w:val="left" w:pos="2070"/>
              </w:tabs>
              <w:jc w:val="center"/>
              <w:rPr>
                <w:rFonts w:ascii="Arial" w:hAnsi="Arial" w:cs="Arial"/>
              </w:rPr>
            </w:pPr>
            <w:r>
              <w:rPr>
                <w:rFonts w:ascii="Arial" w:hAnsi="Arial" w:cs="Arial"/>
              </w:rPr>
              <w:t>All Provider Manuals</w:t>
            </w:r>
          </w:p>
        </w:tc>
        <w:tc>
          <w:tcPr>
            <w:tcW w:w="3780" w:type="dxa"/>
          </w:tcPr>
          <w:p w14:paraId="39380599" w14:textId="77777777" w:rsidR="00AE1AD1" w:rsidRPr="003F6F4E" w:rsidRDefault="00AE1AD1" w:rsidP="00C01BC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53B81DE" w14:textId="77777777" w:rsidR="00AE1AD1" w:rsidRPr="003F6F4E" w:rsidRDefault="00AE1AD1" w:rsidP="00C01BCE">
            <w:pPr>
              <w:widowControl w:val="0"/>
              <w:tabs>
                <w:tab w:val="left" w:pos="936"/>
                <w:tab w:val="left" w:pos="1314"/>
                <w:tab w:val="left" w:pos="1692"/>
                <w:tab w:val="left" w:pos="2070"/>
              </w:tabs>
              <w:spacing w:before="120"/>
              <w:jc w:val="center"/>
              <w:rPr>
                <w:rFonts w:ascii="Arial" w:hAnsi="Arial" w:cs="Arial"/>
              </w:rPr>
            </w:pPr>
            <w:r>
              <w:rPr>
                <w:rFonts w:ascii="Arial" w:hAnsi="Arial" w:cs="Arial"/>
              </w:rPr>
              <w:t>ALL-249</w:t>
            </w:r>
          </w:p>
        </w:tc>
        <w:tc>
          <w:tcPr>
            <w:tcW w:w="1771" w:type="dxa"/>
          </w:tcPr>
          <w:p w14:paraId="46F1FFD5" w14:textId="77777777" w:rsidR="00AE1AD1" w:rsidRPr="003F6F4E" w:rsidRDefault="00AE1AD1" w:rsidP="00C01BC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CF07495" w14:textId="77777777" w:rsidR="00AE1AD1" w:rsidRPr="00E205DB" w:rsidRDefault="00AE1AD1" w:rsidP="00C01BCE">
            <w:pPr>
              <w:widowControl w:val="0"/>
              <w:tabs>
                <w:tab w:val="left" w:pos="936"/>
                <w:tab w:val="left" w:pos="1314"/>
                <w:tab w:val="left" w:pos="1692"/>
                <w:tab w:val="left" w:pos="2070"/>
              </w:tabs>
              <w:spacing w:before="120"/>
              <w:jc w:val="center"/>
              <w:rPr>
                <w:rFonts w:ascii="Arial" w:hAnsi="Arial" w:cs="Arial"/>
              </w:rPr>
            </w:pPr>
            <w:r>
              <w:rPr>
                <w:rFonts w:ascii="Arial" w:hAnsi="Arial" w:cs="Arial"/>
              </w:rPr>
              <w:t>11/21/24</w:t>
            </w:r>
          </w:p>
        </w:tc>
      </w:tr>
    </w:tbl>
    <w:p w14:paraId="28B1F8CE" w14:textId="77777777" w:rsidR="00AE1AD1" w:rsidRDefault="00AE1AD1" w:rsidP="00DB193A">
      <w:pPr>
        <w:widowControl w:val="0"/>
        <w:tabs>
          <w:tab w:val="left" w:pos="0"/>
          <w:tab w:val="left" w:pos="1314"/>
          <w:tab w:val="left" w:pos="1692"/>
          <w:tab w:val="left" w:pos="2070"/>
        </w:tabs>
      </w:pPr>
    </w:p>
    <w:p w14:paraId="4EA2B626" w14:textId="77777777" w:rsidR="00AE1AD1" w:rsidRDefault="00AE1AD1" w:rsidP="00DB193A">
      <w:pPr>
        <w:widowControl w:val="0"/>
        <w:tabs>
          <w:tab w:val="left" w:pos="0"/>
          <w:tab w:val="left" w:pos="1314"/>
          <w:tab w:val="left" w:pos="1692"/>
          <w:tab w:val="left" w:pos="2070"/>
        </w:tabs>
      </w:pPr>
    </w:p>
    <w:p w14:paraId="5332BC4D" w14:textId="77777777" w:rsidR="00AE1AD1" w:rsidRDefault="00AE1AD1" w:rsidP="00DB193A">
      <w:pPr>
        <w:widowControl w:val="0"/>
        <w:tabs>
          <w:tab w:val="left" w:pos="0"/>
          <w:tab w:val="left" w:pos="1314"/>
          <w:tab w:val="left" w:pos="1692"/>
          <w:tab w:val="left" w:pos="2070"/>
        </w:tabs>
      </w:pPr>
      <w:r>
        <w:t>This publication contains codes that are copyrighted by the American Medical Association. Certain terms used in the service descriptions for HCPCS codes are defined in the Current Procedural Terminology (CPT) code book.</w:t>
      </w:r>
    </w:p>
    <w:p w14:paraId="5C6EB069" w14:textId="77777777" w:rsidR="00AE1AD1" w:rsidRDefault="00AE1AD1" w:rsidP="00ED6918">
      <w:pPr>
        <w:widowControl w:val="0"/>
        <w:tabs>
          <w:tab w:val="left" w:pos="1320"/>
          <w:tab w:val="center" w:pos="4824"/>
          <w:tab w:val="left" w:pos="7587"/>
        </w:tabs>
        <w:jc w:val="cente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50"/>
        <w:gridCol w:w="3780"/>
        <w:gridCol w:w="1771"/>
      </w:tblGrid>
      <w:tr w:rsidR="00AE1AD1" w:rsidRPr="002B61E2" w14:paraId="063604A0" w14:textId="77777777" w:rsidTr="00E8496F">
        <w:trPr>
          <w:trHeight w:hRule="exact" w:val="864"/>
        </w:trPr>
        <w:tc>
          <w:tcPr>
            <w:tcW w:w="4050" w:type="dxa"/>
            <w:tcBorders>
              <w:bottom w:val="nil"/>
            </w:tcBorders>
          </w:tcPr>
          <w:p w14:paraId="1D728F34" w14:textId="77777777" w:rsidR="00AE1AD1" w:rsidRPr="002B61E2" w:rsidRDefault="00AE1AD1" w:rsidP="00E8496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4EEC7650" w14:textId="77777777" w:rsidR="00AE1AD1" w:rsidRPr="002B61E2" w:rsidRDefault="00AE1AD1" w:rsidP="00E8496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083AC48" w14:textId="77777777" w:rsidR="00AE1AD1" w:rsidRPr="002B61E2" w:rsidRDefault="00AE1AD1" w:rsidP="00E8496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80" w:type="dxa"/>
          </w:tcPr>
          <w:p w14:paraId="36754277" w14:textId="77777777" w:rsidR="00AE1AD1" w:rsidRPr="002B61E2" w:rsidRDefault="00AE1AD1" w:rsidP="00E8496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B838FD1" w14:textId="77777777" w:rsidR="00AE1AD1" w:rsidRPr="002B61E2" w:rsidRDefault="00AE1AD1" w:rsidP="00E8496F">
            <w:pPr>
              <w:widowControl w:val="0"/>
              <w:tabs>
                <w:tab w:val="left" w:pos="936"/>
                <w:tab w:val="left" w:pos="1314"/>
                <w:tab w:val="left" w:pos="1692"/>
                <w:tab w:val="left" w:pos="2070"/>
              </w:tabs>
              <w:jc w:val="center"/>
              <w:rPr>
                <w:rFonts w:ascii="Arial" w:hAnsi="Arial" w:cs="Arial"/>
              </w:rPr>
            </w:pPr>
            <w:r>
              <w:rPr>
                <w:rFonts w:ascii="Arial" w:hAnsi="Arial" w:cs="Arial"/>
              </w:rPr>
              <w:t>Appendix Z.  EPSDT/PPHSD Screening Services Codes</w:t>
            </w:r>
          </w:p>
        </w:tc>
        <w:tc>
          <w:tcPr>
            <w:tcW w:w="1771" w:type="dxa"/>
          </w:tcPr>
          <w:p w14:paraId="113134CC" w14:textId="77777777" w:rsidR="00AE1AD1" w:rsidRPr="002B61E2" w:rsidRDefault="00AE1AD1" w:rsidP="00E8496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7C330DB" w14:textId="77777777" w:rsidR="00AE1AD1" w:rsidRPr="002B61E2" w:rsidRDefault="00AE1AD1" w:rsidP="00E8496F">
            <w:pPr>
              <w:widowControl w:val="0"/>
              <w:tabs>
                <w:tab w:val="left" w:pos="936"/>
                <w:tab w:val="left" w:pos="1314"/>
                <w:tab w:val="left" w:pos="1692"/>
                <w:tab w:val="left" w:pos="2070"/>
              </w:tabs>
              <w:spacing w:before="120"/>
              <w:jc w:val="center"/>
              <w:rPr>
                <w:rFonts w:ascii="Arial" w:hAnsi="Arial" w:cs="Arial"/>
              </w:rPr>
            </w:pPr>
            <w:r>
              <w:rPr>
                <w:rFonts w:ascii="Arial" w:hAnsi="Arial" w:cs="Arial"/>
              </w:rPr>
              <w:t>Z-4</w:t>
            </w:r>
          </w:p>
        </w:tc>
      </w:tr>
      <w:tr w:rsidR="00AE1AD1" w:rsidRPr="002B61E2" w14:paraId="18B86641" w14:textId="77777777" w:rsidTr="00E8496F">
        <w:trPr>
          <w:trHeight w:hRule="exact" w:val="864"/>
        </w:trPr>
        <w:tc>
          <w:tcPr>
            <w:tcW w:w="4050" w:type="dxa"/>
            <w:tcBorders>
              <w:top w:val="nil"/>
            </w:tcBorders>
            <w:vAlign w:val="center"/>
          </w:tcPr>
          <w:p w14:paraId="615C110A" w14:textId="77777777" w:rsidR="00AE1AD1" w:rsidRPr="002B61E2" w:rsidRDefault="00AE1AD1" w:rsidP="00E8496F">
            <w:pPr>
              <w:widowControl w:val="0"/>
              <w:tabs>
                <w:tab w:val="left" w:pos="936"/>
                <w:tab w:val="left" w:pos="1314"/>
                <w:tab w:val="left" w:pos="1692"/>
                <w:tab w:val="left" w:pos="2070"/>
              </w:tabs>
              <w:jc w:val="center"/>
              <w:rPr>
                <w:rFonts w:ascii="Arial" w:hAnsi="Arial" w:cs="Arial"/>
              </w:rPr>
            </w:pPr>
            <w:r>
              <w:rPr>
                <w:rFonts w:ascii="Arial" w:hAnsi="Arial" w:cs="Arial"/>
              </w:rPr>
              <w:t>All Provider Manuals</w:t>
            </w:r>
          </w:p>
        </w:tc>
        <w:tc>
          <w:tcPr>
            <w:tcW w:w="3780" w:type="dxa"/>
          </w:tcPr>
          <w:p w14:paraId="24069F33" w14:textId="77777777" w:rsidR="00AE1AD1" w:rsidRPr="003F6F4E" w:rsidRDefault="00AE1AD1" w:rsidP="00E8496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D1636F4" w14:textId="77777777" w:rsidR="00AE1AD1" w:rsidRPr="003F6F4E" w:rsidRDefault="00AE1AD1" w:rsidP="00E8496F">
            <w:pPr>
              <w:widowControl w:val="0"/>
              <w:tabs>
                <w:tab w:val="left" w:pos="936"/>
                <w:tab w:val="left" w:pos="1314"/>
                <w:tab w:val="left" w:pos="1692"/>
                <w:tab w:val="left" w:pos="2070"/>
              </w:tabs>
              <w:spacing w:before="120"/>
              <w:jc w:val="center"/>
              <w:rPr>
                <w:rFonts w:ascii="Arial" w:hAnsi="Arial" w:cs="Arial"/>
              </w:rPr>
            </w:pPr>
            <w:r>
              <w:rPr>
                <w:rFonts w:ascii="Arial" w:hAnsi="Arial" w:cs="Arial"/>
              </w:rPr>
              <w:t>ALL-249</w:t>
            </w:r>
          </w:p>
        </w:tc>
        <w:tc>
          <w:tcPr>
            <w:tcW w:w="1771" w:type="dxa"/>
          </w:tcPr>
          <w:p w14:paraId="4846F6CC" w14:textId="77777777" w:rsidR="00AE1AD1" w:rsidRPr="003F6F4E" w:rsidRDefault="00AE1AD1" w:rsidP="00E8496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576C6E0" w14:textId="77777777" w:rsidR="00AE1AD1" w:rsidRPr="00E205DB" w:rsidRDefault="00AE1AD1" w:rsidP="00E8496F">
            <w:pPr>
              <w:widowControl w:val="0"/>
              <w:tabs>
                <w:tab w:val="left" w:pos="936"/>
                <w:tab w:val="left" w:pos="1314"/>
                <w:tab w:val="left" w:pos="1692"/>
                <w:tab w:val="left" w:pos="2070"/>
              </w:tabs>
              <w:spacing w:before="120"/>
              <w:jc w:val="center"/>
              <w:rPr>
                <w:rFonts w:ascii="Arial" w:hAnsi="Arial" w:cs="Arial"/>
              </w:rPr>
            </w:pPr>
            <w:r>
              <w:rPr>
                <w:rFonts w:ascii="Arial" w:hAnsi="Arial" w:cs="Arial"/>
              </w:rPr>
              <w:t>11/21/24</w:t>
            </w:r>
          </w:p>
        </w:tc>
      </w:tr>
    </w:tbl>
    <w:p w14:paraId="75378E26" w14:textId="77777777" w:rsidR="00AE1AD1" w:rsidRDefault="00AE1AD1" w:rsidP="00683AF2">
      <w:pPr>
        <w:widowControl w:val="0"/>
        <w:tabs>
          <w:tab w:val="center" w:pos="4824"/>
          <w:tab w:val="left" w:pos="7587"/>
        </w:tabs>
        <w:jc w:val="center"/>
      </w:pPr>
    </w:p>
    <w:p w14:paraId="6F552D08" w14:textId="77777777" w:rsidR="00AE1AD1" w:rsidRDefault="00AE1AD1" w:rsidP="00B2506D">
      <w:pPr>
        <w:widowControl w:val="0"/>
        <w:tabs>
          <w:tab w:val="center" w:pos="4824"/>
          <w:tab w:val="left" w:pos="7587"/>
        </w:tabs>
        <w:jc w:val="center"/>
      </w:pPr>
    </w:p>
    <w:p w14:paraId="31AD7508" w14:textId="77777777" w:rsidR="00AE1AD1" w:rsidRDefault="00AE1AD1" w:rsidP="005053A3">
      <w:pPr>
        <w:widowControl w:val="0"/>
        <w:tabs>
          <w:tab w:val="center" w:pos="4824"/>
          <w:tab w:val="left" w:pos="7587"/>
        </w:tabs>
        <w:spacing w:before="3960"/>
        <w:jc w:val="center"/>
      </w:pPr>
      <w:r>
        <w:t>This page is reserved.</w:t>
      </w:r>
    </w:p>
    <w:p w14:paraId="666F87C0" w14:textId="77777777" w:rsidR="00AE1AD1" w:rsidRDefault="00AE1AD1" w:rsidP="00C073E5">
      <w:pPr>
        <w:widowControl w:val="0"/>
        <w:tabs>
          <w:tab w:val="center" w:pos="4824"/>
          <w:tab w:val="left" w:pos="7587"/>
        </w:tabs>
      </w:pPr>
    </w:p>
    <w:p w14:paraId="4DA0073E" w14:textId="77777777" w:rsidR="00AE1AD1" w:rsidRPr="00B32231" w:rsidRDefault="00AE1AD1" w:rsidP="00815A53">
      <w:pPr>
        <w:pStyle w:val="BodyText"/>
      </w:pPr>
    </w:p>
    <w:sectPr w:rsidR="00AE1AD1" w:rsidRPr="00B32231" w:rsidSect="00AE1AD1">
      <w:headerReference w:type="default" r:id="rId84"/>
      <w:pgSz w:w="12240" w:h="15840" w:code="1"/>
      <w:pgMar w:top="576" w:right="1440" w:bottom="1440" w:left="1440" w:header="446" w:footer="49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2918C" w14:textId="77777777" w:rsidR="00441222" w:rsidRDefault="00441222" w:rsidP="00FF5AAD">
      <w:r>
        <w:separator/>
      </w:r>
    </w:p>
    <w:p w14:paraId="38D68DD6" w14:textId="77777777" w:rsidR="00441222" w:rsidRDefault="00441222" w:rsidP="00FF5AAD"/>
    <w:p w14:paraId="1A0C2CD3" w14:textId="77777777" w:rsidR="00441222" w:rsidRDefault="00441222" w:rsidP="00FF5AAD"/>
    <w:p w14:paraId="60206B93" w14:textId="77777777" w:rsidR="00441222" w:rsidRDefault="00441222" w:rsidP="00FF5AAD"/>
    <w:p w14:paraId="56CBC6D6" w14:textId="77777777" w:rsidR="00441222" w:rsidRDefault="00441222" w:rsidP="00FF5AAD"/>
  </w:endnote>
  <w:endnote w:type="continuationSeparator" w:id="0">
    <w:p w14:paraId="7532A9EE" w14:textId="77777777" w:rsidR="00441222" w:rsidRDefault="00441222" w:rsidP="00FF5AAD">
      <w:r>
        <w:continuationSeparator/>
      </w:r>
    </w:p>
    <w:p w14:paraId="33ADFEA8" w14:textId="77777777" w:rsidR="00441222" w:rsidRDefault="00441222" w:rsidP="00FF5AAD"/>
    <w:p w14:paraId="350F3BCA" w14:textId="77777777" w:rsidR="00441222" w:rsidRDefault="00441222" w:rsidP="00FF5AAD"/>
    <w:p w14:paraId="2475762C" w14:textId="77777777" w:rsidR="00441222" w:rsidRDefault="00441222" w:rsidP="00FF5AAD"/>
    <w:p w14:paraId="49433BE4" w14:textId="77777777" w:rsidR="00441222" w:rsidRDefault="0044122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4919901"/>
      <w:docPartObj>
        <w:docPartGallery w:val="Page Numbers (Bottom of Page)"/>
        <w:docPartUnique/>
      </w:docPartObj>
    </w:sdtPr>
    <w:sdtContent>
      <w:sdt>
        <w:sdtPr>
          <w:id w:val="-1211652443"/>
          <w:docPartObj>
            <w:docPartGallery w:val="Page Numbers (Top of Page)"/>
            <w:docPartUnique/>
          </w:docPartObj>
        </w:sdtPr>
        <w:sdtContent>
          <w:p w14:paraId="4A67A409" w14:textId="3EA0A484" w:rsidR="00C57C00" w:rsidRDefault="00FD0055" w:rsidP="00FD005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18ED9" w14:textId="6051FE80" w:rsidR="00FD0055" w:rsidRDefault="00FD0055" w:rsidP="00FD005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49AF5" w14:textId="5477AE14" w:rsidR="004A6519" w:rsidRDefault="004A6519" w:rsidP="00FD005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CB980" w14:textId="77777777" w:rsidR="004A6519" w:rsidRDefault="004A6519" w:rsidP="00FD005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004FA" w14:textId="77777777" w:rsidR="004A6519" w:rsidRDefault="004A6519" w:rsidP="00FD00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F2DF7" w14:textId="77777777" w:rsidR="00441222" w:rsidRDefault="00441222" w:rsidP="00FF5AAD">
      <w:r>
        <w:separator/>
      </w:r>
    </w:p>
    <w:p w14:paraId="20D34BC7" w14:textId="77777777" w:rsidR="00441222" w:rsidRDefault="00441222" w:rsidP="00FF5AAD"/>
    <w:p w14:paraId="650ECC1C" w14:textId="77777777" w:rsidR="00441222" w:rsidRDefault="00441222" w:rsidP="00FF5AAD"/>
    <w:p w14:paraId="03B93E91" w14:textId="77777777" w:rsidR="00441222" w:rsidRDefault="00441222" w:rsidP="00FF5AAD"/>
    <w:p w14:paraId="74A205D5" w14:textId="77777777" w:rsidR="00441222" w:rsidRDefault="00441222" w:rsidP="00FF5AAD"/>
  </w:footnote>
  <w:footnote w:type="continuationSeparator" w:id="0">
    <w:p w14:paraId="0F40A8D8" w14:textId="77777777" w:rsidR="00441222" w:rsidRDefault="00441222" w:rsidP="00FF5AAD">
      <w:r>
        <w:continuationSeparator/>
      </w:r>
    </w:p>
    <w:p w14:paraId="3E9A27F5" w14:textId="77777777" w:rsidR="00441222" w:rsidRDefault="00441222" w:rsidP="00FF5AAD"/>
    <w:p w14:paraId="3AFBB267" w14:textId="77777777" w:rsidR="00441222" w:rsidRDefault="00441222" w:rsidP="00FF5AAD"/>
    <w:p w14:paraId="64F7EF6F" w14:textId="77777777" w:rsidR="00441222" w:rsidRDefault="00441222" w:rsidP="00FF5AAD"/>
    <w:p w14:paraId="16A9633F" w14:textId="77777777" w:rsidR="00441222" w:rsidRDefault="0044122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F2BD2" w14:textId="77777777" w:rsidR="00FD0055" w:rsidRDefault="00FD0055" w:rsidP="00FD0055">
    <w:pPr>
      <w:ind w:left="6480"/>
    </w:pPr>
    <w:r>
      <w:t>MassHealth</w:t>
    </w:r>
  </w:p>
  <w:p w14:paraId="5F90CC90" w14:textId="3DEADDF0" w:rsidR="00FD0055" w:rsidRDefault="00FD0055" w:rsidP="00FD0055">
    <w:pPr>
      <w:ind w:left="6480"/>
    </w:pPr>
    <w:r>
      <w:t xml:space="preserve">TL </w:t>
    </w:r>
    <w:r w:rsidR="005B24FA">
      <w:t>ALL-249</w:t>
    </w:r>
  </w:p>
  <w:p w14:paraId="51048FC5" w14:textId="1B865978" w:rsidR="00FD0055" w:rsidRDefault="005B24FA" w:rsidP="00FD0055">
    <w:pPr>
      <w:ind w:left="6480"/>
    </w:pPr>
    <w:r>
      <w:t>November 2024</w:t>
    </w:r>
  </w:p>
  <w:p w14:paraId="4C2EE969" w14:textId="3EBD31D8" w:rsidR="00FC443A" w:rsidRPr="00D11E9B" w:rsidRDefault="00FC443A" w:rsidP="00D11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36E0" w14:textId="77777777" w:rsidR="00E65281" w:rsidRDefault="00E65281" w:rsidP="00C832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86ECD0" w14:textId="77777777" w:rsidR="00E65281" w:rsidRDefault="00E65281" w:rsidP="004E459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D9CF6" w14:textId="77777777" w:rsidR="00E65281" w:rsidRDefault="00E652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A7898" w14:textId="77777777" w:rsidR="00E65281" w:rsidRDefault="00E65281" w:rsidP="00122052">
    <w:pPr>
      <w:pStyle w:val="Header"/>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92" w:type="dxa"/>
      <w:tblLayout w:type="fixed"/>
      <w:tblCellMar>
        <w:left w:w="0" w:type="dxa"/>
        <w:right w:w="0" w:type="dxa"/>
      </w:tblCellMar>
      <w:tblLook w:val="01E0" w:firstRow="1" w:lastRow="1" w:firstColumn="1" w:lastColumn="1" w:noHBand="0" w:noVBand="0"/>
    </w:tblPr>
    <w:tblGrid>
      <w:gridCol w:w="4080"/>
      <w:gridCol w:w="3750"/>
      <w:gridCol w:w="1771"/>
    </w:tblGrid>
    <w:tr w:rsidR="002D15E9" w:rsidRPr="00AE57EC" w14:paraId="6244DE5F" w14:textId="77777777" w:rsidTr="00B938CD">
      <w:trPr>
        <w:trHeight w:hRule="exact" w:val="1095"/>
      </w:trPr>
      <w:tc>
        <w:tcPr>
          <w:tcW w:w="4080" w:type="dxa"/>
          <w:vMerge w:val="restart"/>
          <w:tcBorders>
            <w:top w:val="single" w:sz="6" w:space="0" w:color="000000"/>
            <w:left w:val="single" w:sz="6" w:space="0" w:color="000000"/>
            <w:right w:val="single" w:sz="6" w:space="0" w:color="000000"/>
          </w:tcBorders>
        </w:tcPr>
        <w:p w14:paraId="016152F7" w14:textId="77777777" w:rsidR="002D15E9" w:rsidRPr="00AE57EC" w:rsidRDefault="002D15E9" w:rsidP="002D15E9">
          <w:pPr>
            <w:spacing w:before="9" w:line="110" w:lineRule="exact"/>
            <w:ind w:right="360"/>
            <w:rPr>
              <w:sz w:val="11"/>
              <w:szCs w:val="11"/>
            </w:rPr>
          </w:pPr>
        </w:p>
        <w:p w14:paraId="0DB87E23" w14:textId="77777777" w:rsidR="002D15E9" w:rsidRDefault="002D15E9" w:rsidP="002D15E9">
          <w:pPr>
            <w:ind w:left="379" w:right="363"/>
            <w:jc w:val="center"/>
            <w:rPr>
              <w:rFonts w:ascii="Arial" w:hAnsi="Arial" w:cs="Arial"/>
              <w:sz w:val="20"/>
              <w:szCs w:val="20"/>
            </w:rPr>
          </w:pPr>
          <w:r>
            <w:rPr>
              <w:rFonts w:ascii="Arial" w:hAnsi="Arial" w:cs="Arial"/>
              <w:b/>
              <w:bCs/>
              <w:sz w:val="20"/>
              <w:szCs w:val="20"/>
            </w:rPr>
            <w:t>Commo</w:t>
          </w:r>
          <w:r>
            <w:rPr>
              <w:rFonts w:ascii="Arial" w:hAnsi="Arial" w:cs="Arial"/>
              <w:b/>
              <w:bCs/>
              <w:spacing w:val="-4"/>
              <w:sz w:val="20"/>
              <w:szCs w:val="20"/>
            </w:rPr>
            <w:t>n</w:t>
          </w:r>
          <w:r>
            <w:rPr>
              <w:rFonts w:ascii="Arial" w:hAnsi="Arial" w:cs="Arial"/>
              <w:b/>
              <w:bCs/>
              <w:spacing w:val="10"/>
              <w:sz w:val="20"/>
              <w:szCs w:val="20"/>
            </w:rPr>
            <w:t>w</w:t>
          </w:r>
          <w:r>
            <w:rPr>
              <w:rFonts w:ascii="Arial" w:hAnsi="Arial" w:cs="Arial"/>
              <w:b/>
              <w:bCs/>
              <w:spacing w:val="-2"/>
              <w:sz w:val="20"/>
              <w:szCs w:val="20"/>
            </w:rPr>
            <w:t>e</w:t>
          </w:r>
          <w:r>
            <w:rPr>
              <w:rFonts w:ascii="Arial" w:hAnsi="Arial" w:cs="Arial"/>
              <w:b/>
              <w:bCs/>
              <w:sz w:val="20"/>
              <w:szCs w:val="20"/>
            </w:rPr>
            <w:t>alth</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spacing w:val="-2"/>
              <w:sz w:val="20"/>
              <w:szCs w:val="20"/>
            </w:rPr>
            <w:t xml:space="preserve"> </w:t>
          </w:r>
          <w:r>
            <w:rPr>
              <w:rFonts w:ascii="Arial" w:hAnsi="Arial" w:cs="Arial"/>
              <w:b/>
              <w:bCs/>
              <w:sz w:val="20"/>
              <w:szCs w:val="20"/>
            </w:rPr>
            <w:t>Ma</w:t>
          </w:r>
          <w:r>
            <w:rPr>
              <w:rFonts w:ascii="Arial" w:hAnsi="Arial" w:cs="Arial"/>
              <w:b/>
              <w:bCs/>
              <w:spacing w:val="-1"/>
              <w:sz w:val="20"/>
              <w:szCs w:val="20"/>
            </w:rPr>
            <w:t>ss</w:t>
          </w:r>
          <w:r>
            <w:rPr>
              <w:rFonts w:ascii="Arial" w:hAnsi="Arial" w:cs="Arial"/>
              <w:b/>
              <w:bCs/>
              <w:sz w:val="20"/>
              <w:szCs w:val="20"/>
            </w:rPr>
            <w:t>achu</w:t>
          </w:r>
          <w:r>
            <w:rPr>
              <w:rFonts w:ascii="Arial" w:hAnsi="Arial" w:cs="Arial"/>
              <w:b/>
              <w:bCs/>
              <w:spacing w:val="-1"/>
              <w:sz w:val="20"/>
              <w:szCs w:val="20"/>
            </w:rPr>
            <w:t>s</w:t>
          </w:r>
          <w:r>
            <w:rPr>
              <w:rFonts w:ascii="Arial" w:hAnsi="Arial" w:cs="Arial"/>
              <w:b/>
              <w:bCs/>
              <w:sz w:val="20"/>
              <w:szCs w:val="20"/>
            </w:rPr>
            <w:t>etts</w:t>
          </w:r>
        </w:p>
        <w:p w14:paraId="79CBC53A" w14:textId="77777777" w:rsidR="002D15E9" w:rsidRDefault="002D15E9" w:rsidP="002D15E9">
          <w:pPr>
            <w:spacing w:before="4"/>
            <w:ind w:left="1438" w:right="1419"/>
            <w:jc w:val="center"/>
            <w:rPr>
              <w:rFonts w:ascii="Arial" w:hAnsi="Arial" w:cs="Arial"/>
              <w:sz w:val="20"/>
              <w:szCs w:val="20"/>
            </w:rPr>
          </w:pPr>
          <w:r>
            <w:rPr>
              <w:rFonts w:ascii="Arial" w:hAnsi="Arial" w:cs="Arial"/>
              <w:b/>
              <w:bCs/>
              <w:sz w:val="20"/>
              <w:szCs w:val="20"/>
            </w:rPr>
            <w:t>Mas</w:t>
          </w:r>
          <w:r>
            <w:rPr>
              <w:rFonts w:ascii="Arial" w:hAnsi="Arial" w:cs="Arial"/>
              <w:b/>
              <w:bCs/>
              <w:spacing w:val="-1"/>
              <w:sz w:val="20"/>
              <w:szCs w:val="20"/>
            </w:rPr>
            <w:t>s</w:t>
          </w:r>
          <w:r>
            <w:rPr>
              <w:rFonts w:ascii="Arial" w:hAnsi="Arial" w:cs="Arial"/>
              <w:b/>
              <w:bCs/>
              <w:sz w:val="20"/>
              <w:szCs w:val="20"/>
            </w:rPr>
            <w:t>Hea</w:t>
          </w:r>
          <w:r>
            <w:rPr>
              <w:rFonts w:ascii="Arial" w:hAnsi="Arial" w:cs="Arial"/>
              <w:b/>
              <w:bCs/>
              <w:spacing w:val="-2"/>
              <w:sz w:val="20"/>
              <w:szCs w:val="20"/>
            </w:rPr>
            <w:t>l</w:t>
          </w:r>
          <w:r>
            <w:rPr>
              <w:rFonts w:ascii="Arial" w:hAnsi="Arial" w:cs="Arial"/>
              <w:b/>
              <w:bCs/>
              <w:sz w:val="20"/>
              <w:szCs w:val="20"/>
            </w:rPr>
            <w:t>th</w:t>
          </w:r>
        </w:p>
        <w:p w14:paraId="195A3679" w14:textId="77777777" w:rsidR="002D15E9" w:rsidRDefault="002D15E9" w:rsidP="002D15E9">
          <w:pPr>
            <w:spacing w:before="4"/>
            <w:ind w:left="900" w:right="886"/>
            <w:jc w:val="center"/>
            <w:rPr>
              <w:rFonts w:ascii="Arial" w:hAnsi="Arial" w:cs="Arial"/>
              <w:sz w:val="20"/>
              <w:szCs w:val="20"/>
            </w:rPr>
          </w:pPr>
          <w:r>
            <w:rPr>
              <w:rFonts w:ascii="Arial" w:hAnsi="Arial" w:cs="Arial"/>
              <w:b/>
              <w:bCs/>
              <w:spacing w:val="-1"/>
              <w:sz w:val="20"/>
              <w:szCs w:val="20"/>
            </w:rPr>
            <w:t>Pr</w:t>
          </w:r>
          <w:r>
            <w:rPr>
              <w:rFonts w:ascii="Arial" w:hAnsi="Arial" w:cs="Arial"/>
              <w:b/>
              <w:bCs/>
              <w:sz w:val="20"/>
              <w:szCs w:val="20"/>
            </w:rPr>
            <w:t>o</w:t>
          </w:r>
          <w:r>
            <w:rPr>
              <w:rFonts w:ascii="Arial" w:hAnsi="Arial" w:cs="Arial"/>
              <w:b/>
              <w:bCs/>
              <w:spacing w:val="-5"/>
              <w:sz w:val="20"/>
              <w:szCs w:val="20"/>
            </w:rPr>
            <w:t>v</w:t>
          </w:r>
          <w:r>
            <w:rPr>
              <w:rFonts w:ascii="Arial" w:hAnsi="Arial" w:cs="Arial"/>
              <w:b/>
              <w:bCs/>
              <w:spacing w:val="-1"/>
              <w:sz w:val="20"/>
              <w:szCs w:val="20"/>
            </w:rPr>
            <w:t>ide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M</w:t>
          </w:r>
          <w:r>
            <w:rPr>
              <w:rFonts w:ascii="Arial" w:hAnsi="Arial" w:cs="Arial"/>
              <w:b/>
              <w:bCs/>
              <w:sz w:val="20"/>
              <w:szCs w:val="20"/>
            </w:rPr>
            <w:t>a</w:t>
          </w:r>
          <w:r>
            <w:rPr>
              <w:rFonts w:ascii="Arial" w:hAnsi="Arial" w:cs="Arial"/>
              <w:b/>
              <w:bCs/>
              <w:spacing w:val="-1"/>
              <w:sz w:val="20"/>
              <w:szCs w:val="20"/>
            </w:rPr>
            <w:t>nua</w:t>
          </w:r>
          <w:r>
            <w:rPr>
              <w:rFonts w:ascii="Arial" w:hAnsi="Arial" w:cs="Arial"/>
              <w:b/>
              <w:bCs/>
              <w:sz w:val="20"/>
              <w:szCs w:val="20"/>
            </w:rPr>
            <w:t>l</w:t>
          </w:r>
          <w:r>
            <w:rPr>
              <w:rFonts w:ascii="Arial" w:hAnsi="Arial" w:cs="Arial"/>
              <w:b/>
              <w:bCs/>
              <w:spacing w:val="-3"/>
              <w:sz w:val="20"/>
              <w:szCs w:val="20"/>
            </w:rPr>
            <w:t xml:space="preserve"> </w:t>
          </w:r>
          <w:r>
            <w:rPr>
              <w:rFonts w:ascii="Arial" w:hAnsi="Arial" w:cs="Arial"/>
              <w:b/>
              <w:bCs/>
              <w:spacing w:val="-1"/>
              <w:sz w:val="20"/>
              <w:szCs w:val="20"/>
            </w:rPr>
            <w:t>Series</w:t>
          </w:r>
        </w:p>
        <w:p w14:paraId="34E88D82" w14:textId="77777777" w:rsidR="002D15E9" w:rsidRPr="00AE57EC" w:rsidRDefault="002D15E9" w:rsidP="002D15E9">
          <w:pPr>
            <w:spacing w:line="200" w:lineRule="exact"/>
            <w:rPr>
              <w:sz w:val="20"/>
              <w:szCs w:val="20"/>
            </w:rPr>
          </w:pPr>
        </w:p>
        <w:p w14:paraId="58898DFD" w14:textId="77777777" w:rsidR="002D15E9" w:rsidRDefault="002D15E9" w:rsidP="002D15E9">
          <w:pPr>
            <w:ind w:left="1080" w:right="1061"/>
            <w:jc w:val="center"/>
            <w:rPr>
              <w:rFonts w:ascii="Arial" w:hAnsi="Arial" w:cs="Arial"/>
              <w:sz w:val="20"/>
              <w:szCs w:val="20"/>
            </w:rPr>
          </w:pPr>
        </w:p>
        <w:p w14:paraId="301913FA" w14:textId="77777777" w:rsidR="002D15E9" w:rsidRDefault="002D15E9" w:rsidP="002D15E9">
          <w:pPr>
            <w:ind w:left="1080" w:right="1061"/>
            <w:jc w:val="center"/>
            <w:rPr>
              <w:rFonts w:ascii="Arial" w:hAnsi="Arial" w:cs="Arial"/>
              <w:sz w:val="20"/>
              <w:szCs w:val="20"/>
            </w:rPr>
          </w:pPr>
          <w:r>
            <w:rPr>
              <w:rFonts w:ascii="Arial" w:hAnsi="Arial" w:cs="Arial"/>
              <w:sz w:val="20"/>
              <w:szCs w:val="20"/>
            </w:rPr>
            <w:t>All</w:t>
          </w:r>
          <w:r>
            <w:rPr>
              <w:rFonts w:ascii="Arial" w:hAnsi="Arial" w:cs="Arial"/>
              <w:spacing w:val="-2"/>
              <w:sz w:val="20"/>
              <w:szCs w:val="20"/>
            </w:rPr>
            <w:t xml:space="preserve"> </w:t>
          </w:r>
          <w:r>
            <w:rPr>
              <w:rFonts w:ascii="Arial" w:hAnsi="Arial" w:cs="Arial"/>
              <w:sz w:val="20"/>
              <w:szCs w:val="20"/>
            </w:rPr>
            <w:t>Provider</w:t>
          </w:r>
          <w:r>
            <w:rPr>
              <w:rFonts w:ascii="Arial" w:hAnsi="Arial" w:cs="Arial"/>
              <w:spacing w:val="-2"/>
              <w:sz w:val="20"/>
              <w:szCs w:val="20"/>
            </w:rPr>
            <w:t xml:space="preserve"> </w:t>
          </w:r>
          <w:r>
            <w:rPr>
              <w:rFonts w:ascii="Arial" w:hAnsi="Arial" w:cs="Arial"/>
              <w:sz w:val="20"/>
              <w:szCs w:val="20"/>
            </w:rPr>
            <w:t>Manua</w:t>
          </w:r>
          <w:r>
            <w:rPr>
              <w:rFonts w:ascii="Arial" w:hAnsi="Arial" w:cs="Arial"/>
              <w:spacing w:val="-1"/>
              <w:sz w:val="20"/>
              <w:szCs w:val="20"/>
            </w:rPr>
            <w:t>l</w:t>
          </w:r>
          <w:r>
            <w:rPr>
              <w:rFonts w:ascii="Arial" w:hAnsi="Arial" w:cs="Arial"/>
              <w:sz w:val="20"/>
              <w:szCs w:val="20"/>
            </w:rPr>
            <w:t>s</w:t>
          </w:r>
        </w:p>
      </w:tc>
      <w:tc>
        <w:tcPr>
          <w:tcW w:w="3750" w:type="dxa"/>
          <w:tcBorders>
            <w:top w:val="single" w:sz="6" w:space="0" w:color="000000"/>
            <w:left w:val="single" w:sz="6" w:space="0" w:color="000000"/>
            <w:bottom w:val="single" w:sz="6" w:space="0" w:color="000000"/>
            <w:right w:val="single" w:sz="6" w:space="0" w:color="000000"/>
          </w:tcBorders>
        </w:tcPr>
        <w:p w14:paraId="4D203B55" w14:textId="77777777" w:rsidR="002D15E9" w:rsidRPr="00AE57EC" w:rsidRDefault="002D15E9" w:rsidP="002D15E9">
          <w:pPr>
            <w:spacing w:line="120" w:lineRule="exact"/>
            <w:rPr>
              <w:sz w:val="12"/>
              <w:szCs w:val="12"/>
            </w:rPr>
          </w:pPr>
        </w:p>
        <w:p w14:paraId="6890F9BA" w14:textId="77777777" w:rsidR="002D15E9" w:rsidRDefault="002D15E9" w:rsidP="002D15E9">
          <w:pPr>
            <w:spacing w:line="237" w:lineRule="auto"/>
            <w:ind w:left="188" w:right="170" w:hanging="2"/>
            <w:jc w:val="center"/>
            <w:rPr>
              <w:rFonts w:ascii="Arial" w:hAnsi="Arial" w:cs="Arial"/>
              <w:sz w:val="19"/>
              <w:szCs w:val="19"/>
            </w:rPr>
          </w:pPr>
          <w:r>
            <w:rPr>
              <w:rFonts w:ascii="Arial" w:hAnsi="Arial" w:cs="Arial"/>
              <w:b/>
              <w:bCs/>
              <w:spacing w:val="-1"/>
              <w:sz w:val="20"/>
              <w:szCs w:val="20"/>
            </w:rPr>
            <w:t>Subchapte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Numbe</w:t>
          </w:r>
          <w:r>
            <w:rPr>
              <w:rFonts w:ascii="Arial" w:hAnsi="Arial" w:cs="Arial"/>
              <w:b/>
              <w:bCs/>
              <w:sz w:val="20"/>
              <w:szCs w:val="20"/>
            </w:rPr>
            <w:t>r</w:t>
          </w:r>
          <w:r>
            <w:rPr>
              <w:rFonts w:ascii="Arial" w:hAnsi="Arial" w:cs="Arial"/>
              <w:b/>
              <w:bCs/>
              <w:spacing w:val="-2"/>
              <w:sz w:val="20"/>
              <w:szCs w:val="20"/>
            </w:rPr>
            <w:t xml:space="preserve"> </w:t>
          </w:r>
          <w:r>
            <w:rPr>
              <w:rFonts w:ascii="Arial" w:hAnsi="Arial" w:cs="Arial"/>
              <w:b/>
              <w:bCs/>
              <w:spacing w:val="-1"/>
              <w:sz w:val="20"/>
              <w:szCs w:val="20"/>
            </w:rPr>
            <w:t>an</w:t>
          </w:r>
          <w:r>
            <w:rPr>
              <w:rFonts w:ascii="Arial" w:hAnsi="Arial" w:cs="Arial"/>
              <w:b/>
              <w:bCs/>
              <w:sz w:val="20"/>
              <w:szCs w:val="20"/>
            </w:rPr>
            <w:t>d</w:t>
          </w:r>
          <w:r>
            <w:rPr>
              <w:rFonts w:ascii="Arial" w:hAnsi="Arial" w:cs="Arial"/>
              <w:b/>
              <w:bCs/>
              <w:spacing w:val="-2"/>
              <w:sz w:val="20"/>
              <w:szCs w:val="20"/>
            </w:rPr>
            <w:t xml:space="preserve"> </w:t>
          </w:r>
          <w:r>
            <w:rPr>
              <w:rFonts w:ascii="Arial" w:hAnsi="Arial" w:cs="Arial"/>
              <w:b/>
              <w:bCs/>
              <w:spacing w:val="-1"/>
              <w:sz w:val="20"/>
              <w:szCs w:val="20"/>
            </w:rPr>
            <w:t xml:space="preserve">Title </w:t>
          </w:r>
          <w:r w:rsidRPr="006257D3">
            <w:rPr>
              <w:rFonts w:ascii="Arial" w:hAnsi="Arial" w:cs="Arial"/>
              <w:sz w:val="20"/>
              <w:szCs w:val="20"/>
            </w:rPr>
            <w:t>Appendix</w:t>
          </w:r>
          <w:r w:rsidRPr="006257D3">
            <w:rPr>
              <w:rFonts w:ascii="Arial" w:hAnsi="Arial" w:cs="Arial"/>
              <w:spacing w:val="-16"/>
              <w:sz w:val="20"/>
              <w:szCs w:val="20"/>
            </w:rPr>
            <w:t xml:space="preserve"> </w:t>
          </w:r>
          <w:r w:rsidRPr="006257D3">
            <w:rPr>
              <w:rFonts w:ascii="Arial" w:hAnsi="Arial" w:cs="Arial"/>
              <w:sz w:val="20"/>
              <w:szCs w:val="20"/>
            </w:rPr>
            <w:t>W.</w:t>
          </w:r>
          <w:r w:rsidRPr="006257D3">
            <w:rPr>
              <w:rFonts w:ascii="Arial" w:hAnsi="Arial" w:cs="Arial"/>
              <w:spacing w:val="38"/>
              <w:sz w:val="20"/>
              <w:szCs w:val="20"/>
            </w:rPr>
            <w:t xml:space="preserve"> </w:t>
          </w:r>
          <w:r w:rsidRPr="006257D3">
            <w:rPr>
              <w:rFonts w:ascii="Arial" w:hAnsi="Arial" w:cs="Arial"/>
              <w:sz w:val="20"/>
              <w:szCs w:val="20"/>
            </w:rPr>
            <w:t>EPSDT</w:t>
          </w:r>
          <w:r w:rsidRPr="006257D3">
            <w:rPr>
              <w:rFonts w:ascii="Arial" w:hAnsi="Arial" w:cs="Arial"/>
              <w:spacing w:val="-12"/>
              <w:sz w:val="20"/>
              <w:szCs w:val="20"/>
            </w:rPr>
            <w:t xml:space="preserve"> </w:t>
          </w:r>
          <w:r w:rsidRPr="006257D3">
            <w:rPr>
              <w:rFonts w:ascii="Arial" w:hAnsi="Arial" w:cs="Arial"/>
              <w:sz w:val="20"/>
              <w:szCs w:val="20"/>
            </w:rPr>
            <w:t>Servi</w:t>
          </w:r>
          <w:r w:rsidRPr="006257D3">
            <w:rPr>
              <w:rFonts w:ascii="Arial" w:hAnsi="Arial" w:cs="Arial"/>
              <w:spacing w:val="1"/>
              <w:sz w:val="20"/>
              <w:szCs w:val="20"/>
            </w:rPr>
            <w:t>c</w:t>
          </w:r>
          <w:r w:rsidRPr="006257D3">
            <w:rPr>
              <w:rFonts w:ascii="Arial" w:hAnsi="Arial" w:cs="Arial"/>
              <w:sz w:val="20"/>
              <w:szCs w:val="20"/>
            </w:rPr>
            <w:t>es</w:t>
          </w:r>
          <w:r w:rsidRPr="006257D3">
            <w:rPr>
              <w:rFonts w:ascii="Arial" w:hAnsi="Arial" w:cs="Arial"/>
              <w:spacing w:val="-15"/>
              <w:sz w:val="20"/>
              <w:szCs w:val="20"/>
            </w:rPr>
            <w:t xml:space="preserve"> </w:t>
          </w:r>
          <w:r w:rsidRPr="006257D3">
            <w:rPr>
              <w:rFonts w:ascii="Arial" w:hAnsi="Arial" w:cs="Arial"/>
              <w:w w:val="99"/>
              <w:sz w:val="20"/>
              <w:szCs w:val="20"/>
            </w:rPr>
            <w:t xml:space="preserve">Medical </w:t>
          </w:r>
          <w:r w:rsidRPr="006257D3">
            <w:rPr>
              <w:rFonts w:ascii="Arial" w:hAnsi="Arial" w:cs="Arial"/>
              <w:sz w:val="20"/>
              <w:szCs w:val="20"/>
            </w:rPr>
            <w:t>and</w:t>
          </w:r>
          <w:r w:rsidRPr="006257D3">
            <w:rPr>
              <w:rFonts w:ascii="Arial" w:hAnsi="Arial" w:cs="Arial"/>
              <w:spacing w:val="-11"/>
              <w:sz w:val="20"/>
              <w:szCs w:val="20"/>
            </w:rPr>
            <w:t xml:space="preserve"> </w:t>
          </w:r>
          <w:r w:rsidRPr="006257D3">
            <w:rPr>
              <w:rFonts w:ascii="Arial" w:hAnsi="Arial" w:cs="Arial"/>
              <w:sz w:val="20"/>
              <w:szCs w:val="20"/>
            </w:rPr>
            <w:t>Dental</w:t>
          </w:r>
          <w:r w:rsidRPr="006257D3">
            <w:rPr>
              <w:rFonts w:ascii="Arial" w:hAnsi="Arial" w:cs="Arial"/>
              <w:spacing w:val="-11"/>
              <w:sz w:val="20"/>
              <w:szCs w:val="20"/>
            </w:rPr>
            <w:t xml:space="preserve"> </w:t>
          </w:r>
          <w:r w:rsidRPr="006257D3">
            <w:rPr>
              <w:rFonts w:ascii="Arial" w:hAnsi="Arial" w:cs="Arial"/>
              <w:sz w:val="20"/>
              <w:szCs w:val="20"/>
            </w:rPr>
            <w:t>P</w:t>
          </w:r>
          <w:r w:rsidRPr="006257D3">
            <w:rPr>
              <w:rFonts w:ascii="Arial" w:hAnsi="Arial" w:cs="Arial"/>
              <w:spacing w:val="2"/>
              <w:sz w:val="20"/>
              <w:szCs w:val="20"/>
            </w:rPr>
            <w:t>r</w:t>
          </w:r>
          <w:r w:rsidRPr="006257D3">
            <w:rPr>
              <w:rFonts w:ascii="Arial" w:hAnsi="Arial" w:cs="Arial"/>
              <w:sz w:val="20"/>
              <w:szCs w:val="20"/>
            </w:rPr>
            <w:t>otocols</w:t>
          </w:r>
          <w:r w:rsidRPr="006257D3">
            <w:rPr>
              <w:rFonts w:ascii="Arial" w:hAnsi="Arial" w:cs="Arial"/>
              <w:spacing w:val="-15"/>
              <w:sz w:val="20"/>
              <w:szCs w:val="20"/>
            </w:rPr>
            <w:t xml:space="preserve"> </w:t>
          </w:r>
          <w:r w:rsidRPr="006257D3">
            <w:rPr>
              <w:rFonts w:ascii="Arial" w:hAnsi="Arial" w:cs="Arial"/>
              <w:sz w:val="20"/>
              <w:szCs w:val="20"/>
            </w:rPr>
            <w:t>and</w:t>
          </w:r>
          <w:r w:rsidRPr="006257D3">
            <w:rPr>
              <w:rFonts w:ascii="Arial" w:hAnsi="Arial" w:cs="Arial"/>
              <w:spacing w:val="-9"/>
              <w:sz w:val="20"/>
              <w:szCs w:val="20"/>
            </w:rPr>
            <w:t xml:space="preserve"> </w:t>
          </w:r>
          <w:r w:rsidRPr="006257D3">
            <w:rPr>
              <w:rFonts w:ascii="Arial" w:hAnsi="Arial" w:cs="Arial"/>
              <w:w w:val="99"/>
              <w:sz w:val="20"/>
              <w:szCs w:val="20"/>
            </w:rPr>
            <w:t>Periodicity Schedules</w:t>
          </w:r>
        </w:p>
      </w:tc>
      <w:tc>
        <w:tcPr>
          <w:tcW w:w="1771" w:type="dxa"/>
          <w:tcBorders>
            <w:top w:val="single" w:sz="6" w:space="0" w:color="000000"/>
            <w:left w:val="single" w:sz="6" w:space="0" w:color="000000"/>
            <w:bottom w:val="single" w:sz="6" w:space="0" w:color="000000"/>
            <w:right w:val="single" w:sz="6" w:space="0" w:color="000000"/>
          </w:tcBorders>
        </w:tcPr>
        <w:p w14:paraId="1CC94A36" w14:textId="77777777" w:rsidR="002D15E9" w:rsidRPr="00AE57EC" w:rsidRDefault="002D15E9" w:rsidP="002D15E9">
          <w:pPr>
            <w:spacing w:before="9" w:line="110" w:lineRule="exact"/>
            <w:rPr>
              <w:sz w:val="11"/>
              <w:szCs w:val="11"/>
            </w:rPr>
          </w:pPr>
        </w:p>
        <w:p w14:paraId="7130B3D5" w14:textId="77777777" w:rsidR="002D15E9" w:rsidRDefault="002D15E9" w:rsidP="002D15E9">
          <w:pPr>
            <w:ind w:left="603" w:right="584"/>
            <w:jc w:val="center"/>
            <w:rPr>
              <w:rFonts w:ascii="Arial" w:hAnsi="Arial" w:cs="Arial"/>
              <w:sz w:val="20"/>
              <w:szCs w:val="20"/>
            </w:rPr>
          </w:pPr>
          <w:r>
            <w:rPr>
              <w:rFonts w:ascii="Arial" w:hAnsi="Arial" w:cs="Arial"/>
              <w:b/>
              <w:bCs/>
              <w:spacing w:val="-1"/>
              <w:sz w:val="20"/>
              <w:szCs w:val="20"/>
            </w:rPr>
            <w:t>Page</w:t>
          </w:r>
        </w:p>
        <w:p w14:paraId="746FF7C0" w14:textId="77777777" w:rsidR="002D15E9" w:rsidRPr="00AE57EC" w:rsidRDefault="002D15E9" w:rsidP="002D15E9">
          <w:pPr>
            <w:spacing w:before="8" w:line="110" w:lineRule="exact"/>
            <w:rPr>
              <w:sz w:val="11"/>
              <w:szCs w:val="11"/>
            </w:rPr>
          </w:pPr>
        </w:p>
        <w:p w14:paraId="068066E2" w14:textId="77777777" w:rsidR="002D15E9" w:rsidRPr="004A6519" w:rsidRDefault="002D15E9" w:rsidP="002D15E9">
          <w:pPr>
            <w:pStyle w:val="Header"/>
            <w:jc w:val="center"/>
            <w:rPr>
              <w:rStyle w:val="PageNumber"/>
              <w:b w:val="0"/>
              <w:bCs/>
              <w:i w:val="0"/>
              <w:iCs w:val="0"/>
            </w:rPr>
          </w:pPr>
          <w:r w:rsidRPr="004A6519">
            <w:rPr>
              <w:rFonts w:ascii="Arial" w:hAnsi="Arial" w:cs="Arial"/>
              <w:b w:val="0"/>
              <w:bCs/>
              <w:i w:val="0"/>
              <w:iCs w:val="0"/>
            </w:rPr>
            <w:t>W-</w:t>
          </w:r>
          <w:r w:rsidRPr="004A6519">
            <w:rPr>
              <w:rFonts w:ascii="Arial" w:hAnsi="Arial" w:cs="Arial"/>
              <w:b w:val="0"/>
              <w:bCs/>
              <w:i w:val="0"/>
              <w:iCs w:val="0"/>
            </w:rPr>
            <w:fldChar w:fldCharType="begin"/>
          </w:r>
          <w:r w:rsidRPr="004A6519">
            <w:rPr>
              <w:rFonts w:ascii="Arial" w:hAnsi="Arial" w:cs="Arial"/>
              <w:b w:val="0"/>
              <w:bCs/>
              <w:i w:val="0"/>
              <w:iCs w:val="0"/>
            </w:rPr>
            <w:instrText xml:space="preserve"> PAGE   \* MERGEFORMAT </w:instrText>
          </w:r>
          <w:r w:rsidRPr="004A6519">
            <w:rPr>
              <w:rFonts w:ascii="Arial" w:hAnsi="Arial" w:cs="Arial"/>
              <w:b w:val="0"/>
              <w:bCs/>
              <w:i w:val="0"/>
              <w:iCs w:val="0"/>
            </w:rPr>
            <w:fldChar w:fldCharType="separate"/>
          </w:r>
          <w:r w:rsidRPr="004A6519">
            <w:rPr>
              <w:rFonts w:ascii="Arial" w:hAnsi="Arial" w:cs="Arial"/>
              <w:b w:val="0"/>
              <w:bCs/>
              <w:i w:val="0"/>
              <w:iCs w:val="0"/>
              <w:noProof/>
            </w:rPr>
            <w:t>1</w:t>
          </w:r>
          <w:r w:rsidRPr="004A6519">
            <w:rPr>
              <w:rFonts w:ascii="Arial" w:hAnsi="Arial" w:cs="Arial"/>
              <w:b w:val="0"/>
              <w:bCs/>
              <w:i w:val="0"/>
              <w:iCs w:val="0"/>
              <w:noProof/>
            </w:rPr>
            <w:fldChar w:fldCharType="end"/>
          </w:r>
        </w:p>
        <w:p w14:paraId="06F78F66" w14:textId="77777777" w:rsidR="002D15E9" w:rsidRDefault="002D15E9" w:rsidP="002D15E9">
          <w:pPr>
            <w:ind w:left="650" w:right="630"/>
            <w:jc w:val="center"/>
            <w:rPr>
              <w:rFonts w:ascii="Arial" w:hAnsi="Arial" w:cs="Arial"/>
              <w:sz w:val="20"/>
              <w:szCs w:val="20"/>
            </w:rPr>
          </w:pPr>
        </w:p>
      </w:tc>
    </w:tr>
    <w:tr w:rsidR="002D15E9" w:rsidRPr="00AE57EC" w14:paraId="792ED2C8" w14:textId="77777777" w:rsidTr="00B938CD">
      <w:trPr>
        <w:trHeight w:hRule="exact" w:val="866"/>
      </w:trPr>
      <w:tc>
        <w:tcPr>
          <w:tcW w:w="4080" w:type="dxa"/>
          <w:vMerge/>
          <w:tcBorders>
            <w:left w:val="single" w:sz="6" w:space="0" w:color="000000"/>
            <w:bottom w:val="single" w:sz="6" w:space="0" w:color="000000"/>
            <w:right w:val="single" w:sz="6" w:space="0" w:color="000000"/>
          </w:tcBorders>
        </w:tcPr>
        <w:p w14:paraId="0713C3B3" w14:textId="77777777" w:rsidR="002D15E9" w:rsidRPr="00AE57EC" w:rsidRDefault="002D15E9" w:rsidP="002D15E9"/>
      </w:tc>
      <w:tc>
        <w:tcPr>
          <w:tcW w:w="3750" w:type="dxa"/>
          <w:tcBorders>
            <w:top w:val="single" w:sz="6" w:space="0" w:color="000000"/>
            <w:left w:val="single" w:sz="6" w:space="0" w:color="000000"/>
            <w:bottom w:val="single" w:sz="6" w:space="0" w:color="000000"/>
            <w:right w:val="single" w:sz="6" w:space="0" w:color="000000"/>
          </w:tcBorders>
        </w:tcPr>
        <w:p w14:paraId="1C474DB2" w14:textId="77777777" w:rsidR="002D15E9" w:rsidRPr="00AE57EC" w:rsidRDefault="002D15E9" w:rsidP="002D15E9">
          <w:pPr>
            <w:spacing w:before="10" w:line="110" w:lineRule="exact"/>
            <w:rPr>
              <w:sz w:val="11"/>
              <w:szCs w:val="11"/>
            </w:rPr>
          </w:pPr>
        </w:p>
        <w:p w14:paraId="767C6AD2" w14:textId="77777777" w:rsidR="002D15E9" w:rsidRDefault="002D15E9" w:rsidP="002D15E9">
          <w:pPr>
            <w:ind w:left="985" w:right="966"/>
            <w:jc w:val="center"/>
            <w:rPr>
              <w:rFonts w:ascii="Arial" w:hAnsi="Arial" w:cs="Arial"/>
              <w:sz w:val="20"/>
              <w:szCs w:val="20"/>
            </w:rPr>
          </w:pPr>
          <w:r>
            <w:rPr>
              <w:rFonts w:ascii="Arial" w:hAnsi="Arial" w:cs="Arial"/>
              <w:b/>
              <w:bCs/>
              <w:sz w:val="20"/>
              <w:szCs w:val="20"/>
            </w:rPr>
            <w:t>Trans</w:t>
          </w:r>
          <w:r>
            <w:rPr>
              <w:rFonts w:ascii="Arial" w:hAnsi="Arial" w:cs="Arial"/>
              <w:b/>
              <w:bCs/>
              <w:spacing w:val="-2"/>
              <w:sz w:val="20"/>
              <w:szCs w:val="20"/>
            </w:rPr>
            <w:t>m</w:t>
          </w:r>
          <w:r>
            <w:rPr>
              <w:rFonts w:ascii="Arial" w:hAnsi="Arial" w:cs="Arial"/>
              <w:b/>
              <w:bCs/>
              <w:sz w:val="20"/>
              <w:szCs w:val="20"/>
            </w:rPr>
            <w:t>ittal</w:t>
          </w:r>
          <w:r>
            <w:rPr>
              <w:rFonts w:ascii="Arial" w:hAnsi="Arial" w:cs="Arial"/>
              <w:b/>
              <w:bCs/>
              <w:spacing w:val="-2"/>
              <w:sz w:val="20"/>
              <w:szCs w:val="20"/>
            </w:rPr>
            <w:t xml:space="preserve"> </w:t>
          </w:r>
          <w:r>
            <w:rPr>
              <w:rFonts w:ascii="Arial" w:hAnsi="Arial" w:cs="Arial"/>
              <w:b/>
              <w:bCs/>
              <w:sz w:val="20"/>
              <w:szCs w:val="20"/>
            </w:rPr>
            <w:t>Letter</w:t>
          </w:r>
        </w:p>
        <w:p w14:paraId="1E1AED3B" w14:textId="77777777" w:rsidR="002D15E9" w:rsidRPr="00AE57EC" w:rsidRDefault="002D15E9" w:rsidP="002D15E9">
          <w:pPr>
            <w:spacing w:before="7" w:line="110" w:lineRule="exact"/>
            <w:rPr>
              <w:sz w:val="11"/>
              <w:szCs w:val="11"/>
            </w:rPr>
          </w:pPr>
        </w:p>
        <w:p w14:paraId="0A0BBC7D" w14:textId="77777777" w:rsidR="002D15E9" w:rsidRPr="00DB19DD" w:rsidRDefault="002D15E9" w:rsidP="002D15E9">
          <w:pPr>
            <w:ind w:left="1452" w:right="1435"/>
            <w:jc w:val="center"/>
            <w:rPr>
              <w:rFonts w:ascii="Arial" w:hAnsi="Arial" w:cs="Arial"/>
              <w:sz w:val="20"/>
              <w:szCs w:val="20"/>
            </w:rPr>
          </w:pPr>
          <w:r>
            <w:rPr>
              <w:rFonts w:ascii="Arial" w:hAnsi="Arial" w:cs="Arial"/>
              <w:sz w:val="20"/>
              <w:szCs w:val="20"/>
            </w:rPr>
            <w:t>ALL-249</w:t>
          </w:r>
        </w:p>
      </w:tc>
      <w:tc>
        <w:tcPr>
          <w:tcW w:w="1771" w:type="dxa"/>
          <w:tcBorders>
            <w:top w:val="single" w:sz="6" w:space="0" w:color="000000"/>
            <w:left w:val="single" w:sz="6" w:space="0" w:color="000000"/>
            <w:bottom w:val="single" w:sz="6" w:space="0" w:color="000000"/>
            <w:right w:val="single" w:sz="6" w:space="0" w:color="000000"/>
          </w:tcBorders>
        </w:tcPr>
        <w:p w14:paraId="7F4AC8E5" w14:textId="77777777" w:rsidR="002D15E9" w:rsidRPr="00AE57EC" w:rsidRDefault="002D15E9" w:rsidP="002D15E9">
          <w:pPr>
            <w:spacing w:before="10" w:line="110" w:lineRule="exact"/>
            <w:rPr>
              <w:sz w:val="11"/>
              <w:szCs w:val="11"/>
            </w:rPr>
          </w:pPr>
        </w:p>
        <w:p w14:paraId="7309EFF3" w14:textId="77777777" w:rsidR="002D15E9" w:rsidRDefault="002D15E9" w:rsidP="002D15E9">
          <w:pPr>
            <w:ind w:left="624" w:right="607"/>
            <w:jc w:val="center"/>
            <w:rPr>
              <w:rFonts w:ascii="Arial" w:hAnsi="Arial" w:cs="Arial"/>
              <w:sz w:val="20"/>
              <w:szCs w:val="20"/>
            </w:rPr>
          </w:pPr>
          <w:r>
            <w:rPr>
              <w:rFonts w:ascii="Arial" w:hAnsi="Arial" w:cs="Arial"/>
              <w:b/>
              <w:bCs/>
              <w:sz w:val="20"/>
              <w:szCs w:val="20"/>
            </w:rPr>
            <w:t>Da</w:t>
          </w:r>
          <w:r>
            <w:rPr>
              <w:rFonts w:ascii="Arial" w:hAnsi="Arial" w:cs="Arial"/>
              <w:b/>
              <w:bCs/>
              <w:spacing w:val="-1"/>
              <w:sz w:val="20"/>
              <w:szCs w:val="20"/>
            </w:rPr>
            <w:t>t</w:t>
          </w:r>
          <w:r>
            <w:rPr>
              <w:rFonts w:ascii="Arial" w:hAnsi="Arial" w:cs="Arial"/>
              <w:b/>
              <w:bCs/>
              <w:sz w:val="20"/>
              <w:szCs w:val="20"/>
            </w:rPr>
            <w:t>e</w:t>
          </w:r>
        </w:p>
        <w:p w14:paraId="5F4739BB" w14:textId="77777777" w:rsidR="002D15E9" w:rsidRPr="00AE57EC" w:rsidRDefault="002D15E9" w:rsidP="002D15E9">
          <w:pPr>
            <w:spacing w:before="7" w:line="110" w:lineRule="exact"/>
            <w:rPr>
              <w:sz w:val="11"/>
              <w:szCs w:val="11"/>
            </w:rPr>
          </w:pPr>
        </w:p>
        <w:p w14:paraId="4A7EAFE5" w14:textId="77777777" w:rsidR="002D15E9" w:rsidRPr="00DB19DD" w:rsidRDefault="002D15E9" w:rsidP="002D15E9">
          <w:pPr>
            <w:ind w:left="452" w:right="433"/>
            <w:jc w:val="center"/>
            <w:rPr>
              <w:rFonts w:ascii="Arial" w:hAnsi="Arial" w:cs="Arial"/>
              <w:sz w:val="20"/>
              <w:szCs w:val="20"/>
            </w:rPr>
          </w:pPr>
          <w:r>
            <w:rPr>
              <w:rFonts w:ascii="Arial" w:hAnsi="Arial" w:cs="Arial"/>
              <w:sz w:val="20"/>
              <w:szCs w:val="20"/>
            </w:rPr>
            <w:t>11/21/24</w:t>
          </w:r>
        </w:p>
      </w:tc>
    </w:tr>
  </w:tbl>
  <w:p w14:paraId="33CAAD26" w14:textId="77777777" w:rsidR="002D15E9" w:rsidRDefault="002D15E9" w:rsidP="00122052">
    <w:pPr>
      <w:pStyle w:val="Header"/>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B0AFD" w14:textId="77777777" w:rsidR="00AE1AD1" w:rsidRDefault="00AE1AD1" w:rsidP="00122052">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F7AE5"/>
    <w:multiLevelType w:val="hybridMultilevel"/>
    <w:tmpl w:val="CFAA6D34"/>
    <w:lvl w:ilvl="0" w:tplc="04090001">
      <w:start w:val="1"/>
      <w:numFmt w:val="bullet"/>
      <w:lvlText w:val=""/>
      <w:lvlJc w:val="left"/>
      <w:pPr>
        <w:ind w:left="296" w:hanging="360"/>
      </w:pPr>
      <w:rPr>
        <w:rFonts w:ascii="Symbol" w:hAnsi="Symbol" w:hint="default"/>
      </w:rPr>
    </w:lvl>
    <w:lvl w:ilvl="1" w:tplc="04090001">
      <w:start w:val="1"/>
      <w:numFmt w:val="bullet"/>
      <w:lvlText w:val=""/>
      <w:lvlJc w:val="left"/>
      <w:pPr>
        <w:ind w:left="1016" w:hanging="360"/>
      </w:pPr>
      <w:rPr>
        <w:rFonts w:ascii="Symbol" w:hAnsi="Symbol" w:hint="default"/>
      </w:rPr>
    </w:lvl>
    <w:lvl w:ilvl="2" w:tplc="04090005">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11" w15:restartNumberingAfterBreak="0">
    <w:nsid w:val="0788100F"/>
    <w:multiLevelType w:val="hybridMultilevel"/>
    <w:tmpl w:val="9F9CA9C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92207C9"/>
    <w:multiLevelType w:val="hybridMultilevel"/>
    <w:tmpl w:val="B8F66F08"/>
    <w:lvl w:ilvl="0" w:tplc="14765364">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9370AD"/>
    <w:multiLevelType w:val="hybridMultilevel"/>
    <w:tmpl w:val="3DBA93B8"/>
    <w:lvl w:ilvl="0" w:tplc="14765364">
      <w:start w:val="1"/>
      <w:numFmt w:val="lowerRoman"/>
      <w:lvlText w:val="%1."/>
      <w:lvlJc w:val="right"/>
      <w:pPr>
        <w:ind w:left="83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DC5C22"/>
    <w:multiLevelType w:val="hybridMultilevel"/>
    <w:tmpl w:val="1EE6DC6E"/>
    <w:lvl w:ilvl="0" w:tplc="14765364">
      <w:start w:val="1"/>
      <w:numFmt w:val="lowerRoman"/>
      <w:lvlText w:val="%1."/>
      <w:lvlJc w:val="right"/>
      <w:pPr>
        <w:ind w:left="836" w:hanging="360"/>
      </w:pPr>
      <w:rPr>
        <w:b/>
        <w:bCs/>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5" w15:restartNumberingAfterBreak="0">
    <w:nsid w:val="10B64B41"/>
    <w:multiLevelType w:val="hybridMultilevel"/>
    <w:tmpl w:val="2A984E56"/>
    <w:lvl w:ilvl="0" w:tplc="88824DC8">
      <w:start w:val="3"/>
      <w:numFmt w:val="lowerLetter"/>
      <w:lvlText w:val="%1)"/>
      <w:lvlJc w:val="left"/>
      <w:pPr>
        <w:ind w:left="836" w:hanging="360"/>
      </w:pPr>
      <w:rPr>
        <w:rFonts w:hint="default"/>
        <w:b/>
        <w:bCs/>
      </w:rPr>
    </w:lvl>
    <w:lvl w:ilvl="1" w:tplc="04090019" w:tentative="1">
      <w:start w:val="1"/>
      <w:numFmt w:val="lowerLetter"/>
      <w:lvlText w:val="%2."/>
      <w:lvlJc w:val="left"/>
      <w:pPr>
        <w:ind w:left="-3548" w:hanging="360"/>
      </w:pPr>
    </w:lvl>
    <w:lvl w:ilvl="2" w:tplc="0409001B" w:tentative="1">
      <w:start w:val="1"/>
      <w:numFmt w:val="lowerRoman"/>
      <w:lvlText w:val="%3."/>
      <w:lvlJc w:val="right"/>
      <w:pPr>
        <w:ind w:left="-2828" w:hanging="180"/>
      </w:pPr>
    </w:lvl>
    <w:lvl w:ilvl="3" w:tplc="0409000F" w:tentative="1">
      <w:start w:val="1"/>
      <w:numFmt w:val="decimal"/>
      <w:lvlText w:val="%4."/>
      <w:lvlJc w:val="left"/>
      <w:pPr>
        <w:ind w:left="-2108" w:hanging="360"/>
      </w:pPr>
    </w:lvl>
    <w:lvl w:ilvl="4" w:tplc="04090019" w:tentative="1">
      <w:start w:val="1"/>
      <w:numFmt w:val="lowerLetter"/>
      <w:lvlText w:val="%5."/>
      <w:lvlJc w:val="left"/>
      <w:pPr>
        <w:ind w:left="-1388" w:hanging="360"/>
      </w:pPr>
    </w:lvl>
    <w:lvl w:ilvl="5" w:tplc="0409001B" w:tentative="1">
      <w:start w:val="1"/>
      <w:numFmt w:val="lowerRoman"/>
      <w:lvlText w:val="%6."/>
      <w:lvlJc w:val="right"/>
      <w:pPr>
        <w:ind w:left="-668" w:hanging="180"/>
      </w:pPr>
    </w:lvl>
    <w:lvl w:ilvl="6" w:tplc="0409000F" w:tentative="1">
      <w:start w:val="1"/>
      <w:numFmt w:val="decimal"/>
      <w:lvlText w:val="%7."/>
      <w:lvlJc w:val="left"/>
      <w:pPr>
        <w:ind w:left="52" w:hanging="360"/>
      </w:pPr>
    </w:lvl>
    <w:lvl w:ilvl="7" w:tplc="04090019" w:tentative="1">
      <w:start w:val="1"/>
      <w:numFmt w:val="lowerLetter"/>
      <w:lvlText w:val="%8."/>
      <w:lvlJc w:val="left"/>
      <w:pPr>
        <w:ind w:left="772" w:hanging="360"/>
      </w:pPr>
    </w:lvl>
    <w:lvl w:ilvl="8" w:tplc="0409001B" w:tentative="1">
      <w:start w:val="1"/>
      <w:numFmt w:val="lowerRoman"/>
      <w:lvlText w:val="%9."/>
      <w:lvlJc w:val="right"/>
      <w:pPr>
        <w:ind w:left="1492" w:hanging="180"/>
      </w:pPr>
    </w:lvl>
  </w:abstractNum>
  <w:abstractNum w:abstractNumId="16" w15:restartNumberingAfterBreak="0">
    <w:nsid w:val="13F30276"/>
    <w:multiLevelType w:val="hybridMultilevel"/>
    <w:tmpl w:val="3BBAE130"/>
    <w:lvl w:ilvl="0" w:tplc="14765364">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8B582B"/>
    <w:multiLevelType w:val="hybridMultilevel"/>
    <w:tmpl w:val="580EA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9D4D0D"/>
    <w:multiLevelType w:val="hybridMultilevel"/>
    <w:tmpl w:val="7486C6F8"/>
    <w:lvl w:ilvl="0" w:tplc="14765364">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7415CF"/>
    <w:multiLevelType w:val="hybridMultilevel"/>
    <w:tmpl w:val="04B29608"/>
    <w:lvl w:ilvl="0" w:tplc="2D74115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4306A0"/>
    <w:multiLevelType w:val="hybridMultilevel"/>
    <w:tmpl w:val="A0CC5622"/>
    <w:lvl w:ilvl="0" w:tplc="DBE4342A">
      <w:start w:val="1"/>
      <w:numFmt w:val="lowerLetter"/>
      <w:lvlText w:val="%1)"/>
      <w:lvlJc w:val="left"/>
      <w:pPr>
        <w:ind w:left="900" w:hanging="360"/>
      </w:pPr>
      <w:rPr>
        <w:rFonts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1C04038D"/>
    <w:multiLevelType w:val="hybridMultilevel"/>
    <w:tmpl w:val="17461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0615E3E"/>
    <w:multiLevelType w:val="hybridMultilevel"/>
    <w:tmpl w:val="7A28ACD0"/>
    <w:lvl w:ilvl="0" w:tplc="14765364">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7953E9"/>
    <w:multiLevelType w:val="hybridMultilevel"/>
    <w:tmpl w:val="A5AAE982"/>
    <w:lvl w:ilvl="0" w:tplc="F7CE611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7E1DAA"/>
    <w:multiLevelType w:val="hybridMultilevel"/>
    <w:tmpl w:val="DE2601D8"/>
    <w:lvl w:ilvl="0" w:tplc="1688DB3E">
      <w:start w:val="1"/>
      <w:numFmt w:val="lowerLetter"/>
      <w:lvlText w:val="%1)"/>
      <w:lvlJc w:val="left"/>
      <w:pPr>
        <w:ind w:left="72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289A5CE4"/>
    <w:multiLevelType w:val="hybridMultilevel"/>
    <w:tmpl w:val="DD08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B54828"/>
    <w:multiLevelType w:val="hybridMultilevel"/>
    <w:tmpl w:val="D58252DC"/>
    <w:lvl w:ilvl="0" w:tplc="58040950">
      <w:start w:val="1"/>
      <w:numFmt w:val="decimal"/>
      <w:lvlText w:val="%1."/>
      <w:lvlJc w:val="left"/>
      <w:pPr>
        <w:ind w:left="720" w:hanging="360"/>
      </w:pPr>
      <w:rPr>
        <w:rFonts w:ascii="Times New Roman" w:hAnsi="Times New Roman" w:cs="Times New Roman" w:hint="default"/>
        <w:b w:val="0"/>
        <w:bCs w:val="0"/>
        <w:color w:val="auto"/>
      </w:rPr>
    </w:lvl>
    <w:lvl w:ilvl="1" w:tplc="3392D58E">
      <w:start w:val="1"/>
      <w:numFmt w:val="lowerLetter"/>
      <w:lvlText w:val="%2."/>
      <w:lvlJc w:val="left"/>
      <w:pPr>
        <w:ind w:left="1440" w:hanging="360"/>
      </w:pPr>
    </w:lvl>
    <w:lvl w:ilvl="2" w:tplc="4488954E">
      <w:start w:val="1"/>
      <w:numFmt w:val="lowerRoman"/>
      <w:lvlText w:val="%3."/>
      <w:lvlJc w:val="right"/>
      <w:pPr>
        <w:ind w:left="2160" w:hanging="180"/>
      </w:pPr>
    </w:lvl>
    <w:lvl w:ilvl="3" w:tplc="5DFAA8E2">
      <w:start w:val="1"/>
      <w:numFmt w:val="decimal"/>
      <w:lvlText w:val="%4."/>
      <w:lvlJc w:val="left"/>
      <w:pPr>
        <w:ind w:left="2880" w:hanging="360"/>
      </w:pPr>
    </w:lvl>
    <w:lvl w:ilvl="4" w:tplc="6840CDB4">
      <w:start w:val="1"/>
      <w:numFmt w:val="lowerLetter"/>
      <w:lvlText w:val="%5."/>
      <w:lvlJc w:val="left"/>
      <w:pPr>
        <w:ind w:left="3600" w:hanging="360"/>
      </w:pPr>
    </w:lvl>
    <w:lvl w:ilvl="5" w:tplc="25AC8F8A">
      <w:start w:val="1"/>
      <w:numFmt w:val="lowerRoman"/>
      <w:lvlText w:val="%6."/>
      <w:lvlJc w:val="right"/>
      <w:pPr>
        <w:ind w:left="4320" w:hanging="180"/>
      </w:pPr>
    </w:lvl>
    <w:lvl w:ilvl="6" w:tplc="2BB4F7AE">
      <w:start w:val="1"/>
      <w:numFmt w:val="decimal"/>
      <w:lvlText w:val="%7."/>
      <w:lvlJc w:val="left"/>
      <w:pPr>
        <w:ind w:left="5040" w:hanging="360"/>
      </w:pPr>
    </w:lvl>
    <w:lvl w:ilvl="7" w:tplc="923A28A4">
      <w:start w:val="1"/>
      <w:numFmt w:val="lowerLetter"/>
      <w:lvlText w:val="%8."/>
      <w:lvlJc w:val="left"/>
      <w:pPr>
        <w:ind w:left="5760" w:hanging="360"/>
      </w:pPr>
    </w:lvl>
    <w:lvl w:ilvl="8" w:tplc="A1163962">
      <w:start w:val="1"/>
      <w:numFmt w:val="lowerRoman"/>
      <w:lvlText w:val="%9."/>
      <w:lvlJc w:val="right"/>
      <w:pPr>
        <w:ind w:left="6480" w:hanging="180"/>
      </w:pPr>
    </w:lvl>
  </w:abstractNum>
  <w:abstractNum w:abstractNumId="28" w15:restartNumberingAfterBreak="0">
    <w:nsid w:val="31B65A9C"/>
    <w:multiLevelType w:val="hybridMultilevel"/>
    <w:tmpl w:val="C12E7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380CA8"/>
    <w:multiLevelType w:val="hybridMultilevel"/>
    <w:tmpl w:val="8A18429C"/>
    <w:lvl w:ilvl="0" w:tplc="9124B36C">
      <w:start w:val="4"/>
      <w:numFmt w:val="lowerLetter"/>
      <w:lvlText w:val="%1)"/>
      <w:lvlJc w:val="left"/>
      <w:pPr>
        <w:ind w:left="836"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7F6EDD"/>
    <w:multiLevelType w:val="hybridMultilevel"/>
    <w:tmpl w:val="DFF07E20"/>
    <w:lvl w:ilvl="0" w:tplc="14BA61DE">
      <w:start w:val="1"/>
      <w:numFmt w:val="lowerRoman"/>
      <w:lvlText w:val="(%1)"/>
      <w:lvlJc w:val="left"/>
      <w:pPr>
        <w:ind w:left="1799" w:hanging="720"/>
      </w:pPr>
      <w:rPr>
        <w:rFonts w:hint="default"/>
      </w:r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31" w15:restartNumberingAfterBreak="0">
    <w:nsid w:val="370D30D6"/>
    <w:multiLevelType w:val="hybridMultilevel"/>
    <w:tmpl w:val="836E840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32" w15:restartNumberingAfterBreak="0">
    <w:nsid w:val="385E2F6F"/>
    <w:multiLevelType w:val="hybridMultilevel"/>
    <w:tmpl w:val="EB3274C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8F42B05"/>
    <w:multiLevelType w:val="hybridMultilevel"/>
    <w:tmpl w:val="16867972"/>
    <w:lvl w:ilvl="0" w:tplc="A0765D58">
      <w:start w:val="5"/>
      <w:numFmt w:val="lowerRoman"/>
      <w:lvlText w:val="%1."/>
      <w:lvlJc w:val="right"/>
      <w:pPr>
        <w:ind w:left="8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5E668E"/>
    <w:multiLevelType w:val="hybridMultilevel"/>
    <w:tmpl w:val="32ECDDD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DE77EF5"/>
    <w:multiLevelType w:val="hybridMultilevel"/>
    <w:tmpl w:val="DC043BF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35254D4"/>
    <w:multiLevelType w:val="hybridMultilevel"/>
    <w:tmpl w:val="2AE048BA"/>
    <w:lvl w:ilvl="0" w:tplc="14765364">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4C1830"/>
    <w:multiLevelType w:val="hybridMultilevel"/>
    <w:tmpl w:val="8822DF44"/>
    <w:lvl w:ilvl="0" w:tplc="CDB88646">
      <w:start w:val="1"/>
      <w:numFmt w:val="lowerLetter"/>
      <w:lvlText w:val="%1)"/>
      <w:lvlJc w:val="left"/>
      <w:pPr>
        <w:ind w:left="476" w:hanging="360"/>
      </w:pPr>
      <w:rPr>
        <w:rFonts w:hint="default"/>
        <w:b/>
        <w:bCs w:val="0"/>
      </w:rPr>
    </w:lvl>
    <w:lvl w:ilvl="1" w:tplc="04090003" w:tentative="1">
      <w:start w:val="1"/>
      <w:numFmt w:val="bullet"/>
      <w:lvlText w:val="o"/>
      <w:lvlJc w:val="left"/>
      <w:pPr>
        <w:ind w:left="1196" w:hanging="360"/>
      </w:pPr>
      <w:rPr>
        <w:rFonts w:ascii="Courier New" w:hAnsi="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38" w15:restartNumberingAfterBreak="0">
    <w:nsid w:val="46B66FE0"/>
    <w:multiLevelType w:val="hybridMultilevel"/>
    <w:tmpl w:val="1D9C2E66"/>
    <w:lvl w:ilvl="0" w:tplc="3392D58E">
      <w:start w:val="1"/>
      <w:numFmt w:val="lowerLetter"/>
      <w:lvlText w:val="%1."/>
      <w:lvlJc w:val="left"/>
      <w:pPr>
        <w:ind w:left="1188" w:hanging="360"/>
      </w:pPr>
      <w:rPr>
        <w:b/>
        <w:bCs w:val="0"/>
      </w:rPr>
    </w:lvl>
    <w:lvl w:ilvl="1" w:tplc="FFFFFFFF" w:tentative="1">
      <w:start w:val="1"/>
      <w:numFmt w:val="lowerLetter"/>
      <w:lvlText w:val="%2."/>
      <w:lvlJc w:val="left"/>
      <w:pPr>
        <w:ind w:left="1908" w:hanging="360"/>
      </w:pPr>
    </w:lvl>
    <w:lvl w:ilvl="2" w:tplc="FFFFFFFF" w:tentative="1">
      <w:start w:val="1"/>
      <w:numFmt w:val="lowerRoman"/>
      <w:lvlText w:val="%3."/>
      <w:lvlJc w:val="right"/>
      <w:pPr>
        <w:ind w:left="2628" w:hanging="180"/>
      </w:pPr>
    </w:lvl>
    <w:lvl w:ilvl="3" w:tplc="FFFFFFFF" w:tentative="1">
      <w:start w:val="1"/>
      <w:numFmt w:val="decimal"/>
      <w:lvlText w:val="%4."/>
      <w:lvlJc w:val="left"/>
      <w:pPr>
        <w:ind w:left="3348" w:hanging="360"/>
      </w:pPr>
    </w:lvl>
    <w:lvl w:ilvl="4" w:tplc="FFFFFFFF" w:tentative="1">
      <w:start w:val="1"/>
      <w:numFmt w:val="lowerLetter"/>
      <w:lvlText w:val="%5."/>
      <w:lvlJc w:val="left"/>
      <w:pPr>
        <w:ind w:left="4068" w:hanging="360"/>
      </w:pPr>
    </w:lvl>
    <w:lvl w:ilvl="5" w:tplc="FFFFFFFF" w:tentative="1">
      <w:start w:val="1"/>
      <w:numFmt w:val="lowerRoman"/>
      <w:lvlText w:val="%6."/>
      <w:lvlJc w:val="right"/>
      <w:pPr>
        <w:ind w:left="4788" w:hanging="180"/>
      </w:pPr>
    </w:lvl>
    <w:lvl w:ilvl="6" w:tplc="FFFFFFFF" w:tentative="1">
      <w:start w:val="1"/>
      <w:numFmt w:val="decimal"/>
      <w:lvlText w:val="%7."/>
      <w:lvlJc w:val="left"/>
      <w:pPr>
        <w:ind w:left="5508" w:hanging="360"/>
      </w:pPr>
    </w:lvl>
    <w:lvl w:ilvl="7" w:tplc="FFFFFFFF" w:tentative="1">
      <w:start w:val="1"/>
      <w:numFmt w:val="lowerLetter"/>
      <w:lvlText w:val="%8."/>
      <w:lvlJc w:val="left"/>
      <w:pPr>
        <w:ind w:left="6228" w:hanging="360"/>
      </w:pPr>
    </w:lvl>
    <w:lvl w:ilvl="8" w:tplc="FFFFFFFF" w:tentative="1">
      <w:start w:val="1"/>
      <w:numFmt w:val="lowerRoman"/>
      <w:lvlText w:val="%9."/>
      <w:lvlJc w:val="right"/>
      <w:pPr>
        <w:ind w:left="6948" w:hanging="180"/>
      </w:pPr>
    </w:lvl>
  </w:abstractNum>
  <w:abstractNum w:abstractNumId="39" w15:restartNumberingAfterBreak="0">
    <w:nsid w:val="47374F9B"/>
    <w:multiLevelType w:val="hybridMultilevel"/>
    <w:tmpl w:val="89C006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15:restartNumberingAfterBreak="0">
    <w:nsid w:val="4E0D15AD"/>
    <w:multiLevelType w:val="hybridMultilevel"/>
    <w:tmpl w:val="DF0C8E9E"/>
    <w:lvl w:ilvl="0" w:tplc="2402E182">
      <w:start w:val="1"/>
      <w:numFmt w:val="upperRoman"/>
      <w:lvlText w:val="%1."/>
      <w:lvlJc w:val="left"/>
      <w:pPr>
        <w:ind w:left="836" w:hanging="720"/>
      </w:pPr>
      <w:rPr>
        <w:rFonts w:hint="default"/>
        <w:b/>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41" w15:restartNumberingAfterBreak="0">
    <w:nsid w:val="50D66A0A"/>
    <w:multiLevelType w:val="hybridMultilevel"/>
    <w:tmpl w:val="2DDE0872"/>
    <w:lvl w:ilvl="0" w:tplc="463A704A">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C65567"/>
    <w:multiLevelType w:val="hybridMultilevel"/>
    <w:tmpl w:val="F9C0E5D6"/>
    <w:lvl w:ilvl="0" w:tplc="04090017">
      <w:start w:val="1"/>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53C61102"/>
    <w:multiLevelType w:val="hybridMultilevel"/>
    <w:tmpl w:val="8D06A9EA"/>
    <w:lvl w:ilvl="0" w:tplc="F618B264">
      <w:start w:val="1"/>
      <w:numFmt w:val="lowerRoman"/>
      <w:lvlText w:val="%1."/>
      <w:lvlJc w:val="right"/>
      <w:pPr>
        <w:ind w:left="1800" w:hanging="360"/>
      </w:pPr>
      <w:rPr>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5573F01"/>
    <w:multiLevelType w:val="hybridMultilevel"/>
    <w:tmpl w:val="93B06D8C"/>
    <w:lvl w:ilvl="0" w:tplc="14765364">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14145A"/>
    <w:multiLevelType w:val="hybridMultilevel"/>
    <w:tmpl w:val="AF1650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A00237"/>
    <w:multiLevelType w:val="hybridMultilevel"/>
    <w:tmpl w:val="EE7A5CBC"/>
    <w:lvl w:ilvl="0" w:tplc="FA60E85A">
      <w:start w:val="1"/>
      <w:numFmt w:val="lowerLetter"/>
      <w:lvlText w:val="%1)"/>
      <w:lvlJc w:val="left"/>
      <w:pPr>
        <w:ind w:left="900" w:hanging="360"/>
      </w:pPr>
      <w:rPr>
        <w:rFonts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7" w15:restartNumberingAfterBreak="0">
    <w:nsid w:val="5BC907DD"/>
    <w:multiLevelType w:val="hybridMultilevel"/>
    <w:tmpl w:val="CB6EC650"/>
    <w:lvl w:ilvl="0" w:tplc="04090001">
      <w:start w:val="1"/>
      <w:numFmt w:val="bullet"/>
      <w:lvlText w:val=""/>
      <w:lvlJc w:val="left"/>
      <w:pPr>
        <w:ind w:left="476" w:hanging="360"/>
      </w:pPr>
      <w:rPr>
        <w:rFonts w:ascii="Symbol" w:hAnsi="Symbol" w:hint="default"/>
      </w:rPr>
    </w:lvl>
    <w:lvl w:ilvl="1" w:tplc="04090001">
      <w:start w:val="1"/>
      <w:numFmt w:val="bullet"/>
      <w:lvlText w:val=""/>
      <w:lvlJc w:val="left"/>
      <w:pPr>
        <w:ind w:left="1196" w:hanging="360"/>
      </w:pPr>
      <w:rPr>
        <w:rFonts w:ascii="Symbol" w:hAnsi="Symbol" w:hint="default"/>
      </w:rPr>
    </w:lvl>
    <w:lvl w:ilvl="2" w:tplc="04090003">
      <w:start w:val="1"/>
      <w:numFmt w:val="bullet"/>
      <w:lvlText w:val="o"/>
      <w:lvlJc w:val="left"/>
      <w:pPr>
        <w:ind w:left="1916" w:hanging="360"/>
      </w:pPr>
      <w:rPr>
        <w:rFonts w:ascii="Courier New" w:hAnsi="Courier New" w:cs="Courier New"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48" w15:restartNumberingAfterBreak="0">
    <w:nsid w:val="64D74ABB"/>
    <w:multiLevelType w:val="hybridMultilevel"/>
    <w:tmpl w:val="E96C5482"/>
    <w:lvl w:ilvl="0" w:tplc="AF34E424">
      <w:start w:val="1"/>
      <w:numFmt w:val="low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9" w15:restartNumberingAfterBreak="0">
    <w:nsid w:val="6F363CA9"/>
    <w:multiLevelType w:val="hybridMultilevel"/>
    <w:tmpl w:val="A8FC3B7C"/>
    <w:lvl w:ilvl="0" w:tplc="9124B36C">
      <w:start w:val="4"/>
      <w:numFmt w:val="lowerLetter"/>
      <w:lvlText w:val="%1)"/>
      <w:lvlJc w:val="left"/>
      <w:pPr>
        <w:ind w:left="836" w:hanging="360"/>
      </w:pPr>
      <w:rPr>
        <w:rFonts w:hint="default"/>
        <w:b/>
        <w:bCs w:val="0"/>
      </w:rPr>
    </w:lvl>
    <w:lvl w:ilvl="1" w:tplc="04090019" w:tentative="1">
      <w:start w:val="1"/>
      <w:numFmt w:val="lowerLetter"/>
      <w:lvlText w:val="%2."/>
      <w:lvlJc w:val="left"/>
      <w:pPr>
        <w:ind w:left="-3548" w:hanging="360"/>
      </w:pPr>
    </w:lvl>
    <w:lvl w:ilvl="2" w:tplc="0409001B" w:tentative="1">
      <w:start w:val="1"/>
      <w:numFmt w:val="lowerRoman"/>
      <w:lvlText w:val="%3."/>
      <w:lvlJc w:val="right"/>
      <w:pPr>
        <w:ind w:left="-2828" w:hanging="180"/>
      </w:pPr>
    </w:lvl>
    <w:lvl w:ilvl="3" w:tplc="0409000F" w:tentative="1">
      <w:start w:val="1"/>
      <w:numFmt w:val="decimal"/>
      <w:lvlText w:val="%4."/>
      <w:lvlJc w:val="left"/>
      <w:pPr>
        <w:ind w:left="-2108" w:hanging="360"/>
      </w:pPr>
    </w:lvl>
    <w:lvl w:ilvl="4" w:tplc="04090019" w:tentative="1">
      <w:start w:val="1"/>
      <w:numFmt w:val="lowerLetter"/>
      <w:lvlText w:val="%5."/>
      <w:lvlJc w:val="left"/>
      <w:pPr>
        <w:ind w:left="-1388" w:hanging="360"/>
      </w:pPr>
    </w:lvl>
    <w:lvl w:ilvl="5" w:tplc="0409001B" w:tentative="1">
      <w:start w:val="1"/>
      <w:numFmt w:val="lowerRoman"/>
      <w:lvlText w:val="%6."/>
      <w:lvlJc w:val="right"/>
      <w:pPr>
        <w:ind w:left="-668" w:hanging="180"/>
      </w:pPr>
    </w:lvl>
    <w:lvl w:ilvl="6" w:tplc="0409000F" w:tentative="1">
      <w:start w:val="1"/>
      <w:numFmt w:val="decimal"/>
      <w:lvlText w:val="%7."/>
      <w:lvlJc w:val="left"/>
      <w:pPr>
        <w:ind w:left="52" w:hanging="360"/>
      </w:pPr>
    </w:lvl>
    <w:lvl w:ilvl="7" w:tplc="04090019" w:tentative="1">
      <w:start w:val="1"/>
      <w:numFmt w:val="lowerLetter"/>
      <w:lvlText w:val="%8."/>
      <w:lvlJc w:val="left"/>
      <w:pPr>
        <w:ind w:left="772" w:hanging="360"/>
      </w:pPr>
    </w:lvl>
    <w:lvl w:ilvl="8" w:tplc="0409001B" w:tentative="1">
      <w:start w:val="1"/>
      <w:numFmt w:val="lowerRoman"/>
      <w:lvlText w:val="%9."/>
      <w:lvlJc w:val="right"/>
      <w:pPr>
        <w:ind w:left="1492" w:hanging="180"/>
      </w:pPr>
    </w:lvl>
  </w:abstractNum>
  <w:abstractNum w:abstractNumId="50" w15:restartNumberingAfterBreak="0">
    <w:nsid w:val="705B22FC"/>
    <w:multiLevelType w:val="hybridMultilevel"/>
    <w:tmpl w:val="87F06402"/>
    <w:lvl w:ilvl="0" w:tplc="022C8F38">
      <w:start w:val="1"/>
      <w:numFmt w:val="lowerLetter"/>
      <w:lvlText w:val="%1)"/>
      <w:lvlJc w:val="left"/>
      <w:pPr>
        <w:ind w:left="1188" w:hanging="360"/>
      </w:pPr>
      <w:rPr>
        <w:b/>
        <w:bCs w:val="0"/>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51" w15:restartNumberingAfterBreak="0">
    <w:nsid w:val="73B40D21"/>
    <w:multiLevelType w:val="hybridMultilevel"/>
    <w:tmpl w:val="F9C0E5D6"/>
    <w:lvl w:ilvl="0" w:tplc="FFFFFFFF">
      <w:start w:val="1"/>
      <w:numFmt w:val="lowerLetter"/>
      <w:lvlText w:val="%1)"/>
      <w:lvlJc w:val="left"/>
      <w:pPr>
        <w:ind w:left="900" w:hanging="360"/>
      </w:pPr>
      <w:rPr>
        <w:rFont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52" w15:restartNumberingAfterBreak="0">
    <w:nsid w:val="75371472"/>
    <w:multiLevelType w:val="hybridMultilevel"/>
    <w:tmpl w:val="4112B3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F511CC8"/>
    <w:multiLevelType w:val="hybridMultilevel"/>
    <w:tmpl w:val="03DE9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24"/>
  </w:num>
  <w:num w:numId="12" w16cid:durableId="1543440911">
    <w:abstractNumId w:val="37"/>
  </w:num>
  <w:num w:numId="13" w16cid:durableId="1435398458">
    <w:abstractNumId w:val="27"/>
  </w:num>
  <w:num w:numId="14" w16cid:durableId="833112646">
    <w:abstractNumId w:val="48"/>
  </w:num>
  <w:num w:numId="15" w16cid:durableId="539517144">
    <w:abstractNumId w:val="40"/>
  </w:num>
  <w:num w:numId="16" w16cid:durableId="1241255169">
    <w:abstractNumId w:val="14"/>
  </w:num>
  <w:num w:numId="17" w16cid:durableId="1384019277">
    <w:abstractNumId w:val="42"/>
  </w:num>
  <w:num w:numId="18" w16cid:durableId="2088306031">
    <w:abstractNumId w:val="25"/>
  </w:num>
  <w:num w:numId="19" w16cid:durableId="848176539">
    <w:abstractNumId w:val="31"/>
  </w:num>
  <w:num w:numId="20" w16cid:durableId="951983323">
    <w:abstractNumId w:val="33"/>
  </w:num>
  <w:num w:numId="21" w16cid:durableId="375666076">
    <w:abstractNumId w:val="46"/>
  </w:num>
  <w:num w:numId="22" w16cid:durableId="153766081">
    <w:abstractNumId w:val="50"/>
  </w:num>
  <w:num w:numId="23" w16cid:durableId="1351876920">
    <w:abstractNumId w:val="20"/>
  </w:num>
  <w:num w:numId="24" w16cid:durableId="1989431428">
    <w:abstractNumId w:val="26"/>
  </w:num>
  <w:num w:numId="25" w16cid:durableId="556431229">
    <w:abstractNumId w:val="43"/>
  </w:num>
  <w:num w:numId="26" w16cid:durableId="1854223446">
    <w:abstractNumId w:val="35"/>
  </w:num>
  <w:num w:numId="27" w16cid:durableId="356198995">
    <w:abstractNumId w:val="10"/>
  </w:num>
  <w:num w:numId="28" w16cid:durableId="1887401503">
    <w:abstractNumId w:val="32"/>
  </w:num>
  <w:num w:numId="29" w16cid:durableId="99298064">
    <w:abstractNumId w:val="11"/>
  </w:num>
  <w:num w:numId="30" w16cid:durableId="2561333">
    <w:abstractNumId w:val="47"/>
  </w:num>
  <w:num w:numId="31" w16cid:durableId="1271205444">
    <w:abstractNumId w:val="15"/>
  </w:num>
  <w:num w:numId="32" w16cid:durableId="477574238">
    <w:abstractNumId w:val="49"/>
  </w:num>
  <w:num w:numId="33" w16cid:durableId="1397045140">
    <w:abstractNumId w:val="39"/>
  </w:num>
  <w:num w:numId="34" w16cid:durableId="418721506">
    <w:abstractNumId w:val="34"/>
  </w:num>
  <w:num w:numId="35" w16cid:durableId="1091775049">
    <w:abstractNumId w:val="51"/>
  </w:num>
  <w:num w:numId="36" w16cid:durableId="487595457">
    <w:abstractNumId w:val="19"/>
  </w:num>
  <w:num w:numId="37" w16cid:durableId="2090348300">
    <w:abstractNumId w:val="23"/>
  </w:num>
  <w:num w:numId="38" w16cid:durableId="1565332397">
    <w:abstractNumId w:val="16"/>
  </w:num>
  <w:num w:numId="39" w16cid:durableId="98183624">
    <w:abstractNumId w:val="12"/>
  </w:num>
  <w:num w:numId="40" w16cid:durableId="1527327491">
    <w:abstractNumId w:val="36"/>
  </w:num>
  <w:num w:numId="41" w16cid:durableId="178275960">
    <w:abstractNumId w:val="29"/>
  </w:num>
  <w:num w:numId="42" w16cid:durableId="1559824194">
    <w:abstractNumId w:val="13"/>
  </w:num>
  <w:num w:numId="43" w16cid:durableId="1432235005">
    <w:abstractNumId w:val="44"/>
  </w:num>
  <w:num w:numId="44" w16cid:durableId="1565874602">
    <w:abstractNumId w:val="22"/>
  </w:num>
  <w:num w:numId="45" w16cid:durableId="601183177">
    <w:abstractNumId w:val="18"/>
  </w:num>
  <w:num w:numId="46" w16cid:durableId="602155884">
    <w:abstractNumId w:val="38"/>
  </w:num>
  <w:num w:numId="47" w16cid:durableId="1022366344">
    <w:abstractNumId w:val="17"/>
  </w:num>
  <w:num w:numId="48" w16cid:durableId="1957061768">
    <w:abstractNumId w:val="30"/>
  </w:num>
  <w:num w:numId="49" w16cid:durableId="289551738">
    <w:abstractNumId w:val="41"/>
  </w:num>
  <w:num w:numId="50" w16cid:durableId="1895656270">
    <w:abstractNumId w:val="45"/>
  </w:num>
  <w:num w:numId="51" w16cid:durableId="1993177072">
    <w:abstractNumId w:val="52"/>
  </w:num>
  <w:num w:numId="52" w16cid:durableId="1306736530">
    <w:abstractNumId w:val="21"/>
  </w:num>
  <w:num w:numId="53" w16cid:durableId="546454885">
    <w:abstractNumId w:val="53"/>
  </w:num>
  <w:num w:numId="54" w16cid:durableId="15891971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58A"/>
    <w:rsid w:val="0002191F"/>
    <w:rsid w:val="00021E87"/>
    <w:rsid w:val="0002638F"/>
    <w:rsid w:val="00032BB1"/>
    <w:rsid w:val="00032C02"/>
    <w:rsid w:val="00041220"/>
    <w:rsid w:val="00041686"/>
    <w:rsid w:val="00056E4C"/>
    <w:rsid w:val="00065116"/>
    <w:rsid w:val="000706EF"/>
    <w:rsid w:val="00080FFB"/>
    <w:rsid w:val="00086041"/>
    <w:rsid w:val="000943BC"/>
    <w:rsid w:val="00095863"/>
    <w:rsid w:val="00097DCC"/>
    <w:rsid w:val="000A2664"/>
    <w:rsid w:val="000A5B9D"/>
    <w:rsid w:val="000C2F0E"/>
    <w:rsid w:val="000C7EF4"/>
    <w:rsid w:val="000D1994"/>
    <w:rsid w:val="000D5146"/>
    <w:rsid w:val="000D51FB"/>
    <w:rsid w:val="000D71AE"/>
    <w:rsid w:val="000E3E10"/>
    <w:rsid w:val="000F173A"/>
    <w:rsid w:val="000F2D86"/>
    <w:rsid w:val="000F579B"/>
    <w:rsid w:val="001069A1"/>
    <w:rsid w:val="00113E7F"/>
    <w:rsid w:val="00122052"/>
    <w:rsid w:val="0012314A"/>
    <w:rsid w:val="00130054"/>
    <w:rsid w:val="0014797D"/>
    <w:rsid w:val="00152EC6"/>
    <w:rsid w:val="00153E24"/>
    <w:rsid w:val="00160FB0"/>
    <w:rsid w:val="001655EC"/>
    <w:rsid w:val="00177842"/>
    <w:rsid w:val="00181CE8"/>
    <w:rsid w:val="00183784"/>
    <w:rsid w:val="0018768A"/>
    <w:rsid w:val="00194491"/>
    <w:rsid w:val="00195C8A"/>
    <w:rsid w:val="0019736A"/>
    <w:rsid w:val="00197D44"/>
    <w:rsid w:val="001A15C3"/>
    <w:rsid w:val="001A25AC"/>
    <w:rsid w:val="001A477C"/>
    <w:rsid w:val="001A7499"/>
    <w:rsid w:val="001B2B9A"/>
    <w:rsid w:val="001B5E99"/>
    <w:rsid w:val="001B73CE"/>
    <w:rsid w:val="001C1140"/>
    <w:rsid w:val="001C32AF"/>
    <w:rsid w:val="001C784A"/>
    <w:rsid w:val="001D5FD0"/>
    <w:rsid w:val="001E0603"/>
    <w:rsid w:val="001F1472"/>
    <w:rsid w:val="001F6109"/>
    <w:rsid w:val="00200899"/>
    <w:rsid w:val="002018B3"/>
    <w:rsid w:val="00216420"/>
    <w:rsid w:val="00221668"/>
    <w:rsid w:val="00227A1C"/>
    <w:rsid w:val="00232687"/>
    <w:rsid w:val="00232E91"/>
    <w:rsid w:val="00240726"/>
    <w:rsid w:val="002432EC"/>
    <w:rsid w:val="00246D80"/>
    <w:rsid w:val="00250727"/>
    <w:rsid w:val="00254A64"/>
    <w:rsid w:val="00263F44"/>
    <w:rsid w:val="00264FE0"/>
    <w:rsid w:val="00265DCC"/>
    <w:rsid w:val="00265FBB"/>
    <w:rsid w:val="00270DBE"/>
    <w:rsid w:val="0028040D"/>
    <w:rsid w:val="00280993"/>
    <w:rsid w:val="00282B01"/>
    <w:rsid w:val="002916ED"/>
    <w:rsid w:val="0029448A"/>
    <w:rsid w:val="002B2D2A"/>
    <w:rsid w:val="002C12F8"/>
    <w:rsid w:val="002C40EA"/>
    <w:rsid w:val="002D15E9"/>
    <w:rsid w:val="002E3B6A"/>
    <w:rsid w:val="002E5188"/>
    <w:rsid w:val="002F4DD5"/>
    <w:rsid w:val="002F7D2A"/>
    <w:rsid w:val="003065DA"/>
    <w:rsid w:val="0032327C"/>
    <w:rsid w:val="0032351D"/>
    <w:rsid w:val="00324D18"/>
    <w:rsid w:val="00330472"/>
    <w:rsid w:val="003644F6"/>
    <w:rsid w:val="0037002C"/>
    <w:rsid w:val="003737F7"/>
    <w:rsid w:val="00374688"/>
    <w:rsid w:val="00383436"/>
    <w:rsid w:val="003869FD"/>
    <w:rsid w:val="00386F7B"/>
    <w:rsid w:val="00390C38"/>
    <w:rsid w:val="003A31CA"/>
    <w:rsid w:val="003A6E1E"/>
    <w:rsid w:val="003C0130"/>
    <w:rsid w:val="003D1352"/>
    <w:rsid w:val="003D288D"/>
    <w:rsid w:val="003D5F66"/>
    <w:rsid w:val="003D6621"/>
    <w:rsid w:val="003E39ED"/>
    <w:rsid w:val="003E7C6D"/>
    <w:rsid w:val="003F221A"/>
    <w:rsid w:val="003F4AF4"/>
    <w:rsid w:val="004057C8"/>
    <w:rsid w:val="00410AF0"/>
    <w:rsid w:val="004117FD"/>
    <w:rsid w:val="0041389E"/>
    <w:rsid w:val="004153B5"/>
    <w:rsid w:val="00415DED"/>
    <w:rsid w:val="00427DA0"/>
    <w:rsid w:val="004373B7"/>
    <w:rsid w:val="00437C15"/>
    <w:rsid w:val="00440E96"/>
    <w:rsid w:val="00441222"/>
    <w:rsid w:val="004424A2"/>
    <w:rsid w:val="00446A5B"/>
    <w:rsid w:val="00450E46"/>
    <w:rsid w:val="00461793"/>
    <w:rsid w:val="00461DD8"/>
    <w:rsid w:val="0047107E"/>
    <w:rsid w:val="00480A66"/>
    <w:rsid w:val="004911F7"/>
    <w:rsid w:val="004A4D14"/>
    <w:rsid w:val="004A5518"/>
    <w:rsid w:val="004A5AA4"/>
    <w:rsid w:val="004A5E08"/>
    <w:rsid w:val="004A612B"/>
    <w:rsid w:val="004A6519"/>
    <w:rsid w:val="004B033F"/>
    <w:rsid w:val="004C1488"/>
    <w:rsid w:val="004C365D"/>
    <w:rsid w:val="004C78A8"/>
    <w:rsid w:val="004D4BC9"/>
    <w:rsid w:val="004D60BA"/>
    <w:rsid w:val="004F64E7"/>
    <w:rsid w:val="004F6902"/>
    <w:rsid w:val="00504790"/>
    <w:rsid w:val="00511043"/>
    <w:rsid w:val="005237ED"/>
    <w:rsid w:val="00523888"/>
    <w:rsid w:val="00526EAB"/>
    <w:rsid w:val="00541203"/>
    <w:rsid w:val="00541D2A"/>
    <w:rsid w:val="00541D99"/>
    <w:rsid w:val="00544889"/>
    <w:rsid w:val="0055139C"/>
    <w:rsid w:val="005548DE"/>
    <w:rsid w:val="0055663C"/>
    <w:rsid w:val="00565DC9"/>
    <w:rsid w:val="005750B4"/>
    <w:rsid w:val="005763C9"/>
    <w:rsid w:val="005764BF"/>
    <w:rsid w:val="00577AFD"/>
    <w:rsid w:val="00583219"/>
    <w:rsid w:val="00590E06"/>
    <w:rsid w:val="0059389D"/>
    <w:rsid w:val="00595C99"/>
    <w:rsid w:val="00596612"/>
    <w:rsid w:val="005A041D"/>
    <w:rsid w:val="005A17AF"/>
    <w:rsid w:val="005A3602"/>
    <w:rsid w:val="005A5C18"/>
    <w:rsid w:val="005B1804"/>
    <w:rsid w:val="005B24FA"/>
    <w:rsid w:val="005B3A7D"/>
    <w:rsid w:val="005B46C1"/>
    <w:rsid w:val="005C33E4"/>
    <w:rsid w:val="005C7D99"/>
    <w:rsid w:val="005D135E"/>
    <w:rsid w:val="005D7056"/>
    <w:rsid w:val="005E1EED"/>
    <w:rsid w:val="005E6E73"/>
    <w:rsid w:val="005F0A03"/>
    <w:rsid w:val="005F75D4"/>
    <w:rsid w:val="005F7DD5"/>
    <w:rsid w:val="006015A8"/>
    <w:rsid w:val="00606AD2"/>
    <w:rsid w:val="0062116C"/>
    <w:rsid w:val="006233DC"/>
    <w:rsid w:val="00630846"/>
    <w:rsid w:val="00632333"/>
    <w:rsid w:val="0064698F"/>
    <w:rsid w:val="00654896"/>
    <w:rsid w:val="00676163"/>
    <w:rsid w:val="00680BF1"/>
    <w:rsid w:val="006A58CB"/>
    <w:rsid w:val="006B272D"/>
    <w:rsid w:val="006B5BD5"/>
    <w:rsid w:val="006B6841"/>
    <w:rsid w:val="006D1809"/>
    <w:rsid w:val="006D2BED"/>
    <w:rsid w:val="006D49AA"/>
    <w:rsid w:val="006E1541"/>
    <w:rsid w:val="006E74E5"/>
    <w:rsid w:val="006F115D"/>
    <w:rsid w:val="00700C89"/>
    <w:rsid w:val="00700F0E"/>
    <w:rsid w:val="00702352"/>
    <w:rsid w:val="0070313F"/>
    <w:rsid w:val="0070553B"/>
    <w:rsid w:val="00712A0F"/>
    <w:rsid w:val="007138FA"/>
    <w:rsid w:val="00731164"/>
    <w:rsid w:val="00733878"/>
    <w:rsid w:val="00735420"/>
    <w:rsid w:val="00752392"/>
    <w:rsid w:val="007535D9"/>
    <w:rsid w:val="00755BF5"/>
    <w:rsid w:val="00757D07"/>
    <w:rsid w:val="0076059D"/>
    <w:rsid w:val="007629E9"/>
    <w:rsid w:val="007756B5"/>
    <w:rsid w:val="00776856"/>
    <w:rsid w:val="007A429C"/>
    <w:rsid w:val="007C03DD"/>
    <w:rsid w:val="007C2918"/>
    <w:rsid w:val="007C3BAF"/>
    <w:rsid w:val="007C542A"/>
    <w:rsid w:val="007C63E4"/>
    <w:rsid w:val="007D2272"/>
    <w:rsid w:val="007D35FC"/>
    <w:rsid w:val="007D38A4"/>
    <w:rsid w:val="007F1CCF"/>
    <w:rsid w:val="007F4A56"/>
    <w:rsid w:val="007F69B5"/>
    <w:rsid w:val="007F74B0"/>
    <w:rsid w:val="00800CE8"/>
    <w:rsid w:val="00802040"/>
    <w:rsid w:val="008031E5"/>
    <w:rsid w:val="00804876"/>
    <w:rsid w:val="00807AD4"/>
    <w:rsid w:val="00811DAF"/>
    <w:rsid w:val="00811FCB"/>
    <w:rsid w:val="008151A9"/>
    <w:rsid w:val="00815A53"/>
    <w:rsid w:val="0082380C"/>
    <w:rsid w:val="0082579E"/>
    <w:rsid w:val="0082594F"/>
    <w:rsid w:val="008268F2"/>
    <w:rsid w:val="00832EAC"/>
    <w:rsid w:val="00846E53"/>
    <w:rsid w:val="00856980"/>
    <w:rsid w:val="008708FF"/>
    <w:rsid w:val="00872219"/>
    <w:rsid w:val="00875282"/>
    <w:rsid w:val="00875834"/>
    <w:rsid w:val="00893B9C"/>
    <w:rsid w:val="00894D0E"/>
    <w:rsid w:val="00894FF0"/>
    <w:rsid w:val="008A3156"/>
    <w:rsid w:val="008A3B9D"/>
    <w:rsid w:val="008A41EA"/>
    <w:rsid w:val="008A6A30"/>
    <w:rsid w:val="008B293F"/>
    <w:rsid w:val="008B518A"/>
    <w:rsid w:val="008E1506"/>
    <w:rsid w:val="008E37F1"/>
    <w:rsid w:val="008E47B0"/>
    <w:rsid w:val="008F0A01"/>
    <w:rsid w:val="008F0D56"/>
    <w:rsid w:val="008F1DC8"/>
    <w:rsid w:val="008F7531"/>
    <w:rsid w:val="009004E3"/>
    <w:rsid w:val="00902810"/>
    <w:rsid w:val="00905BA3"/>
    <w:rsid w:val="009119FB"/>
    <w:rsid w:val="00914F8B"/>
    <w:rsid w:val="00915205"/>
    <w:rsid w:val="00916534"/>
    <w:rsid w:val="00930D16"/>
    <w:rsid w:val="0093651D"/>
    <w:rsid w:val="00943F98"/>
    <w:rsid w:val="00965D5A"/>
    <w:rsid w:val="009719F8"/>
    <w:rsid w:val="00977415"/>
    <w:rsid w:val="00981FE9"/>
    <w:rsid w:val="009841A9"/>
    <w:rsid w:val="00992105"/>
    <w:rsid w:val="0099221A"/>
    <w:rsid w:val="009A0E9B"/>
    <w:rsid w:val="009A3F81"/>
    <w:rsid w:val="009A794A"/>
    <w:rsid w:val="009B1C70"/>
    <w:rsid w:val="009B4513"/>
    <w:rsid w:val="009B4AD5"/>
    <w:rsid w:val="009C6A05"/>
    <w:rsid w:val="009D15FA"/>
    <w:rsid w:val="009D25B3"/>
    <w:rsid w:val="009D59BC"/>
    <w:rsid w:val="009D5CF4"/>
    <w:rsid w:val="009E38EC"/>
    <w:rsid w:val="009F3D01"/>
    <w:rsid w:val="009F6672"/>
    <w:rsid w:val="009F695C"/>
    <w:rsid w:val="00A024A3"/>
    <w:rsid w:val="00A02A01"/>
    <w:rsid w:val="00A0380C"/>
    <w:rsid w:val="00A111B4"/>
    <w:rsid w:val="00A13213"/>
    <w:rsid w:val="00A15AED"/>
    <w:rsid w:val="00A15EDB"/>
    <w:rsid w:val="00A1754E"/>
    <w:rsid w:val="00A2694A"/>
    <w:rsid w:val="00A32028"/>
    <w:rsid w:val="00A422EC"/>
    <w:rsid w:val="00A458CF"/>
    <w:rsid w:val="00A4616C"/>
    <w:rsid w:val="00A4669C"/>
    <w:rsid w:val="00A56D1A"/>
    <w:rsid w:val="00A570CF"/>
    <w:rsid w:val="00A63CB3"/>
    <w:rsid w:val="00A65777"/>
    <w:rsid w:val="00A65E20"/>
    <w:rsid w:val="00A71583"/>
    <w:rsid w:val="00A722C8"/>
    <w:rsid w:val="00A7391A"/>
    <w:rsid w:val="00A75E05"/>
    <w:rsid w:val="00A851E7"/>
    <w:rsid w:val="00AA16AA"/>
    <w:rsid w:val="00AA5B85"/>
    <w:rsid w:val="00AB155F"/>
    <w:rsid w:val="00AC3808"/>
    <w:rsid w:val="00AC7A64"/>
    <w:rsid w:val="00AC7D38"/>
    <w:rsid w:val="00AD2EF9"/>
    <w:rsid w:val="00AD35E6"/>
    <w:rsid w:val="00AD4B0C"/>
    <w:rsid w:val="00AD7BAF"/>
    <w:rsid w:val="00AE1AD1"/>
    <w:rsid w:val="00AE61F2"/>
    <w:rsid w:val="00AF0C46"/>
    <w:rsid w:val="00AF6898"/>
    <w:rsid w:val="00AF6D8F"/>
    <w:rsid w:val="00B00607"/>
    <w:rsid w:val="00B01FEA"/>
    <w:rsid w:val="00B03A46"/>
    <w:rsid w:val="00B058D1"/>
    <w:rsid w:val="00B06C4D"/>
    <w:rsid w:val="00B12A3B"/>
    <w:rsid w:val="00B131F5"/>
    <w:rsid w:val="00B20D9D"/>
    <w:rsid w:val="00B30061"/>
    <w:rsid w:val="00B32231"/>
    <w:rsid w:val="00B32555"/>
    <w:rsid w:val="00B327EA"/>
    <w:rsid w:val="00B4268A"/>
    <w:rsid w:val="00B44F42"/>
    <w:rsid w:val="00B51510"/>
    <w:rsid w:val="00B60798"/>
    <w:rsid w:val="00B67C59"/>
    <w:rsid w:val="00B773EE"/>
    <w:rsid w:val="00B928B2"/>
    <w:rsid w:val="00B964AA"/>
    <w:rsid w:val="00B97DA1"/>
    <w:rsid w:val="00B97E25"/>
    <w:rsid w:val="00BA1543"/>
    <w:rsid w:val="00BB228C"/>
    <w:rsid w:val="00BC0BBF"/>
    <w:rsid w:val="00BC376D"/>
    <w:rsid w:val="00BD0F64"/>
    <w:rsid w:val="00BD2901"/>
    <w:rsid w:val="00BD2F4A"/>
    <w:rsid w:val="00BD77AD"/>
    <w:rsid w:val="00BE49D9"/>
    <w:rsid w:val="00BE642B"/>
    <w:rsid w:val="00BF2446"/>
    <w:rsid w:val="00C046E9"/>
    <w:rsid w:val="00C05181"/>
    <w:rsid w:val="00C100CF"/>
    <w:rsid w:val="00C12AD1"/>
    <w:rsid w:val="00C15254"/>
    <w:rsid w:val="00C16CEA"/>
    <w:rsid w:val="00C240E5"/>
    <w:rsid w:val="00C34A04"/>
    <w:rsid w:val="00C46576"/>
    <w:rsid w:val="00C57605"/>
    <w:rsid w:val="00C57688"/>
    <w:rsid w:val="00C57C00"/>
    <w:rsid w:val="00C63B05"/>
    <w:rsid w:val="00C726DA"/>
    <w:rsid w:val="00C81789"/>
    <w:rsid w:val="00C847AA"/>
    <w:rsid w:val="00C84B58"/>
    <w:rsid w:val="00C9185E"/>
    <w:rsid w:val="00CA3B98"/>
    <w:rsid w:val="00CB3D77"/>
    <w:rsid w:val="00CD5946"/>
    <w:rsid w:val="00CD7F61"/>
    <w:rsid w:val="00CE3E49"/>
    <w:rsid w:val="00CF0AAB"/>
    <w:rsid w:val="00CF48FA"/>
    <w:rsid w:val="00D0388D"/>
    <w:rsid w:val="00D06168"/>
    <w:rsid w:val="00D1076F"/>
    <w:rsid w:val="00D11E9B"/>
    <w:rsid w:val="00D20897"/>
    <w:rsid w:val="00D219A8"/>
    <w:rsid w:val="00D2728B"/>
    <w:rsid w:val="00D33ED2"/>
    <w:rsid w:val="00D36D37"/>
    <w:rsid w:val="00D40840"/>
    <w:rsid w:val="00D441D0"/>
    <w:rsid w:val="00D516D7"/>
    <w:rsid w:val="00D534DE"/>
    <w:rsid w:val="00D54323"/>
    <w:rsid w:val="00D55314"/>
    <w:rsid w:val="00D56643"/>
    <w:rsid w:val="00D614B5"/>
    <w:rsid w:val="00D72390"/>
    <w:rsid w:val="00D757EC"/>
    <w:rsid w:val="00D76690"/>
    <w:rsid w:val="00D93D6D"/>
    <w:rsid w:val="00D95EAD"/>
    <w:rsid w:val="00DA0783"/>
    <w:rsid w:val="00DD32CE"/>
    <w:rsid w:val="00DD509A"/>
    <w:rsid w:val="00DD7B60"/>
    <w:rsid w:val="00DD7B9C"/>
    <w:rsid w:val="00DE3B51"/>
    <w:rsid w:val="00DF15B5"/>
    <w:rsid w:val="00DF2BB6"/>
    <w:rsid w:val="00DF3936"/>
    <w:rsid w:val="00DF5421"/>
    <w:rsid w:val="00DF5A51"/>
    <w:rsid w:val="00E117D6"/>
    <w:rsid w:val="00E253A6"/>
    <w:rsid w:val="00E25774"/>
    <w:rsid w:val="00E26210"/>
    <w:rsid w:val="00E26675"/>
    <w:rsid w:val="00E325C5"/>
    <w:rsid w:val="00E4227E"/>
    <w:rsid w:val="00E46EB1"/>
    <w:rsid w:val="00E5129E"/>
    <w:rsid w:val="00E5478C"/>
    <w:rsid w:val="00E61907"/>
    <w:rsid w:val="00E65281"/>
    <w:rsid w:val="00E70EF5"/>
    <w:rsid w:val="00E77D62"/>
    <w:rsid w:val="00E81416"/>
    <w:rsid w:val="00E84BFD"/>
    <w:rsid w:val="00EA2611"/>
    <w:rsid w:val="00EB1686"/>
    <w:rsid w:val="00EB2269"/>
    <w:rsid w:val="00EC4C96"/>
    <w:rsid w:val="00ED05A2"/>
    <w:rsid w:val="00ED5E99"/>
    <w:rsid w:val="00EF0846"/>
    <w:rsid w:val="00EF202B"/>
    <w:rsid w:val="00F00371"/>
    <w:rsid w:val="00F11A5C"/>
    <w:rsid w:val="00F12CB8"/>
    <w:rsid w:val="00F13F05"/>
    <w:rsid w:val="00F1656D"/>
    <w:rsid w:val="00F25059"/>
    <w:rsid w:val="00F32E6F"/>
    <w:rsid w:val="00F3494C"/>
    <w:rsid w:val="00F35D39"/>
    <w:rsid w:val="00F46841"/>
    <w:rsid w:val="00F4795E"/>
    <w:rsid w:val="00F5166D"/>
    <w:rsid w:val="00F5435C"/>
    <w:rsid w:val="00F5746D"/>
    <w:rsid w:val="00F6078B"/>
    <w:rsid w:val="00F664ED"/>
    <w:rsid w:val="00F7039F"/>
    <w:rsid w:val="00F70970"/>
    <w:rsid w:val="00F73AE6"/>
    <w:rsid w:val="00F81151"/>
    <w:rsid w:val="00F823BA"/>
    <w:rsid w:val="00F902FE"/>
    <w:rsid w:val="00F91798"/>
    <w:rsid w:val="00F96F03"/>
    <w:rsid w:val="00FA39BC"/>
    <w:rsid w:val="00FA3D3A"/>
    <w:rsid w:val="00FC1193"/>
    <w:rsid w:val="00FC1974"/>
    <w:rsid w:val="00FC443A"/>
    <w:rsid w:val="00FC6CC1"/>
    <w:rsid w:val="00FD0055"/>
    <w:rsid w:val="00FE309D"/>
    <w:rsid w:val="00FE5846"/>
    <w:rsid w:val="00FF042E"/>
    <w:rsid w:val="00FF12D8"/>
    <w:rsid w:val="00FF37E6"/>
    <w:rsid w:val="00FF5AAD"/>
    <w:rsid w:val="00FF6613"/>
    <w:rsid w:val="1C3D8767"/>
    <w:rsid w:val="7EB6A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544889"/>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uiPriority w:val="99"/>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544889"/>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unhideWhenUsed/>
    <w:rsid w:val="00B4268A"/>
    <w:rPr>
      <w:color w:val="605E5C"/>
      <w:shd w:val="clear" w:color="auto" w:fill="E1DFDD"/>
    </w:rPr>
  </w:style>
  <w:style w:type="character" w:styleId="CommentReference">
    <w:name w:val="annotation reference"/>
    <w:basedOn w:val="DefaultParagraphFont"/>
    <w:uiPriority w:val="99"/>
    <w:semiHidden/>
    <w:unhideWhenUsed/>
    <w:rsid w:val="00056E4C"/>
    <w:rPr>
      <w:sz w:val="16"/>
      <w:szCs w:val="16"/>
    </w:rPr>
  </w:style>
  <w:style w:type="paragraph" w:styleId="CommentText">
    <w:name w:val="annotation text"/>
    <w:basedOn w:val="Normal"/>
    <w:link w:val="CommentTextChar"/>
    <w:uiPriority w:val="99"/>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uiPriority w:val="99"/>
    <w:semiHidden/>
    <w:unhideWhenUsed/>
    <w:rsid w:val="00056E4C"/>
    <w:rPr>
      <w:b/>
      <w:bCs/>
    </w:rPr>
  </w:style>
  <w:style w:type="character" w:customStyle="1" w:styleId="CommentSubjectChar">
    <w:name w:val="Comment Subject Char"/>
    <w:basedOn w:val="CommentTextChar"/>
    <w:link w:val="CommentSubject"/>
    <w:uiPriority w:val="99"/>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iPriority w:val="99"/>
    <w:semiHidden/>
    <w:unhideWhenUsed/>
    <w:rsid w:val="001069A1"/>
    <w:rPr>
      <w:color w:val="800080" w:themeColor="followedHyperlink"/>
      <w:u w:val="single"/>
    </w:rPr>
  </w:style>
  <w:style w:type="paragraph" w:styleId="TOC1">
    <w:name w:val="toc 1"/>
    <w:basedOn w:val="Normal"/>
    <w:next w:val="Normal"/>
    <w:autoRedefine/>
    <w:uiPriority w:val="39"/>
    <w:unhideWhenUsed/>
    <w:rsid w:val="00E65281"/>
    <w:pPr>
      <w:spacing w:after="100"/>
    </w:pPr>
  </w:style>
  <w:style w:type="paragraph" w:styleId="TOC2">
    <w:name w:val="toc 2"/>
    <w:basedOn w:val="Normal"/>
    <w:next w:val="Normal"/>
    <w:autoRedefine/>
    <w:uiPriority w:val="39"/>
    <w:unhideWhenUsed/>
    <w:rsid w:val="00E65281"/>
    <w:pPr>
      <w:spacing w:after="100"/>
      <w:ind w:left="220"/>
    </w:pPr>
  </w:style>
  <w:style w:type="table" w:styleId="TableGrid">
    <w:name w:val="Table Grid"/>
    <w:basedOn w:val="TableNormal"/>
    <w:uiPriority w:val="59"/>
    <w:rsid w:val="00E65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5281"/>
    <w:pPr>
      <w:spacing w:after="150"/>
    </w:pPr>
    <w:rPr>
      <w:sz w:val="24"/>
      <w:szCs w:val="24"/>
    </w:rPr>
  </w:style>
  <w:style w:type="character" w:customStyle="1" w:styleId="UnresolvedMention1">
    <w:name w:val="Unresolved Mention1"/>
    <w:basedOn w:val="DefaultParagraphFont"/>
    <w:uiPriority w:val="99"/>
    <w:semiHidden/>
    <w:unhideWhenUsed/>
    <w:rsid w:val="00E65281"/>
    <w:rPr>
      <w:color w:val="605E5C"/>
      <w:shd w:val="clear" w:color="auto" w:fill="E1DFDD"/>
    </w:rPr>
  </w:style>
  <w:style w:type="character" w:customStyle="1" w:styleId="highlight">
    <w:name w:val="highlight"/>
    <w:basedOn w:val="DefaultParagraphFont"/>
    <w:rsid w:val="00E65281"/>
  </w:style>
  <w:style w:type="character" w:customStyle="1" w:styleId="UnresolvedMention2">
    <w:name w:val="Unresolved Mention2"/>
    <w:basedOn w:val="DefaultParagraphFont"/>
    <w:uiPriority w:val="99"/>
    <w:semiHidden/>
    <w:unhideWhenUsed/>
    <w:rsid w:val="00E65281"/>
    <w:rPr>
      <w:color w:val="605E5C"/>
      <w:shd w:val="clear" w:color="auto" w:fill="E1DFDD"/>
    </w:rPr>
  </w:style>
  <w:style w:type="character" w:styleId="Mention">
    <w:name w:val="Mention"/>
    <w:basedOn w:val="DefaultParagraphFont"/>
    <w:uiPriority w:val="99"/>
    <w:unhideWhenUsed/>
    <w:rsid w:val="00E65281"/>
    <w:rPr>
      <w:color w:val="2B579A"/>
      <w:shd w:val="clear" w:color="auto" w:fill="E1DFDD"/>
    </w:rPr>
  </w:style>
  <w:style w:type="character" w:customStyle="1" w:styleId="UnresolvedMention3">
    <w:name w:val="Unresolved Mention3"/>
    <w:basedOn w:val="DefaultParagraphFont"/>
    <w:uiPriority w:val="99"/>
    <w:semiHidden/>
    <w:unhideWhenUsed/>
    <w:rsid w:val="00E65281"/>
    <w:rPr>
      <w:color w:val="605E5C"/>
      <w:shd w:val="clear" w:color="auto" w:fill="E1DFDD"/>
    </w:rPr>
  </w:style>
  <w:style w:type="paragraph" w:styleId="TOC3">
    <w:name w:val="toc 3"/>
    <w:basedOn w:val="Normal"/>
    <w:next w:val="Normal"/>
    <w:autoRedefine/>
    <w:uiPriority w:val="39"/>
    <w:unhideWhenUsed/>
    <w:rsid w:val="00E65281"/>
    <w:pPr>
      <w:widowControl w:val="0"/>
      <w:spacing w:after="100" w:line="276" w:lineRule="auto"/>
      <w:ind w:left="440"/>
    </w:pPr>
    <w:rPr>
      <w:rFonts w:ascii="Calibri" w:hAnsi="Calibri"/>
    </w:rPr>
  </w:style>
  <w:style w:type="paragraph" w:styleId="TOC4">
    <w:name w:val="toc 4"/>
    <w:basedOn w:val="Normal"/>
    <w:next w:val="Normal"/>
    <w:autoRedefine/>
    <w:uiPriority w:val="39"/>
    <w:unhideWhenUsed/>
    <w:rsid w:val="00E65281"/>
    <w:pPr>
      <w:widowControl w:val="0"/>
      <w:spacing w:after="100" w:line="276" w:lineRule="auto"/>
      <w:ind w:left="660"/>
    </w:pPr>
    <w:rPr>
      <w:rFonts w:ascii="Calibri" w:hAnsi="Calibri"/>
    </w:rPr>
  </w:style>
  <w:style w:type="paragraph" w:styleId="TOC5">
    <w:name w:val="toc 5"/>
    <w:basedOn w:val="Normal"/>
    <w:next w:val="Normal"/>
    <w:autoRedefine/>
    <w:uiPriority w:val="39"/>
    <w:unhideWhenUsed/>
    <w:rsid w:val="00E65281"/>
    <w:pPr>
      <w:widowControl w:val="0"/>
      <w:spacing w:after="100" w:line="276" w:lineRule="auto"/>
      <w:ind w:left="880"/>
    </w:pPr>
    <w:rPr>
      <w:rFonts w:ascii="Calibri" w:hAnsi="Calibri"/>
    </w:rPr>
  </w:style>
  <w:style w:type="paragraph" w:styleId="TOC6">
    <w:name w:val="toc 6"/>
    <w:basedOn w:val="Normal"/>
    <w:next w:val="Normal"/>
    <w:autoRedefine/>
    <w:uiPriority w:val="39"/>
    <w:unhideWhenUsed/>
    <w:rsid w:val="00E65281"/>
    <w:pPr>
      <w:widowControl w:val="0"/>
      <w:spacing w:after="100" w:line="276" w:lineRule="auto"/>
      <w:ind w:left="1100"/>
    </w:pPr>
    <w:rPr>
      <w:rFonts w:ascii="Calibri" w:hAnsi="Calibri"/>
    </w:rPr>
  </w:style>
  <w:style w:type="paragraph" w:styleId="TOC7">
    <w:name w:val="toc 7"/>
    <w:basedOn w:val="Normal"/>
    <w:next w:val="Normal"/>
    <w:autoRedefine/>
    <w:uiPriority w:val="39"/>
    <w:unhideWhenUsed/>
    <w:rsid w:val="00E65281"/>
    <w:pPr>
      <w:widowControl w:val="0"/>
      <w:spacing w:after="100" w:line="276" w:lineRule="auto"/>
      <w:ind w:left="1320"/>
    </w:pPr>
    <w:rPr>
      <w:rFonts w:ascii="Calibri" w:hAnsi="Calibri"/>
    </w:rPr>
  </w:style>
  <w:style w:type="paragraph" w:styleId="TOC8">
    <w:name w:val="toc 8"/>
    <w:basedOn w:val="Normal"/>
    <w:next w:val="Normal"/>
    <w:autoRedefine/>
    <w:uiPriority w:val="39"/>
    <w:unhideWhenUsed/>
    <w:rsid w:val="00E65281"/>
    <w:pPr>
      <w:widowControl w:val="0"/>
      <w:spacing w:after="100" w:line="276" w:lineRule="auto"/>
      <w:ind w:left="1540"/>
    </w:pPr>
    <w:rPr>
      <w:rFonts w:ascii="Calibri" w:hAnsi="Calibri"/>
    </w:rPr>
  </w:style>
  <w:style w:type="paragraph" w:styleId="TOC9">
    <w:name w:val="toc 9"/>
    <w:basedOn w:val="Normal"/>
    <w:next w:val="Normal"/>
    <w:autoRedefine/>
    <w:uiPriority w:val="39"/>
    <w:unhideWhenUsed/>
    <w:rsid w:val="00E65281"/>
    <w:pPr>
      <w:widowControl w:val="0"/>
      <w:spacing w:after="100" w:line="276" w:lineRule="auto"/>
      <w:ind w:left="1760"/>
    </w:pPr>
    <w:rPr>
      <w:rFonts w:ascii="Calibri" w:hAnsi="Calibri"/>
    </w:rPr>
  </w:style>
  <w:style w:type="paragraph" w:customStyle="1" w:styleId="ban">
    <w:name w:val="ban"/>
    <w:rsid w:val="00AE1AD1"/>
    <w:pPr>
      <w:tabs>
        <w:tab w:val="left" w:pos="1320"/>
        <w:tab w:val="left" w:pos="1698"/>
        <w:tab w:val="left" w:pos="2076"/>
        <w:tab w:val="left" w:pos="2454"/>
      </w:tabs>
      <w:suppressAutoHyphens/>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mailto:provider@masshealthquestions.com" TargetMode="External"/><Relationship Id="rId42" Type="http://schemas.openxmlformats.org/officeDocument/2006/relationships/hyperlink" Target="https://www.cdc.gov/growthcharts/who_charts.htm" TargetMode="External"/><Relationship Id="rId47" Type="http://schemas.openxmlformats.org/officeDocument/2006/relationships/hyperlink" Target="http://www.masshelpline.com" TargetMode="External"/><Relationship Id="rId63" Type="http://schemas.openxmlformats.org/officeDocument/2006/relationships/hyperlink" Target="https://helplinema.org/" TargetMode="External"/><Relationship Id="rId68" Type="http://schemas.openxmlformats.org/officeDocument/2006/relationships/hyperlink" Target="https://malegislature.gov/Laws/GeneralLaws/PartI/TitleXVI/Chapter111/Section191" TargetMode="External"/><Relationship Id="rId84" Type="http://schemas.openxmlformats.org/officeDocument/2006/relationships/header" Target="header6.xml"/><Relationship Id="rId16" Type="http://schemas.openxmlformats.org/officeDocument/2006/relationships/footer" Target="footer1.xml"/><Relationship Id="rId11" Type="http://schemas.openxmlformats.org/officeDocument/2006/relationships/image" Target="media/image1.jpeg"/><Relationship Id="rId32" Type="http://schemas.openxmlformats.org/officeDocument/2006/relationships/footer" Target="footer3.xml"/><Relationship Id="rId37" Type="http://schemas.openxmlformats.org/officeDocument/2006/relationships/hyperlink" Target="https://www.mhqp.org/resources/clinical-guidelines/pediatric-preventive-care-guidelines/" TargetMode="External"/><Relationship Id="rId53" Type="http://schemas.openxmlformats.org/officeDocument/2006/relationships/hyperlink" Target="https://doi.org/10.1542/peds.2019-3449" TargetMode="External"/><Relationship Id="rId58" Type="http://schemas.openxmlformats.org/officeDocument/2006/relationships/customXml" Target="ink/ink1.xml"/><Relationship Id="rId74" Type="http://schemas.openxmlformats.org/officeDocument/2006/relationships/hyperlink" Target="https://www.mass.gov/doc/epsdt-medical-periodicity-schedule-matrix2024-11-21-0/download" TargetMode="External"/><Relationship Id="rId79" Type="http://schemas.openxmlformats.org/officeDocument/2006/relationships/hyperlink" Target="http://www.fda.gov/radiation-emitting-products/medical-x-ray-imaging/selection-patients-dental-radiographic-examinations" TargetMode="External"/><Relationship Id="rId5" Type="http://schemas.openxmlformats.org/officeDocument/2006/relationships/numbering" Target="numbering.xml"/><Relationship Id="rId19" Type="http://schemas.openxmlformats.org/officeDocument/2006/relationships/hyperlink" Target="http://www.mass.gov/masshealth-transmittal-letters" TargetMode="External"/><Relationship Id="rId14" Type="http://schemas.openxmlformats.org/officeDocument/2006/relationships/hyperlink" Target="https://www.mass.gov/orgs/masshealth" TargetMode="External"/><Relationship Id="rId22" Type="http://schemas.openxmlformats.org/officeDocument/2006/relationships/image" Target="media/image2.png"/><Relationship Id="rId27" Type="http://schemas.openxmlformats.org/officeDocument/2006/relationships/hyperlink" Target="https://www.twitter.com/MassHealth" TargetMode="External"/><Relationship Id="rId30" Type="http://schemas.openxmlformats.org/officeDocument/2006/relationships/header" Target="header2.xml"/><Relationship Id="rId35" Type="http://schemas.openxmlformats.org/officeDocument/2006/relationships/hyperlink" Target="https://www.aap.org/en/practice-management/bright-futures/bright-futures-materials-and-tools/bright-futures-guidelines-and-pocket-guide/" TargetMode="External"/><Relationship Id="rId43" Type="http://schemas.openxmlformats.org/officeDocument/2006/relationships/hyperlink" Target="https://www.mass.gov/doc/preschool-age-vision-screening-protocol/download" TargetMode="External"/><Relationship Id="rId48" Type="http://schemas.openxmlformats.org/officeDocument/2006/relationships/hyperlink" Target="https://www.mass.gov/community-behavioral-health-centers" TargetMode="External"/><Relationship Id="rId56" Type="http://schemas.openxmlformats.org/officeDocument/2006/relationships/hyperlink" Target="https://pediatrics.aappublications.org/content/145/1/e20193449" TargetMode="External"/><Relationship Id="rId64" Type="http://schemas.openxmlformats.org/officeDocument/2006/relationships/hyperlink" Target="https://nensp.umassmed.edu/" TargetMode="External"/><Relationship Id="rId69" Type="http://schemas.openxmlformats.org/officeDocument/2006/relationships/hyperlink" Target="http://www.uspreventiveservicestaskforce.org/uspstf/recommendation/cervical-cancer-screening" TargetMode="External"/><Relationship Id="rId77" Type="http://schemas.openxmlformats.org/officeDocument/2006/relationships/hyperlink" Target="https://www.aapd.org/" TargetMode="External"/><Relationship Id="rId8" Type="http://schemas.openxmlformats.org/officeDocument/2006/relationships/webSettings" Target="webSettings.xml"/><Relationship Id="rId51" Type="http://schemas.openxmlformats.org/officeDocument/2006/relationships/hyperlink" Target="https://publications.aap.org/toolkits/resources/15625" TargetMode="External"/><Relationship Id="rId72" Type="http://schemas.openxmlformats.org/officeDocument/2006/relationships/hyperlink" Target="https://www.mass.gov/snap-benefits-formerly-food-stamps" TargetMode="External"/><Relationship Id="rId80" Type="http://schemas.openxmlformats.org/officeDocument/2006/relationships/hyperlink" Target="https://publications.aap.org/pediatrics/article/146/6/e2020034637/33536/Fluoride-Use-in-Caries-Prevention-in-the-Primary"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footer" Target="footer2.xml"/><Relationship Id="rId25" Type="http://schemas.openxmlformats.org/officeDocument/2006/relationships/hyperlink" Target="https://www.linkedin.com/company/masshealth" TargetMode="External"/><Relationship Id="rId33" Type="http://schemas.openxmlformats.org/officeDocument/2006/relationships/hyperlink" Target="https://www.mass.gov/regulations/130-CMR-450000-administrative-and-billing-regulations" TargetMode="External"/><Relationship Id="rId38" Type="http://schemas.openxmlformats.org/officeDocument/2006/relationships/hyperlink" Target="https://www.cdc.gov/growthcharts/index.htm" TargetMode="External"/><Relationship Id="rId46" Type="http://schemas.openxmlformats.org/officeDocument/2006/relationships/hyperlink" Target="http://www.mcpapformoms.org" TargetMode="External"/><Relationship Id="rId59" Type="http://schemas.openxmlformats.org/officeDocument/2006/relationships/image" Target="media/image7.png"/><Relationship Id="rId67" Type="http://schemas.openxmlformats.org/officeDocument/2006/relationships/hyperlink" Target="http://www.mass.gov/dph/clppp" TargetMode="External"/><Relationship Id="rId20" Type="http://schemas.openxmlformats.org/officeDocument/2006/relationships/hyperlink" Target="https://www.mass.gov/forms/email-notifications-for-masshealth-provider-bulletins-and-transmittal-letters" TargetMode="External"/><Relationship Id="rId41" Type="http://schemas.openxmlformats.org/officeDocument/2006/relationships/hyperlink" Target="https://www.cdc.gov/growthcharts/cdc_charts.htm" TargetMode="External"/><Relationship Id="rId54" Type="http://schemas.openxmlformats.org/officeDocument/2006/relationships/hyperlink" Target="https://pediatrics.aappublications.org/content/145/1/e20193449" TargetMode="External"/><Relationship Id="rId62" Type="http://schemas.openxmlformats.org/officeDocument/2006/relationships/hyperlink" Target="http://www.mcpap.org" TargetMode="External"/><Relationship Id="rId70" Type="http://schemas.openxmlformats.org/officeDocument/2006/relationships/hyperlink" Target="http://www.mass.gov/forms/apply-for-wic-online" TargetMode="External"/><Relationship Id="rId75" Type="http://schemas.openxmlformats.org/officeDocument/2006/relationships/header" Target="header4.xml"/><Relationship Id="rId83"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facebook.com/MassHealth1/" TargetMode="External"/><Relationship Id="rId28" Type="http://schemas.openxmlformats.org/officeDocument/2006/relationships/image" Target="media/image5.png"/><Relationship Id="rId36" Type="http://schemas.openxmlformats.org/officeDocument/2006/relationships/hyperlink" Target="https://www.aap.org/en/practice-management/care-delivery-approaches/periodicity-schedule/" TargetMode="External"/><Relationship Id="rId49" Type="http://schemas.openxmlformats.org/officeDocument/2006/relationships/hyperlink" Target="https://mchb.hrsa.gov/national-maternal-mental-health-hotline" TargetMode="External"/><Relationship Id="rId57" Type="http://schemas.openxmlformats.org/officeDocument/2006/relationships/hyperlink" Target="https://publications.aap.org/toolkits/resources/15625" TargetMode="External"/><Relationship Id="rId10" Type="http://schemas.openxmlformats.org/officeDocument/2006/relationships/endnotes" Target="endnotes.xml"/><Relationship Id="rId31" Type="http://schemas.openxmlformats.org/officeDocument/2006/relationships/header" Target="header3.xml"/><Relationship Id="rId44" Type="http://schemas.openxmlformats.org/officeDocument/2006/relationships/hyperlink" Target="https://publications.aap.org/toolkits/resources/15625" TargetMode="External"/><Relationship Id="rId52" Type="http://schemas.openxmlformats.org/officeDocument/2006/relationships/hyperlink" Target="https://doi.org/10.1542/peds.2019-3449" TargetMode="External"/><Relationship Id="rId60" Type="http://schemas.openxmlformats.org/officeDocument/2006/relationships/hyperlink" Target="https://www.mcpap.com" TargetMode="External"/><Relationship Id="rId65" Type="http://schemas.openxmlformats.org/officeDocument/2006/relationships/hyperlink" Target="http://www.mass.gov/doc/lead-fact-sheet-for-providers-111417-0/download" TargetMode="External"/><Relationship Id="rId73" Type="http://schemas.openxmlformats.org/officeDocument/2006/relationships/customXml" Target="ink/ink2.xml"/><Relationship Id="rId78" Type="http://schemas.openxmlformats.org/officeDocument/2006/relationships/hyperlink" Target="https://www.mass.gov/regulations/130-CMR-450000-administrative-and-billing-regulations" TargetMode="External"/><Relationship Id="rId81" Type="http://schemas.openxmlformats.org/officeDocument/2006/relationships/hyperlink" Target="https://www.mass.gov/info-details/community-water-fluoridation-status"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mass.gov/lists/all-provider-bulletins" TargetMode="External"/><Relationship Id="rId39" Type="http://schemas.openxmlformats.org/officeDocument/2006/relationships/hyperlink" Target="https://www.cdc.gov/growthcharts/index.htm" TargetMode="External"/><Relationship Id="rId34" Type="http://schemas.openxmlformats.org/officeDocument/2006/relationships/hyperlink" Target="https://www.cdc.gov/growthcharts/cdc_charts.htm" TargetMode="External"/><Relationship Id="rId50" Type="http://schemas.openxmlformats.org/officeDocument/2006/relationships/hyperlink" Target="https://psichapters.com/ma/" TargetMode="External"/><Relationship Id="rId55" Type="http://schemas.openxmlformats.org/officeDocument/2006/relationships/hyperlink" Target="https://pediatrics.aappublications.org/content/145/1/e20193449" TargetMode="External"/><Relationship Id="rId76"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hyperlink" Target="https://www.mass.gov/info-details/wic-medical-referral-forms" TargetMode="External"/><Relationship Id="rId2" Type="http://schemas.openxmlformats.org/officeDocument/2006/relationships/customXml" Target="../customXml/item2.xml"/><Relationship Id="rId29" Type="http://schemas.openxmlformats.org/officeDocument/2006/relationships/hyperlink" Target="https://www.youtube.com/channel/UC1QQ61nTN7LNKkhjrjnYOUg" TargetMode="External"/><Relationship Id="rId24" Type="http://schemas.openxmlformats.org/officeDocument/2006/relationships/image" Target="media/image3.png"/><Relationship Id="rId40" Type="http://schemas.openxmlformats.org/officeDocument/2006/relationships/hyperlink" Target="https://www.cdc.gov/growthcharts/index.htm" TargetMode="External"/><Relationship Id="rId45" Type="http://schemas.openxmlformats.org/officeDocument/2006/relationships/hyperlink" Target="https://www.mcpap.com" TargetMode="External"/><Relationship Id="rId66" Type="http://schemas.openxmlformats.org/officeDocument/2006/relationships/hyperlink" Target="http://www.mass.gov/lists/view-annual-screening-and-blood-lead-level-reports-and-high-risk-community-list" TargetMode="External"/><Relationship Id="rId61" Type="http://schemas.openxmlformats.org/officeDocument/2006/relationships/hyperlink" Target="http://www.mcpap.com" TargetMode="External"/><Relationship Id="rId82" Type="http://schemas.openxmlformats.org/officeDocument/2006/relationships/header" Target="header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5T15:29:17.391"/>
    </inkml:context>
    <inkml:brush xml:id="br0">
      <inkml:brushProperty name="width" value="0.025" units="cm"/>
      <inkml:brushProperty name="height" value="0.025" units="cm"/>
      <inkml:brushProperty name="color" value="#E71224"/>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5T15:28:44.221"/>
    </inkml:context>
    <inkml:brush xml:id="br0">
      <inkml:brushProperty name="width" value="0.025" units="cm"/>
      <inkml:brushProperty name="height" value="0.025" units="cm"/>
      <inkml:brushProperty name="color" value="#E71224"/>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90e0b01e85307a51a29e1250bdf93fe3">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b246813315565e077419f25e17ca87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c426d3-5e00-4a72-864b-bd42d36afe8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2.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3.xml><?xml version="1.0" encoding="utf-8"?>
<ds:datastoreItem xmlns:ds="http://schemas.openxmlformats.org/officeDocument/2006/customXml" ds:itemID="{FB27EF4F-D3F0-4974-9453-EDBDA206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9609A-F2FE-4E42-A38A-6C641956FE6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45</TotalTime>
  <Pages>20</Pages>
  <Words>7949</Words>
  <Characters>42215</Characters>
  <Application>Microsoft Office Word</Application>
  <DocSecurity>0</DocSecurity>
  <Lines>703</Lines>
  <Paragraphs>506</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49658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Schooling, Kathryn H (EHS)</cp:lastModifiedBy>
  <cp:revision>10</cp:revision>
  <cp:lastPrinted>2024-11-21T20:28:00Z</cp:lastPrinted>
  <dcterms:created xsi:type="dcterms:W3CDTF">2024-11-21T16:11:00Z</dcterms:created>
  <dcterms:modified xsi:type="dcterms:W3CDTF">2024-11-21T20:31:00Z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y fmtid="{D5CDD505-2E9C-101B-9397-08002B2CF9AE}" pid="3" name="MediaServiceImageTags">
    <vt:lpwstr/>
  </property>
</Properties>
</file>