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3704828E" wp14:editId="4311538F">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B638D7"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 xml:space="preserve">All Provider </w:t>
      </w:r>
      <w:proofErr w:type="gramStart"/>
      <w:r w:rsidR="00D65B5E" w:rsidRPr="00C66371">
        <w:rPr>
          <w:rFonts w:ascii="Georgia" w:hAnsi="Georgia" w:cs="Arial"/>
          <w:b/>
          <w:color w:val="1F497D"/>
          <w:sz w:val="24"/>
          <w:szCs w:val="24"/>
        </w:rPr>
        <w:t>Bulletin</w:t>
      </w:r>
      <w:proofErr w:type="gramEnd"/>
      <w:r w:rsidR="00296F0D">
        <w:rPr>
          <w:rFonts w:ascii="Georgia" w:hAnsi="Georgia" w:cs="Arial"/>
          <w:b/>
          <w:color w:val="1F497D"/>
          <w:sz w:val="24"/>
          <w:szCs w:val="24"/>
        </w:rPr>
        <w:t xml:space="preserve"> 273</w:t>
      </w:r>
      <w:r w:rsidR="00D65B5E" w:rsidRPr="00C66371">
        <w:rPr>
          <w:rFonts w:ascii="Georgia" w:hAnsi="Georgia" w:cs="Arial"/>
          <w:b/>
          <w:color w:val="1F497D"/>
          <w:sz w:val="24"/>
          <w:szCs w:val="24"/>
        </w:rPr>
        <w:t xml:space="preserve"> </w:t>
      </w:r>
    </w:p>
    <w:p w:rsidR="00D65B5E" w:rsidRPr="001B792F" w:rsidRDefault="00E86674" w:rsidP="004A642D">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Novem</w:t>
      </w:r>
      <w:r w:rsidR="00B638D7">
        <w:rPr>
          <w:rFonts w:ascii="Georgia" w:hAnsi="Georgia" w:cs="Arial"/>
          <w:b/>
          <w:color w:val="244061" w:themeColor="accent1" w:themeShade="80"/>
          <w:sz w:val="24"/>
          <w:szCs w:val="24"/>
        </w:rPr>
        <w:t>ber 2017</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10"/>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5D1E2A" w:rsidP="0008203E">
      <w:pPr>
        <w:tabs>
          <w:tab w:val="right" w:pos="720"/>
          <w:tab w:val="left" w:pos="1152"/>
          <w:tab w:val="left" w:pos="5184"/>
        </w:tabs>
        <w:suppressAutoHyphens/>
        <w:ind w:left="1742" w:right="576" w:hanging="1166"/>
        <w:rPr>
          <w:rFonts w:ascii="Georgia" w:hAnsi="Georgia" w:cs="Arial"/>
          <w:sz w:val="22"/>
          <w:szCs w:val="22"/>
        </w:rPr>
      </w:pPr>
      <w:r>
        <w:rPr>
          <w:rFonts w:ascii="Georgia" w:hAnsi="Georgia"/>
          <w:b/>
          <w:noProof/>
          <w:color w:val="1F487C"/>
        </w:rPr>
        <w:lastRenderedPageBreak/>
        <w:drawing>
          <wp:anchor distT="0" distB="0" distL="114300" distR="114300" simplePos="0" relativeHeight="251659776" behindDoc="0" locked="0" layoutInCell="1" allowOverlap="1" wp14:anchorId="1D4E560E" wp14:editId="61480CE2">
            <wp:simplePos x="0" y="0"/>
            <wp:positionH relativeFrom="column">
              <wp:posOffset>4212203</wp:posOffset>
            </wp:positionH>
            <wp:positionV relativeFrom="paragraph">
              <wp:posOffset>56487</wp:posOffset>
            </wp:positionV>
            <wp:extent cx="914400" cy="532204"/>
            <wp:effectExtent l="0" t="0" r="0" b="1270"/>
            <wp:wrapNone/>
            <wp:docPr id="4" name="Picture 4" descr="W:\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EEDED SIGS\Tsai, Danie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272"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D65B5E" w:rsidRPr="001B792F">
        <w:rPr>
          <w:rFonts w:ascii="Georgia" w:hAnsi="Georgia" w:cs="Arial"/>
          <w:b/>
          <w:sz w:val="22"/>
          <w:szCs w:val="22"/>
        </w:rPr>
        <w:t>TO:</w:t>
      </w:r>
      <w:r w:rsidR="00D65B5E" w:rsidRPr="001B792F">
        <w:rPr>
          <w:rFonts w:ascii="Georgia" w:hAnsi="Georgia" w:cs="Arial"/>
          <w:b/>
          <w:sz w:val="22"/>
          <w:szCs w:val="22"/>
        </w:rPr>
        <w:tab/>
      </w:r>
      <w:r w:rsidR="0069586B">
        <w:rPr>
          <w:rFonts w:ascii="Georgia" w:hAnsi="Georgia" w:cs="Arial"/>
          <w:b/>
          <w:sz w:val="22"/>
          <w:szCs w:val="22"/>
        </w:rPr>
        <w:tab/>
      </w:r>
      <w:r w:rsidR="00B638D7">
        <w:rPr>
          <w:rFonts w:ascii="Georgia" w:hAnsi="Georgia" w:cs="Arial"/>
          <w:sz w:val="22"/>
          <w:szCs w:val="22"/>
        </w:rPr>
        <w:t>All Providers</w:t>
      </w:r>
      <w:r w:rsidR="00C071EE">
        <w:rPr>
          <w:rFonts w:ascii="Georgia" w:hAnsi="Georgia" w:cs="Arial"/>
          <w:sz w:val="22"/>
          <w:szCs w:val="22"/>
        </w:rPr>
        <w:t xml:space="preserve"> </w:t>
      </w:r>
      <w:r w:rsidR="00D65B5E"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5D1E2A">
        <w:rPr>
          <w:rFonts w:ascii="Georgia" w:hAnsi="Georgia" w:cs="Arial"/>
          <w:sz w:val="22"/>
          <w:szCs w:val="22"/>
        </w:rPr>
        <w:t xml:space="preserve"> </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3B414F" w:rsidRDefault="0069586B" w:rsidP="00F7118D">
      <w:pPr>
        <w:tabs>
          <w:tab w:val="right" w:pos="720"/>
          <w:tab w:val="left" w:pos="1152"/>
          <w:tab w:val="left" w:pos="5184"/>
        </w:tabs>
        <w:suppressAutoHyphens/>
        <w:ind w:left="1742" w:right="576" w:hanging="1166"/>
        <w:rPr>
          <w:rFonts w:ascii="Georgia" w:hAnsi="Georgia" w:cs="Arial"/>
          <w:color w:val="FF0000"/>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B638D7" w:rsidRPr="00B638D7">
        <w:rPr>
          <w:rFonts w:ascii="Georgia" w:hAnsi="Georgia" w:cs="Arial"/>
          <w:b/>
          <w:sz w:val="22"/>
          <w:szCs w:val="22"/>
        </w:rPr>
        <w:t>MassHealth Coordination of Benefits (COB) Billing Best Practices and New Claim Error Codes</w:t>
      </w:r>
    </w:p>
    <w:p w:rsidR="00DC292A" w:rsidRPr="0072686B" w:rsidRDefault="00DC292A" w:rsidP="00C163D2">
      <w:pPr>
        <w:tabs>
          <w:tab w:val="left" w:pos="2029"/>
        </w:tabs>
        <w:ind w:right="720"/>
        <w:rPr>
          <w:rFonts w:ascii="Georgia" w:hAnsi="Georgia" w:cs="Arial"/>
          <w:b/>
          <w:i/>
          <w:sz w:val="16"/>
          <w:szCs w:val="16"/>
        </w:rPr>
      </w:pPr>
    </w:p>
    <w:p w:rsidR="001B792F" w:rsidRPr="00C66371" w:rsidRDefault="00B638D7" w:rsidP="00287894">
      <w:pPr>
        <w:ind w:left="3456" w:right="576" w:hanging="2880"/>
        <w:rPr>
          <w:rFonts w:ascii="Georgia" w:hAnsi="Georgia" w:cs="Arial"/>
          <w:color w:val="1F497D"/>
          <w:sz w:val="24"/>
          <w:szCs w:val="24"/>
        </w:rPr>
      </w:pPr>
      <w:r>
        <w:rPr>
          <w:rFonts w:ascii="Georgia" w:hAnsi="Georgia" w:cs="Arial"/>
          <w:b/>
          <w:color w:val="1F497D"/>
          <w:sz w:val="24"/>
          <w:szCs w:val="24"/>
        </w:rPr>
        <w:t>Background</w:t>
      </w:r>
    </w:p>
    <w:p w:rsidR="001B792F" w:rsidRDefault="001B792F" w:rsidP="0008203E">
      <w:pPr>
        <w:ind w:left="720" w:right="720" w:hanging="2880"/>
        <w:rPr>
          <w:rFonts w:ascii="Georgia" w:hAnsi="Georgia" w:cs="Arial"/>
          <w:sz w:val="22"/>
          <w:szCs w:val="22"/>
        </w:rPr>
      </w:pPr>
    </w:p>
    <w:p w:rsidR="00B638D7" w:rsidRPr="00B638D7" w:rsidRDefault="00B638D7" w:rsidP="00B638D7">
      <w:pPr>
        <w:ind w:left="576" w:right="576"/>
        <w:rPr>
          <w:rFonts w:ascii="Georgia" w:hAnsi="Georgia" w:cs="Arial"/>
          <w:sz w:val="22"/>
          <w:szCs w:val="22"/>
        </w:rPr>
      </w:pPr>
      <w:r w:rsidRPr="00B638D7">
        <w:rPr>
          <w:rFonts w:ascii="Georgia" w:hAnsi="Georgia" w:cs="Arial"/>
          <w:sz w:val="22"/>
          <w:szCs w:val="22"/>
        </w:rPr>
        <w:t>The purpose of this bulletin is to remind providers</w:t>
      </w:r>
      <w:r w:rsidR="008344E2">
        <w:rPr>
          <w:rFonts w:ascii="Georgia" w:hAnsi="Georgia" w:cs="Arial"/>
          <w:sz w:val="22"/>
          <w:szCs w:val="22"/>
        </w:rPr>
        <w:t xml:space="preserve"> that you must</w:t>
      </w:r>
      <w:r w:rsidRPr="00B638D7">
        <w:rPr>
          <w:rFonts w:ascii="Georgia" w:hAnsi="Georgia" w:cs="Arial"/>
          <w:sz w:val="22"/>
          <w:szCs w:val="22"/>
        </w:rPr>
        <w:t xml:space="preserve"> apply </w:t>
      </w:r>
      <w:r w:rsidR="00983657">
        <w:rPr>
          <w:rFonts w:ascii="Georgia" w:hAnsi="Georgia" w:cs="Arial"/>
          <w:sz w:val="22"/>
          <w:szCs w:val="22"/>
        </w:rPr>
        <w:t>the “</w:t>
      </w:r>
      <w:r w:rsidRPr="00C3171C">
        <w:rPr>
          <w:rFonts w:ascii="Georgia" w:hAnsi="Georgia" w:cs="Arial"/>
          <w:sz w:val="22"/>
          <w:szCs w:val="22"/>
        </w:rPr>
        <w:t>best practices</w:t>
      </w:r>
      <w:r w:rsidR="00983657">
        <w:rPr>
          <w:rFonts w:ascii="Georgia" w:hAnsi="Georgia" w:cs="Arial"/>
          <w:sz w:val="22"/>
          <w:szCs w:val="22"/>
        </w:rPr>
        <w:t>”</w:t>
      </w:r>
      <w:r w:rsidRPr="00B638D7">
        <w:rPr>
          <w:rFonts w:ascii="Georgia" w:hAnsi="Georgia" w:cs="Arial"/>
          <w:sz w:val="22"/>
          <w:szCs w:val="22"/>
        </w:rPr>
        <w:t xml:space="preserve"> </w:t>
      </w:r>
      <w:r w:rsidR="00983657">
        <w:rPr>
          <w:rFonts w:ascii="Georgia" w:hAnsi="Georgia" w:cs="Arial"/>
          <w:sz w:val="22"/>
          <w:szCs w:val="22"/>
        </w:rPr>
        <w:t xml:space="preserve">described </w:t>
      </w:r>
      <w:r w:rsidR="00760FD2">
        <w:rPr>
          <w:rFonts w:ascii="Georgia" w:hAnsi="Georgia" w:cs="Arial"/>
          <w:sz w:val="22"/>
          <w:szCs w:val="22"/>
        </w:rPr>
        <w:t>in this bulletin</w:t>
      </w:r>
      <w:r w:rsidR="00983657">
        <w:rPr>
          <w:rFonts w:ascii="Georgia" w:hAnsi="Georgia" w:cs="Arial"/>
          <w:sz w:val="22"/>
          <w:szCs w:val="22"/>
        </w:rPr>
        <w:t xml:space="preserve"> </w:t>
      </w:r>
      <w:r w:rsidRPr="00B638D7">
        <w:rPr>
          <w:rFonts w:ascii="Georgia" w:hAnsi="Georgia" w:cs="Arial"/>
          <w:sz w:val="22"/>
          <w:szCs w:val="22"/>
        </w:rPr>
        <w:t>when billing claims to MassHealth for members who have other insurance (Medicare, Medicare Advantage</w:t>
      </w:r>
      <w:r w:rsidR="00745271">
        <w:rPr>
          <w:rFonts w:ascii="Georgia" w:hAnsi="Georgia" w:cs="Arial"/>
          <w:sz w:val="22"/>
          <w:szCs w:val="22"/>
        </w:rPr>
        <w:t>,</w:t>
      </w:r>
      <w:r w:rsidRPr="00B638D7">
        <w:rPr>
          <w:rFonts w:ascii="Georgia" w:hAnsi="Georgia" w:cs="Arial"/>
          <w:sz w:val="22"/>
          <w:szCs w:val="22"/>
        </w:rPr>
        <w:t xml:space="preserve"> or Commercial) in addition to MassHealth. This bulletin also describes new Coordination of Benefits (COB) edits that will be implemented in December 2017. </w:t>
      </w:r>
    </w:p>
    <w:p w:rsidR="002B5B63" w:rsidRPr="0072686B" w:rsidRDefault="002B5B63" w:rsidP="00287894">
      <w:pPr>
        <w:ind w:left="576" w:right="576"/>
        <w:rPr>
          <w:rFonts w:ascii="Georgia" w:hAnsi="Georgia" w:cs="Arial"/>
          <w:sz w:val="16"/>
          <w:szCs w:val="16"/>
        </w:rPr>
      </w:pPr>
    </w:p>
    <w:p w:rsidR="00B638D7" w:rsidRPr="00B638D7" w:rsidRDefault="00B638D7" w:rsidP="00B638D7">
      <w:pPr>
        <w:rPr>
          <w:rFonts w:ascii="Georgia" w:eastAsia="Calibri" w:hAnsi="Georgia"/>
        </w:rPr>
      </w:pPr>
      <w:r>
        <w:rPr>
          <w:rFonts w:ascii="Georgia" w:eastAsia="Calibri" w:hAnsi="Georgia"/>
          <w:b/>
          <w:color w:val="1F497D"/>
          <w:sz w:val="24"/>
          <w:szCs w:val="24"/>
        </w:rPr>
        <w:t xml:space="preserve">         </w:t>
      </w:r>
      <w:r w:rsidRPr="00B638D7">
        <w:rPr>
          <w:rFonts w:ascii="Georgia" w:eastAsia="Calibri" w:hAnsi="Georgia"/>
          <w:b/>
          <w:color w:val="1F497D"/>
          <w:sz w:val="24"/>
          <w:szCs w:val="24"/>
        </w:rPr>
        <w:t>Diligent Efforts</w:t>
      </w:r>
    </w:p>
    <w:p w:rsidR="002B5B63" w:rsidRPr="0072686B" w:rsidRDefault="002B5B63" w:rsidP="00287894">
      <w:pPr>
        <w:ind w:left="576" w:right="576"/>
        <w:rPr>
          <w:rFonts w:ascii="Georgia" w:hAnsi="Georgia" w:cs="Arial"/>
          <w:b/>
          <w:sz w:val="16"/>
          <w:szCs w:val="16"/>
        </w:rPr>
      </w:pPr>
    </w:p>
    <w:p w:rsidR="00B638D7" w:rsidRPr="00B638D7" w:rsidRDefault="00B638D7" w:rsidP="00E06D11">
      <w:pPr>
        <w:ind w:left="585"/>
        <w:rPr>
          <w:rFonts w:ascii="Georgia" w:eastAsia="Calibri" w:hAnsi="Georgia"/>
          <w:sz w:val="22"/>
          <w:szCs w:val="22"/>
        </w:rPr>
      </w:pPr>
      <w:r w:rsidRPr="00B638D7">
        <w:rPr>
          <w:rFonts w:ascii="Georgia" w:eastAsia="Calibri" w:hAnsi="Georgia"/>
          <w:sz w:val="22"/>
          <w:szCs w:val="22"/>
        </w:rPr>
        <w:t>Per MassHealth and</w:t>
      </w:r>
      <w:r w:rsidR="00CA5A55">
        <w:rPr>
          <w:rFonts w:ascii="Georgia" w:eastAsia="Calibri" w:hAnsi="Georgia"/>
          <w:sz w:val="22"/>
          <w:szCs w:val="22"/>
        </w:rPr>
        <w:t xml:space="preserve"> Third-Party Liability</w:t>
      </w:r>
      <w:r w:rsidRPr="00B638D7">
        <w:rPr>
          <w:rFonts w:ascii="Georgia" w:eastAsia="Calibri" w:hAnsi="Georgia"/>
          <w:sz w:val="22"/>
          <w:szCs w:val="22"/>
        </w:rPr>
        <w:t xml:space="preserve"> </w:t>
      </w:r>
      <w:r w:rsidR="00745271">
        <w:rPr>
          <w:rFonts w:ascii="Georgia" w:eastAsia="Calibri" w:hAnsi="Georgia"/>
          <w:sz w:val="22"/>
          <w:szCs w:val="22"/>
        </w:rPr>
        <w:t>(</w:t>
      </w:r>
      <w:r w:rsidRPr="00B638D7">
        <w:rPr>
          <w:rFonts w:ascii="Georgia" w:eastAsia="Calibri" w:hAnsi="Georgia"/>
          <w:sz w:val="22"/>
          <w:szCs w:val="22"/>
        </w:rPr>
        <w:t>TPL</w:t>
      </w:r>
      <w:r w:rsidR="00745271">
        <w:rPr>
          <w:rFonts w:ascii="Georgia" w:eastAsia="Calibri" w:hAnsi="Georgia"/>
          <w:sz w:val="22"/>
          <w:szCs w:val="22"/>
        </w:rPr>
        <w:t>)</w:t>
      </w:r>
      <w:r w:rsidRPr="00B638D7">
        <w:rPr>
          <w:rFonts w:ascii="Georgia" w:eastAsia="Calibri" w:hAnsi="Georgia"/>
          <w:sz w:val="22"/>
          <w:szCs w:val="22"/>
        </w:rPr>
        <w:t xml:space="preserve"> regulations, providers must make “diligent efforts” to identify and obtain</w:t>
      </w:r>
      <w:r w:rsidR="00E06D11">
        <w:rPr>
          <w:rFonts w:ascii="Georgia" w:eastAsia="Calibri" w:hAnsi="Georgia"/>
          <w:sz w:val="22"/>
          <w:szCs w:val="22"/>
        </w:rPr>
        <w:t xml:space="preserve"> </w:t>
      </w:r>
      <w:r w:rsidRPr="00B638D7">
        <w:rPr>
          <w:rFonts w:ascii="Georgia" w:eastAsia="Calibri" w:hAnsi="Georgia"/>
          <w:sz w:val="22"/>
          <w:szCs w:val="22"/>
        </w:rPr>
        <w:t>payment from all other liable parties. Diligent efforts include but are not limited to</w:t>
      </w:r>
    </w:p>
    <w:p w:rsidR="00B638D7" w:rsidRPr="00B638D7" w:rsidRDefault="00B638D7" w:rsidP="00B638D7">
      <w:pPr>
        <w:autoSpaceDE w:val="0"/>
        <w:autoSpaceDN w:val="0"/>
        <w:adjustRightInd w:val="0"/>
        <w:rPr>
          <w:rFonts w:ascii="Georgia" w:eastAsia="Calibri" w:hAnsi="Georgia"/>
          <w:color w:val="000000"/>
          <w:sz w:val="16"/>
          <w:szCs w:val="16"/>
        </w:rPr>
      </w:pPr>
    </w:p>
    <w:p w:rsidR="00B638D7" w:rsidRPr="00B638D7" w:rsidRDefault="00B638D7" w:rsidP="00B21677">
      <w:pPr>
        <w:numPr>
          <w:ilvl w:val="0"/>
          <w:numId w:val="5"/>
        </w:numPr>
        <w:tabs>
          <w:tab w:val="left" w:pos="540"/>
        </w:tabs>
        <w:autoSpaceDE w:val="0"/>
        <w:autoSpaceDN w:val="0"/>
        <w:adjustRightInd w:val="0"/>
        <w:spacing w:line="259" w:lineRule="auto"/>
        <w:ind w:left="1260"/>
        <w:rPr>
          <w:rFonts w:ascii="Georgia" w:eastAsia="Calibri" w:hAnsi="Georgia"/>
          <w:color w:val="000000"/>
          <w:sz w:val="22"/>
          <w:szCs w:val="22"/>
        </w:rPr>
      </w:pPr>
      <w:r w:rsidRPr="00B638D7">
        <w:rPr>
          <w:rFonts w:ascii="Georgia" w:eastAsia="Calibri" w:hAnsi="Georgia"/>
          <w:color w:val="000000"/>
          <w:sz w:val="22"/>
          <w:szCs w:val="22"/>
        </w:rPr>
        <w:t>determining the existence of health insurance by asking the member if he or she has other insurance and by using other insurance eligibility verification resources available to the provider; and</w:t>
      </w:r>
    </w:p>
    <w:p w:rsidR="00B638D7" w:rsidRPr="00B638D7" w:rsidRDefault="00B638D7" w:rsidP="00B21677">
      <w:pPr>
        <w:numPr>
          <w:ilvl w:val="0"/>
          <w:numId w:val="5"/>
        </w:numPr>
        <w:tabs>
          <w:tab w:val="left" w:pos="540"/>
        </w:tabs>
        <w:autoSpaceDE w:val="0"/>
        <w:autoSpaceDN w:val="0"/>
        <w:adjustRightInd w:val="0"/>
        <w:spacing w:after="119" w:line="259" w:lineRule="auto"/>
        <w:ind w:left="1260"/>
        <w:rPr>
          <w:rFonts w:ascii="Georgia" w:eastAsia="Calibri" w:hAnsi="Georgia"/>
          <w:color w:val="000000"/>
          <w:sz w:val="22"/>
          <w:szCs w:val="22"/>
        </w:rPr>
      </w:pPr>
      <w:r w:rsidRPr="00B638D7">
        <w:rPr>
          <w:rFonts w:ascii="Georgia" w:eastAsia="Calibri" w:hAnsi="Georgia"/>
          <w:color w:val="000000"/>
          <w:sz w:val="22"/>
          <w:szCs w:val="22"/>
        </w:rPr>
        <w:t xml:space="preserve">verifying the member’s other health insurance coverage, currently known to MassHealth through its Eligibility Verification System (EVS), on each date of service and at the time of billing. </w:t>
      </w:r>
    </w:p>
    <w:p w:rsidR="00C163D2" w:rsidRPr="00C163D2" w:rsidRDefault="00C163D2" w:rsidP="00C163D2">
      <w:pPr>
        <w:ind w:left="540"/>
        <w:rPr>
          <w:rFonts w:ascii="Georgia" w:eastAsia="Calibri" w:hAnsi="Georgia"/>
          <w:b/>
          <w:color w:val="1F497D" w:themeColor="text2"/>
          <w:sz w:val="24"/>
          <w:szCs w:val="24"/>
        </w:rPr>
      </w:pPr>
      <w:r w:rsidRPr="00C163D2">
        <w:rPr>
          <w:rFonts w:ascii="Georgia" w:eastAsia="Calibri" w:hAnsi="Georgia"/>
          <w:b/>
          <w:color w:val="1F497D" w:themeColor="text2"/>
          <w:sz w:val="24"/>
          <w:szCs w:val="24"/>
        </w:rPr>
        <w:t>Updating Other Insurance Information</w:t>
      </w:r>
    </w:p>
    <w:p w:rsidR="002B5B63" w:rsidRPr="0072686B" w:rsidRDefault="002B5B63" w:rsidP="00287894">
      <w:pPr>
        <w:ind w:left="576" w:right="576"/>
        <w:rPr>
          <w:rFonts w:ascii="Georgia" w:hAnsi="Georgia" w:cs="Arial"/>
          <w:b/>
          <w:sz w:val="16"/>
          <w:szCs w:val="16"/>
        </w:rPr>
      </w:pPr>
    </w:p>
    <w:p w:rsidR="00803923" w:rsidRDefault="00C163D2" w:rsidP="0017554B">
      <w:pPr>
        <w:ind w:left="576" w:right="576"/>
        <w:rPr>
          <w:rFonts w:ascii="Georgia" w:hAnsi="Georgia" w:cs="Arial"/>
          <w:sz w:val="22"/>
          <w:szCs w:val="22"/>
        </w:rPr>
      </w:pPr>
      <w:r w:rsidRPr="00C163D2">
        <w:rPr>
          <w:rFonts w:ascii="Georgia" w:hAnsi="Georgia" w:cs="Arial"/>
          <w:sz w:val="22"/>
          <w:szCs w:val="22"/>
        </w:rPr>
        <w:t xml:space="preserve">If a provider has evidence that a member’s other health insurance information differs from what appears on </w:t>
      </w:r>
      <w:r w:rsidR="00CA5A55">
        <w:rPr>
          <w:rFonts w:ascii="Georgia" w:hAnsi="Georgia" w:cs="Arial"/>
          <w:sz w:val="22"/>
          <w:szCs w:val="22"/>
        </w:rPr>
        <w:t xml:space="preserve">the </w:t>
      </w:r>
      <w:r w:rsidRPr="00C163D2">
        <w:rPr>
          <w:rFonts w:ascii="Georgia" w:hAnsi="Georgia" w:cs="Arial"/>
          <w:sz w:val="22"/>
          <w:szCs w:val="22"/>
        </w:rPr>
        <w:t xml:space="preserve">EVS, you must fax or mail a </w:t>
      </w:r>
      <w:hyperlink r:id="rId12" w:history="1">
        <w:r w:rsidRPr="00CA5A55">
          <w:rPr>
            <w:rStyle w:val="Hyperlink"/>
            <w:rFonts w:ascii="Georgia" w:hAnsi="Georgia" w:cs="Arial"/>
            <w:sz w:val="22"/>
            <w:szCs w:val="22"/>
          </w:rPr>
          <w:t>Third Party Liability Indicator</w:t>
        </w:r>
      </w:hyperlink>
      <w:r w:rsidRPr="00C163D2">
        <w:rPr>
          <w:rFonts w:ascii="Georgia" w:hAnsi="Georgia" w:cs="Arial"/>
          <w:sz w:val="22"/>
          <w:szCs w:val="22"/>
        </w:rPr>
        <w:t xml:space="preserve"> (TPLI-MH) form </w:t>
      </w:r>
      <w:r w:rsidR="00F5169E">
        <w:rPr>
          <w:rFonts w:ascii="Georgia" w:hAnsi="Georgia" w:cs="Arial"/>
          <w:sz w:val="22"/>
          <w:szCs w:val="22"/>
        </w:rPr>
        <w:t xml:space="preserve">along with acceptable documentation described below </w:t>
      </w:r>
      <w:r w:rsidRPr="00C163D2">
        <w:rPr>
          <w:rFonts w:ascii="Georgia" w:hAnsi="Georgia" w:cs="Arial"/>
          <w:sz w:val="22"/>
          <w:szCs w:val="22"/>
        </w:rPr>
        <w:t xml:space="preserve">to the </w:t>
      </w:r>
      <w:r w:rsidR="00F5169E">
        <w:rPr>
          <w:rFonts w:ascii="Georgia" w:hAnsi="Georgia" w:cs="Arial"/>
          <w:sz w:val="22"/>
          <w:szCs w:val="22"/>
        </w:rPr>
        <w:t>contact information located at the bottom of the form</w:t>
      </w:r>
      <w:r w:rsidRPr="00C163D2">
        <w:rPr>
          <w:rFonts w:ascii="Georgia" w:hAnsi="Georgia" w:cs="Arial"/>
          <w:sz w:val="22"/>
          <w:szCs w:val="22"/>
        </w:rPr>
        <w:t xml:space="preserve">. To access the </w:t>
      </w:r>
      <w:hyperlink r:id="rId13" w:history="1">
        <w:r w:rsidR="00BD1E7D" w:rsidRPr="003A456A">
          <w:rPr>
            <w:rStyle w:val="Hyperlink"/>
            <w:rFonts w:ascii="Georgia" w:hAnsi="Georgia" w:cs="Arial"/>
            <w:sz w:val="22"/>
            <w:szCs w:val="22"/>
          </w:rPr>
          <w:t>TPLI-MH</w:t>
        </w:r>
      </w:hyperlink>
      <w:r w:rsidR="00BD1E7D" w:rsidRPr="00BD1E7D">
        <w:rPr>
          <w:rFonts w:ascii="Georgia" w:hAnsi="Georgia" w:cs="Arial"/>
          <w:sz w:val="22"/>
          <w:szCs w:val="22"/>
        </w:rPr>
        <w:t xml:space="preserve"> </w:t>
      </w:r>
      <w:r w:rsidRPr="00C163D2">
        <w:rPr>
          <w:rFonts w:ascii="Georgia" w:hAnsi="Georgia" w:cs="Arial"/>
          <w:sz w:val="22"/>
          <w:szCs w:val="22"/>
        </w:rPr>
        <w:t>form, use the hyperlink</w:t>
      </w:r>
      <w:r w:rsidR="00BD1E7D">
        <w:rPr>
          <w:rFonts w:ascii="Georgia" w:hAnsi="Georgia" w:cs="Arial"/>
          <w:sz w:val="22"/>
          <w:szCs w:val="22"/>
        </w:rPr>
        <w:t>s</w:t>
      </w:r>
      <w:r w:rsidRPr="00C163D2">
        <w:rPr>
          <w:rFonts w:ascii="Georgia" w:hAnsi="Georgia" w:cs="Arial"/>
          <w:sz w:val="22"/>
          <w:szCs w:val="22"/>
        </w:rPr>
        <w:t xml:space="preserve"> in</w:t>
      </w:r>
      <w:r w:rsidR="00BD1E7D">
        <w:rPr>
          <w:rFonts w:ascii="Georgia" w:hAnsi="Georgia" w:cs="Arial"/>
          <w:sz w:val="22"/>
          <w:szCs w:val="22"/>
        </w:rPr>
        <w:t xml:space="preserve"> this section</w:t>
      </w:r>
      <w:r w:rsidRPr="00C163D2">
        <w:rPr>
          <w:rFonts w:ascii="Georgia" w:hAnsi="Georgia" w:cs="Arial"/>
          <w:sz w:val="22"/>
          <w:szCs w:val="22"/>
        </w:rPr>
        <w:t xml:space="preserve"> or go</w:t>
      </w:r>
      <w:r w:rsidR="00803923">
        <w:rPr>
          <w:rFonts w:ascii="Georgia" w:hAnsi="Georgia" w:cs="Arial"/>
          <w:sz w:val="22"/>
          <w:szCs w:val="22"/>
        </w:rPr>
        <w:t xml:space="preserve"> to</w:t>
      </w:r>
      <w:r w:rsidRPr="00C163D2">
        <w:rPr>
          <w:rFonts w:ascii="Georgia" w:hAnsi="Georgia" w:cs="Arial"/>
          <w:sz w:val="22"/>
          <w:szCs w:val="22"/>
        </w:rPr>
        <w:t xml:space="preserve"> </w:t>
      </w:r>
      <w:hyperlink r:id="rId14" w:history="1">
        <w:r w:rsidR="0017554B" w:rsidRPr="004773C9">
          <w:rPr>
            <w:rStyle w:val="Hyperlink"/>
            <w:rFonts w:ascii="Georgia" w:hAnsi="Georgia" w:cs="Arial"/>
            <w:sz w:val="22"/>
            <w:szCs w:val="22"/>
          </w:rPr>
          <w:t>www.mass.gov/masshealth</w:t>
        </w:r>
      </w:hyperlink>
      <w:r w:rsidR="0017554B">
        <w:rPr>
          <w:rFonts w:ascii="Georgia" w:hAnsi="Georgia" w:cs="Arial"/>
          <w:sz w:val="22"/>
          <w:szCs w:val="22"/>
        </w:rPr>
        <w:t xml:space="preserve">. </w:t>
      </w:r>
      <w:r w:rsidRPr="00C163D2">
        <w:rPr>
          <w:rFonts w:ascii="Georgia" w:hAnsi="Georgia" w:cs="Arial"/>
          <w:sz w:val="22"/>
          <w:szCs w:val="22"/>
        </w:rPr>
        <w:t xml:space="preserve">Providers may also request the form by </w:t>
      </w:r>
    </w:p>
    <w:p w:rsidR="00803923" w:rsidRDefault="00C163D2" w:rsidP="004E6B5D">
      <w:pPr>
        <w:pStyle w:val="ListParagraph"/>
        <w:numPr>
          <w:ilvl w:val="0"/>
          <w:numId w:val="8"/>
        </w:numPr>
        <w:ind w:right="576"/>
        <w:rPr>
          <w:rFonts w:ascii="Georgia" w:hAnsi="Georgia" w:cs="Arial"/>
          <w:sz w:val="22"/>
          <w:szCs w:val="22"/>
        </w:rPr>
      </w:pPr>
      <w:r w:rsidRPr="004E6B5D">
        <w:rPr>
          <w:rFonts w:ascii="Georgia" w:hAnsi="Georgia" w:cs="Arial"/>
          <w:sz w:val="22"/>
          <w:szCs w:val="22"/>
        </w:rPr>
        <w:t xml:space="preserve">e-mailing </w:t>
      </w:r>
      <w:hyperlink r:id="rId15" w:history="1">
        <w:r w:rsidRPr="004E6B5D">
          <w:rPr>
            <w:rStyle w:val="Hyperlink"/>
            <w:rFonts w:ascii="Georgia" w:hAnsi="Georgia" w:cs="Arial"/>
            <w:sz w:val="22"/>
            <w:szCs w:val="22"/>
          </w:rPr>
          <w:t>publications@mahealth.net</w:t>
        </w:r>
      </w:hyperlink>
      <w:r w:rsidRPr="004E6B5D">
        <w:rPr>
          <w:rFonts w:ascii="Georgia" w:hAnsi="Georgia" w:cs="Arial"/>
          <w:sz w:val="22"/>
          <w:szCs w:val="22"/>
        </w:rPr>
        <w:t xml:space="preserve"> </w:t>
      </w:r>
    </w:p>
    <w:p w:rsidR="00803923" w:rsidRDefault="00C163D2" w:rsidP="004E6B5D">
      <w:pPr>
        <w:pStyle w:val="ListParagraph"/>
        <w:numPr>
          <w:ilvl w:val="0"/>
          <w:numId w:val="8"/>
        </w:numPr>
        <w:ind w:right="576"/>
        <w:rPr>
          <w:rFonts w:ascii="Georgia" w:hAnsi="Georgia" w:cs="Arial"/>
          <w:sz w:val="22"/>
          <w:szCs w:val="22"/>
        </w:rPr>
      </w:pPr>
      <w:r w:rsidRPr="004E6B5D">
        <w:rPr>
          <w:rFonts w:ascii="Georgia" w:hAnsi="Georgia" w:cs="Arial"/>
          <w:sz w:val="22"/>
          <w:szCs w:val="22"/>
        </w:rPr>
        <w:t>calling MassHealth Customer Service at 1-800-841-2900</w:t>
      </w:r>
      <w:r w:rsidR="00803923">
        <w:rPr>
          <w:rFonts w:ascii="Georgia" w:hAnsi="Georgia" w:cs="Arial"/>
          <w:sz w:val="22"/>
          <w:szCs w:val="22"/>
        </w:rPr>
        <w:t>,</w:t>
      </w:r>
      <w:r w:rsidRPr="004E6B5D">
        <w:rPr>
          <w:rFonts w:ascii="Georgia" w:hAnsi="Georgia" w:cs="Arial"/>
          <w:sz w:val="22"/>
          <w:szCs w:val="22"/>
        </w:rPr>
        <w:t xml:space="preserve"> or </w:t>
      </w:r>
    </w:p>
    <w:p w:rsidR="00165D0F" w:rsidRPr="004E6B5D" w:rsidRDefault="00C163D2" w:rsidP="004E6B5D">
      <w:pPr>
        <w:pStyle w:val="ListParagraph"/>
        <w:numPr>
          <w:ilvl w:val="0"/>
          <w:numId w:val="8"/>
        </w:numPr>
        <w:ind w:right="576"/>
        <w:rPr>
          <w:rFonts w:ascii="Georgia" w:hAnsi="Georgia" w:cs="Arial"/>
          <w:sz w:val="22"/>
          <w:szCs w:val="22"/>
        </w:rPr>
      </w:pPr>
      <w:r w:rsidRPr="004E6B5D">
        <w:rPr>
          <w:rFonts w:ascii="Georgia" w:hAnsi="Georgia" w:cs="Arial"/>
          <w:sz w:val="22"/>
          <w:szCs w:val="22"/>
        </w:rPr>
        <w:t>faxing a</w:t>
      </w:r>
      <w:r w:rsidR="006B4C8F" w:rsidRPr="004E6B5D">
        <w:rPr>
          <w:rFonts w:ascii="Georgia" w:hAnsi="Georgia" w:cs="Arial"/>
          <w:sz w:val="22"/>
          <w:szCs w:val="22"/>
        </w:rPr>
        <w:t xml:space="preserve"> </w:t>
      </w:r>
      <w:hyperlink r:id="rId16" w:history="1">
        <w:r w:rsidRPr="004E6B5D">
          <w:rPr>
            <w:rStyle w:val="Hyperlink"/>
            <w:rFonts w:ascii="Georgia" w:hAnsi="Georgia" w:cs="Arial"/>
            <w:sz w:val="22"/>
            <w:szCs w:val="22"/>
          </w:rPr>
          <w:t xml:space="preserve">Request for </w:t>
        </w:r>
        <w:r w:rsidR="006B4C8F" w:rsidRPr="004E6B5D">
          <w:rPr>
            <w:rStyle w:val="Hyperlink"/>
            <w:rFonts w:ascii="Georgia" w:hAnsi="Georgia" w:cs="Arial"/>
            <w:sz w:val="22"/>
            <w:szCs w:val="22"/>
          </w:rPr>
          <w:t xml:space="preserve">MassHealth </w:t>
        </w:r>
        <w:r w:rsidRPr="004E6B5D">
          <w:rPr>
            <w:rStyle w:val="Hyperlink"/>
            <w:rFonts w:ascii="Georgia" w:hAnsi="Georgia" w:cs="Arial"/>
            <w:sz w:val="22"/>
            <w:szCs w:val="22"/>
          </w:rPr>
          <w:t>Forms (RMF)</w:t>
        </w:r>
      </w:hyperlink>
      <w:r w:rsidRPr="004E6B5D">
        <w:rPr>
          <w:rFonts w:ascii="Georgia" w:hAnsi="Georgia" w:cs="Arial"/>
          <w:sz w:val="22"/>
          <w:szCs w:val="22"/>
        </w:rPr>
        <w:t xml:space="preserve"> form to 617-988-8973</w:t>
      </w:r>
    </w:p>
    <w:p w:rsidR="00C163D2" w:rsidRPr="0072686B" w:rsidRDefault="00C163D2" w:rsidP="00C163D2">
      <w:pPr>
        <w:ind w:left="576" w:right="576"/>
        <w:rPr>
          <w:rFonts w:ascii="Georgia" w:hAnsi="Georgia" w:cs="Arial"/>
          <w:sz w:val="16"/>
          <w:szCs w:val="16"/>
        </w:rPr>
      </w:pPr>
    </w:p>
    <w:p w:rsidR="00C163D2" w:rsidRPr="00165D0F" w:rsidRDefault="00C163D2" w:rsidP="00C163D2">
      <w:pPr>
        <w:ind w:left="576" w:right="576"/>
        <w:rPr>
          <w:rFonts w:ascii="Georgia" w:hAnsi="Georgia" w:cs="Arial"/>
          <w:sz w:val="22"/>
          <w:szCs w:val="22"/>
        </w:rPr>
      </w:pPr>
      <w:r w:rsidRPr="00C163D2">
        <w:rPr>
          <w:rFonts w:ascii="Georgia" w:hAnsi="Georgia" w:cs="Arial"/>
          <w:sz w:val="22"/>
          <w:szCs w:val="22"/>
        </w:rPr>
        <w:t xml:space="preserve">The </w:t>
      </w:r>
      <w:hyperlink r:id="rId17" w:history="1">
        <w:r w:rsidRPr="00DE13F9">
          <w:rPr>
            <w:rStyle w:val="Hyperlink"/>
            <w:rFonts w:ascii="Georgia" w:hAnsi="Georgia" w:cs="Arial"/>
            <w:sz w:val="22"/>
            <w:szCs w:val="22"/>
          </w:rPr>
          <w:t>TPLI-MH</w:t>
        </w:r>
      </w:hyperlink>
      <w:r w:rsidRPr="00C163D2">
        <w:rPr>
          <w:rFonts w:ascii="Georgia" w:hAnsi="Georgia" w:cs="Arial"/>
          <w:sz w:val="22"/>
          <w:szCs w:val="22"/>
        </w:rPr>
        <w:t xml:space="preserve"> form should be submitted with acceptable documentation verifying the coverage change to ensure that the member’s file is updated to reflect current information. Acceptable documentation for updating </w:t>
      </w:r>
      <w:r w:rsidR="0072686B">
        <w:rPr>
          <w:rFonts w:ascii="Georgia" w:hAnsi="Georgia" w:cs="Arial"/>
          <w:sz w:val="22"/>
          <w:szCs w:val="22"/>
        </w:rPr>
        <w:t xml:space="preserve">a </w:t>
      </w:r>
      <w:r w:rsidRPr="00C163D2">
        <w:rPr>
          <w:rFonts w:ascii="Georgia" w:hAnsi="Georgia" w:cs="Arial"/>
          <w:sz w:val="22"/>
          <w:szCs w:val="22"/>
        </w:rPr>
        <w:t xml:space="preserve">member’s insurance information includes an explanation of benefits (EOB), a letter from an employer or health insurance carrier, or a copy of the member’s health insurance card for any new insurance. </w:t>
      </w:r>
      <w:r w:rsidRPr="007E3519">
        <w:rPr>
          <w:rFonts w:ascii="Georgia" w:hAnsi="Georgia" w:cs="Arial"/>
          <w:sz w:val="22"/>
          <w:szCs w:val="22"/>
        </w:rPr>
        <w:t xml:space="preserve">This information can also be found in </w:t>
      </w:r>
      <w:hyperlink r:id="rId18" w:history="1">
        <w:r w:rsidRPr="007E3519">
          <w:rPr>
            <w:rStyle w:val="Hyperlink"/>
            <w:rFonts w:ascii="Georgia" w:hAnsi="Georgia" w:cs="Arial"/>
            <w:sz w:val="22"/>
            <w:szCs w:val="22"/>
          </w:rPr>
          <w:t>Appendix A</w:t>
        </w:r>
      </w:hyperlink>
      <w:r w:rsidRPr="007E3519">
        <w:rPr>
          <w:rFonts w:ascii="Georgia" w:hAnsi="Georgia" w:cs="Arial"/>
          <w:sz w:val="22"/>
          <w:szCs w:val="22"/>
        </w:rPr>
        <w:t xml:space="preserve"> of the MassHealth provider manual.</w:t>
      </w:r>
    </w:p>
    <w:p w:rsidR="002B5B63" w:rsidRDefault="002B5B63" w:rsidP="00287894">
      <w:pPr>
        <w:ind w:left="576" w:right="576"/>
        <w:rPr>
          <w:rFonts w:ascii="Georgia" w:hAnsi="Georgia" w:cs="Arial"/>
          <w:b/>
          <w:sz w:val="22"/>
          <w:szCs w:val="22"/>
        </w:rPr>
      </w:pPr>
    </w:p>
    <w:p w:rsidR="00287894" w:rsidRPr="003F56EC" w:rsidRDefault="006D3F3E" w:rsidP="003F56EC">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(continued on next page)</w:t>
      </w:r>
    </w:p>
    <w:p w:rsidR="00287894" w:rsidRPr="00D315EE" w:rsidRDefault="00287894" w:rsidP="00287894">
      <w:pPr>
        <w:pStyle w:val="Heading1"/>
        <w:tabs>
          <w:tab w:val="clear" w:pos="6426"/>
          <w:tab w:val="left" w:pos="5760"/>
        </w:tabs>
        <w:ind w:left="1440" w:firstLine="4320"/>
        <w:rPr>
          <w:rFonts w:ascii="Georgia" w:hAnsi="Georgia" w:cs="Arial"/>
          <w:sz w:val="18"/>
          <w:szCs w:val="18"/>
        </w:rPr>
      </w:pPr>
    </w:p>
    <w:p w:rsidR="0019652F" w:rsidRPr="001433E7"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19652F" w:rsidRPr="001433E7" w:rsidRDefault="00F56CC0" w:rsidP="00E715FE">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All Provider</w:t>
      </w:r>
      <w:r w:rsidR="00C27787">
        <w:rPr>
          <w:rFonts w:ascii="Georgia" w:hAnsi="Georgia" w:cs="Arial"/>
          <w:color w:val="1F497D"/>
          <w:szCs w:val="22"/>
        </w:rPr>
        <w:t xml:space="preserve"> </w:t>
      </w:r>
      <w:r w:rsidR="002B5B63" w:rsidRPr="001433E7">
        <w:rPr>
          <w:rFonts w:ascii="Georgia" w:hAnsi="Georgia" w:cs="Arial"/>
          <w:color w:val="1F497D"/>
          <w:szCs w:val="22"/>
        </w:rPr>
        <w:t>Bulletin</w:t>
      </w:r>
      <w:r w:rsidR="00296F0D">
        <w:rPr>
          <w:rFonts w:ascii="Georgia" w:hAnsi="Georgia" w:cs="Arial"/>
          <w:color w:val="1F497D"/>
          <w:szCs w:val="22"/>
        </w:rPr>
        <w:t xml:space="preserve"> 273</w:t>
      </w:r>
    </w:p>
    <w:p w:rsidR="0019652F" w:rsidRPr="001433E7" w:rsidRDefault="00E86674" w:rsidP="00E715FE">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Novem</w:t>
      </w:r>
      <w:r w:rsidR="00C27787">
        <w:rPr>
          <w:rFonts w:ascii="Georgia" w:hAnsi="Georgia" w:cs="Arial"/>
          <w:color w:val="1F497D"/>
          <w:szCs w:val="22"/>
        </w:rPr>
        <w:t>ber 2017</w:t>
      </w:r>
      <w:r w:rsidR="0019652F" w:rsidRPr="001433E7">
        <w:rPr>
          <w:rFonts w:ascii="Georgia" w:hAnsi="Georgia" w:cs="Arial"/>
          <w:color w:val="1F497D"/>
          <w:szCs w:val="22"/>
        </w:rPr>
        <w:t xml:space="preserve"> </w:t>
      </w:r>
    </w:p>
    <w:p w:rsidR="0019652F" w:rsidRPr="001433E7"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sidR="00796F9F">
        <w:rPr>
          <w:rFonts w:ascii="Georgia" w:hAnsi="Georgia" w:cs="Arial"/>
          <w:noProof/>
          <w:color w:val="1F497D"/>
          <w:szCs w:val="22"/>
        </w:rPr>
        <w:t>2</w:t>
      </w:r>
      <w:r w:rsidRPr="001433E7">
        <w:rPr>
          <w:rFonts w:ascii="Georgia" w:hAnsi="Georgia" w:cs="Arial"/>
          <w:color w:val="1F497D"/>
          <w:szCs w:val="22"/>
        </w:rPr>
        <w:fldChar w:fldCharType="end"/>
      </w:r>
    </w:p>
    <w:p w:rsidR="001B792F" w:rsidRPr="00D315EE" w:rsidRDefault="001B792F" w:rsidP="001B792F">
      <w:pPr>
        <w:tabs>
          <w:tab w:val="left" w:pos="10080"/>
        </w:tabs>
        <w:suppressAutoHyphens/>
        <w:spacing w:line="260" w:lineRule="exact"/>
        <w:ind w:left="9270" w:hanging="9270"/>
        <w:rPr>
          <w:rFonts w:ascii="Georgia" w:hAnsi="Georgia" w:cs="Arial"/>
          <w:sz w:val="12"/>
          <w:szCs w:val="12"/>
        </w:rPr>
      </w:pPr>
    </w:p>
    <w:p w:rsidR="00C27787" w:rsidRPr="00C27787" w:rsidRDefault="00C27787" w:rsidP="00C27787">
      <w:pPr>
        <w:ind w:firstLine="540"/>
        <w:rPr>
          <w:rFonts w:ascii="Georgia" w:eastAsia="Calibri" w:hAnsi="Georgia"/>
          <w:b/>
          <w:color w:val="1F497D"/>
          <w:sz w:val="24"/>
          <w:szCs w:val="24"/>
        </w:rPr>
      </w:pPr>
      <w:r w:rsidRPr="00C27787">
        <w:rPr>
          <w:rFonts w:ascii="Georgia" w:eastAsia="Calibri" w:hAnsi="Georgia"/>
          <w:b/>
          <w:color w:val="1F497D"/>
          <w:sz w:val="24"/>
          <w:szCs w:val="24"/>
        </w:rPr>
        <w:t>Compliance with Other Payer Billing Rules</w:t>
      </w:r>
    </w:p>
    <w:p w:rsidR="00836D22" w:rsidRPr="00D315EE" w:rsidRDefault="00836D22" w:rsidP="00836D22">
      <w:pPr>
        <w:tabs>
          <w:tab w:val="left" w:pos="10080"/>
        </w:tabs>
        <w:suppressAutoHyphens/>
        <w:spacing w:line="260" w:lineRule="exact"/>
        <w:ind w:left="9270" w:hanging="9270"/>
        <w:rPr>
          <w:rFonts w:ascii="Georgia" w:hAnsi="Georgia" w:cs="Arial"/>
          <w:sz w:val="12"/>
          <w:szCs w:val="12"/>
        </w:rPr>
      </w:pPr>
    </w:p>
    <w:p w:rsidR="00C27787" w:rsidRPr="00C27787" w:rsidRDefault="00C27787" w:rsidP="00C27787">
      <w:pPr>
        <w:autoSpaceDE w:val="0"/>
        <w:autoSpaceDN w:val="0"/>
        <w:adjustRightInd w:val="0"/>
        <w:ind w:left="540"/>
        <w:rPr>
          <w:rFonts w:ascii="Georgia" w:eastAsia="Calibri" w:hAnsi="Georgia"/>
          <w:color w:val="000000"/>
          <w:sz w:val="22"/>
          <w:szCs w:val="22"/>
        </w:rPr>
      </w:pPr>
      <w:r w:rsidRPr="00C27787">
        <w:rPr>
          <w:rFonts w:ascii="Georgia" w:eastAsia="Calibri" w:hAnsi="Georgia"/>
          <w:color w:val="000000"/>
          <w:sz w:val="22"/>
          <w:szCs w:val="22"/>
        </w:rPr>
        <w:t xml:space="preserve">When the member has other insurance, providers must submit the claim to the other payer, following the other payer’s billing and authorization guidelines. If the claim is denied for reasons other than a correctable error, or </w:t>
      </w:r>
      <w:r w:rsidR="00721832">
        <w:rPr>
          <w:rFonts w:ascii="Georgia" w:eastAsia="Calibri" w:hAnsi="Georgia"/>
          <w:color w:val="000000"/>
          <w:sz w:val="22"/>
          <w:szCs w:val="22"/>
        </w:rPr>
        <w:t xml:space="preserve">if </w:t>
      </w:r>
      <w:r w:rsidRPr="00C27787">
        <w:rPr>
          <w:rFonts w:ascii="Georgia" w:eastAsia="Calibri" w:hAnsi="Georgia"/>
          <w:color w:val="000000"/>
          <w:sz w:val="22"/>
          <w:szCs w:val="22"/>
        </w:rPr>
        <w:t xml:space="preserve">there is a remaining patient responsibility, providers may submit the claim to MassHealth including the COB adjudication information </w:t>
      </w:r>
      <w:r w:rsidRPr="00C27787">
        <w:rPr>
          <w:rFonts w:ascii="Georgia" w:eastAsia="Calibri" w:hAnsi="Georgia"/>
          <w:color w:val="000000"/>
          <w:sz w:val="22"/>
          <w:szCs w:val="22"/>
          <w:lang w:val="en"/>
        </w:rPr>
        <w:t xml:space="preserve">as it appears on the other payer’s EOB. </w:t>
      </w:r>
      <w:r w:rsidRPr="00C27787">
        <w:rPr>
          <w:rFonts w:ascii="Georgia" w:eastAsia="Calibri" w:hAnsi="Georgia"/>
          <w:color w:val="000000"/>
          <w:sz w:val="22"/>
          <w:szCs w:val="22"/>
        </w:rPr>
        <w:t xml:space="preserve">Providers may not submit the claim to MassHealth if the claim is denied for noncompliance with any one of the payer’s billing and authorization requirements. </w:t>
      </w:r>
    </w:p>
    <w:p w:rsidR="00C27787" w:rsidRPr="00D315EE" w:rsidRDefault="00C27787" w:rsidP="00836D22">
      <w:pPr>
        <w:tabs>
          <w:tab w:val="left" w:pos="10080"/>
        </w:tabs>
        <w:suppressAutoHyphens/>
        <w:spacing w:line="260" w:lineRule="exact"/>
        <w:ind w:left="9270" w:hanging="9270"/>
        <w:rPr>
          <w:rFonts w:ascii="Georgia" w:hAnsi="Georgia" w:cs="Arial"/>
          <w:sz w:val="12"/>
          <w:szCs w:val="12"/>
        </w:rPr>
      </w:pPr>
    </w:p>
    <w:p w:rsidR="00C27787" w:rsidRPr="00C27787" w:rsidRDefault="00C27787" w:rsidP="00C27787">
      <w:pPr>
        <w:autoSpaceDE w:val="0"/>
        <w:autoSpaceDN w:val="0"/>
        <w:adjustRightInd w:val="0"/>
        <w:ind w:firstLine="540"/>
        <w:rPr>
          <w:rFonts w:ascii="Georgia" w:eastAsia="Calibri" w:hAnsi="Georgia"/>
          <w:color w:val="000000"/>
          <w:sz w:val="24"/>
          <w:szCs w:val="24"/>
        </w:rPr>
      </w:pPr>
      <w:r w:rsidRPr="00C27787">
        <w:rPr>
          <w:rFonts w:ascii="Georgia" w:eastAsia="Calibri" w:hAnsi="Georgia"/>
          <w:b/>
          <w:color w:val="1F497D"/>
          <w:sz w:val="24"/>
          <w:szCs w:val="24"/>
        </w:rPr>
        <w:t xml:space="preserve">New COB Claim Editing </w:t>
      </w:r>
    </w:p>
    <w:p w:rsidR="00C27787" w:rsidRPr="00D315EE" w:rsidRDefault="00C27787" w:rsidP="00836D22">
      <w:pPr>
        <w:tabs>
          <w:tab w:val="left" w:pos="10080"/>
        </w:tabs>
        <w:suppressAutoHyphens/>
        <w:spacing w:line="260" w:lineRule="exact"/>
        <w:ind w:left="9270" w:hanging="9270"/>
        <w:rPr>
          <w:rFonts w:ascii="Georgia" w:hAnsi="Georgia" w:cs="Arial"/>
          <w:sz w:val="12"/>
          <w:szCs w:val="12"/>
        </w:rPr>
      </w:pPr>
    </w:p>
    <w:p w:rsidR="00C27787" w:rsidRPr="00C27787" w:rsidRDefault="00C27787" w:rsidP="00C27787">
      <w:pPr>
        <w:ind w:left="540"/>
        <w:rPr>
          <w:rFonts w:ascii="Georgia" w:eastAsia="Calibri" w:hAnsi="Georgia"/>
          <w:sz w:val="22"/>
          <w:szCs w:val="22"/>
          <w:lang w:val="en"/>
        </w:rPr>
      </w:pPr>
      <w:r w:rsidRPr="00C27787">
        <w:rPr>
          <w:rFonts w:ascii="Georgia" w:eastAsia="Calibri" w:hAnsi="Georgia"/>
          <w:sz w:val="22"/>
          <w:szCs w:val="22"/>
        </w:rPr>
        <w:t xml:space="preserve">When a provider bills MassHealth for a service that has been denied by the other payer, the claim/claim detail line must contain </w:t>
      </w:r>
      <w:r w:rsidRPr="00C27787">
        <w:rPr>
          <w:rFonts w:ascii="Georgia" w:eastAsia="Calibri" w:hAnsi="Georgia"/>
          <w:sz w:val="22"/>
          <w:szCs w:val="22"/>
          <w:lang w:val="en"/>
        </w:rPr>
        <w:t xml:space="preserve">valid Claim Adjustment Group Codes (CAGCs) and Claim Adjustment Reason Codes (CARCs) as they appear on the other payer’s EOB or 835. </w:t>
      </w:r>
    </w:p>
    <w:p w:rsidR="00C27787" w:rsidRPr="00D315EE" w:rsidRDefault="00C27787" w:rsidP="00836D22">
      <w:pPr>
        <w:tabs>
          <w:tab w:val="left" w:pos="10080"/>
        </w:tabs>
        <w:suppressAutoHyphens/>
        <w:spacing w:line="260" w:lineRule="exact"/>
        <w:ind w:left="9270" w:hanging="9270"/>
        <w:rPr>
          <w:rFonts w:ascii="Georgia" w:hAnsi="Georgia" w:cs="Arial"/>
          <w:sz w:val="12"/>
          <w:szCs w:val="12"/>
        </w:rPr>
      </w:pPr>
    </w:p>
    <w:p w:rsidR="00C27787" w:rsidRPr="00C27787" w:rsidRDefault="00C27787" w:rsidP="00C27787">
      <w:pPr>
        <w:ind w:left="540"/>
        <w:rPr>
          <w:rFonts w:ascii="Georgia" w:eastAsia="Calibri" w:hAnsi="Georgia"/>
          <w:sz w:val="22"/>
          <w:szCs w:val="22"/>
          <w:lang w:val="en"/>
        </w:rPr>
      </w:pPr>
      <w:r w:rsidRPr="00C27787">
        <w:rPr>
          <w:rFonts w:ascii="Georgia" w:eastAsia="Calibri" w:hAnsi="Georgia"/>
          <w:sz w:val="22"/>
          <w:szCs w:val="22"/>
          <w:lang w:val="en"/>
        </w:rPr>
        <w:t xml:space="preserve">The </w:t>
      </w:r>
      <w:r w:rsidR="0055285B" w:rsidRPr="0055285B">
        <w:rPr>
          <w:rFonts w:ascii="Georgia" w:eastAsia="Calibri" w:hAnsi="Georgia"/>
          <w:sz w:val="22"/>
          <w:szCs w:val="22"/>
        </w:rPr>
        <w:t>Health Insurance Portability and Accountability Act</w:t>
      </w:r>
      <w:r w:rsidR="0055285B" w:rsidRPr="0055285B">
        <w:rPr>
          <w:rFonts w:ascii="Georgia" w:eastAsia="Calibri" w:hAnsi="Georgia"/>
          <w:sz w:val="22"/>
          <w:szCs w:val="22"/>
          <w:lang w:val="en"/>
        </w:rPr>
        <w:t xml:space="preserve"> </w:t>
      </w:r>
      <w:r w:rsidR="0055285B">
        <w:rPr>
          <w:rFonts w:ascii="Georgia" w:eastAsia="Calibri" w:hAnsi="Georgia"/>
          <w:sz w:val="22"/>
          <w:szCs w:val="22"/>
          <w:lang w:val="en"/>
        </w:rPr>
        <w:t>(</w:t>
      </w:r>
      <w:r w:rsidRPr="00C27787">
        <w:rPr>
          <w:rFonts w:ascii="Georgia" w:eastAsia="Calibri" w:hAnsi="Georgia"/>
          <w:sz w:val="22"/>
          <w:szCs w:val="22"/>
          <w:lang w:val="en"/>
        </w:rPr>
        <w:t>HIPAA</w:t>
      </w:r>
      <w:r w:rsidR="0055285B">
        <w:rPr>
          <w:rFonts w:ascii="Georgia" w:eastAsia="Calibri" w:hAnsi="Georgia"/>
          <w:sz w:val="22"/>
          <w:szCs w:val="22"/>
          <w:lang w:val="en"/>
        </w:rPr>
        <w:t>)</w:t>
      </w:r>
      <w:r w:rsidRPr="00C27787">
        <w:rPr>
          <w:rFonts w:ascii="Georgia" w:eastAsia="Calibri" w:hAnsi="Georgia"/>
          <w:sz w:val="22"/>
          <w:szCs w:val="22"/>
          <w:lang w:val="en"/>
        </w:rPr>
        <w:t xml:space="preserve"> standard CAGCs represent the other payer’s assignment of financial responsibility and CARCs represent the other payer’s reason for denial of the claim/claim detail line. Both pieces of information are critical for MassHealth to determine its financial responsibility for the claim/claim detail line and must be reported accurately on the claim. </w:t>
      </w:r>
    </w:p>
    <w:p w:rsidR="00C27787" w:rsidRPr="00D315EE" w:rsidRDefault="00C27787" w:rsidP="00836D22">
      <w:pPr>
        <w:tabs>
          <w:tab w:val="left" w:pos="10080"/>
        </w:tabs>
        <w:suppressAutoHyphens/>
        <w:spacing w:line="260" w:lineRule="exact"/>
        <w:ind w:left="9270" w:hanging="9270"/>
        <w:rPr>
          <w:rFonts w:ascii="Georgia" w:hAnsi="Georgia" w:cs="Arial"/>
          <w:sz w:val="12"/>
          <w:szCs w:val="12"/>
        </w:rPr>
      </w:pPr>
    </w:p>
    <w:p w:rsidR="00C27787" w:rsidRPr="00C27787" w:rsidRDefault="00C27787" w:rsidP="00C27787">
      <w:pPr>
        <w:ind w:left="540"/>
        <w:rPr>
          <w:rFonts w:ascii="Georgia" w:eastAsia="Calibri" w:hAnsi="Georgia"/>
          <w:sz w:val="22"/>
          <w:szCs w:val="22"/>
        </w:rPr>
      </w:pPr>
      <w:r w:rsidRPr="00C27787">
        <w:rPr>
          <w:rFonts w:ascii="Georgia" w:eastAsia="Calibri" w:hAnsi="Georgia"/>
          <w:sz w:val="22"/>
          <w:szCs w:val="22"/>
        </w:rPr>
        <w:t>Enhanced COB claim editing utilizing CAGC and CARC will be in effect for all claims adjudicated on or after December 17, 2017. This change will enforce MassHealth TPL regulations to ensure that MassHealth pays for claims/claim detail lines</w:t>
      </w:r>
      <w:r w:rsidR="00721832">
        <w:rPr>
          <w:rFonts w:ascii="Georgia" w:eastAsia="Calibri" w:hAnsi="Georgia"/>
          <w:sz w:val="22"/>
          <w:szCs w:val="22"/>
        </w:rPr>
        <w:t xml:space="preserve"> only</w:t>
      </w:r>
      <w:r w:rsidRPr="00C27787">
        <w:rPr>
          <w:rFonts w:ascii="Georgia" w:eastAsia="Calibri" w:hAnsi="Georgia"/>
          <w:sz w:val="22"/>
          <w:szCs w:val="22"/>
        </w:rPr>
        <w:t xml:space="preserve"> when there is a member liability and does not pay when the provider is financially obligated for the claim/claim detail line. Providers are reminded that they are prohibited from billing the patient when the CAGC indicates that the provider is financially obligated for the claim/claim detail.  </w:t>
      </w:r>
    </w:p>
    <w:p w:rsidR="00C27787" w:rsidRPr="00D315EE" w:rsidRDefault="00C27787" w:rsidP="00836D22">
      <w:pPr>
        <w:tabs>
          <w:tab w:val="left" w:pos="10080"/>
        </w:tabs>
        <w:suppressAutoHyphens/>
        <w:spacing w:line="260" w:lineRule="exact"/>
        <w:ind w:left="9270" w:hanging="9270"/>
        <w:rPr>
          <w:rFonts w:ascii="Georgia" w:hAnsi="Georgia" w:cs="Arial"/>
          <w:sz w:val="12"/>
          <w:szCs w:val="12"/>
        </w:rPr>
      </w:pPr>
    </w:p>
    <w:p w:rsidR="00C27787" w:rsidRDefault="00C27787" w:rsidP="00C27787">
      <w:pPr>
        <w:tabs>
          <w:tab w:val="left" w:pos="10080"/>
        </w:tabs>
        <w:suppressAutoHyphens/>
        <w:spacing w:line="260" w:lineRule="exact"/>
        <w:ind w:left="9270" w:hanging="8730"/>
        <w:rPr>
          <w:rFonts w:ascii="Georgia" w:eastAsia="Calibri" w:hAnsi="Georgia"/>
          <w:b/>
          <w:color w:val="1F497D"/>
          <w:sz w:val="24"/>
          <w:szCs w:val="24"/>
        </w:rPr>
      </w:pPr>
      <w:r>
        <w:rPr>
          <w:rFonts w:ascii="Georgia" w:eastAsia="Calibri" w:hAnsi="Georgia"/>
          <w:b/>
          <w:color w:val="1F497D"/>
          <w:sz w:val="24"/>
          <w:szCs w:val="24"/>
        </w:rPr>
        <w:t>New Claim Error Codes</w:t>
      </w:r>
    </w:p>
    <w:p w:rsidR="00C27787" w:rsidRPr="00D315EE" w:rsidRDefault="00C27787" w:rsidP="00836D22">
      <w:pPr>
        <w:tabs>
          <w:tab w:val="left" w:pos="10080"/>
        </w:tabs>
        <w:suppressAutoHyphens/>
        <w:spacing w:line="260" w:lineRule="exact"/>
        <w:ind w:left="9270" w:hanging="9270"/>
        <w:rPr>
          <w:rFonts w:ascii="Georgia" w:eastAsia="Calibri" w:hAnsi="Georgia"/>
          <w:b/>
          <w:color w:val="1F497D"/>
          <w:sz w:val="12"/>
          <w:szCs w:val="12"/>
        </w:rPr>
      </w:pPr>
    </w:p>
    <w:p w:rsidR="00C27787" w:rsidRPr="00C27787" w:rsidRDefault="00C27787" w:rsidP="005E4107">
      <w:pPr>
        <w:ind w:left="540"/>
        <w:rPr>
          <w:rFonts w:ascii="Georgia" w:eastAsia="Calibri" w:hAnsi="Georgia"/>
          <w:sz w:val="22"/>
          <w:szCs w:val="22"/>
        </w:rPr>
      </w:pPr>
      <w:r w:rsidRPr="00C27787">
        <w:rPr>
          <w:rFonts w:ascii="Georgia" w:eastAsia="Calibri" w:hAnsi="Georgia"/>
          <w:sz w:val="22"/>
          <w:szCs w:val="22"/>
        </w:rPr>
        <w:t>The following edits will set on claims/claim details lines that have been denied by</w:t>
      </w:r>
      <w:r w:rsidR="00BF098C">
        <w:rPr>
          <w:rFonts w:ascii="Georgia" w:eastAsia="Calibri" w:hAnsi="Georgia"/>
          <w:sz w:val="22"/>
          <w:szCs w:val="22"/>
        </w:rPr>
        <w:t xml:space="preserve"> </w:t>
      </w:r>
      <w:r w:rsidR="00760FD2">
        <w:rPr>
          <w:rFonts w:ascii="Georgia" w:eastAsia="Calibri" w:hAnsi="Georgia"/>
          <w:sz w:val="22"/>
          <w:szCs w:val="22"/>
        </w:rPr>
        <w:t xml:space="preserve">the </w:t>
      </w:r>
      <w:r w:rsidRPr="00C27787">
        <w:rPr>
          <w:rFonts w:ascii="Georgia" w:eastAsia="Calibri" w:hAnsi="Georgia"/>
          <w:sz w:val="22"/>
          <w:szCs w:val="22"/>
        </w:rPr>
        <w:t>other payer</w:t>
      </w:r>
      <w:r w:rsidR="008273E0">
        <w:rPr>
          <w:rFonts w:ascii="Georgia" w:eastAsia="Calibri" w:hAnsi="Georgia"/>
          <w:sz w:val="22"/>
          <w:szCs w:val="22"/>
        </w:rPr>
        <w:t>.</w:t>
      </w:r>
      <w:r w:rsidRPr="00C27787">
        <w:rPr>
          <w:rFonts w:ascii="Georgia" w:eastAsia="Calibri" w:hAnsi="Georgia"/>
          <w:sz w:val="22"/>
          <w:szCs w:val="22"/>
        </w:rPr>
        <w:t xml:space="preserve"> </w:t>
      </w:r>
    </w:p>
    <w:p w:rsidR="00C27787" w:rsidRPr="00D315EE" w:rsidRDefault="00C27787" w:rsidP="00C27787">
      <w:pPr>
        <w:rPr>
          <w:rFonts w:ascii="Georgia" w:eastAsia="Calibri" w:hAnsi="Georgia"/>
          <w:sz w:val="10"/>
          <w:szCs w:val="10"/>
        </w:rPr>
      </w:pPr>
    </w:p>
    <w:p w:rsidR="00C27787" w:rsidRPr="00C27787" w:rsidRDefault="00C27787" w:rsidP="00B21677">
      <w:pPr>
        <w:numPr>
          <w:ilvl w:val="0"/>
          <w:numId w:val="6"/>
        </w:numPr>
        <w:spacing w:line="259" w:lineRule="auto"/>
        <w:ind w:left="1260"/>
        <w:rPr>
          <w:rFonts w:ascii="Georgia" w:eastAsia="Calibri" w:hAnsi="Georgia"/>
          <w:sz w:val="22"/>
          <w:szCs w:val="22"/>
        </w:rPr>
      </w:pPr>
      <w:r w:rsidRPr="00C27787">
        <w:rPr>
          <w:rFonts w:ascii="Georgia" w:eastAsia="Calibri" w:hAnsi="Georgia"/>
          <w:sz w:val="22"/>
          <w:szCs w:val="22"/>
        </w:rPr>
        <w:t xml:space="preserve">2601 – Other payer denial payable </w:t>
      </w:r>
    </w:p>
    <w:p w:rsidR="00C27787" w:rsidRPr="00C27787" w:rsidRDefault="00C27787" w:rsidP="00B21677">
      <w:pPr>
        <w:numPr>
          <w:ilvl w:val="0"/>
          <w:numId w:val="6"/>
        </w:numPr>
        <w:spacing w:line="259" w:lineRule="auto"/>
        <w:ind w:left="1260"/>
        <w:rPr>
          <w:rFonts w:ascii="Georgia" w:eastAsia="Calibri" w:hAnsi="Georgia"/>
          <w:sz w:val="22"/>
          <w:szCs w:val="22"/>
        </w:rPr>
      </w:pPr>
      <w:r w:rsidRPr="00C27787">
        <w:rPr>
          <w:rFonts w:ascii="Georgia" w:eastAsia="Calibri" w:hAnsi="Georgia"/>
          <w:sz w:val="22"/>
          <w:szCs w:val="22"/>
        </w:rPr>
        <w:t xml:space="preserve">2602 – Other payer denial requires review </w:t>
      </w:r>
    </w:p>
    <w:p w:rsidR="00C27787" w:rsidRPr="00C27787" w:rsidRDefault="00C27787" w:rsidP="00B21677">
      <w:pPr>
        <w:numPr>
          <w:ilvl w:val="0"/>
          <w:numId w:val="6"/>
        </w:numPr>
        <w:spacing w:line="259" w:lineRule="auto"/>
        <w:ind w:left="1260"/>
        <w:rPr>
          <w:rFonts w:ascii="Georgia" w:eastAsia="Calibri" w:hAnsi="Georgia"/>
          <w:sz w:val="22"/>
          <w:szCs w:val="22"/>
        </w:rPr>
      </w:pPr>
      <w:r w:rsidRPr="00C27787">
        <w:rPr>
          <w:rFonts w:ascii="Georgia" w:eastAsia="Calibri" w:hAnsi="Georgia"/>
          <w:sz w:val="22"/>
          <w:szCs w:val="22"/>
        </w:rPr>
        <w:t>2603 – Other payer denial not payable per rules</w:t>
      </w:r>
    </w:p>
    <w:p w:rsidR="00C27787" w:rsidRPr="00C27787" w:rsidRDefault="00C27787" w:rsidP="00B21677">
      <w:pPr>
        <w:numPr>
          <w:ilvl w:val="0"/>
          <w:numId w:val="6"/>
        </w:numPr>
        <w:spacing w:line="259" w:lineRule="auto"/>
        <w:ind w:left="1260"/>
        <w:rPr>
          <w:rFonts w:ascii="Georgia" w:eastAsia="Calibri" w:hAnsi="Georgia"/>
          <w:sz w:val="22"/>
          <w:szCs w:val="22"/>
        </w:rPr>
      </w:pPr>
      <w:r w:rsidRPr="00C27787">
        <w:rPr>
          <w:rFonts w:ascii="Georgia" w:eastAsia="Calibri" w:hAnsi="Georgia"/>
          <w:sz w:val="22"/>
          <w:szCs w:val="22"/>
        </w:rPr>
        <w:t xml:space="preserve">2604 – Other payer denial not payable </w:t>
      </w:r>
    </w:p>
    <w:p w:rsidR="00C27787" w:rsidRPr="00D315EE" w:rsidRDefault="00C27787" w:rsidP="00836D22">
      <w:pPr>
        <w:tabs>
          <w:tab w:val="left" w:pos="10080"/>
        </w:tabs>
        <w:suppressAutoHyphens/>
        <w:spacing w:line="260" w:lineRule="exact"/>
        <w:ind w:left="9270" w:hanging="9270"/>
        <w:rPr>
          <w:rFonts w:ascii="Georgia" w:hAnsi="Georgia" w:cs="Arial"/>
          <w:sz w:val="10"/>
          <w:szCs w:val="10"/>
        </w:rPr>
      </w:pPr>
    </w:p>
    <w:p w:rsidR="005E4107" w:rsidRPr="005E4107" w:rsidRDefault="005E4107" w:rsidP="005E4107">
      <w:pPr>
        <w:ind w:firstLine="540"/>
        <w:rPr>
          <w:rFonts w:ascii="Georgia" w:eastAsia="Calibri" w:hAnsi="Georgia"/>
          <w:b/>
          <w:color w:val="1F497D"/>
          <w:sz w:val="24"/>
          <w:szCs w:val="24"/>
          <w:lang w:val="en"/>
        </w:rPr>
      </w:pPr>
      <w:r w:rsidRPr="005E4107">
        <w:rPr>
          <w:rFonts w:ascii="Georgia" w:eastAsia="Calibri" w:hAnsi="Georgia"/>
          <w:b/>
          <w:color w:val="1F497D"/>
          <w:sz w:val="24"/>
          <w:szCs w:val="24"/>
          <w:lang w:val="en"/>
        </w:rPr>
        <w:t>COB Claims Billing References</w:t>
      </w:r>
    </w:p>
    <w:p w:rsidR="005E4107" w:rsidRPr="00D315EE" w:rsidRDefault="005E4107" w:rsidP="00836D22">
      <w:pPr>
        <w:tabs>
          <w:tab w:val="left" w:pos="10080"/>
        </w:tabs>
        <w:suppressAutoHyphens/>
        <w:spacing w:line="260" w:lineRule="exact"/>
        <w:ind w:left="9270" w:hanging="9270"/>
        <w:rPr>
          <w:rFonts w:ascii="Georgia" w:hAnsi="Georgia" w:cs="Arial"/>
          <w:sz w:val="10"/>
          <w:szCs w:val="10"/>
        </w:rPr>
      </w:pPr>
    </w:p>
    <w:p w:rsidR="005E4107" w:rsidRPr="005E4107" w:rsidRDefault="005E4107" w:rsidP="005E4107">
      <w:pPr>
        <w:ind w:left="540"/>
        <w:rPr>
          <w:rFonts w:ascii="Georgia" w:eastAsia="Calibri" w:hAnsi="Georgia"/>
          <w:sz w:val="22"/>
          <w:szCs w:val="22"/>
          <w:lang w:val="en"/>
        </w:rPr>
      </w:pPr>
      <w:r w:rsidRPr="005E4107">
        <w:rPr>
          <w:rFonts w:ascii="Georgia" w:eastAsia="Calibri" w:hAnsi="Georgia"/>
          <w:sz w:val="22"/>
          <w:szCs w:val="22"/>
          <w:lang w:val="en"/>
        </w:rPr>
        <w:t xml:space="preserve">Providers should refer to </w:t>
      </w:r>
      <w:r w:rsidR="001C2897">
        <w:rPr>
          <w:rFonts w:ascii="Georgia" w:eastAsia="Calibri" w:hAnsi="Georgia"/>
          <w:sz w:val="22"/>
          <w:szCs w:val="22"/>
          <w:lang w:val="en"/>
        </w:rPr>
        <w:t xml:space="preserve">the </w:t>
      </w:r>
      <w:r w:rsidRPr="005E4107">
        <w:rPr>
          <w:rFonts w:ascii="Georgia" w:eastAsia="Calibri" w:hAnsi="Georgia"/>
          <w:sz w:val="22"/>
          <w:szCs w:val="22"/>
          <w:lang w:val="en"/>
        </w:rPr>
        <w:t xml:space="preserve">following regulations and guides located in the provider manual when submitting COB claims: </w:t>
      </w:r>
    </w:p>
    <w:p w:rsidR="005E4107" w:rsidRPr="00D315EE" w:rsidRDefault="005E4107" w:rsidP="005E4107">
      <w:pPr>
        <w:rPr>
          <w:rFonts w:ascii="Georgia" w:eastAsia="Calibri" w:hAnsi="Georgia"/>
          <w:sz w:val="10"/>
          <w:szCs w:val="10"/>
        </w:rPr>
      </w:pPr>
    </w:p>
    <w:p w:rsidR="005E4107" w:rsidRPr="005E4107" w:rsidRDefault="00AA6B74" w:rsidP="00B21677">
      <w:pPr>
        <w:numPr>
          <w:ilvl w:val="0"/>
          <w:numId w:val="7"/>
        </w:numPr>
        <w:spacing w:line="259" w:lineRule="auto"/>
        <w:ind w:left="1260"/>
        <w:rPr>
          <w:rFonts w:ascii="Georgia" w:eastAsia="Calibri" w:hAnsi="Georgia"/>
          <w:sz w:val="22"/>
          <w:szCs w:val="22"/>
        </w:rPr>
      </w:pPr>
      <w:hyperlink r:id="rId19" w:history="1">
        <w:r w:rsidR="005E4107" w:rsidRPr="001D0C60">
          <w:rPr>
            <w:rStyle w:val="Hyperlink"/>
            <w:rFonts w:ascii="Georgia" w:eastAsia="Calibri" w:hAnsi="Georgia"/>
            <w:sz w:val="22"/>
            <w:szCs w:val="22"/>
          </w:rPr>
          <w:t>MassHealth Administrative and Billing Regulations</w:t>
        </w:r>
      </w:hyperlink>
      <w:r w:rsidR="005E4107" w:rsidRPr="005E4107">
        <w:rPr>
          <w:rFonts w:ascii="Georgia" w:eastAsia="Calibri" w:hAnsi="Georgia"/>
          <w:sz w:val="22"/>
          <w:szCs w:val="22"/>
        </w:rPr>
        <w:t xml:space="preserve"> at 130 CMR 450.316 through 450.318</w:t>
      </w:r>
      <w:r w:rsidR="001C2897">
        <w:rPr>
          <w:rFonts w:ascii="Georgia" w:eastAsia="Calibri" w:hAnsi="Georgia"/>
          <w:sz w:val="22"/>
          <w:szCs w:val="22"/>
        </w:rPr>
        <w:t>; and</w:t>
      </w:r>
    </w:p>
    <w:p w:rsidR="005E4107" w:rsidRPr="005E4107" w:rsidRDefault="00AA6B74" w:rsidP="00B21677">
      <w:pPr>
        <w:numPr>
          <w:ilvl w:val="0"/>
          <w:numId w:val="7"/>
        </w:numPr>
        <w:spacing w:line="259" w:lineRule="auto"/>
        <w:ind w:left="1260"/>
        <w:rPr>
          <w:rFonts w:ascii="Georgia" w:eastAsia="Calibri" w:hAnsi="Georgia"/>
          <w:sz w:val="22"/>
          <w:szCs w:val="22"/>
        </w:rPr>
      </w:pPr>
      <w:hyperlink r:id="rId20" w:history="1">
        <w:r w:rsidR="005E4107" w:rsidRPr="001D0C60">
          <w:rPr>
            <w:rStyle w:val="Hyperlink"/>
            <w:rFonts w:ascii="Georgia" w:eastAsia="Calibri" w:hAnsi="Georgia"/>
            <w:sz w:val="22"/>
            <w:szCs w:val="22"/>
          </w:rPr>
          <w:t>Sub Chapter 5: Administrative and Billing Instructions, Part 7.</w:t>
        </w:r>
        <w:r w:rsidR="001C2897" w:rsidRPr="001D0C60">
          <w:rPr>
            <w:rStyle w:val="Hyperlink"/>
            <w:rFonts w:ascii="Georgia" w:eastAsia="Calibri" w:hAnsi="Georgia"/>
            <w:sz w:val="22"/>
            <w:szCs w:val="22"/>
          </w:rPr>
          <w:t xml:space="preserve"> </w:t>
        </w:r>
        <w:r w:rsidR="005E4107" w:rsidRPr="001D0C60">
          <w:rPr>
            <w:rStyle w:val="Hyperlink"/>
            <w:rFonts w:ascii="Georgia" w:eastAsia="Calibri" w:hAnsi="Georgia"/>
            <w:sz w:val="22"/>
            <w:szCs w:val="22"/>
          </w:rPr>
          <w:t>Other Insurance</w:t>
        </w:r>
      </w:hyperlink>
      <w:r w:rsidR="00855A1C">
        <w:rPr>
          <w:rFonts w:ascii="Georgia" w:eastAsia="Calibri" w:hAnsi="Georgia"/>
          <w:sz w:val="22"/>
          <w:szCs w:val="22"/>
        </w:rPr>
        <w:t>.</w:t>
      </w:r>
      <w:r w:rsidR="005E4107" w:rsidRPr="005E4107">
        <w:rPr>
          <w:rFonts w:ascii="Georgia" w:eastAsia="Calibri" w:hAnsi="Georgia"/>
          <w:sz w:val="22"/>
          <w:szCs w:val="22"/>
        </w:rPr>
        <w:t xml:space="preserve"> </w:t>
      </w:r>
    </w:p>
    <w:p w:rsidR="005E4107" w:rsidRPr="00D315EE" w:rsidRDefault="005E4107" w:rsidP="00836D22">
      <w:pPr>
        <w:tabs>
          <w:tab w:val="left" w:pos="10080"/>
        </w:tabs>
        <w:suppressAutoHyphens/>
        <w:spacing w:line="260" w:lineRule="exact"/>
        <w:ind w:left="9270" w:hanging="9270"/>
        <w:rPr>
          <w:rFonts w:ascii="Georgia" w:hAnsi="Georgia" w:cs="Arial"/>
          <w:sz w:val="10"/>
          <w:szCs w:val="10"/>
        </w:rPr>
      </w:pPr>
    </w:p>
    <w:p w:rsidR="005E4107" w:rsidRPr="005E4107" w:rsidRDefault="005E4107" w:rsidP="005E4107">
      <w:pPr>
        <w:ind w:left="540"/>
        <w:rPr>
          <w:rFonts w:ascii="Georgia" w:eastAsia="Calibri" w:hAnsi="Georgia"/>
          <w:sz w:val="22"/>
          <w:szCs w:val="22"/>
        </w:rPr>
      </w:pPr>
      <w:r w:rsidRPr="005E4107">
        <w:rPr>
          <w:rFonts w:ascii="Georgia" w:eastAsia="Calibri" w:hAnsi="Georgia"/>
          <w:sz w:val="22"/>
          <w:szCs w:val="22"/>
        </w:rPr>
        <w:t xml:space="preserve">To download Provider Online Service Center (POSC) Job Aids for COB claims submissions, go to </w:t>
      </w:r>
      <w:hyperlink r:id="rId21" w:history="1">
        <w:r w:rsidRPr="005E4107">
          <w:rPr>
            <w:rFonts w:ascii="Georgia" w:eastAsia="Calibri" w:hAnsi="Georgia"/>
            <w:color w:val="0000FF"/>
            <w:sz w:val="22"/>
            <w:szCs w:val="22"/>
            <w:u w:val="single"/>
          </w:rPr>
          <w:t>http://www.mass.gov/eohhs/gov/newsroom/masshealth/providers/mmis-posc/training/get-trained.html</w:t>
        </w:r>
      </w:hyperlink>
      <w:r w:rsidR="00745271">
        <w:rPr>
          <w:rFonts w:ascii="Georgia" w:eastAsia="Calibri" w:hAnsi="Georgia"/>
          <w:color w:val="0000FF"/>
          <w:sz w:val="22"/>
          <w:szCs w:val="22"/>
          <w:u w:val="single"/>
        </w:rPr>
        <w:t>.</w:t>
      </w:r>
    </w:p>
    <w:p w:rsidR="00855A1C" w:rsidRPr="003F56EC" w:rsidRDefault="00855A1C" w:rsidP="00855A1C">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(continued on next page)</w:t>
      </w:r>
    </w:p>
    <w:p w:rsidR="001C357C" w:rsidRDefault="001C357C" w:rsidP="00287894">
      <w:pPr>
        <w:ind w:left="3456" w:right="576" w:hanging="2880"/>
        <w:rPr>
          <w:rFonts w:ascii="Georgia" w:hAnsi="Georgia" w:cs="Arial"/>
          <w:b/>
          <w:color w:val="1F497D"/>
          <w:sz w:val="24"/>
          <w:szCs w:val="24"/>
        </w:rPr>
      </w:pPr>
    </w:p>
    <w:p w:rsidR="0055285B" w:rsidRPr="001433E7" w:rsidRDefault="0055285B" w:rsidP="0055285B">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55285B" w:rsidRPr="001433E7" w:rsidRDefault="0055285B" w:rsidP="0055285B">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 xml:space="preserve">All Provider </w:t>
      </w:r>
      <w:r w:rsidRPr="001433E7">
        <w:rPr>
          <w:rFonts w:ascii="Georgia" w:hAnsi="Georgia" w:cs="Arial"/>
          <w:color w:val="1F497D"/>
          <w:szCs w:val="22"/>
        </w:rPr>
        <w:t>Bulletin</w:t>
      </w:r>
      <w:r w:rsidR="00296F0D">
        <w:rPr>
          <w:rFonts w:ascii="Georgia" w:hAnsi="Georgia" w:cs="Arial"/>
          <w:color w:val="1F497D"/>
          <w:szCs w:val="22"/>
        </w:rPr>
        <w:t xml:space="preserve"> 273</w:t>
      </w:r>
    </w:p>
    <w:p w:rsidR="0055285B" w:rsidRPr="001433E7" w:rsidRDefault="00E86674" w:rsidP="0055285B">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Novem</w:t>
      </w:r>
      <w:r w:rsidR="0055285B">
        <w:rPr>
          <w:rFonts w:ascii="Georgia" w:hAnsi="Georgia" w:cs="Arial"/>
          <w:color w:val="1F497D"/>
          <w:szCs w:val="22"/>
        </w:rPr>
        <w:t>ber 2017</w:t>
      </w:r>
      <w:r w:rsidR="0055285B" w:rsidRPr="001433E7">
        <w:rPr>
          <w:rFonts w:ascii="Georgia" w:hAnsi="Georgia" w:cs="Arial"/>
          <w:color w:val="1F497D"/>
          <w:szCs w:val="22"/>
        </w:rPr>
        <w:t xml:space="preserve"> </w:t>
      </w:r>
    </w:p>
    <w:p w:rsidR="00761B78" w:rsidRPr="003B6523" w:rsidRDefault="0055285B" w:rsidP="003B6523">
      <w:pPr>
        <w:ind w:left="4320" w:right="576" w:firstLine="720"/>
        <w:rPr>
          <w:rFonts w:ascii="Georgia" w:hAnsi="Georgia" w:cs="Arial"/>
          <w:b/>
          <w:color w:val="1F497D"/>
          <w:sz w:val="22"/>
          <w:szCs w:val="22"/>
        </w:rPr>
        <w:sectPr w:rsidR="00761B78" w:rsidRPr="003B6523" w:rsidSect="004B165B">
          <w:headerReference w:type="default" r:id="rId22"/>
          <w:footerReference w:type="default" r:id="rId23"/>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pPr>
      <w:r w:rsidRPr="003B6523">
        <w:rPr>
          <w:rFonts w:ascii="Georgia" w:hAnsi="Georgia" w:cs="Arial"/>
          <w:b/>
          <w:color w:val="1F497D"/>
          <w:sz w:val="22"/>
          <w:szCs w:val="22"/>
        </w:rPr>
        <w:t>Page</w:t>
      </w:r>
      <w:r w:rsidR="00B37677">
        <w:rPr>
          <w:rFonts w:ascii="Georgia" w:hAnsi="Georgia" w:cs="Arial"/>
          <w:b/>
          <w:color w:val="1F497D"/>
          <w:sz w:val="22"/>
          <w:szCs w:val="22"/>
        </w:rPr>
        <w:t xml:space="preserve"> 3</w:t>
      </w:r>
    </w:p>
    <w:p w:rsidR="005E4107" w:rsidRDefault="005E4107" w:rsidP="00287894">
      <w:pPr>
        <w:ind w:left="3456" w:right="576" w:hanging="2880"/>
        <w:rPr>
          <w:rFonts w:ascii="Georgia" w:hAnsi="Georgia" w:cs="Arial"/>
          <w:b/>
          <w:color w:val="1F497D"/>
          <w:sz w:val="24"/>
          <w:szCs w:val="24"/>
        </w:rPr>
      </w:pPr>
    </w:p>
    <w:p w:rsidR="001C357C" w:rsidRPr="005E4107" w:rsidRDefault="001C357C" w:rsidP="001C357C">
      <w:pPr>
        <w:ind w:firstLine="540"/>
        <w:rPr>
          <w:rFonts w:ascii="Georgia" w:eastAsia="Calibri" w:hAnsi="Georgia"/>
          <w:b/>
          <w:color w:val="1F497D"/>
          <w:sz w:val="24"/>
          <w:szCs w:val="24"/>
          <w:lang w:val="en"/>
        </w:rPr>
      </w:pPr>
      <w:r w:rsidRPr="005E4107">
        <w:rPr>
          <w:rFonts w:ascii="Georgia" w:eastAsia="Calibri" w:hAnsi="Georgia"/>
          <w:b/>
          <w:color w:val="1F497D"/>
          <w:sz w:val="24"/>
          <w:szCs w:val="24"/>
          <w:lang w:val="en"/>
        </w:rPr>
        <w:t>COB Claims Billing References</w:t>
      </w:r>
      <w:r w:rsidR="00314C5F">
        <w:rPr>
          <w:rFonts w:ascii="Georgia" w:eastAsia="Calibri" w:hAnsi="Georgia"/>
          <w:b/>
          <w:color w:val="1F497D"/>
          <w:sz w:val="24"/>
          <w:szCs w:val="24"/>
          <w:lang w:val="en"/>
        </w:rPr>
        <w:t xml:space="preserve"> </w:t>
      </w:r>
      <w:r w:rsidR="00314C5F" w:rsidRPr="00314C5F">
        <w:rPr>
          <w:rFonts w:ascii="Georgia" w:eastAsia="Calibri" w:hAnsi="Georgia"/>
          <w:b/>
          <w:i/>
          <w:color w:val="1F497D"/>
          <w:sz w:val="24"/>
          <w:szCs w:val="24"/>
          <w:lang w:val="en"/>
        </w:rPr>
        <w:t>(cont.)</w:t>
      </w:r>
    </w:p>
    <w:p w:rsidR="001C357C" w:rsidRDefault="001C357C" w:rsidP="00287894">
      <w:pPr>
        <w:ind w:left="3456" w:right="576" w:hanging="2880"/>
        <w:rPr>
          <w:rFonts w:ascii="Georgia" w:hAnsi="Georgia" w:cs="Arial"/>
          <w:b/>
          <w:color w:val="1F497D"/>
          <w:sz w:val="24"/>
          <w:szCs w:val="24"/>
        </w:rPr>
      </w:pPr>
    </w:p>
    <w:p w:rsidR="00314C5F" w:rsidRPr="00314C5F" w:rsidRDefault="00314C5F" w:rsidP="00314C5F">
      <w:pPr>
        <w:ind w:left="540"/>
        <w:rPr>
          <w:rFonts w:ascii="Georgia" w:eastAsia="Calibri" w:hAnsi="Georgia"/>
          <w:sz w:val="22"/>
          <w:szCs w:val="22"/>
          <w:lang w:val="en"/>
        </w:rPr>
      </w:pPr>
      <w:r w:rsidRPr="00314C5F">
        <w:rPr>
          <w:rFonts w:ascii="Georgia" w:eastAsia="Calibri" w:hAnsi="Georgia"/>
          <w:sz w:val="22"/>
          <w:szCs w:val="22"/>
          <w:lang w:val="en"/>
        </w:rPr>
        <w:t>To request a copy of any of the MassHealth Companion Guides please contact MassHealth Customer Service at 1-800-841-2900.</w:t>
      </w:r>
    </w:p>
    <w:p w:rsidR="001C357C" w:rsidRDefault="001C357C" w:rsidP="00287894">
      <w:pPr>
        <w:ind w:left="3456" w:right="576" w:hanging="2880"/>
        <w:rPr>
          <w:rFonts w:ascii="Georgia" w:hAnsi="Georgia" w:cs="Arial"/>
          <w:b/>
          <w:color w:val="1F497D"/>
          <w:sz w:val="24"/>
          <w:szCs w:val="24"/>
        </w:rPr>
      </w:pPr>
    </w:p>
    <w:p w:rsidR="00836D22" w:rsidRPr="00C66371" w:rsidRDefault="00836D22" w:rsidP="00287894">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836D22" w:rsidRPr="001B792F"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Pr="001B792F">
        <w:rPr>
          <w:rFonts w:ascii="Georgia" w:hAnsi="Georgia" w:cs="Arial"/>
          <w:sz w:val="22"/>
          <w:szCs w:val="22"/>
        </w:rPr>
        <w:t xml:space="preserve"> at 1-800-841-2900,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24"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or fax your inquiry to 617</w:t>
      </w:r>
      <w:r w:rsidRPr="001B792F">
        <w:rPr>
          <w:rFonts w:ascii="Georgia" w:hAnsi="Georgia" w:cs="Arial"/>
          <w:sz w:val="22"/>
          <w:szCs w:val="22"/>
        </w:rPr>
        <w:noBreakHyphen/>
        <w:t>988</w:t>
      </w:r>
      <w:r w:rsidRPr="001B792F">
        <w:rPr>
          <w:rFonts w:ascii="Georgia" w:hAnsi="Georgia" w:cs="Arial"/>
          <w:sz w:val="22"/>
          <w:szCs w:val="22"/>
        </w:rPr>
        <w:noBreakHyphen/>
        <w:t>8974.</w:t>
      </w:r>
    </w:p>
    <w:p w:rsidR="003F56EC" w:rsidRDefault="003F56EC" w:rsidP="00287894">
      <w:pPr>
        <w:ind w:left="576" w:right="576"/>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1C357C" w:rsidRDefault="003F56EC" w:rsidP="003F56EC">
      <w:pPr>
        <w:tabs>
          <w:tab w:val="left" w:pos="6900"/>
        </w:tabs>
        <w:rPr>
          <w:rFonts w:ascii="Georgia" w:hAnsi="Georgia" w:cs="Arial"/>
          <w:sz w:val="22"/>
          <w:szCs w:val="22"/>
        </w:rPr>
      </w:pPr>
      <w:r>
        <w:rPr>
          <w:rFonts w:ascii="Georgia" w:hAnsi="Georgia" w:cs="Arial"/>
          <w:sz w:val="22"/>
          <w:szCs w:val="22"/>
        </w:rPr>
        <w:tab/>
      </w:r>
    </w:p>
    <w:p w:rsidR="001C357C" w:rsidRPr="001C357C" w:rsidRDefault="001C357C" w:rsidP="001C357C">
      <w:pPr>
        <w:rPr>
          <w:rFonts w:ascii="Georgia" w:hAnsi="Georgia" w:cs="Arial"/>
          <w:sz w:val="22"/>
          <w:szCs w:val="22"/>
        </w:rPr>
      </w:pPr>
    </w:p>
    <w:p w:rsidR="001C357C" w:rsidRPr="001C357C" w:rsidRDefault="001C357C" w:rsidP="001C357C">
      <w:pPr>
        <w:rPr>
          <w:rFonts w:ascii="Georgia" w:hAnsi="Georgia" w:cs="Arial"/>
          <w:sz w:val="22"/>
          <w:szCs w:val="22"/>
        </w:rPr>
      </w:pPr>
    </w:p>
    <w:p w:rsidR="001C357C" w:rsidRPr="001C357C" w:rsidRDefault="001C357C" w:rsidP="001C357C">
      <w:pPr>
        <w:rPr>
          <w:rFonts w:ascii="Georgia" w:hAnsi="Georgia" w:cs="Arial"/>
          <w:sz w:val="22"/>
          <w:szCs w:val="22"/>
        </w:rPr>
      </w:pPr>
    </w:p>
    <w:p w:rsidR="001C357C" w:rsidRPr="001C357C" w:rsidRDefault="001C357C" w:rsidP="001C357C">
      <w:pPr>
        <w:rPr>
          <w:rFonts w:ascii="Georgia" w:hAnsi="Georgia" w:cs="Arial"/>
          <w:sz w:val="22"/>
          <w:szCs w:val="22"/>
        </w:rPr>
      </w:pPr>
    </w:p>
    <w:p w:rsidR="001C357C" w:rsidRPr="001C357C" w:rsidRDefault="001C357C" w:rsidP="001C357C">
      <w:pPr>
        <w:rPr>
          <w:rFonts w:ascii="Georgia" w:hAnsi="Georgia" w:cs="Arial"/>
          <w:sz w:val="22"/>
          <w:szCs w:val="22"/>
        </w:rPr>
      </w:pPr>
    </w:p>
    <w:p w:rsidR="001C357C" w:rsidRPr="001C357C" w:rsidRDefault="001C357C" w:rsidP="001C357C">
      <w:pPr>
        <w:rPr>
          <w:rFonts w:ascii="Georgia" w:hAnsi="Georgia" w:cs="Arial"/>
          <w:sz w:val="22"/>
          <w:szCs w:val="22"/>
        </w:rPr>
      </w:pPr>
    </w:p>
    <w:p w:rsidR="001C357C" w:rsidRPr="001C357C" w:rsidRDefault="001C357C" w:rsidP="001C357C">
      <w:pPr>
        <w:rPr>
          <w:rFonts w:ascii="Georgia" w:hAnsi="Georgia" w:cs="Arial"/>
          <w:sz w:val="22"/>
          <w:szCs w:val="22"/>
        </w:rPr>
      </w:pPr>
    </w:p>
    <w:p w:rsidR="001C357C" w:rsidRPr="001C357C" w:rsidRDefault="001C357C" w:rsidP="001C357C">
      <w:pPr>
        <w:rPr>
          <w:rFonts w:ascii="Georgia" w:hAnsi="Georgia" w:cs="Arial"/>
          <w:sz w:val="22"/>
          <w:szCs w:val="22"/>
        </w:rPr>
      </w:pPr>
    </w:p>
    <w:p w:rsidR="001C357C" w:rsidRDefault="001C357C" w:rsidP="00D315EE">
      <w:pPr>
        <w:ind w:right="576"/>
        <w:jc w:val="both"/>
        <w:rPr>
          <w:rFonts w:ascii="Georgia" w:hAnsi="Georgia" w:cs="Arial"/>
          <w:b/>
          <w:color w:val="1F497D"/>
          <w:sz w:val="24"/>
          <w:szCs w:val="24"/>
        </w:rPr>
      </w:pPr>
      <w:r>
        <w:rPr>
          <w:rFonts w:ascii="Georgia" w:hAnsi="Georgia" w:cs="Arial"/>
          <w:sz w:val="22"/>
          <w:szCs w:val="22"/>
        </w:rPr>
        <w:tab/>
      </w:r>
      <w:r>
        <w:rPr>
          <w:rFonts w:ascii="Georgia" w:hAnsi="Georgia" w:cs="Arial"/>
          <w:sz w:val="22"/>
          <w:szCs w:val="22"/>
        </w:rPr>
        <w:tab/>
      </w:r>
      <w:r w:rsidR="00D315EE">
        <w:rPr>
          <w:rFonts w:ascii="Georgia" w:hAnsi="Georgia" w:cs="Arial"/>
          <w:sz w:val="22"/>
          <w:szCs w:val="22"/>
        </w:rPr>
        <w:tab/>
      </w:r>
      <w:r w:rsidR="00D315EE">
        <w:rPr>
          <w:rFonts w:ascii="Georgia" w:hAnsi="Georgia" w:cs="Arial"/>
          <w:sz w:val="22"/>
          <w:szCs w:val="22"/>
        </w:rPr>
        <w:tab/>
      </w:r>
      <w:r w:rsidR="00D315EE">
        <w:rPr>
          <w:rFonts w:ascii="Georgia" w:hAnsi="Georgia" w:cs="Arial"/>
          <w:sz w:val="22"/>
          <w:szCs w:val="22"/>
        </w:rPr>
        <w:tab/>
      </w:r>
      <w:r w:rsidR="00D315EE">
        <w:rPr>
          <w:rFonts w:ascii="Georgia" w:hAnsi="Georgia" w:cs="Arial"/>
          <w:sz w:val="22"/>
          <w:szCs w:val="22"/>
        </w:rPr>
        <w:tab/>
      </w:r>
      <w:r w:rsidR="00D315EE">
        <w:rPr>
          <w:rFonts w:ascii="Georgia" w:hAnsi="Georgia" w:cs="Arial"/>
          <w:sz w:val="22"/>
          <w:szCs w:val="22"/>
        </w:rPr>
        <w:tab/>
      </w:r>
      <w:r w:rsidR="00D315EE">
        <w:rPr>
          <w:rFonts w:ascii="Georgia" w:hAnsi="Georgia" w:cs="Arial"/>
          <w:sz w:val="22"/>
          <w:szCs w:val="22"/>
        </w:rPr>
        <w:tab/>
      </w:r>
      <w:r w:rsidRPr="003F56EC">
        <w:rPr>
          <w:rStyle w:val="Hyperlink"/>
          <w:rFonts w:ascii="Bookman Old Style" w:hAnsi="Bookman Old Style"/>
          <w:i/>
          <w:color w:val="auto"/>
          <w:u w:val="none"/>
        </w:rPr>
        <w:t xml:space="preserve">Follow us on Twitter </w:t>
      </w:r>
      <w:hyperlink r:id="rId25" w:history="1">
        <w:r w:rsidRPr="003F56EC">
          <w:rPr>
            <w:rStyle w:val="Hyperlink"/>
            <w:rFonts w:ascii="Bookman Old Style" w:hAnsi="Bookman Old Style"/>
            <w:b/>
            <w:i/>
          </w:rPr>
          <w:t>@MassHealth</w:t>
        </w:r>
      </w:hyperlink>
    </w:p>
    <w:sectPr w:rsidR="001C357C" w:rsidSect="004B165B">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C6A" w:rsidRDefault="009B7C6A" w:rsidP="00D65B5E">
      <w:r>
        <w:separator/>
      </w:r>
    </w:p>
  </w:endnote>
  <w:endnote w:type="continuationSeparator" w:id="0">
    <w:p w:rsidR="009B7C6A" w:rsidRDefault="009B7C6A"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29" w:rsidRDefault="004D3729" w:rsidP="004D3729">
    <w:pPr>
      <w:tabs>
        <w:tab w:val="left" w:pos="5040"/>
        <w:tab w:val="left" w:pos="6555"/>
        <w:tab w:val="right" w:pos="10080"/>
      </w:tabs>
      <w:suppressAutoHyphens/>
      <w:ind w:firstLine="540"/>
      <w:jc w:val="right"/>
      <w:rPr>
        <w:rStyle w:val="Hyperlink"/>
        <w:rFonts w:ascii="Bookman Old Style" w:hAnsi="Bookman Old Style"/>
        <w:i/>
        <w:color w:val="auto"/>
        <w:u w:val="none"/>
      </w:rPr>
    </w:pPr>
    <w:r>
      <w:rPr>
        <w:rFonts w:ascii="Bookman Old Style" w:hAnsi="Bookman Old Style"/>
        <w:i/>
      </w:rPr>
      <w:tab/>
    </w: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4D3729">
    <w:pPr>
      <w:tabs>
        <w:tab w:val="left" w:pos="8214"/>
      </w:tabs>
      <w:suppressAutoHyphens/>
      <w:ind w:firstLine="540"/>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7C" w:rsidRPr="003F56EC" w:rsidRDefault="001C357C" w:rsidP="004D3729">
    <w:pPr>
      <w:tabs>
        <w:tab w:val="left" w:pos="8214"/>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C6A" w:rsidRDefault="009B7C6A" w:rsidP="00D65B5E">
      <w:r>
        <w:separator/>
      </w:r>
    </w:p>
  </w:footnote>
  <w:footnote w:type="continuationSeparator" w:id="0">
    <w:p w:rsidR="009B7C6A" w:rsidRDefault="009B7C6A"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F752B7F"/>
    <w:multiLevelType w:val="hybridMultilevel"/>
    <w:tmpl w:val="7DFCC680"/>
    <w:lvl w:ilvl="0" w:tplc="582017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7A49A8"/>
    <w:multiLevelType w:val="hybridMultilevel"/>
    <w:tmpl w:val="CA9A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123B97"/>
    <w:multiLevelType w:val="hybridMultilevel"/>
    <w:tmpl w:val="AF90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5F4F3769"/>
    <w:multiLevelType w:val="hybridMultilevel"/>
    <w:tmpl w:val="DAA8DAB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47AA1"/>
    <w:rsid w:val="00051A74"/>
    <w:rsid w:val="00051CB0"/>
    <w:rsid w:val="000561F1"/>
    <w:rsid w:val="00081D68"/>
    <w:rsid w:val="0008203E"/>
    <w:rsid w:val="000A0245"/>
    <w:rsid w:val="000A0662"/>
    <w:rsid w:val="000A2769"/>
    <w:rsid w:val="000B0C4A"/>
    <w:rsid w:val="000B6C3A"/>
    <w:rsid w:val="000C085A"/>
    <w:rsid w:val="000E1398"/>
    <w:rsid w:val="000F3698"/>
    <w:rsid w:val="000F5EDD"/>
    <w:rsid w:val="0010460D"/>
    <w:rsid w:val="001100D4"/>
    <w:rsid w:val="00111F24"/>
    <w:rsid w:val="00122FC2"/>
    <w:rsid w:val="001341D1"/>
    <w:rsid w:val="001433E7"/>
    <w:rsid w:val="00144477"/>
    <w:rsid w:val="0015177D"/>
    <w:rsid w:val="00153CFF"/>
    <w:rsid w:val="00163194"/>
    <w:rsid w:val="00165D0F"/>
    <w:rsid w:val="00173613"/>
    <w:rsid w:val="0017554B"/>
    <w:rsid w:val="0019295A"/>
    <w:rsid w:val="001954D2"/>
    <w:rsid w:val="0019652F"/>
    <w:rsid w:val="001A369C"/>
    <w:rsid w:val="001B792F"/>
    <w:rsid w:val="001C194D"/>
    <w:rsid w:val="001C2897"/>
    <w:rsid w:val="001C357C"/>
    <w:rsid w:val="001D0C60"/>
    <w:rsid w:val="001D63E2"/>
    <w:rsid w:val="00204BAE"/>
    <w:rsid w:val="00241C06"/>
    <w:rsid w:val="00253ED3"/>
    <w:rsid w:val="00277E30"/>
    <w:rsid w:val="00286E7B"/>
    <w:rsid w:val="00287894"/>
    <w:rsid w:val="00296F0D"/>
    <w:rsid w:val="002A3149"/>
    <w:rsid w:val="002B3CFE"/>
    <w:rsid w:val="002B3DD7"/>
    <w:rsid w:val="002B5624"/>
    <w:rsid w:val="002B5B63"/>
    <w:rsid w:val="002B7FE1"/>
    <w:rsid w:val="002C4BD7"/>
    <w:rsid w:val="002F0836"/>
    <w:rsid w:val="00300B78"/>
    <w:rsid w:val="00314C5F"/>
    <w:rsid w:val="00331AAC"/>
    <w:rsid w:val="003456F5"/>
    <w:rsid w:val="00346BC5"/>
    <w:rsid w:val="00346CA3"/>
    <w:rsid w:val="00355078"/>
    <w:rsid w:val="0035533A"/>
    <w:rsid w:val="003560CD"/>
    <w:rsid w:val="00367BD7"/>
    <w:rsid w:val="00367D15"/>
    <w:rsid w:val="00376B20"/>
    <w:rsid w:val="00386528"/>
    <w:rsid w:val="00392917"/>
    <w:rsid w:val="00396FB3"/>
    <w:rsid w:val="003A0EBE"/>
    <w:rsid w:val="003A1405"/>
    <w:rsid w:val="003A2475"/>
    <w:rsid w:val="003A456A"/>
    <w:rsid w:val="003B3AED"/>
    <w:rsid w:val="003B6523"/>
    <w:rsid w:val="003C1569"/>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C0D0B"/>
    <w:rsid w:val="004D3729"/>
    <w:rsid w:val="004D417B"/>
    <w:rsid w:val="004D7CEC"/>
    <w:rsid w:val="004E1DB1"/>
    <w:rsid w:val="004E6B5D"/>
    <w:rsid w:val="004F09A1"/>
    <w:rsid w:val="004F347E"/>
    <w:rsid w:val="00511E42"/>
    <w:rsid w:val="005157F4"/>
    <w:rsid w:val="00530C00"/>
    <w:rsid w:val="00540E00"/>
    <w:rsid w:val="00544D3B"/>
    <w:rsid w:val="005475A4"/>
    <w:rsid w:val="0055285B"/>
    <w:rsid w:val="00566F08"/>
    <w:rsid w:val="00590CCB"/>
    <w:rsid w:val="005A5D1C"/>
    <w:rsid w:val="005B1886"/>
    <w:rsid w:val="005B5B80"/>
    <w:rsid w:val="005C0B08"/>
    <w:rsid w:val="005C179E"/>
    <w:rsid w:val="005C760F"/>
    <w:rsid w:val="005D1075"/>
    <w:rsid w:val="005D1E2A"/>
    <w:rsid w:val="005D24AD"/>
    <w:rsid w:val="005E124D"/>
    <w:rsid w:val="005E4107"/>
    <w:rsid w:val="005E4CC2"/>
    <w:rsid w:val="005F06C2"/>
    <w:rsid w:val="005F4949"/>
    <w:rsid w:val="00617D15"/>
    <w:rsid w:val="00620A4F"/>
    <w:rsid w:val="00621F13"/>
    <w:rsid w:val="00640A54"/>
    <w:rsid w:val="00661476"/>
    <w:rsid w:val="006621A1"/>
    <w:rsid w:val="00684368"/>
    <w:rsid w:val="0069586B"/>
    <w:rsid w:val="00695CC0"/>
    <w:rsid w:val="006B22E3"/>
    <w:rsid w:val="006B4C8F"/>
    <w:rsid w:val="006D3F3E"/>
    <w:rsid w:val="006D63AE"/>
    <w:rsid w:val="006E3443"/>
    <w:rsid w:val="00701802"/>
    <w:rsid w:val="00706585"/>
    <w:rsid w:val="00715ADA"/>
    <w:rsid w:val="00716D65"/>
    <w:rsid w:val="00721832"/>
    <w:rsid w:val="0072686B"/>
    <w:rsid w:val="00736364"/>
    <w:rsid w:val="007439AF"/>
    <w:rsid w:val="00745271"/>
    <w:rsid w:val="00746065"/>
    <w:rsid w:val="00747ED4"/>
    <w:rsid w:val="0075470C"/>
    <w:rsid w:val="00760FD2"/>
    <w:rsid w:val="00761B78"/>
    <w:rsid w:val="00762517"/>
    <w:rsid w:val="00770F19"/>
    <w:rsid w:val="00793652"/>
    <w:rsid w:val="00796F9F"/>
    <w:rsid w:val="007D01FD"/>
    <w:rsid w:val="007D602F"/>
    <w:rsid w:val="007E3519"/>
    <w:rsid w:val="007E5047"/>
    <w:rsid w:val="007F085D"/>
    <w:rsid w:val="00803923"/>
    <w:rsid w:val="00814EEC"/>
    <w:rsid w:val="008163A0"/>
    <w:rsid w:val="00817AED"/>
    <w:rsid w:val="008273E0"/>
    <w:rsid w:val="008300C9"/>
    <w:rsid w:val="008344E2"/>
    <w:rsid w:val="0083595D"/>
    <w:rsid w:val="00836D22"/>
    <w:rsid w:val="008408A6"/>
    <w:rsid w:val="00853580"/>
    <w:rsid w:val="008556C1"/>
    <w:rsid w:val="00855A1C"/>
    <w:rsid w:val="008638E0"/>
    <w:rsid w:val="0087427D"/>
    <w:rsid w:val="00882865"/>
    <w:rsid w:val="00884B8D"/>
    <w:rsid w:val="008A0DD5"/>
    <w:rsid w:val="008A2757"/>
    <w:rsid w:val="008A5E41"/>
    <w:rsid w:val="008B6990"/>
    <w:rsid w:val="008C3BDF"/>
    <w:rsid w:val="0090478E"/>
    <w:rsid w:val="00905BB5"/>
    <w:rsid w:val="0091250B"/>
    <w:rsid w:val="00930A2B"/>
    <w:rsid w:val="00936241"/>
    <w:rsid w:val="009478C1"/>
    <w:rsid w:val="00957B5D"/>
    <w:rsid w:val="00967E33"/>
    <w:rsid w:val="00971731"/>
    <w:rsid w:val="00983657"/>
    <w:rsid w:val="009A494A"/>
    <w:rsid w:val="009A7D2E"/>
    <w:rsid w:val="009A7FFD"/>
    <w:rsid w:val="009B7C6A"/>
    <w:rsid w:val="009C3053"/>
    <w:rsid w:val="009C37D5"/>
    <w:rsid w:val="009D1F5C"/>
    <w:rsid w:val="009E157D"/>
    <w:rsid w:val="00A010D1"/>
    <w:rsid w:val="00A45AAC"/>
    <w:rsid w:val="00A61095"/>
    <w:rsid w:val="00A63B71"/>
    <w:rsid w:val="00A7476F"/>
    <w:rsid w:val="00A91FB2"/>
    <w:rsid w:val="00A9437D"/>
    <w:rsid w:val="00A973B4"/>
    <w:rsid w:val="00AA1074"/>
    <w:rsid w:val="00AA5EED"/>
    <w:rsid w:val="00AA6B74"/>
    <w:rsid w:val="00AB0550"/>
    <w:rsid w:val="00AB1C1F"/>
    <w:rsid w:val="00AD0E8B"/>
    <w:rsid w:val="00AD41AD"/>
    <w:rsid w:val="00AD6B24"/>
    <w:rsid w:val="00AF48CD"/>
    <w:rsid w:val="00AF7CB8"/>
    <w:rsid w:val="00B02284"/>
    <w:rsid w:val="00B0389C"/>
    <w:rsid w:val="00B21677"/>
    <w:rsid w:val="00B23AA2"/>
    <w:rsid w:val="00B36452"/>
    <w:rsid w:val="00B37677"/>
    <w:rsid w:val="00B441C4"/>
    <w:rsid w:val="00B61CF5"/>
    <w:rsid w:val="00B638D7"/>
    <w:rsid w:val="00B85308"/>
    <w:rsid w:val="00B877BE"/>
    <w:rsid w:val="00B93E59"/>
    <w:rsid w:val="00B9734C"/>
    <w:rsid w:val="00B97DEF"/>
    <w:rsid w:val="00BC0557"/>
    <w:rsid w:val="00BC581F"/>
    <w:rsid w:val="00BC677C"/>
    <w:rsid w:val="00BD1E7D"/>
    <w:rsid w:val="00BE52FC"/>
    <w:rsid w:val="00BF098C"/>
    <w:rsid w:val="00BF5AA4"/>
    <w:rsid w:val="00C03F85"/>
    <w:rsid w:val="00C071EE"/>
    <w:rsid w:val="00C163D2"/>
    <w:rsid w:val="00C26155"/>
    <w:rsid w:val="00C27787"/>
    <w:rsid w:val="00C3171C"/>
    <w:rsid w:val="00C55D56"/>
    <w:rsid w:val="00C62206"/>
    <w:rsid w:val="00C6418C"/>
    <w:rsid w:val="00C66371"/>
    <w:rsid w:val="00C71878"/>
    <w:rsid w:val="00C7249D"/>
    <w:rsid w:val="00C74836"/>
    <w:rsid w:val="00C81F6B"/>
    <w:rsid w:val="00C82910"/>
    <w:rsid w:val="00C97095"/>
    <w:rsid w:val="00CA5A55"/>
    <w:rsid w:val="00CB0959"/>
    <w:rsid w:val="00CC4071"/>
    <w:rsid w:val="00CC6E7A"/>
    <w:rsid w:val="00CD0DE1"/>
    <w:rsid w:val="00CD5F8C"/>
    <w:rsid w:val="00CD7BD0"/>
    <w:rsid w:val="00CE31DD"/>
    <w:rsid w:val="00CE4B40"/>
    <w:rsid w:val="00CF5226"/>
    <w:rsid w:val="00CF6E84"/>
    <w:rsid w:val="00D17FC2"/>
    <w:rsid w:val="00D275E5"/>
    <w:rsid w:val="00D315EE"/>
    <w:rsid w:val="00D34ADE"/>
    <w:rsid w:val="00D421CC"/>
    <w:rsid w:val="00D64B09"/>
    <w:rsid w:val="00D657CA"/>
    <w:rsid w:val="00D65B5E"/>
    <w:rsid w:val="00D66920"/>
    <w:rsid w:val="00D840C5"/>
    <w:rsid w:val="00D96485"/>
    <w:rsid w:val="00D97760"/>
    <w:rsid w:val="00DA2F9E"/>
    <w:rsid w:val="00DA3E13"/>
    <w:rsid w:val="00DB2672"/>
    <w:rsid w:val="00DC292A"/>
    <w:rsid w:val="00DD0354"/>
    <w:rsid w:val="00DE13F9"/>
    <w:rsid w:val="00DE46E6"/>
    <w:rsid w:val="00DF5676"/>
    <w:rsid w:val="00E024B7"/>
    <w:rsid w:val="00E06D11"/>
    <w:rsid w:val="00E26B81"/>
    <w:rsid w:val="00E273F8"/>
    <w:rsid w:val="00E308C6"/>
    <w:rsid w:val="00E46BE7"/>
    <w:rsid w:val="00E63572"/>
    <w:rsid w:val="00E715FE"/>
    <w:rsid w:val="00E734CC"/>
    <w:rsid w:val="00E837E7"/>
    <w:rsid w:val="00E84B1B"/>
    <w:rsid w:val="00E86674"/>
    <w:rsid w:val="00E969CC"/>
    <w:rsid w:val="00EA1D60"/>
    <w:rsid w:val="00EA562B"/>
    <w:rsid w:val="00ED115A"/>
    <w:rsid w:val="00F12C1E"/>
    <w:rsid w:val="00F21012"/>
    <w:rsid w:val="00F3021E"/>
    <w:rsid w:val="00F346A4"/>
    <w:rsid w:val="00F418A8"/>
    <w:rsid w:val="00F5169E"/>
    <w:rsid w:val="00F559B6"/>
    <w:rsid w:val="00F56CC0"/>
    <w:rsid w:val="00F64FE3"/>
    <w:rsid w:val="00F66A36"/>
    <w:rsid w:val="00F7118D"/>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285B"/>
  </w:style>
  <w:style w:type="paragraph" w:styleId="Heading1">
    <w:name w:val="heading 1"/>
    <w:basedOn w:val="Normal"/>
    <w:next w:val="Normal"/>
    <w:link w:val="Heading1Char"/>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ing1Char">
    <w:name w:val="Heading 1 Char"/>
    <w:basedOn w:val="DefaultParagraphFont"/>
    <w:link w:val="Heading1"/>
    <w:rsid w:val="0055285B"/>
    <w:rPr>
      <w:rFonts w:ascii="Helvetica" w:hAnsi="Helvetica"/>
      <w:b/>
      <w:sz w:val="22"/>
    </w:rPr>
  </w:style>
  <w:style w:type="character" w:styleId="CommentReference">
    <w:name w:val="annotation reference"/>
    <w:basedOn w:val="DefaultParagraphFont"/>
    <w:rsid w:val="00047AA1"/>
    <w:rPr>
      <w:sz w:val="16"/>
      <w:szCs w:val="16"/>
    </w:rPr>
  </w:style>
  <w:style w:type="paragraph" w:styleId="CommentText">
    <w:name w:val="annotation text"/>
    <w:basedOn w:val="Normal"/>
    <w:link w:val="CommentTextChar"/>
    <w:rsid w:val="00047AA1"/>
  </w:style>
  <w:style w:type="character" w:customStyle="1" w:styleId="CommentTextChar">
    <w:name w:val="Comment Text Char"/>
    <w:basedOn w:val="DefaultParagraphFont"/>
    <w:link w:val="CommentText"/>
    <w:rsid w:val="00047AA1"/>
  </w:style>
  <w:style w:type="paragraph" w:styleId="CommentSubject">
    <w:name w:val="annotation subject"/>
    <w:basedOn w:val="CommentText"/>
    <w:next w:val="CommentText"/>
    <w:link w:val="CommentSubjectChar"/>
    <w:rsid w:val="00047AA1"/>
    <w:rPr>
      <w:b/>
      <w:bCs/>
    </w:rPr>
  </w:style>
  <w:style w:type="character" w:customStyle="1" w:styleId="CommentSubjectChar">
    <w:name w:val="Comment Subject Char"/>
    <w:basedOn w:val="CommentTextChar"/>
    <w:link w:val="CommentSubject"/>
    <w:rsid w:val="00047A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285B"/>
  </w:style>
  <w:style w:type="paragraph" w:styleId="Heading1">
    <w:name w:val="heading 1"/>
    <w:basedOn w:val="Normal"/>
    <w:next w:val="Normal"/>
    <w:link w:val="Heading1Char"/>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ing1Char">
    <w:name w:val="Heading 1 Char"/>
    <w:basedOn w:val="DefaultParagraphFont"/>
    <w:link w:val="Heading1"/>
    <w:rsid w:val="0055285B"/>
    <w:rPr>
      <w:rFonts w:ascii="Helvetica" w:hAnsi="Helvetica"/>
      <w:b/>
      <w:sz w:val="22"/>
    </w:rPr>
  </w:style>
  <w:style w:type="character" w:styleId="CommentReference">
    <w:name w:val="annotation reference"/>
    <w:basedOn w:val="DefaultParagraphFont"/>
    <w:rsid w:val="00047AA1"/>
    <w:rPr>
      <w:sz w:val="16"/>
      <w:szCs w:val="16"/>
    </w:rPr>
  </w:style>
  <w:style w:type="paragraph" w:styleId="CommentText">
    <w:name w:val="annotation text"/>
    <w:basedOn w:val="Normal"/>
    <w:link w:val="CommentTextChar"/>
    <w:rsid w:val="00047AA1"/>
  </w:style>
  <w:style w:type="character" w:customStyle="1" w:styleId="CommentTextChar">
    <w:name w:val="Comment Text Char"/>
    <w:basedOn w:val="DefaultParagraphFont"/>
    <w:link w:val="CommentText"/>
    <w:rsid w:val="00047AA1"/>
  </w:style>
  <w:style w:type="paragraph" w:styleId="CommentSubject">
    <w:name w:val="annotation subject"/>
    <w:basedOn w:val="CommentText"/>
    <w:next w:val="CommentText"/>
    <w:link w:val="CommentSubjectChar"/>
    <w:rsid w:val="00047AA1"/>
    <w:rPr>
      <w:b/>
      <w:bCs/>
    </w:rPr>
  </w:style>
  <w:style w:type="character" w:customStyle="1" w:styleId="CommentSubjectChar">
    <w:name w:val="Comment Subject Char"/>
    <w:basedOn w:val="CommentTextChar"/>
    <w:link w:val="CommentSubject"/>
    <w:rsid w:val="00047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docs/masshealth/provider-services/forms/tpli.pdf" TargetMode="External"/><Relationship Id="rId18" Type="http://schemas.openxmlformats.org/officeDocument/2006/relationships/hyperlink" Target="http://www.mass.gov/eohhs/docs/masshealth/providermanual/appx-a-all.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ass.gov/eohhs/gov/newsroom/masshealth/providers/mmis-posc/training/get-trained.html" TargetMode="External"/><Relationship Id="rId7" Type="http://schemas.openxmlformats.org/officeDocument/2006/relationships/footnotes" Target="footnotes.xml"/><Relationship Id="rId12" Type="http://schemas.openxmlformats.org/officeDocument/2006/relationships/hyperlink" Target="http://www.mass.gov/eohhs/docs/masshealth/provider-services/forms/tpli.pdf" TargetMode="External"/><Relationship Id="rId17" Type="http://schemas.openxmlformats.org/officeDocument/2006/relationships/hyperlink" Target="http://www.mass.gov/eohhs/docs/masshealth/provider-services/forms/tpli.pdf" TargetMode="External"/><Relationship Id="rId25" Type="http://schemas.openxmlformats.org/officeDocument/2006/relationships/hyperlink" Target="https://twitter.com/masshealth" TargetMode="External"/><Relationship Id="rId2" Type="http://schemas.openxmlformats.org/officeDocument/2006/relationships/numbering" Target="numbering.xml"/><Relationship Id="rId16" Type="http://schemas.openxmlformats.org/officeDocument/2006/relationships/hyperlink" Target="http://www.mass.gov/eohhs/docs/masshealth/provider-services/forms/rmf.pdf" TargetMode="External"/><Relationship Id="rId20" Type="http://schemas.openxmlformats.org/officeDocument/2006/relationships/hyperlink" Target="http://www.mass.gov/eohhs/docs/masshealth/regs-provider/regs-allprovider-chp-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mailto:providersupport@mahealth.net" TargetMode="External"/><Relationship Id="rId5" Type="http://schemas.openxmlformats.org/officeDocument/2006/relationships/settings" Target="settings.xml"/><Relationship Id="rId15" Type="http://schemas.openxmlformats.org/officeDocument/2006/relationships/hyperlink" Target="mailto:publications@mahealth.net"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www.mass.gov/eohhs/docs/masshealth/regs-provider/regs-allprovider.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F6B5B-DA5B-4867-B3C7-246466E8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5962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6791</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2017-11-27T15:40:00Z</cp:lastPrinted>
  <dcterms:created xsi:type="dcterms:W3CDTF">2017-11-27T19:31:00Z</dcterms:created>
  <dcterms:modified xsi:type="dcterms:W3CDTF">2017-11-27T19:31:00Z</dcterms:modified>
</cp:coreProperties>
</file>