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61" w:rsidRPr="00200961" w:rsidRDefault="00200961" w:rsidP="006E1750">
      <w:pPr>
        <w:pStyle w:val="Header"/>
        <w:widowControl w:val="0"/>
        <w:tabs>
          <w:tab w:val="clear" w:pos="4320"/>
          <w:tab w:val="clear" w:pos="8640"/>
          <w:tab w:val="left" w:pos="5400"/>
        </w:tabs>
        <w:rPr>
          <w:rFonts w:ascii="Bookman Old Style" w:hAnsi="Bookman Old Style"/>
          <w:b/>
          <w:i/>
        </w:rPr>
      </w:pPr>
      <w:bookmarkStart w:id="0" w:name="_GoBack"/>
      <w:bookmarkEnd w:id="0"/>
      <w:r w:rsidRPr="00200961">
        <w:rPr>
          <w:i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0490" cy="694690"/>
            <wp:effectExtent l="0" t="0" r="0" b="0"/>
            <wp:wrapSquare wrapText="bothSides"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61">
        <w:rPr>
          <w:rFonts w:ascii="Bookman Old Style" w:hAnsi="Bookman Old Style"/>
          <w:b/>
          <w:i/>
        </w:rPr>
        <w:t>Commonwealth of Massachusetts</w:t>
      </w:r>
    </w:p>
    <w:p w:rsidR="00200961" w:rsidRPr="00200961" w:rsidRDefault="00200961" w:rsidP="00200961">
      <w:pPr>
        <w:widowControl w:val="0"/>
        <w:tabs>
          <w:tab w:val="left" w:pos="5400"/>
        </w:tabs>
        <w:spacing w:line="276" w:lineRule="auto"/>
        <w:ind w:left="2160"/>
        <w:rPr>
          <w:rFonts w:ascii="Bookman Old Style" w:hAnsi="Bookman Old Style"/>
          <w:b/>
          <w:i/>
        </w:rPr>
      </w:pPr>
      <w:r w:rsidRPr="00200961">
        <w:rPr>
          <w:rFonts w:ascii="Bookman Old Style" w:hAnsi="Bookman Old Style"/>
          <w:b/>
          <w:i/>
        </w:rPr>
        <w:t>Executive Office of Health and Human Services</w:t>
      </w:r>
    </w:p>
    <w:p w:rsidR="00200961" w:rsidRPr="00200961" w:rsidRDefault="00200961" w:rsidP="00200961">
      <w:pPr>
        <w:widowControl w:val="0"/>
        <w:tabs>
          <w:tab w:val="left" w:pos="5400"/>
        </w:tabs>
        <w:spacing w:line="276" w:lineRule="auto"/>
        <w:ind w:left="2160"/>
        <w:rPr>
          <w:rFonts w:ascii="Bookman Old Style" w:hAnsi="Bookman Old Style"/>
          <w:b/>
          <w:i/>
        </w:rPr>
      </w:pPr>
      <w:r w:rsidRPr="00200961">
        <w:rPr>
          <w:rFonts w:ascii="Bookman Old Style" w:hAnsi="Bookman Old Style"/>
          <w:b/>
          <w:i/>
        </w:rPr>
        <w:t>Office of Medicaid</w:t>
      </w:r>
    </w:p>
    <w:p w:rsidR="00C01E62" w:rsidRDefault="0054227F" w:rsidP="008E7BF9">
      <w:pPr>
        <w:spacing w:after="360"/>
        <w:ind w:left="2160"/>
        <w:rPr>
          <w:rStyle w:val="Hyperlink"/>
          <w:rFonts w:ascii="Bookman Old Style" w:hAnsi="Bookman Old Style"/>
          <w:i/>
        </w:rPr>
        <w:sectPr w:rsidR="00C01E62" w:rsidSect="00C01E62">
          <w:headerReference w:type="default" r:id="rId10"/>
          <w:footerReference w:type="default" r:id="rId11"/>
          <w:footerReference w:type="first" r:id="rId12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  <w:hyperlink r:id="rId13" w:history="1">
        <w:r w:rsidR="00200961" w:rsidRPr="0033431F">
          <w:rPr>
            <w:rStyle w:val="Hyperlink"/>
            <w:rFonts w:ascii="Bookman Old Style" w:hAnsi="Bookman Old Style"/>
            <w:i/>
          </w:rPr>
          <w:t>www.mass.gov/massheal</w:t>
        </w:r>
        <w:r w:rsidR="0033431F" w:rsidRPr="0033431F">
          <w:rPr>
            <w:rStyle w:val="Hyperlink"/>
            <w:rFonts w:ascii="Bookman Old Style" w:hAnsi="Bookman Old Style"/>
            <w:i/>
          </w:rPr>
          <w:t>th</w:t>
        </w:r>
      </w:hyperlink>
    </w:p>
    <w:p w:rsidR="00D65B5E" w:rsidRPr="008C4604" w:rsidRDefault="00D65B5E" w:rsidP="008E7BF9">
      <w:pPr>
        <w:pStyle w:val="Heading1"/>
        <w:ind w:firstLine="1584"/>
        <w:rPr>
          <w:color w:val="365F91" w:themeColor="accent1" w:themeShade="BF"/>
        </w:rPr>
      </w:pPr>
      <w:r w:rsidRPr="008C4604">
        <w:rPr>
          <w:color w:val="365F91" w:themeColor="accent1" w:themeShade="BF"/>
        </w:rPr>
        <w:lastRenderedPageBreak/>
        <w:t>MassHealth</w:t>
      </w:r>
    </w:p>
    <w:p w:rsidR="00D65B5E" w:rsidRPr="008C4604" w:rsidRDefault="00EC2275" w:rsidP="00C64DC1">
      <w:pPr>
        <w:pStyle w:val="Heading1"/>
        <w:ind w:firstLine="1584"/>
        <w:rPr>
          <w:color w:val="365F91" w:themeColor="accent1" w:themeShade="BF"/>
        </w:rPr>
      </w:pPr>
      <w:r w:rsidRPr="008C4604">
        <w:rPr>
          <w:color w:val="365F91" w:themeColor="accent1" w:themeShade="BF"/>
        </w:rPr>
        <w:t>All Provider</w:t>
      </w:r>
      <w:r w:rsidR="008C3BDF" w:rsidRPr="008C4604">
        <w:rPr>
          <w:color w:val="365F91" w:themeColor="accent1" w:themeShade="BF"/>
        </w:rPr>
        <w:t xml:space="preserve"> </w:t>
      </w:r>
      <w:r w:rsidR="00D65B5E" w:rsidRPr="008C4604">
        <w:rPr>
          <w:color w:val="365F91" w:themeColor="accent1" w:themeShade="BF"/>
        </w:rPr>
        <w:t xml:space="preserve">Bulletin </w:t>
      </w:r>
      <w:r w:rsidR="009A5C0A">
        <w:rPr>
          <w:color w:val="365F91" w:themeColor="accent1" w:themeShade="BF"/>
        </w:rPr>
        <w:t>284</w:t>
      </w:r>
    </w:p>
    <w:p w:rsidR="0015523A" w:rsidRPr="00464EFA" w:rsidRDefault="009A5C0A" w:rsidP="00464EFA">
      <w:pPr>
        <w:pStyle w:val="Heading1"/>
        <w:spacing w:after="360"/>
        <w:ind w:firstLine="1584"/>
        <w:rPr>
          <w:color w:val="365F91" w:themeColor="accent1" w:themeShade="BF"/>
        </w:rPr>
      </w:pPr>
      <w:r>
        <w:rPr>
          <w:color w:val="365F91" w:themeColor="accent1" w:themeShade="BF"/>
        </w:rPr>
        <w:t>March</w:t>
      </w:r>
      <w:r w:rsidR="008E7BF9">
        <w:rPr>
          <w:color w:val="365F91" w:themeColor="accent1" w:themeShade="BF"/>
        </w:rPr>
        <w:t xml:space="preserve"> </w:t>
      </w:r>
      <w:r w:rsidR="00A57243" w:rsidRPr="008C4604">
        <w:rPr>
          <w:color w:val="365F91" w:themeColor="accent1" w:themeShade="BF"/>
        </w:rPr>
        <w:t>2019</w:t>
      </w:r>
    </w:p>
    <w:p w:rsidR="00B26CE8" w:rsidRDefault="00B96AE0" w:rsidP="00EF6F99">
      <w:pPr>
        <w:tabs>
          <w:tab w:val="right" w:pos="720"/>
          <w:tab w:val="left" w:pos="1152"/>
          <w:tab w:val="left" w:pos="5184"/>
        </w:tabs>
        <w:suppressAutoHyphens/>
        <w:spacing w:line="480" w:lineRule="auto"/>
        <w:ind w:left="1742" w:right="576" w:hanging="1202"/>
        <w:rPr>
          <w:rFonts w:ascii="Georgia" w:hAnsi="Georgia" w:cs="Arial"/>
          <w:b/>
          <w:sz w:val="22"/>
          <w:szCs w:val="22"/>
        </w:rPr>
      </w:pPr>
      <w:r w:rsidRPr="00B96AE0">
        <w:rPr>
          <w:rFonts w:ascii="Georgia" w:hAnsi="Georgi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2DC6E5" wp14:editId="493439D9">
                <wp:simplePos x="0" y="0"/>
                <wp:positionH relativeFrom="column">
                  <wp:posOffset>4183380</wp:posOffset>
                </wp:positionH>
                <wp:positionV relativeFrom="paragraph">
                  <wp:posOffset>219075</wp:posOffset>
                </wp:positionV>
                <wp:extent cx="2316480" cy="10058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AE0" w:rsidRDefault="00B96A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C89A81" wp14:editId="64DC092C">
                                  <wp:extent cx="1539240" cy="807720"/>
                                  <wp:effectExtent l="0" t="0" r="3810" b="0"/>
                                  <wp:docPr id="1" name="Picture 1" title="Signature of Assistant Dir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sai, Daniel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24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4pt;margin-top:17.25pt;width:182.4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" stroked="f">
                <v:textbox>
                  <w:txbxContent>
                    <w:p w:rsidR="00B96AE0" w:rsidRDefault="00B96AE0">
                      <w:r>
                        <w:rPr>
                          <w:noProof/>
                        </w:rPr>
                        <w:drawing>
                          <wp:inline distT="0" distB="0" distL="0" distR="0" wp14:anchorId="02C89A81" wp14:editId="64DC092C">
                            <wp:extent cx="1539240" cy="807720"/>
                            <wp:effectExtent l="0" t="0" r="3810" b="0"/>
                            <wp:docPr id="1" name="Picture 1" title="Signature of Assistant Dir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sai, Daniel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9240" cy="80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5B5E" w:rsidRPr="001B792F" w:rsidRDefault="00D65B5E" w:rsidP="006E1750">
      <w:pPr>
        <w:tabs>
          <w:tab w:val="right" w:pos="720"/>
          <w:tab w:val="left" w:pos="1152"/>
          <w:tab w:val="left" w:pos="5184"/>
          <w:tab w:val="left" w:pos="8508"/>
        </w:tabs>
        <w:suppressAutoHyphens/>
        <w:spacing w:line="480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A57243" w:rsidRPr="001D4A82">
        <w:rPr>
          <w:rFonts w:ascii="Georgia" w:hAnsi="Georgia" w:cs="Arial"/>
          <w:sz w:val="22"/>
          <w:szCs w:val="22"/>
        </w:rPr>
        <w:t>All Providers</w:t>
      </w:r>
      <w:r w:rsidR="00F7118D" w:rsidRPr="001D4A82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  <w:r w:rsidR="006E1750">
        <w:rPr>
          <w:rFonts w:ascii="Georgia" w:hAnsi="Georgia" w:cs="Arial"/>
          <w:sz w:val="22"/>
          <w:szCs w:val="22"/>
        </w:rPr>
        <w:tab/>
      </w:r>
    </w:p>
    <w:p w:rsidR="00D65B5E" w:rsidRPr="001B792F" w:rsidRDefault="00D65B5E" w:rsidP="00EF6F99">
      <w:pPr>
        <w:tabs>
          <w:tab w:val="right" w:pos="720"/>
          <w:tab w:val="left" w:pos="1152"/>
          <w:tab w:val="left" w:pos="5184"/>
        </w:tabs>
        <w:suppressAutoHyphens/>
        <w:spacing w:line="480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</w:p>
    <w:p w:rsidR="00A57243" w:rsidRPr="00A57243" w:rsidRDefault="0069586B" w:rsidP="00EF6F99">
      <w:pPr>
        <w:tabs>
          <w:tab w:val="right" w:pos="720"/>
          <w:tab w:val="left" w:pos="1152"/>
          <w:tab w:val="left" w:pos="5184"/>
        </w:tabs>
        <w:suppressAutoHyphens/>
        <w:ind w:left="1742" w:right="576" w:hanging="1202"/>
        <w:rPr>
          <w:rFonts w:ascii="Georgia" w:eastAsiaTheme="minorHAnsi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03185F" w:rsidRPr="0003185F">
        <w:rPr>
          <w:rFonts w:ascii="Georgia" w:hAnsi="Georgia" w:cs="Arial"/>
          <w:b/>
          <w:sz w:val="22"/>
          <w:szCs w:val="22"/>
        </w:rPr>
        <w:t>Technical Refresh Project</w:t>
      </w:r>
    </w:p>
    <w:p w:rsidR="00DC292A" w:rsidRDefault="00DC292A" w:rsidP="00677E19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:rsidR="00DC292A" w:rsidRPr="000673A3" w:rsidRDefault="00DC292A" w:rsidP="00EF6F99">
      <w:pPr>
        <w:tabs>
          <w:tab w:val="left" w:pos="1776"/>
        </w:tabs>
        <w:ind w:left="720" w:right="720" w:hanging="2880"/>
        <w:rPr>
          <w:rFonts w:ascii="Georgia" w:hAnsi="Georgia" w:cs="Arial"/>
          <w:b/>
          <w:i/>
          <w:sz w:val="16"/>
          <w:szCs w:val="22"/>
        </w:rPr>
      </w:pPr>
    </w:p>
    <w:p w:rsidR="001B792F" w:rsidRPr="008C4604" w:rsidRDefault="00A57243" w:rsidP="00B96AE0">
      <w:pPr>
        <w:pStyle w:val="Heading1"/>
        <w:spacing w:before="120" w:after="120"/>
        <w:ind w:left="547" w:firstLine="0"/>
        <w:rPr>
          <w:color w:val="365F91" w:themeColor="accent1" w:themeShade="BF"/>
        </w:rPr>
      </w:pPr>
      <w:r w:rsidRPr="008C4604">
        <w:rPr>
          <w:color w:val="365F91" w:themeColor="accent1" w:themeShade="BF"/>
        </w:rPr>
        <w:t>Overview</w:t>
      </w:r>
    </w:p>
    <w:p w:rsidR="0003185F" w:rsidRPr="00461860" w:rsidRDefault="008F605D" w:rsidP="00EF6F99">
      <w:pPr>
        <w:spacing w:after="120"/>
        <w:ind w:left="54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is conducting a Technical Refresh of the MassHealth Medicaid Management Information System (MMIS) to replace its HIPAA compliance and translator tool. This technical refresh </w:t>
      </w:r>
      <w:r w:rsidR="00ED1A93">
        <w:rPr>
          <w:rFonts w:ascii="Georgia" w:hAnsi="Georgia" w:cs="Arial"/>
          <w:sz w:val="22"/>
          <w:szCs w:val="22"/>
        </w:rPr>
        <w:t>will be phased in through</w:t>
      </w:r>
      <w:r>
        <w:rPr>
          <w:rFonts w:ascii="Georgia" w:hAnsi="Georgia" w:cs="Arial"/>
          <w:sz w:val="22"/>
          <w:szCs w:val="22"/>
        </w:rPr>
        <w:t xml:space="preserve"> March 2020. </w:t>
      </w:r>
      <w:r w:rsidR="0003185F" w:rsidRPr="00461860">
        <w:rPr>
          <w:rFonts w:ascii="Georgia" w:hAnsi="Georgia" w:cs="Arial"/>
          <w:sz w:val="22"/>
          <w:szCs w:val="22"/>
        </w:rPr>
        <w:t xml:space="preserve">The tool is used to validate HIPAA compliance and translate the HIPAA compliant transactions to an XML format so that they can be processed within MassHealth’s </w:t>
      </w:r>
      <w:r w:rsidR="00E83CEA">
        <w:rPr>
          <w:rFonts w:ascii="Georgia" w:hAnsi="Georgia" w:cs="Arial"/>
          <w:sz w:val="22"/>
          <w:szCs w:val="22"/>
        </w:rPr>
        <w:t xml:space="preserve">MMIS. </w:t>
      </w:r>
      <w:r w:rsidR="0003185F" w:rsidRPr="00461860">
        <w:rPr>
          <w:rFonts w:ascii="Georgia" w:hAnsi="Georgia" w:cs="Arial"/>
          <w:sz w:val="22"/>
          <w:szCs w:val="22"/>
        </w:rPr>
        <w:t>All HIPAA transactions (inbound/outbound) processed through MassHealth’s MMIS will be affe</w:t>
      </w:r>
      <w:r w:rsidR="00E83CEA">
        <w:rPr>
          <w:rFonts w:ascii="Georgia" w:hAnsi="Georgia" w:cs="Arial"/>
          <w:sz w:val="22"/>
          <w:szCs w:val="22"/>
        </w:rPr>
        <w:t xml:space="preserve">cted by </w:t>
      </w:r>
      <w:r w:rsidR="005A7DD1">
        <w:rPr>
          <w:rFonts w:ascii="Georgia" w:hAnsi="Georgia" w:cs="Arial"/>
          <w:sz w:val="22"/>
          <w:szCs w:val="22"/>
        </w:rPr>
        <w:t xml:space="preserve">this </w:t>
      </w:r>
      <w:r w:rsidR="00E83CEA">
        <w:rPr>
          <w:rFonts w:ascii="Georgia" w:hAnsi="Georgia" w:cs="Arial"/>
          <w:sz w:val="22"/>
          <w:szCs w:val="22"/>
        </w:rPr>
        <w:t xml:space="preserve">technical refresh. </w:t>
      </w:r>
      <w:r w:rsidR="0003185F">
        <w:rPr>
          <w:rFonts w:ascii="Georgia" w:hAnsi="Georgia" w:cs="Arial"/>
          <w:sz w:val="22"/>
          <w:szCs w:val="22"/>
        </w:rPr>
        <w:t xml:space="preserve">All trading partners </w:t>
      </w:r>
      <w:r w:rsidR="005A7DD1">
        <w:rPr>
          <w:rFonts w:ascii="Georgia" w:hAnsi="Georgia" w:cs="Arial"/>
          <w:sz w:val="22"/>
          <w:szCs w:val="22"/>
        </w:rPr>
        <w:t xml:space="preserve">who </w:t>
      </w:r>
      <w:r w:rsidR="0003185F">
        <w:rPr>
          <w:rFonts w:ascii="Georgia" w:hAnsi="Georgia" w:cs="Arial"/>
          <w:sz w:val="22"/>
          <w:szCs w:val="22"/>
        </w:rPr>
        <w:t>submit or receive HIPAA transactions directly to/from MassHealth will be affected by this change.</w:t>
      </w:r>
    </w:p>
    <w:p w:rsidR="0003185F" w:rsidRDefault="0003185F" w:rsidP="00EF6F99">
      <w:pPr>
        <w:ind w:left="540" w:right="720"/>
        <w:rPr>
          <w:rFonts w:ascii="Georgia" w:hAnsi="Georgia" w:cs="Arial"/>
          <w:sz w:val="22"/>
          <w:szCs w:val="22"/>
        </w:rPr>
      </w:pPr>
      <w:r w:rsidRPr="00461860">
        <w:rPr>
          <w:rFonts w:ascii="Georgia" w:hAnsi="Georgia" w:cs="Arial"/>
          <w:sz w:val="22"/>
          <w:szCs w:val="22"/>
        </w:rPr>
        <w:t>Direct Data Entry (DDE) and paper submissions are not aff</w:t>
      </w:r>
      <w:r w:rsidR="00C01E62">
        <w:rPr>
          <w:rFonts w:ascii="Georgia" w:hAnsi="Georgia" w:cs="Arial"/>
          <w:sz w:val="22"/>
          <w:szCs w:val="22"/>
        </w:rPr>
        <w:t>ected by the technical refresh.</w:t>
      </w:r>
    </w:p>
    <w:p w:rsidR="0003185F" w:rsidRDefault="0003185F" w:rsidP="00EF6F99">
      <w:pPr>
        <w:spacing w:after="120"/>
        <w:ind w:left="540" w:right="720"/>
        <w:rPr>
          <w:rFonts w:ascii="Georgia" w:hAnsi="Georgia" w:cs="Arial"/>
          <w:sz w:val="22"/>
          <w:szCs w:val="22"/>
        </w:rPr>
      </w:pPr>
      <w:r w:rsidRPr="00461860">
        <w:rPr>
          <w:rFonts w:ascii="Georgia" w:hAnsi="Georgia" w:cs="Arial"/>
          <w:sz w:val="22"/>
          <w:szCs w:val="22"/>
        </w:rPr>
        <w:t xml:space="preserve">Pharmacy and dental claims </w:t>
      </w:r>
      <w:r>
        <w:rPr>
          <w:rFonts w:ascii="Georgia" w:hAnsi="Georgia" w:cs="Arial"/>
          <w:sz w:val="22"/>
          <w:szCs w:val="22"/>
        </w:rPr>
        <w:t xml:space="preserve">that </w:t>
      </w:r>
      <w:r w:rsidRPr="00461860">
        <w:rPr>
          <w:rFonts w:ascii="Georgia" w:hAnsi="Georgia" w:cs="Arial"/>
          <w:sz w:val="22"/>
          <w:szCs w:val="22"/>
        </w:rPr>
        <w:t>are processed by the Pharmacy Online Processing Systems (POPS) and DentaQuest respectively</w:t>
      </w:r>
      <w:r>
        <w:rPr>
          <w:rFonts w:ascii="Georgia" w:hAnsi="Georgia" w:cs="Arial"/>
          <w:sz w:val="22"/>
          <w:szCs w:val="22"/>
        </w:rPr>
        <w:t xml:space="preserve"> are </w:t>
      </w:r>
      <w:r w:rsidR="005A7DD1">
        <w:rPr>
          <w:rFonts w:ascii="Georgia" w:hAnsi="Georgia" w:cs="Arial"/>
          <w:sz w:val="22"/>
          <w:szCs w:val="22"/>
        </w:rPr>
        <w:t xml:space="preserve">also </w:t>
      </w:r>
      <w:r>
        <w:rPr>
          <w:rFonts w:ascii="Georgia" w:hAnsi="Georgia" w:cs="Arial"/>
          <w:sz w:val="22"/>
          <w:szCs w:val="22"/>
        </w:rPr>
        <w:t xml:space="preserve">not affected by the </w:t>
      </w:r>
      <w:r w:rsidRPr="00461860">
        <w:rPr>
          <w:rFonts w:ascii="Georgia" w:hAnsi="Georgia" w:cs="Arial"/>
          <w:sz w:val="22"/>
          <w:szCs w:val="22"/>
        </w:rPr>
        <w:t>MassHealth MMIS Technical Refresh.</w:t>
      </w:r>
    </w:p>
    <w:p w:rsidR="0003185F" w:rsidRPr="00461860" w:rsidRDefault="0003185F" w:rsidP="00EF6F99">
      <w:pPr>
        <w:spacing w:after="120"/>
        <w:ind w:left="540" w:right="720"/>
        <w:rPr>
          <w:rFonts w:ascii="Georgia" w:hAnsi="Georgia" w:cs="Arial"/>
          <w:sz w:val="22"/>
          <w:szCs w:val="22"/>
        </w:rPr>
      </w:pPr>
      <w:r w:rsidRPr="00461860">
        <w:rPr>
          <w:rFonts w:ascii="Georgia" w:hAnsi="Georgia" w:cs="Arial"/>
          <w:sz w:val="22"/>
          <w:szCs w:val="22"/>
        </w:rPr>
        <w:t>MassHealth will implement the new HIPAA translator in two phases:</w:t>
      </w:r>
    </w:p>
    <w:p w:rsidR="0003185F" w:rsidRPr="00461860" w:rsidRDefault="0003185F" w:rsidP="00EF6F99">
      <w:pPr>
        <w:spacing w:after="80"/>
        <w:ind w:left="540" w:right="720"/>
        <w:rPr>
          <w:rFonts w:ascii="Georgia" w:hAnsi="Georgia" w:cs="Arial"/>
          <w:sz w:val="22"/>
          <w:szCs w:val="22"/>
        </w:rPr>
      </w:pPr>
      <w:r w:rsidRPr="00461860">
        <w:rPr>
          <w:rFonts w:ascii="Georgia" w:hAnsi="Georgia" w:cs="Arial"/>
          <w:sz w:val="22"/>
          <w:szCs w:val="22"/>
        </w:rPr>
        <w:t xml:space="preserve">Phase 1 – </w:t>
      </w:r>
      <w:r w:rsidRPr="000A34E0">
        <w:rPr>
          <w:rFonts w:ascii="Georgia" w:hAnsi="Georgia" w:cs="Arial"/>
          <w:sz w:val="22"/>
          <w:szCs w:val="22"/>
        </w:rPr>
        <w:t>September</w:t>
      </w:r>
      <w:r w:rsidRPr="00461860">
        <w:rPr>
          <w:rFonts w:ascii="Georgia" w:hAnsi="Georgia" w:cs="Arial"/>
          <w:sz w:val="22"/>
          <w:szCs w:val="22"/>
        </w:rPr>
        <w:t xml:space="preserve"> 2019 </w:t>
      </w:r>
      <w:r w:rsidRPr="00461860">
        <w:rPr>
          <w:rFonts w:ascii="Georgia" w:hAnsi="Georgia" w:cs="Arial"/>
          <w:i/>
          <w:sz w:val="22"/>
          <w:szCs w:val="22"/>
        </w:rPr>
        <w:t>(270/271, 820, 834)</w:t>
      </w:r>
    </w:p>
    <w:p w:rsidR="008C4604" w:rsidRPr="00464EFA" w:rsidRDefault="0003185F" w:rsidP="00EF6F99">
      <w:pPr>
        <w:spacing w:after="240"/>
        <w:ind w:left="540" w:right="720"/>
        <w:rPr>
          <w:rFonts w:ascii="Georgia" w:hAnsi="Georgia" w:cs="Arial"/>
          <w:sz w:val="22"/>
          <w:szCs w:val="22"/>
        </w:rPr>
      </w:pPr>
      <w:r w:rsidRPr="00461860">
        <w:rPr>
          <w:rFonts w:ascii="Georgia" w:hAnsi="Georgia" w:cs="Arial"/>
          <w:sz w:val="22"/>
          <w:szCs w:val="22"/>
        </w:rPr>
        <w:t xml:space="preserve">Phase 2 – March 2020 </w:t>
      </w:r>
      <w:r w:rsidRPr="00461860">
        <w:rPr>
          <w:rFonts w:ascii="Georgia" w:hAnsi="Georgia" w:cs="Arial"/>
          <w:i/>
          <w:sz w:val="22"/>
          <w:szCs w:val="22"/>
        </w:rPr>
        <w:t>(837P, 837I, 835, 276/277)</w:t>
      </w:r>
    </w:p>
    <w:p w:rsidR="000673A3" w:rsidRPr="00464EFA" w:rsidRDefault="00E83CEA" w:rsidP="00B96AE0">
      <w:pPr>
        <w:pStyle w:val="Heading1"/>
        <w:spacing w:before="240" w:after="120"/>
        <w:ind w:left="547" w:firstLine="0"/>
      </w:pPr>
      <w:r w:rsidRPr="008C4604">
        <w:t>HIPAA Companion Guides</w:t>
      </w:r>
    </w:p>
    <w:p w:rsidR="000673A3" w:rsidRPr="00464EFA" w:rsidRDefault="000673A3" w:rsidP="008E7BF9">
      <w:pPr>
        <w:spacing w:after="120"/>
        <w:ind w:left="540" w:right="720"/>
        <w:rPr>
          <w:rFonts w:ascii="Georgia" w:hAnsi="Georgia" w:cs="Arial"/>
          <w:i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 xml:space="preserve">MassHealth </w:t>
      </w:r>
      <w:r>
        <w:rPr>
          <w:rFonts w:ascii="Georgia" w:hAnsi="Georgia" w:cs="Arial"/>
          <w:sz w:val="22"/>
          <w:szCs w:val="22"/>
        </w:rPr>
        <w:t xml:space="preserve">has updated its </w:t>
      </w:r>
      <w:r w:rsidRPr="004E7E11">
        <w:rPr>
          <w:rFonts w:ascii="Georgia" w:hAnsi="Georgia" w:cs="Arial"/>
          <w:sz w:val="22"/>
          <w:szCs w:val="22"/>
        </w:rPr>
        <w:t xml:space="preserve">HIPAA </w:t>
      </w:r>
      <w:r w:rsidR="005A7DD1">
        <w:rPr>
          <w:rFonts w:ascii="Georgia" w:hAnsi="Georgia" w:cs="Arial"/>
          <w:sz w:val="22"/>
          <w:szCs w:val="22"/>
        </w:rPr>
        <w:t>c</w:t>
      </w:r>
      <w:r w:rsidR="005A7DD1" w:rsidRPr="004E7E11">
        <w:rPr>
          <w:rFonts w:ascii="Georgia" w:hAnsi="Georgia" w:cs="Arial"/>
          <w:sz w:val="22"/>
          <w:szCs w:val="22"/>
        </w:rPr>
        <w:t xml:space="preserve">ompanion </w:t>
      </w:r>
      <w:r w:rsidR="005A7DD1">
        <w:rPr>
          <w:rFonts w:ascii="Georgia" w:hAnsi="Georgia" w:cs="Arial"/>
          <w:sz w:val="22"/>
          <w:szCs w:val="22"/>
        </w:rPr>
        <w:t>g</w:t>
      </w:r>
      <w:r w:rsidR="005A7DD1" w:rsidRPr="004E7E11">
        <w:rPr>
          <w:rFonts w:ascii="Georgia" w:hAnsi="Georgia" w:cs="Arial"/>
          <w:sz w:val="22"/>
          <w:szCs w:val="22"/>
        </w:rPr>
        <w:t xml:space="preserve">uides </w:t>
      </w:r>
      <w:r>
        <w:rPr>
          <w:rFonts w:ascii="Georgia" w:hAnsi="Georgia" w:cs="Arial"/>
          <w:sz w:val="22"/>
          <w:szCs w:val="22"/>
        </w:rPr>
        <w:t>to reflect the changes r</w:t>
      </w:r>
      <w:r w:rsidR="00871B57">
        <w:rPr>
          <w:rFonts w:ascii="Georgia" w:hAnsi="Georgia" w:cs="Arial"/>
          <w:sz w:val="22"/>
          <w:szCs w:val="22"/>
        </w:rPr>
        <w:t xml:space="preserve">equired by the new translator. </w:t>
      </w:r>
      <w:r>
        <w:rPr>
          <w:rFonts w:ascii="Georgia" w:hAnsi="Georgia" w:cs="Arial"/>
          <w:sz w:val="22"/>
          <w:szCs w:val="22"/>
        </w:rPr>
        <w:t xml:space="preserve">The </w:t>
      </w:r>
      <w:r w:rsidR="005A7DD1">
        <w:rPr>
          <w:rFonts w:ascii="Georgia" w:hAnsi="Georgia" w:cs="Arial"/>
          <w:sz w:val="22"/>
          <w:szCs w:val="22"/>
        </w:rPr>
        <w:t xml:space="preserve">updated companion guides </w:t>
      </w:r>
      <w:r>
        <w:rPr>
          <w:rFonts w:ascii="Georgia" w:hAnsi="Georgia" w:cs="Arial"/>
          <w:sz w:val="22"/>
          <w:szCs w:val="22"/>
        </w:rPr>
        <w:t xml:space="preserve">can be found </w:t>
      </w:r>
      <w:r w:rsidR="00C07372">
        <w:rPr>
          <w:rFonts w:ascii="Georgia" w:hAnsi="Georgia" w:cs="Arial"/>
          <w:sz w:val="22"/>
          <w:szCs w:val="22"/>
        </w:rPr>
        <w:t>at</w:t>
      </w:r>
      <w:r w:rsidR="000A34E0">
        <w:rPr>
          <w:rFonts w:ascii="Georgia" w:hAnsi="Georgia" w:cs="Arial"/>
          <w:sz w:val="22"/>
          <w:szCs w:val="22"/>
        </w:rPr>
        <w:t xml:space="preserve"> </w:t>
      </w:r>
      <w:hyperlink r:id="rId16" w:history="1">
        <w:r w:rsidR="002A6BAB" w:rsidRPr="00A4118D">
          <w:rPr>
            <w:rStyle w:val="Hyperlink"/>
            <w:sz w:val="22"/>
          </w:rPr>
          <w:t>https://www.mass.gov/info-details/technical-refresh-companion-guides</w:t>
        </w:r>
      </w:hyperlink>
      <w:r w:rsidR="000A34E0">
        <w:rPr>
          <w:rFonts w:ascii="Georgia" w:hAnsi="Georgia" w:cs="Arial"/>
          <w:sz w:val="22"/>
          <w:szCs w:val="22"/>
        </w:rPr>
        <w:t>.</w:t>
      </w:r>
      <w:r w:rsidR="00C07372">
        <w:rPr>
          <w:rFonts w:ascii="Georgia" w:hAnsi="Georgia" w:cs="Arial"/>
          <w:sz w:val="22"/>
          <w:szCs w:val="22"/>
        </w:rPr>
        <w:t xml:space="preserve"> </w:t>
      </w:r>
      <w:r w:rsidRPr="004E7E11">
        <w:rPr>
          <w:rFonts w:ascii="Georgia" w:hAnsi="Georgia" w:cs="Arial"/>
          <w:sz w:val="22"/>
          <w:szCs w:val="22"/>
        </w:rPr>
        <w:t xml:space="preserve">MassHealth strongly encourages all trading partners to review the updated </w:t>
      </w:r>
      <w:r w:rsidR="005A7DD1">
        <w:rPr>
          <w:rFonts w:ascii="Georgia" w:hAnsi="Georgia" w:cs="Arial"/>
          <w:sz w:val="22"/>
          <w:szCs w:val="22"/>
        </w:rPr>
        <w:t>c</w:t>
      </w:r>
      <w:r w:rsidR="005A7DD1" w:rsidRPr="004E7E11">
        <w:rPr>
          <w:rFonts w:ascii="Georgia" w:hAnsi="Georgia" w:cs="Arial"/>
          <w:sz w:val="22"/>
          <w:szCs w:val="22"/>
        </w:rPr>
        <w:t xml:space="preserve">ompanion </w:t>
      </w:r>
      <w:r w:rsidR="005A7DD1">
        <w:rPr>
          <w:rFonts w:ascii="Georgia" w:hAnsi="Georgia" w:cs="Arial"/>
          <w:sz w:val="22"/>
          <w:szCs w:val="22"/>
        </w:rPr>
        <w:t>g</w:t>
      </w:r>
      <w:r w:rsidR="005A7DD1" w:rsidRPr="004E7E11">
        <w:rPr>
          <w:rFonts w:ascii="Georgia" w:hAnsi="Georgia" w:cs="Arial"/>
          <w:sz w:val="22"/>
          <w:szCs w:val="22"/>
        </w:rPr>
        <w:t xml:space="preserve">uides </w:t>
      </w:r>
      <w:r w:rsidRPr="004E7E11">
        <w:rPr>
          <w:rFonts w:ascii="Georgia" w:hAnsi="Georgia" w:cs="Arial"/>
          <w:sz w:val="22"/>
          <w:szCs w:val="22"/>
        </w:rPr>
        <w:t xml:space="preserve">to determine if there is any impact to their systems.  </w:t>
      </w:r>
      <w:r>
        <w:rPr>
          <w:rFonts w:ascii="Georgia" w:hAnsi="Georgia" w:cs="Arial"/>
          <w:sz w:val="22"/>
          <w:szCs w:val="22"/>
        </w:rPr>
        <w:t xml:space="preserve">MassHealth </w:t>
      </w:r>
      <w:r w:rsidR="00D71BBA">
        <w:rPr>
          <w:rFonts w:ascii="Georgia" w:hAnsi="Georgia" w:cs="Arial"/>
          <w:sz w:val="22"/>
          <w:szCs w:val="22"/>
        </w:rPr>
        <w:t>may</w:t>
      </w:r>
      <w:r>
        <w:rPr>
          <w:rFonts w:ascii="Georgia" w:hAnsi="Georgia" w:cs="Arial"/>
          <w:sz w:val="22"/>
          <w:szCs w:val="22"/>
        </w:rPr>
        <w:t xml:space="preserve"> </w:t>
      </w:r>
      <w:r w:rsidR="005A7DD1">
        <w:rPr>
          <w:rFonts w:ascii="Georgia" w:hAnsi="Georgia" w:cs="Arial"/>
          <w:sz w:val="22"/>
          <w:szCs w:val="22"/>
        </w:rPr>
        <w:t xml:space="preserve">make additional </w:t>
      </w:r>
      <w:r>
        <w:rPr>
          <w:rFonts w:ascii="Georgia" w:hAnsi="Georgia" w:cs="Arial"/>
          <w:sz w:val="22"/>
          <w:szCs w:val="22"/>
        </w:rPr>
        <w:t>update</w:t>
      </w:r>
      <w:r w:rsidR="005A7DD1">
        <w:rPr>
          <w:rFonts w:ascii="Georgia" w:hAnsi="Georgia" w:cs="Arial"/>
          <w:sz w:val="22"/>
          <w:szCs w:val="22"/>
        </w:rPr>
        <w:t>s to</w:t>
      </w:r>
      <w:r>
        <w:rPr>
          <w:rFonts w:ascii="Georgia" w:hAnsi="Georgia" w:cs="Arial"/>
          <w:sz w:val="22"/>
          <w:szCs w:val="22"/>
        </w:rPr>
        <w:t xml:space="preserve"> the </w:t>
      </w:r>
      <w:r w:rsidR="005A7DD1">
        <w:rPr>
          <w:rFonts w:ascii="Georgia" w:hAnsi="Georgia" w:cs="Arial"/>
          <w:sz w:val="22"/>
          <w:szCs w:val="22"/>
        </w:rPr>
        <w:t xml:space="preserve">companion guides </w:t>
      </w:r>
      <w:r>
        <w:rPr>
          <w:rFonts w:ascii="Georgia" w:hAnsi="Georgia" w:cs="Arial"/>
          <w:sz w:val="22"/>
          <w:szCs w:val="22"/>
        </w:rPr>
        <w:t>once the agency completes internal testing of the new translator.</w:t>
      </w:r>
    </w:p>
    <w:p w:rsidR="00464EFA" w:rsidRDefault="000673A3" w:rsidP="008E7BF9">
      <w:pPr>
        <w:ind w:left="540" w:right="720"/>
        <w:rPr>
          <w:rFonts w:ascii="Georgia" w:hAnsi="Georgia" w:cs="Arial"/>
          <w:sz w:val="22"/>
          <w:szCs w:val="22"/>
        </w:rPr>
        <w:sectPr w:rsidR="00464EFA" w:rsidSect="00C01E62"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 w:rsidRPr="004E7E11">
        <w:rPr>
          <w:rFonts w:ascii="Georgia" w:hAnsi="Georgia" w:cs="Arial"/>
          <w:sz w:val="22"/>
          <w:szCs w:val="22"/>
        </w:rPr>
        <w:t xml:space="preserve">Trading partners should evaluate their systems immediately to confirm that they are aligned with modifications outlined in the initial version of the updated </w:t>
      </w:r>
      <w:r w:rsidR="005A7DD1">
        <w:rPr>
          <w:rFonts w:ascii="Georgia" w:hAnsi="Georgia" w:cs="Arial"/>
          <w:sz w:val="22"/>
          <w:szCs w:val="22"/>
        </w:rPr>
        <w:t>c</w:t>
      </w:r>
      <w:r w:rsidR="005A7DD1" w:rsidRPr="004E7E11">
        <w:rPr>
          <w:rFonts w:ascii="Georgia" w:hAnsi="Georgia" w:cs="Arial"/>
          <w:sz w:val="22"/>
          <w:szCs w:val="22"/>
        </w:rPr>
        <w:t xml:space="preserve">ompanion </w:t>
      </w:r>
      <w:r w:rsidR="005A7DD1">
        <w:rPr>
          <w:rFonts w:ascii="Georgia" w:hAnsi="Georgia" w:cs="Arial"/>
          <w:sz w:val="22"/>
          <w:szCs w:val="22"/>
        </w:rPr>
        <w:t>g</w:t>
      </w:r>
      <w:r w:rsidR="005A7DD1" w:rsidRPr="004E7E11">
        <w:rPr>
          <w:rFonts w:ascii="Georgia" w:hAnsi="Georgia" w:cs="Arial"/>
          <w:sz w:val="22"/>
          <w:szCs w:val="22"/>
        </w:rPr>
        <w:t xml:space="preserve">uides </w:t>
      </w:r>
      <w:r w:rsidRPr="004E7E11">
        <w:rPr>
          <w:rFonts w:ascii="Georgia" w:hAnsi="Georgia" w:cs="Arial"/>
          <w:sz w:val="22"/>
          <w:szCs w:val="22"/>
        </w:rPr>
        <w:t xml:space="preserve">and ensure that systems are modified, as appropriate, to accommodate the changes.  Do not wait until the final update of the </w:t>
      </w:r>
      <w:r w:rsidR="005A7DD1">
        <w:rPr>
          <w:rFonts w:ascii="Georgia" w:hAnsi="Georgia" w:cs="Arial"/>
          <w:sz w:val="22"/>
          <w:szCs w:val="22"/>
        </w:rPr>
        <w:t>c</w:t>
      </w:r>
      <w:r w:rsidR="005A7DD1" w:rsidRPr="004E7E11">
        <w:rPr>
          <w:rFonts w:ascii="Georgia" w:hAnsi="Georgia" w:cs="Arial"/>
          <w:sz w:val="22"/>
          <w:szCs w:val="22"/>
        </w:rPr>
        <w:t xml:space="preserve">ompanion </w:t>
      </w:r>
      <w:r w:rsidR="005A7DD1">
        <w:rPr>
          <w:rFonts w:ascii="Georgia" w:hAnsi="Georgia" w:cs="Arial"/>
          <w:sz w:val="22"/>
          <w:szCs w:val="22"/>
        </w:rPr>
        <w:t>g</w:t>
      </w:r>
      <w:r w:rsidR="005A7DD1" w:rsidRPr="004E7E11">
        <w:rPr>
          <w:rFonts w:ascii="Georgia" w:hAnsi="Georgia" w:cs="Arial"/>
          <w:sz w:val="22"/>
          <w:szCs w:val="22"/>
        </w:rPr>
        <w:t xml:space="preserve">uides </w:t>
      </w:r>
      <w:r w:rsidRPr="004E7E11">
        <w:rPr>
          <w:rFonts w:ascii="Georgia" w:hAnsi="Georgia" w:cs="Arial"/>
          <w:sz w:val="22"/>
          <w:szCs w:val="22"/>
        </w:rPr>
        <w:t>is issued to begin to make any necessary changes.</w:t>
      </w:r>
    </w:p>
    <w:p w:rsidR="00B26CE8" w:rsidRDefault="00B26CE8" w:rsidP="00EF6F99">
      <w:pPr>
        <w:pStyle w:val="Heading1"/>
        <w:spacing w:after="120"/>
        <w:ind w:left="540" w:firstLine="0"/>
        <w:rPr>
          <w:rFonts w:eastAsiaTheme="minorHAnsi"/>
        </w:rPr>
      </w:pPr>
    </w:p>
    <w:p w:rsidR="0015523A" w:rsidRPr="00464EFA" w:rsidRDefault="0015523A" w:rsidP="00EF6F99">
      <w:pPr>
        <w:pStyle w:val="Heading1"/>
        <w:spacing w:after="120"/>
        <w:ind w:left="540" w:firstLine="0"/>
        <w:rPr>
          <w:rFonts w:eastAsiaTheme="minorHAnsi"/>
        </w:rPr>
      </w:pPr>
      <w:r w:rsidRPr="008C4604">
        <w:rPr>
          <w:rFonts w:eastAsiaTheme="minorHAnsi"/>
        </w:rPr>
        <w:t>Trading Partner Testing</w:t>
      </w:r>
    </w:p>
    <w:p w:rsidR="0015523A" w:rsidRPr="004E7E11" w:rsidRDefault="0015523A" w:rsidP="00EF6F99">
      <w:pPr>
        <w:spacing w:after="200"/>
        <w:ind w:left="540" w:right="720"/>
        <w:rPr>
          <w:rFonts w:ascii="Georgia" w:hAnsi="Georgia" w:cs="Arial"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 xml:space="preserve">MassHealth strongly recommends that all trading partners </w:t>
      </w:r>
      <w:r w:rsidR="005A7DD1">
        <w:rPr>
          <w:rFonts w:ascii="Georgia" w:hAnsi="Georgia" w:cs="Arial"/>
          <w:sz w:val="22"/>
          <w:szCs w:val="22"/>
        </w:rPr>
        <w:t>who</w:t>
      </w:r>
      <w:r w:rsidR="005A7DD1" w:rsidRPr="004E7E11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directly </w:t>
      </w:r>
      <w:r w:rsidRPr="004E7E11">
        <w:rPr>
          <w:rFonts w:ascii="Georgia" w:hAnsi="Georgia" w:cs="Arial"/>
          <w:sz w:val="22"/>
          <w:szCs w:val="22"/>
        </w:rPr>
        <w:t>submit or receive HIPAA transactions to/from MassHealth test compliance for each transaction type utilized during the appropriate testing timeline:</w:t>
      </w:r>
    </w:p>
    <w:p w:rsidR="0015523A" w:rsidRPr="004E7E11" w:rsidRDefault="0015523A" w:rsidP="00EF6F99">
      <w:pPr>
        <w:spacing w:after="80"/>
        <w:ind w:left="540" w:right="720"/>
        <w:rPr>
          <w:rFonts w:ascii="Georgia" w:hAnsi="Georgia" w:cs="Arial"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>Phase 1</w:t>
      </w:r>
      <w:r w:rsidR="005A7DD1">
        <w:rPr>
          <w:rFonts w:ascii="Georgia" w:hAnsi="Georgia" w:cs="Arial"/>
          <w:sz w:val="22"/>
          <w:szCs w:val="22"/>
        </w:rPr>
        <w:t xml:space="preserve"> </w:t>
      </w:r>
      <w:r w:rsidR="005A7DD1" w:rsidRPr="00461860">
        <w:rPr>
          <w:rFonts w:ascii="Georgia" w:hAnsi="Georgia" w:cs="Arial"/>
          <w:i/>
          <w:sz w:val="22"/>
          <w:szCs w:val="22"/>
        </w:rPr>
        <w:t>(270/271, 820, 834)</w:t>
      </w:r>
      <w:r w:rsidRPr="004E7E11">
        <w:rPr>
          <w:rFonts w:ascii="Georgia" w:hAnsi="Georgia" w:cs="Arial"/>
          <w:sz w:val="22"/>
          <w:szCs w:val="22"/>
        </w:rPr>
        <w:t>:  7/29 – 9/20/19</w:t>
      </w:r>
    </w:p>
    <w:p w:rsidR="0015523A" w:rsidRPr="004E7E11" w:rsidRDefault="0015523A" w:rsidP="00EF6F99">
      <w:pPr>
        <w:spacing w:after="200"/>
        <w:ind w:left="540" w:right="720"/>
        <w:rPr>
          <w:rFonts w:ascii="Georgia" w:hAnsi="Georgia" w:cs="Arial"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>Phase 2</w:t>
      </w:r>
      <w:r w:rsidR="005A7DD1">
        <w:rPr>
          <w:rFonts w:ascii="Georgia" w:hAnsi="Georgia" w:cs="Arial"/>
          <w:sz w:val="22"/>
          <w:szCs w:val="22"/>
        </w:rPr>
        <w:t xml:space="preserve"> </w:t>
      </w:r>
      <w:r w:rsidR="005A7DD1" w:rsidRPr="00461860">
        <w:rPr>
          <w:rFonts w:ascii="Georgia" w:hAnsi="Georgia" w:cs="Arial"/>
          <w:i/>
          <w:sz w:val="22"/>
          <w:szCs w:val="22"/>
        </w:rPr>
        <w:t>(837P, 837I, 835, 276/277)</w:t>
      </w:r>
      <w:r w:rsidRPr="004E7E11">
        <w:rPr>
          <w:rFonts w:ascii="Georgia" w:hAnsi="Georgia" w:cs="Arial"/>
          <w:sz w:val="22"/>
          <w:szCs w:val="22"/>
        </w:rPr>
        <w:t>:  1/27 – 3/27/</w:t>
      </w:r>
      <w:r w:rsidR="00532EDE">
        <w:rPr>
          <w:rFonts w:ascii="Georgia" w:hAnsi="Georgia" w:cs="Arial"/>
          <w:sz w:val="22"/>
          <w:szCs w:val="22"/>
        </w:rPr>
        <w:t>20</w:t>
      </w:r>
    </w:p>
    <w:p w:rsidR="0015523A" w:rsidRPr="004E7E11" w:rsidRDefault="0015523A" w:rsidP="00EF6F99">
      <w:pPr>
        <w:spacing w:after="120"/>
        <w:ind w:left="540" w:right="720"/>
        <w:rPr>
          <w:rFonts w:ascii="Georgia" w:hAnsi="Georgia" w:cs="Arial"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 xml:space="preserve">Please review the Technical Refresh Impact chart below and ensure that your systems comply with the changes outlined within the document. MassHealth strongly </w:t>
      </w:r>
      <w:r w:rsidR="005A7DD1">
        <w:rPr>
          <w:rFonts w:ascii="Georgia" w:hAnsi="Georgia" w:cs="Arial"/>
          <w:sz w:val="22"/>
          <w:szCs w:val="22"/>
        </w:rPr>
        <w:t>discourages</w:t>
      </w:r>
      <w:r w:rsidRPr="004E7E11">
        <w:rPr>
          <w:rFonts w:ascii="Georgia" w:hAnsi="Georgia" w:cs="Arial"/>
          <w:sz w:val="22"/>
          <w:szCs w:val="22"/>
        </w:rPr>
        <w:t xml:space="preserve"> </w:t>
      </w:r>
      <w:r w:rsidR="005A7DD1">
        <w:rPr>
          <w:rFonts w:ascii="Georgia" w:hAnsi="Georgia" w:cs="Arial"/>
          <w:sz w:val="22"/>
          <w:szCs w:val="22"/>
        </w:rPr>
        <w:t>trading partners</w:t>
      </w:r>
      <w:r w:rsidR="005A7DD1" w:rsidRPr="004E7E11">
        <w:rPr>
          <w:rFonts w:ascii="Georgia" w:hAnsi="Georgia" w:cs="Arial"/>
          <w:sz w:val="22"/>
          <w:szCs w:val="22"/>
        </w:rPr>
        <w:t xml:space="preserve"> </w:t>
      </w:r>
      <w:r w:rsidR="005A7DD1">
        <w:rPr>
          <w:rFonts w:ascii="Georgia" w:hAnsi="Georgia" w:cs="Arial"/>
          <w:sz w:val="22"/>
          <w:szCs w:val="22"/>
        </w:rPr>
        <w:t>from submitting</w:t>
      </w:r>
      <w:r w:rsidRPr="004E7E11">
        <w:rPr>
          <w:rFonts w:ascii="Georgia" w:hAnsi="Georgia" w:cs="Arial"/>
          <w:sz w:val="22"/>
          <w:szCs w:val="22"/>
        </w:rPr>
        <w:t xml:space="preserve"> redundant or excessive transactions for processing. </w:t>
      </w:r>
      <w:r w:rsidR="00542FE2">
        <w:rPr>
          <w:rFonts w:ascii="Georgia" w:hAnsi="Georgia" w:cs="Arial"/>
          <w:sz w:val="22"/>
          <w:szCs w:val="22"/>
        </w:rPr>
        <w:t>Only t</w:t>
      </w:r>
      <w:r w:rsidRPr="004E7E11">
        <w:rPr>
          <w:rFonts w:ascii="Georgia" w:hAnsi="Georgia" w:cs="Arial"/>
          <w:sz w:val="22"/>
          <w:szCs w:val="22"/>
        </w:rPr>
        <w:t xml:space="preserve">ransactions </w:t>
      </w:r>
      <w:r w:rsidR="00542FE2">
        <w:rPr>
          <w:rFonts w:ascii="Georgia" w:hAnsi="Georgia" w:cs="Arial"/>
          <w:sz w:val="22"/>
          <w:szCs w:val="22"/>
        </w:rPr>
        <w:t>that</w:t>
      </w:r>
      <w:r w:rsidRPr="004E7E11">
        <w:rPr>
          <w:rFonts w:ascii="Georgia" w:hAnsi="Georgia" w:cs="Arial"/>
          <w:sz w:val="22"/>
          <w:szCs w:val="22"/>
        </w:rPr>
        <w:t xml:space="preserve"> directly support services that have or will be provided directly to MassHealth members</w:t>
      </w:r>
      <w:r w:rsidR="00542FE2">
        <w:rPr>
          <w:rFonts w:ascii="Georgia" w:hAnsi="Georgia" w:cs="Arial"/>
          <w:sz w:val="22"/>
          <w:szCs w:val="22"/>
        </w:rPr>
        <w:t xml:space="preserve"> should be submitted</w:t>
      </w:r>
      <w:r w:rsidRPr="004E7E11">
        <w:rPr>
          <w:rFonts w:ascii="Georgia" w:hAnsi="Georgia" w:cs="Arial"/>
          <w:sz w:val="22"/>
          <w:szCs w:val="22"/>
        </w:rPr>
        <w:t>.</w:t>
      </w:r>
    </w:p>
    <w:p w:rsidR="0015523A" w:rsidRDefault="0015523A" w:rsidP="00EF6F99">
      <w:pPr>
        <w:spacing w:after="120"/>
        <w:ind w:left="540" w:right="720"/>
        <w:rPr>
          <w:rFonts w:ascii="Georgia" w:hAnsi="Georgia" w:cs="Arial"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 xml:space="preserve">If you </w:t>
      </w:r>
      <w:r w:rsidR="00F00955">
        <w:rPr>
          <w:rFonts w:ascii="Georgia" w:hAnsi="Georgia" w:cs="Arial"/>
          <w:sz w:val="22"/>
          <w:szCs w:val="22"/>
        </w:rPr>
        <w:t>use</w:t>
      </w:r>
      <w:r w:rsidR="00F00955" w:rsidRPr="004E7E11">
        <w:rPr>
          <w:rFonts w:ascii="Georgia" w:hAnsi="Georgia" w:cs="Arial"/>
          <w:sz w:val="22"/>
          <w:szCs w:val="22"/>
        </w:rPr>
        <w:t xml:space="preserve"> </w:t>
      </w:r>
      <w:r w:rsidRPr="004E7E11">
        <w:rPr>
          <w:rFonts w:ascii="Georgia" w:hAnsi="Georgia" w:cs="Arial"/>
          <w:sz w:val="22"/>
          <w:szCs w:val="22"/>
        </w:rPr>
        <w:t xml:space="preserve">a billing intermediary, software vendor, or </w:t>
      </w:r>
      <w:r w:rsidRPr="002F0B28">
        <w:rPr>
          <w:rFonts w:ascii="Georgia" w:hAnsi="Georgia" w:cs="Arial"/>
          <w:sz w:val="22"/>
          <w:szCs w:val="22"/>
        </w:rPr>
        <w:t>clearinghouse</w:t>
      </w:r>
      <w:r w:rsidRPr="004E7E11">
        <w:rPr>
          <w:rFonts w:ascii="Georgia" w:hAnsi="Georgia" w:cs="Arial"/>
          <w:sz w:val="22"/>
          <w:szCs w:val="22"/>
        </w:rPr>
        <w:t xml:space="preserve"> to process HIPAA transactions please outreach to them to confirm their awareness, and readiness plans.</w:t>
      </w:r>
    </w:p>
    <w:p w:rsidR="0015523A" w:rsidRPr="00464EFA" w:rsidRDefault="0015523A" w:rsidP="00EF6F99">
      <w:pPr>
        <w:spacing w:after="120"/>
        <w:ind w:left="540" w:right="7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Providers </w:t>
      </w:r>
      <w:r w:rsidR="00F00955">
        <w:rPr>
          <w:rFonts w:ascii="Georgia" w:hAnsi="Georgia" w:cs="Arial"/>
          <w:sz w:val="22"/>
          <w:szCs w:val="22"/>
        </w:rPr>
        <w:t xml:space="preserve">who </w:t>
      </w:r>
      <w:r>
        <w:rPr>
          <w:rFonts w:ascii="Georgia" w:hAnsi="Georgia" w:cs="Arial"/>
          <w:sz w:val="22"/>
          <w:szCs w:val="22"/>
        </w:rPr>
        <w:t xml:space="preserve">do not directly submit or receive transactions to or from </w:t>
      </w:r>
      <w:r w:rsidR="00464EFA">
        <w:rPr>
          <w:rFonts w:ascii="Georgia" w:hAnsi="Georgia" w:cs="Arial"/>
          <w:sz w:val="22"/>
          <w:szCs w:val="22"/>
        </w:rPr>
        <w:t>MassHealth do NOT need to test.</w:t>
      </w:r>
    </w:p>
    <w:p w:rsidR="00697375" w:rsidRPr="008C4604" w:rsidRDefault="0015523A" w:rsidP="00B96AE0">
      <w:pPr>
        <w:pStyle w:val="Heading1"/>
        <w:spacing w:before="240" w:after="120"/>
        <w:ind w:left="547" w:firstLine="0"/>
        <w:rPr>
          <w:rFonts w:eastAsiaTheme="minorHAnsi"/>
        </w:rPr>
      </w:pPr>
      <w:r w:rsidRPr="008C4604">
        <w:rPr>
          <w:rFonts w:eastAsiaTheme="minorHAnsi"/>
        </w:rPr>
        <w:t>MassHealth Communications</w:t>
      </w:r>
    </w:p>
    <w:p w:rsidR="00647DCE" w:rsidRPr="00464EFA" w:rsidRDefault="0015523A" w:rsidP="00827CE6">
      <w:pPr>
        <w:widowControl w:val="0"/>
        <w:spacing w:after="120"/>
        <w:ind w:left="540" w:right="720"/>
        <w:rPr>
          <w:rFonts w:ascii="Georgia" w:hAnsi="Georgia" w:cs="Arial"/>
          <w:sz w:val="22"/>
          <w:szCs w:val="22"/>
        </w:rPr>
      </w:pPr>
      <w:r w:rsidRPr="004E7E11">
        <w:rPr>
          <w:rFonts w:ascii="Georgia" w:hAnsi="Georgia" w:cs="Arial"/>
          <w:sz w:val="22"/>
          <w:szCs w:val="22"/>
        </w:rPr>
        <w:t xml:space="preserve">MassHealth will keep trading partners informed of the status of the </w:t>
      </w:r>
      <w:r>
        <w:rPr>
          <w:rFonts w:ascii="Georgia" w:hAnsi="Georgia" w:cs="Arial"/>
          <w:sz w:val="22"/>
          <w:szCs w:val="22"/>
        </w:rPr>
        <w:t>T</w:t>
      </w:r>
      <w:r w:rsidRPr="004E7E11">
        <w:rPr>
          <w:rFonts w:ascii="Georgia" w:hAnsi="Georgia" w:cs="Arial"/>
          <w:sz w:val="22"/>
          <w:szCs w:val="22"/>
        </w:rPr>
        <w:t xml:space="preserve">echnical </w:t>
      </w:r>
      <w:r>
        <w:rPr>
          <w:rFonts w:ascii="Georgia" w:hAnsi="Georgia" w:cs="Arial"/>
          <w:sz w:val="22"/>
          <w:szCs w:val="22"/>
        </w:rPr>
        <w:t>R</w:t>
      </w:r>
      <w:r w:rsidRPr="004E7E11">
        <w:rPr>
          <w:rFonts w:ascii="Georgia" w:hAnsi="Georgia" w:cs="Arial"/>
          <w:sz w:val="22"/>
          <w:szCs w:val="22"/>
        </w:rPr>
        <w:t xml:space="preserve">efresh project and testing timelines and activities via provider bulletin, banner and broadcast messages, information sessions, provider association forums, and trading partner testing forums </w:t>
      </w:r>
      <w:r w:rsidRPr="004E7E11">
        <w:rPr>
          <w:rFonts w:ascii="Georgia" w:hAnsi="Georgia" w:cs="Arial"/>
          <w:i/>
          <w:sz w:val="22"/>
          <w:szCs w:val="22"/>
        </w:rPr>
        <w:t xml:space="preserve">(providers, </w:t>
      </w:r>
      <w:r w:rsidR="00F00955">
        <w:rPr>
          <w:rFonts w:ascii="Georgia" w:hAnsi="Georgia" w:cs="Arial"/>
          <w:i/>
          <w:sz w:val="22"/>
          <w:szCs w:val="22"/>
        </w:rPr>
        <w:t>b</w:t>
      </w:r>
      <w:r w:rsidR="00F00955" w:rsidRPr="004E7E11">
        <w:rPr>
          <w:rFonts w:ascii="Georgia" w:hAnsi="Georgia" w:cs="Arial"/>
          <w:i/>
          <w:sz w:val="22"/>
          <w:szCs w:val="22"/>
        </w:rPr>
        <w:t xml:space="preserve">illing </w:t>
      </w:r>
      <w:r w:rsidR="00F00955">
        <w:rPr>
          <w:rFonts w:ascii="Georgia" w:hAnsi="Georgia" w:cs="Arial"/>
          <w:i/>
          <w:sz w:val="22"/>
          <w:szCs w:val="22"/>
        </w:rPr>
        <w:t>i</w:t>
      </w:r>
      <w:r w:rsidR="00F00955" w:rsidRPr="004E7E11">
        <w:rPr>
          <w:rFonts w:ascii="Georgia" w:hAnsi="Georgia" w:cs="Arial"/>
          <w:i/>
          <w:sz w:val="22"/>
          <w:szCs w:val="22"/>
        </w:rPr>
        <w:t>ntermediaries</w:t>
      </w:r>
      <w:r w:rsidRPr="004E7E11">
        <w:rPr>
          <w:rFonts w:ascii="Georgia" w:hAnsi="Georgia" w:cs="Arial"/>
          <w:i/>
          <w:sz w:val="22"/>
          <w:szCs w:val="22"/>
        </w:rPr>
        <w:t xml:space="preserve">, </w:t>
      </w:r>
      <w:r w:rsidR="00F00955">
        <w:rPr>
          <w:rFonts w:ascii="Georgia" w:hAnsi="Georgia" w:cs="Arial"/>
          <w:i/>
          <w:sz w:val="22"/>
          <w:szCs w:val="22"/>
        </w:rPr>
        <w:t>s</w:t>
      </w:r>
      <w:r w:rsidR="00F00955" w:rsidRPr="004E7E11">
        <w:rPr>
          <w:rFonts w:ascii="Georgia" w:hAnsi="Georgia" w:cs="Arial"/>
          <w:i/>
          <w:sz w:val="22"/>
          <w:szCs w:val="22"/>
        </w:rPr>
        <w:t xml:space="preserve">oftware </w:t>
      </w:r>
      <w:r w:rsidR="00F00955">
        <w:rPr>
          <w:rFonts w:ascii="Georgia" w:hAnsi="Georgia" w:cs="Arial"/>
          <w:i/>
          <w:sz w:val="22"/>
          <w:szCs w:val="22"/>
        </w:rPr>
        <w:t>v</w:t>
      </w:r>
      <w:r w:rsidR="00F00955" w:rsidRPr="004E7E11">
        <w:rPr>
          <w:rFonts w:ascii="Georgia" w:hAnsi="Georgia" w:cs="Arial"/>
          <w:i/>
          <w:sz w:val="22"/>
          <w:szCs w:val="22"/>
        </w:rPr>
        <w:t>endors</w:t>
      </w:r>
      <w:r w:rsidRPr="004E7E11">
        <w:rPr>
          <w:rFonts w:ascii="Georgia" w:hAnsi="Georgia" w:cs="Arial"/>
          <w:i/>
          <w:sz w:val="22"/>
          <w:szCs w:val="22"/>
        </w:rPr>
        <w:t xml:space="preserve">, and </w:t>
      </w:r>
      <w:r w:rsidR="00F00955">
        <w:rPr>
          <w:rFonts w:ascii="Georgia" w:hAnsi="Georgia" w:cs="Arial"/>
          <w:i/>
          <w:sz w:val="22"/>
          <w:szCs w:val="22"/>
        </w:rPr>
        <w:t>c</w:t>
      </w:r>
      <w:r w:rsidR="00F00955" w:rsidRPr="002F0B28">
        <w:rPr>
          <w:rFonts w:ascii="Georgia" w:hAnsi="Georgia" w:cs="Arial"/>
          <w:i/>
          <w:sz w:val="22"/>
          <w:szCs w:val="22"/>
        </w:rPr>
        <w:t>learinghouses</w:t>
      </w:r>
      <w:r w:rsidRPr="004E7E11">
        <w:rPr>
          <w:rFonts w:ascii="Georgia" w:hAnsi="Georgia" w:cs="Arial"/>
          <w:i/>
          <w:sz w:val="22"/>
          <w:szCs w:val="22"/>
        </w:rPr>
        <w:t>).</w:t>
      </w:r>
    </w:p>
    <w:p w:rsidR="00697375" w:rsidRPr="008C4604" w:rsidRDefault="0015523A" w:rsidP="00B96AE0">
      <w:pPr>
        <w:pStyle w:val="Heading1"/>
        <w:spacing w:before="240" w:after="120"/>
        <w:ind w:left="547" w:firstLine="0"/>
        <w:rPr>
          <w:i/>
        </w:rPr>
      </w:pPr>
      <w:r w:rsidRPr="008C4604">
        <w:t>Technical Refresh Schedule</w:t>
      </w:r>
    </w:p>
    <w:p w:rsidR="0015523A" w:rsidRPr="0015523A" w:rsidRDefault="0015523A" w:rsidP="00827CE6">
      <w:pPr>
        <w:ind w:left="540"/>
        <w:rPr>
          <w:rFonts w:ascii="Georgia" w:hAnsi="Georgia"/>
          <w:sz w:val="22"/>
          <w:szCs w:val="22"/>
        </w:rPr>
      </w:pPr>
      <w:r w:rsidRPr="0015523A">
        <w:rPr>
          <w:rFonts w:ascii="Georgia" w:hAnsi="Georgia"/>
          <w:sz w:val="22"/>
          <w:szCs w:val="22"/>
        </w:rPr>
        <w:t xml:space="preserve">The following chart outlines the complete </w:t>
      </w:r>
      <w:r w:rsidR="007E0CBC">
        <w:rPr>
          <w:rFonts w:ascii="Georgia" w:hAnsi="Georgia"/>
          <w:sz w:val="22"/>
          <w:szCs w:val="22"/>
        </w:rPr>
        <w:t>trading partner</w:t>
      </w:r>
      <w:r w:rsidRPr="0015523A">
        <w:rPr>
          <w:rFonts w:ascii="Georgia" w:hAnsi="Georgia"/>
          <w:sz w:val="22"/>
          <w:szCs w:val="22"/>
        </w:rPr>
        <w:t xml:space="preserve"> testing and implementation schedule for the technical refresh project</w:t>
      </w:r>
      <w:r w:rsidR="00464EFA">
        <w:rPr>
          <w:rFonts w:ascii="Georgia" w:hAnsi="Georgia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Spec="center" w:tblpY="184"/>
        <w:tblW w:w="0" w:type="auto"/>
        <w:tblLook w:val="04A0" w:firstRow="1" w:lastRow="0" w:firstColumn="1" w:lastColumn="0" w:noHBand="0" w:noVBand="1"/>
        <w:tblDescription w:val="This chart outlines the complete trading partner testing and implementation schedule for the technical refresh project"/>
      </w:tblPr>
      <w:tblGrid>
        <w:gridCol w:w="2074"/>
        <w:gridCol w:w="1488"/>
        <w:gridCol w:w="1802"/>
        <w:gridCol w:w="2523"/>
        <w:gridCol w:w="1892"/>
      </w:tblGrid>
      <w:tr w:rsidR="0015523A" w:rsidTr="00083961">
        <w:trPr>
          <w:trHeight w:val="739"/>
          <w:tblHeader/>
        </w:trPr>
        <w:tc>
          <w:tcPr>
            <w:tcW w:w="2074" w:type="dxa"/>
            <w:shd w:val="clear" w:color="auto" w:fill="B8CCE4" w:themeFill="accent1" w:themeFillTint="66"/>
            <w:vAlign w:val="center"/>
          </w:tcPr>
          <w:p w:rsidR="0015523A" w:rsidRPr="002F0B28" w:rsidRDefault="0015523A" w:rsidP="0095498D">
            <w:pPr>
              <w:jc w:val="center"/>
              <w:rPr>
                <w:b/>
                <w:color w:val="002060"/>
              </w:rPr>
            </w:pPr>
            <w:r w:rsidRPr="002F0B28">
              <w:rPr>
                <w:b/>
                <w:color w:val="002060"/>
              </w:rPr>
              <w:t>Phase</w:t>
            </w:r>
          </w:p>
        </w:tc>
        <w:tc>
          <w:tcPr>
            <w:tcW w:w="1488" w:type="dxa"/>
            <w:shd w:val="clear" w:color="auto" w:fill="B8CCE4" w:themeFill="accent1" w:themeFillTint="66"/>
            <w:vAlign w:val="center"/>
          </w:tcPr>
          <w:p w:rsidR="0015523A" w:rsidRPr="002F0B28" w:rsidRDefault="0015523A" w:rsidP="0095498D">
            <w:pPr>
              <w:jc w:val="center"/>
              <w:rPr>
                <w:b/>
                <w:color w:val="002060"/>
              </w:rPr>
            </w:pPr>
            <w:r w:rsidRPr="002F0B28">
              <w:rPr>
                <w:b/>
                <w:color w:val="002060"/>
              </w:rPr>
              <w:t xml:space="preserve">Affected </w:t>
            </w:r>
          </w:p>
          <w:p w:rsidR="0015523A" w:rsidRPr="002F0B28" w:rsidRDefault="0015523A" w:rsidP="0095498D">
            <w:pPr>
              <w:jc w:val="center"/>
              <w:rPr>
                <w:b/>
                <w:color w:val="002060"/>
              </w:rPr>
            </w:pPr>
            <w:r w:rsidRPr="002F0B28">
              <w:rPr>
                <w:b/>
                <w:color w:val="002060"/>
              </w:rPr>
              <w:t>Transactions</w:t>
            </w:r>
          </w:p>
        </w:tc>
        <w:tc>
          <w:tcPr>
            <w:tcW w:w="1802" w:type="dxa"/>
            <w:shd w:val="clear" w:color="auto" w:fill="B8CCE4" w:themeFill="accent1" w:themeFillTint="66"/>
            <w:vAlign w:val="center"/>
          </w:tcPr>
          <w:p w:rsidR="0015523A" w:rsidRPr="002F0B28" w:rsidRDefault="00F00955" w:rsidP="00F0095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Expected Publication of </w:t>
            </w:r>
            <w:r w:rsidRPr="002F0B28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 xml:space="preserve">Updated </w:t>
            </w:r>
            <w:r w:rsidR="0015523A" w:rsidRPr="002F0B28">
              <w:rPr>
                <w:b/>
                <w:color w:val="002060"/>
              </w:rPr>
              <w:t>CG (after internal testing)</w:t>
            </w:r>
          </w:p>
        </w:tc>
        <w:tc>
          <w:tcPr>
            <w:tcW w:w="2523" w:type="dxa"/>
            <w:shd w:val="clear" w:color="auto" w:fill="B8CCE4" w:themeFill="accent1" w:themeFillTint="66"/>
            <w:vAlign w:val="center"/>
          </w:tcPr>
          <w:p w:rsidR="0015523A" w:rsidRPr="002F0B28" w:rsidRDefault="0015523A" w:rsidP="0095498D">
            <w:pPr>
              <w:jc w:val="center"/>
              <w:rPr>
                <w:b/>
                <w:color w:val="002060"/>
              </w:rPr>
            </w:pPr>
            <w:r w:rsidRPr="002F0B28">
              <w:rPr>
                <w:b/>
                <w:color w:val="002060"/>
              </w:rPr>
              <w:t>Trading Partner Testing</w:t>
            </w:r>
            <w:r w:rsidR="00F00955">
              <w:rPr>
                <w:b/>
                <w:color w:val="002060"/>
              </w:rPr>
              <w:t xml:space="preserve"> Period</w:t>
            </w:r>
          </w:p>
        </w:tc>
        <w:tc>
          <w:tcPr>
            <w:tcW w:w="1892" w:type="dxa"/>
            <w:shd w:val="clear" w:color="auto" w:fill="B8CCE4" w:themeFill="accent1" w:themeFillTint="66"/>
            <w:vAlign w:val="center"/>
          </w:tcPr>
          <w:p w:rsidR="0015523A" w:rsidRPr="002F0B28" w:rsidRDefault="0015523A" w:rsidP="0095498D">
            <w:pPr>
              <w:jc w:val="center"/>
              <w:rPr>
                <w:b/>
                <w:color w:val="002060"/>
              </w:rPr>
            </w:pPr>
            <w:r w:rsidRPr="002F0B28">
              <w:rPr>
                <w:b/>
                <w:color w:val="002060"/>
              </w:rPr>
              <w:t>Implementation</w:t>
            </w:r>
          </w:p>
          <w:p w:rsidR="0015523A" w:rsidRPr="002F0B28" w:rsidRDefault="0015523A" w:rsidP="0095498D">
            <w:pPr>
              <w:jc w:val="center"/>
              <w:rPr>
                <w:b/>
                <w:color w:val="002060"/>
              </w:rPr>
            </w:pPr>
            <w:r w:rsidRPr="002F0B28">
              <w:rPr>
                <w:b/>
                <w:color w:val="002060"/>
              </w:rPr>
              <w:t>Date</w:t>
            </w:r>
          </w:p>
        </w:tc>
      </w:tr>
      <w:tr w:rsidR="0015523A" w:rsidTr="00EF6F99">
        <w:trPr>
          <w:trHeight w:val="707"/>
          <w:tblHeader/>
        </w:trPr>
        <w:tc>
          <w:tcPr>
            <w:tcW w:w="2074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1</w:t>
            </w:r>
          </w:p>
        </w:tc>
        <w:tc>
          <w:tcPr>
            <w:tcW w:w="1488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270/271</w:t>
            </w:r>
          </w:p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820</w:t>
            </w:r>
          </w:p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834</w:t>
            </w:r>
          </w:p>
        </w:tc>
        <w:tc>
          <w:tcPr>
            <w:tcW w:w="1802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June 2019</w:t>
            </w:r>
          </w:p>
        </w:tc>
        <w:tc>
          <w:tcPr>
            <w:tcW w:w="2523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July 29 – September 20, 2019</w:t>
            </w:r>
          </w:p>
        </w:tc>
        <w:tc>
          <w:tcPr>
            <w:tcW w:w="1892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September 30, 2019</w:t>
            </w:r>
          </w:p>
        </w:tc>
      </w:tr>
      <w:tr w:rsidR="0015523A" w:rsidTr="00EF6F99">
        <w:trPr>
          <w:trHeight w:val="1166"/>
          <w:tblHeader/>
        </w:trPr>
        <w:tc>
          <w:tcPr>
            <w:tcW w:w="2074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2</w:t>
            </w:r>
          </w:p>
        </w:tc>
        <w:tc>
          <w:tcPr>
            <w:tcW w:w="1488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276/277</w:t>
            </w:r>
          </w:p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835</w:t>
            </w:r>
          </w:p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837I</w:t>
            </w:r>
          </w:p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837P</w:t>
            </w:r>
          </w:p>
        </w:tc>
        <w:tc>
          <w:tcPr>
            <w:tcW w:w="1802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November 2019</w:t>
            </w:r>
          </w:p>
        </w:tc>
        <w:tc>
          <w:tcPr>
            <w:tcW w:w="2523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January 27 – March 27, 2020</w:t>
            </w:r>
          </w:p>
        </w:tc>
        <w:tc>
          <w:tcPr>
            <w:tcW w:w="1892" w:type="dxa"/>
            <w:vAlign w:val="center"/>
          </w:tcPr>
          <w:p w:rsidR="0015523A" w:rsidRPr="00697BF6" w:rsidRDefault="0015523A" w:rsidP="0095498D">
            <w:pPr>
              <w:jc w:val="center"/>
              <w:rPr>
                <w:b/>
                <w:color w:val="244061" w:themeColor="accent1" w:themeShade="80"/>
                <w:sz w:val="18"/>
                <w:szCs w:val="18"/>
              </w:rPr>
            </w:pPr>
            <w:r w:rsidRPr="00697BF6">
              <w:rPr>
                <w:b/>
                <w:color w:val="244061" w:themeColor="accent1" w:themeShade="80"/>
                <w:sz w:val="18"/>
                <w:szCs w:val="18"/>
              </w:rPr>
              <w:t>March 30, 2020</w:t>
            </w:r>
          </w:p>
        </w:tc>
      </w:tr>
    </w:tbl>
    <w:p w:rsidR="0015523A" w:rsidRPr="002F0B28" w:rsidRDefault="0015523A">
      <w:pPr>
        <w:rPr>
          <w:rFonts w:ascii="Georgia" w:hAnsi="Georgia"/>
          <w:sz w:val="12"/>
        </w:rPr>
      </w:pPr>
    </w:p>
    <w:p w:rsidR="00464EFA" w:rsidRDefault="00464EFA" w:rsidP="00E658A2">
      <w:pPr>
        <w:pStyle w:val="Heading1"/>
        <w:ind w:firstLine="1584"/>
        <w:rPr>
          <w:color w:val="365F91" w:themeColor="accent1" w:themeShade="BF"/>
        </w:rPr>
        <w:sectPr w:rsidR="00464EFA" w:rsidSect="00200961">
          <w:headerReference w:type="default" r:id="rId17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:rsidR="00B26CE8" w:rsidRDefault="00B26CE8" w:rsidP="00827CE6">
      <w:pPr>
        <w:pStyle w:val="Heading1"/>
        <w:spacing w:after="120"/>
        <w:ind w:left="540" w:firstLine="0"/>
      </w:pPr>
    </w:p>
    <w:p w:rsidR="00A948A9" w:rsidRPr="00A948A9" w:rsidRDefault="00A948A9" w:rsidP="00827CE6">
      <w:pPr>
        <w:pStyle w:val="Heading1"/>
        <w:spacing w:after="120"/>
        <w:ind w:left="540" w:firstLine="0"/>
      </w:pPr>
      <w:r w:rsidRPr="00A948A9">
        <w:t>Current Impact to MassHealth HIPAA Transactions</w:t>
      </w:r>
    </w:p>
    <w:p w:rsidR="00517055" w:rsidRDefault="00C63D18" w:rsidP="008E7BF9">
      <w:pPr>
        <w:spacing w:after="120"/>
        <w:ind w:left="540" w:right="90"/>
        <w:rPr>
          <w:rFonts w:ascii="Georgia" w:hAnsi="Georgia" w:cs="Arial"/>
          <w:sz w:val="22"/>
          <w:szCs w:val="22"/>
        </w:rPr>
      </w:pPr>
      <w:r w:rsidRPr="00C63D18">
        <w:rPr>
          <w:rFonts w:ascii="Georgia" w:hAnsi="Georgia" w:cs="Arial"/>
          <w:sz w:val="22"/>
          <w:szCs w:val="22"/>
        </w:rPr>
        <w:t xml:space="preserve">The chart below outlines the current high-level impact to the HIPAA transaction. Please be sure to review the draft </w:t>
      </w:r>
      <w:r w:rsidR="00F00955">
        <w:rPr>
          <w:rFonts w:ascii="Georgia" w:hAnsi="Georgia" w:cs="Arial"/>
          <w:sz w:val="22"/>
          <w:szCs w:val="22"/>
        </w:rPr>
        <w:t>c</w:t>
      </w:r>
      <w:r w:rsidR="00F00955" w:rsidRPr="00C63D18">
        <w:rPr>
          <w:rFonts w:ascii="Georgia" w:hAnsi="Georgia" w:cs="Arial"/>
          <w:sz w:val="22"/>
          <w:szCs w:val="22"/>
        </w:rPr>
        <w:t xml:space="preserve">ompanion </w:t>
      </w:r>
      <w:r w:rsidR="00F00955">
        <w:rPr>
          <w:rFonts w:ascii="Georgia" w:hAnsi="Georgia" w:cs="Arial"/>
          <w:sz w:val="22"/>
          <w:szCs w:val="22"/>
        </w:rPr>
        <w:t>g</w:t>
      </w:r>
      <w:r w:rsidR="00F00955" w:rsidRPr="00C63D18">
        <w:rPr>
          <w:rFonts w:ascii="Georgia" w:hAnsi="Georgia" w:cs="Arial"/>
          <w:sz w:val="22"/>
          <w:szCs w:val="22"/>
        </w:rPr>
        <w:t xml:space="preserve">uide </w:t>
      </w:r>
      <w:r w:rsidRPr="00C63D18">
        <w:rPr>
          <w:rFonts w:ascii="Georgia" w:hAnsi="Georgia" w:cs="Arial"/>
          <w:sz w:val="22"/>
          <w:szCs w:val="22"/>
        </w:rPr>
        <w:t>for detailed updates for each affected transaction.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chart below outlines the current high-level impact to the HIPAA transaction. "/>
      </w:tblPr>
      <w:tblGrid>
        <w:gridCol w:w="2011"/>
        <w:gridCol w:w="2129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43913" w:rsidRPr="00704789" w:rsidTr="00083961">
        <w:trPr>
          <w:tblHeader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C63D18" w:rsidRPr="00704789" w:rsidRDefault="00C63D18" w:rsidP="008E7BF9">
            <w:pPr>
              <w:jc w:val="center"/>
              <w:rPr>
                <w:b/>
                <w:color w:val="002060"/>
              </w:rPr>
            </w:pPr>
            <w:r w:rsidRPr="00704789">
              <w:rPr>
                <w:b/>
                <w:color w:val="002060"/>
              </w:rPr>
              <w:t>Known Changes</w:t>
            </w:r>
          </w:p>
          <w:p w:rsidR="00C63D18" w:rsidRPr="00704789" w:rsidRDefault="00C63D18" w:rsidP="008E7BF9">
            <w:pPr>
              <w:jc w:val="center"/>
              <w:rPr>
                <w:b/>
                <w:color w:val="002060"/>
              </w:rPr>
            </w:pPr>
            <w:r w:rsidRPr="00704789">
              <w:rPr>
                <w:b/>
                <w:color w:val="002060"/>
              </w:rPr>
              <w:t>To Date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C63D18" w:rsidRPr="00704789" w:rsidRDefault="00C63D18" w:rsidP="008E7BF9">
            <w:pPr>
              <w:jc w:val="center"/>
              <w:rPr>
                <w:b/>
                <w:color w:val="002060"/>
              </w:rPr>
            </w:pPr>
            <w:r w:rsidRPr="00704789">
              <w:rPr>
                <w:b/>
                <w:color w:val="002060"/>
              </w:rPr>
              <w:t>Provider Impact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270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271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837P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837I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835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276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277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834</w:t>
            </w:r>
          </w:p>
        </w:tc>
        <w:tc>
          <w:tcPr>
            <w:tcW w:w="684" w:type="dxa"/>
            <w:shd w:val="clear" w:color="auto" w:fill="B8CCE4" w:themeFill="accent1" w:themeFillTint="66"/>
            <w:vAlign w:val="center"/>
          </w:tcPr>
          <w:p w:rsidR="00C63D18" w:rsidRPr="00243913" w:rsidRDefault="00C63D18" w:rsidP="008E7BF9">
            <w:pPr>
              <w:jc w:val="center"/>
              <w:rPr>
                <w:b/>
                <w:color w:val="002060"/>
                <w:sz w:val="20"/>
              </w:rPr>
            </w:pPr>
            <w:r w:rsidRPr="00243913">
              <w:rPr>
                <w:b/>
                <w:color w:val="002060"/>
                <w:sz w:val="20"/>
              </w:rPr>
              <w:t>820</w:t>
            </w:r>
          </w:p>
        </w:tc>
      </w:tr>
      <w:tr w:rsidR="00243913" w:rsidRPr="00704789" w:rsidTr="00517055">
        <w:trPr>
          <w:trHeight w:val="2438"/>
        </w:trPr>
        <w:tc>
          <w:tcPr>
            <w:tcW w:w="0" w:type="auto"/>
          </w:tcPr>
          <w:p w:rsidR="00C63D18" w:rsidRPr="000E13C9" w:rsidRDefault="0091518B" w:rsidP="004D6D9C">
            <w:pPr>
              <w:rPr>
                <w:color w:val="002060"/>
                <w:sz w:val="19"/>
                <w:szCs w:val="19"/>
              </w:rPr>
            </w:pPr>
            <w:r w:rsidRPr="000E13C9">
              <w:rPr>
                <w:color w:val="002060"/>
                <w:sz w:val="19"/>
                <w:szCs w:val="19"/>
              </w:rPr>
              <w:t>Files submitted to MassHealth must contain the same ISA/IEA and GS/GE values with the exception of the date/time and control # data elements or the file will fail pre-compliance.</w:t>
            </w:r>
          </w:p>
        </w:tc>
        <w:tc>
          <w:tcPr>
            <w:tcW w:w="0" w:type="auto"/>
          </w:tcPr>
          <w:p w:rsidR="00C63D18" w:rsidRPr="00C07372" w:rsidRDefault="00D71BBA" w:rsidP="0095498D">
            <w:pPr>
              <w:rPr>
                <w:color w:val="002060"/>
                <w:sz w:val="19"/>
                <w:szCs w:val="19"/>
              </w:rPr>
            </w:pPr>
            <w:r w:rsidRPr="00C07372">
              <w:rPr>
                <w:color w:val="002060"/>
                <w:sz w:val="19"/>
                <w:szCs w:val="19"/>
              </w:rPr>
              <w:t>Ensure that all ISA/IEA</w:t>
            </w:r>
            <w:r w:rsidR="008B1ACF" w:rsidRPr="00C07372">
              <w:rPr>
                <w:color w:val="002060"/>
                <w:sz w:val="19"/>
                <w:szCs w:val="19"/>
              </w:rPr>
              <w:t xml:space="preserve">  </w:t>
            </w:r>
            <w:r w:rsidRPr="00C07372">
              <w:rPr>
                <w:color w:val="002060"/>
                <w:sz w:val="19"/>
                <w:szCs w:val="19"/>
              </w:rPr>
              <w:t xml:space="preserve"> </w:t>
            </w:r>
            <w:r w:rsidR="004D6D9C" w:rsidRPr="00C07372">
              <w:rPr>
                <w:color w:val="002060"/>
                <w:sz w:val="19"/>
                <w:szCs w:val="19"/>
              </w:rPr>
              <w:t>and GS/GE values</w:t>
            </w:r>
            <w:r w:rsidR="003D713E" w:rsidRPr="00C07372">
              <w:rPr>
                <w:color w:val="002060"/>
                <w:sz w:val="19"/>
                <w:szCs w:val="19"/>
              </w:rPr>
              <w:t xml:space="preserve"> with the exception of the date/time and control #</w:t>
            </w:r>
            <w:r w:rsidR="00CA4EAF" w:rsidRPr="00C07372">
              <w:rPr>
                <w:color w:val="002060"/>
                <w:sz w:val="19"/>
                <w:szCs w:val="19"/>
              </w:rPr>
              <w:t xml:space="preserve"> </w:t>
            </w:r>
            <w:r w:rsidR="008F0C53" w:rsidRPr="00C07372">
              <w:rPr>
                <w:color w:val="002060"/>
                <w:sz w:val="19"/>
                <w:szCs w:val="19"/>
              </w:rPr>
              <w:t xml:space="preserve">data </w:t>
            </w:r>
            <w:r w:rsidR="00CA4EAF" w:rsidRPr="00C07372">
              <w:rPr>
                <w:color w:val="002060"/>
                <w:sz w:val="19"/>
                <w:szCs w:val="19"/>
              </w:rPr>
              <w:t>elements</w:t>
            </w:r>
            <w:r w:rsidR="004D6D9C" w:rsidRPr="00C07372">
              <w:rPr>
                <w:color w:val="002060"/>
                <w:sz w:val="19"/>
                <w:szCs w:val="19"/>
              </w:rPr>
              <w:t xml:space="preserve"> </w:t>
            </w:r>
            <w:r w:rsidRPr="00C07372">
              <w:rPr>
                <w:color w:val="002060"/>
                <w:sz w:val="19"/>
                <w:szCs w:val="19"/>
              </w:rPr>
              <w:t>in the same file are consistent or the transaction will be rejected.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  <w:r w:rsidRPr="00243913">
              <w:rPr>
                <w:color w:val="002060"/>
                <w:sz w:val="36"/>
                <w:szCs w:val="40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  <w:r w:rsidRPr="00243913">
              <w:rPr>
                <w:color w:val="002060"/>
                <w:sz w:val="36"/>
                <w:szCs w:val="40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  <w:r w:rsidRPr="00243913">
              <w:rPr>
                <w:color w:val="002060"/>
                <w:sz w:val="36"/>
                <w:szCs w:val="40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  <w:r w:rsidRPr="00243913">
              <w:rPr>
                <w:color w:val="002060"/>
                <w:sz w:val="36"/>
                <w:szCs w:val="40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40"/>
              </w:rPr>
            </w:pPr>
          </w:p>
        </w:tc>
        <w:tc>
          <w:tcPr>
            <w:tcW w:w="684" w:type="dxa"/>
          </w:tcPr>
          <w:p w:rsidR="00C63D18" w:rsidRPr="00704789" w:rsidRDefault="00C63D18" w:rsidP="00243913">
            <w:pPr>
              <w:jc w:val="center"/>
              <w:rPr>
                <w:color w:val="002060"/>
                <w:sz w:val="40"/>
                <w:szCs w:val="40"/>
              </w:rPr>
            </w:pPr>
          </w:p>
        </w:tc>
      </w:tr>
      <w:tr w:rsidR="00243913" w:rsidRPr="00704789" w:rsidTr="00517055">
        <w:trPr>
          <w:trHeight w:val="1430"/>
        </w:trPr>
        <w:tc>
          <w:tcPr>
            <w:tcW w:w="0" w:type="auto"/>
          </w:tcPr>
          <w:p w:rsidR="00C63D18" w:rsidRPr="00243913" w:rsidRDefault="00C63D18" w:rsidP="004C1220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A TA1 will be issued</w:t>
            </w:r>
            <w:r w:rsidR="004C1220">
              <w:rPr>
                <w:color w:val="002060"/>
                <w:sz w:val="19"/>
                <w:szCs w:val="19"/>
              </w:rPr>
              <w:t xml:space="preserve"> for </w:t>
            </w:r>
            <w:r w:rsidR="002331E9">
              <w:rPr>
                <w:color w:val="002060"/>
                <w:sz w:val="19"/>
                <w:szCs w:val="19"/>
              </w:rPr>
              <w:t>each error</w:t>
            </w:r>
            <w:r w:rsidRPr="00243913">
              <w:rPr>
                <w:color w:val="002060"/>
                <w:sz w:val="19"/>
                <w:szCs w:val="19"/>
              </w:rPr>
              <w:t xml:space="preserve"> within the Interchange envelope</w:t>
            </w:r>
            <w:r w:rsidR="000E13C9">
              <w:rPr>
                <w:color w:val="002060"/>
                <w:sz w:val="19"/>
                <w:szCs w:val="19"/>
              </w:rPr>
              <w:t>.</w:t>
            </w:r>
            <w:r w:rsidRPr="00243913">
              <w:rPr>
                <w:color w:val="002060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C63D18" w:rsidRPr="004B6D35" w:rsidRDefault="002331E9" w:rsidP="004907A1">
            <w:pPr>
              <w:rPr>
                <w:color w:val="002060"/>
                <w:sz w:val="19"/>
                <w:szCs w:val="19"/>
              </w:rPr>
            </w:pPr>
            <w:r w:rsidRPr="00DE5045">
              <w:rPr>
                <w:color w:val="002060"/>
                <w:sz w:val="19"/>
                <w:szCs w:val="19"/>
              </w:rPr>
              <w:t xml:space="preserve">Ensure that no envelope in the file contains an error otherwise the </w:t>
            </w:r>
            <w:r w:rsidR="004907A1">
              <w:rPr>
                <w:color w:val="002060"/>
                <w:sz w:val="19"/>
                <w:szCs w:val="19"/>
              </w:rPr>
              <w:t>specific envelop</w:t>
            </w:r>
            <w:r w:rsidR="00D55831">
              <w:rPr>
                <w:color w:val="002060"/>
                <w:sz w:val="19"/>
                <w:szCs w:val="19"/>
              </w:rPr>
              <w:t>e</w:t>
            </w:r>
            <w:r w:rsidR="004907A1">
              <w:rPr>
                <w:color w:val="002060"/>
                <w:sz w:val="19"/>
                <w:szCs w:val="19"/>
              </w:rPr>
              <w:t xml:space="preserve"> will reject</w:t>
            </w:r>
            <w:r w:rsidR="000E13C9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  <w:tr w:rsidR="00243913" w:rsidRPr="00704789" w:rsidTr="00C07372"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A TA1 will no longer be issued for authorization failures</w:t>
            </w:r>
            <w:r w:rsidR="00F00955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MassHealth will outreach to the submitter to notify them of the failure; will provide file correction and resubmission instructions</w:t>
            </w:r>
            <w:r w:rsidR="00F00955">
              <w:rPr>
                <w:color w:val="002060"/>
                <w:sz w:val="19"/>
                <w:szCs w:val="19"/>
              </w:rPr>
              <w:t>.</w:t>
            </w:r>
            <w:r w:rsidRPr="00243913">
              <w:rPr>
                <w:color w:val="002060"/>
                <w:sz w:val="19"/>
                <w:szCs w:val="19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  <w:tr w:rsidR="00243913" w:rsidRPr="00704789" w:rsidTr="00C07372"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All Transaction Set Control Numbers (ST02) in transactions submitted to MassHealth must be unique across all envelopes within a file</w:t>
            </w:r>
            <w:r w:rsidR="00F00955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Ensure that all ST02 segments are unique or the transaction will be rejected</w:t>
            </w:r>
            <w:r w:rsidR="00F00955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  <w:tr w:rsidR="00243913" w:rsidRPr="00704789" w:rsidTr="00C07372">
        <w:trPr>
          <w:trHeight w:val="1979"/>
        </w:trPr>
        <w:tc>
          <w:tcPr>
            <w:tcW w:w="0" w:type="auto"/>
          </w:tcPr>
          <w:p w:rsidR="001E1B45" w:rsidRPr="00243913" w:rsidRDefault="00C63D18" w:rsidP="00243913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 xml:space="preserve">ST/SE segments within transactions submitted to MassHealth must </w:t>
            </w:r>
            <w:r w:rsidRPr="00243913">
              <w:rPr>
                <w:color w:val="002060"/>
                <w:sz w:val="19"/>
                <w:szCs w:val="19"/>
                <w:u w:val="single"/>
              </w:rPr>
              <w:t>not</w:t>
            </w:r>
            <w:r w:rsidRPr="00243913">
              <w:rPr>
                <w:color w:val="002060"/>
                <w:sz w:val="19"/>
                <w:szCs w:val="19"/>
              </w:rPr>
              <w:t xml:space="preserve"> contain more than 5,000 claims; segments that contain more than 5,000 claims will be rejected</w:t>
            </w:r>
            <w:r w:rsidR="00F00955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Large submitters, billing intermediaries, clearinghouses, and software vendors must ensure that transaction sets do not include more than 5,000 claims per ST/SE segment</w:t>
            </w:r>
            <w:r w:rsidR="00F00955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  <w:tr w:rsidR="00243913" w:rsidRPr="00704789" w:rsidTr="00C07372">
        <w:trPr>
          <w:trHeight w:val="1295"/>
        </w:trPr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Any file submitted to MassHealth greater than 16MB will be rejected in accordance with MassHealth’s submission policy</w:t>
            </w:r>
            <w:r w:rsidR="00F00955"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0" w:type="auto"/>
          </w:tcPr>
          <w:p w:rsidR="00C63D18" w:rsidRPr="00243913" w:rsidRDefault="00C63D18" w:rsidP="0095498D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Continue to ensure that the files submitted to MassHealth are not larger than 16MB.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84" w:type="dxa"/>
            <w:vAlign w:val="center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84" w:type="dxa"/>
          </w:tcPr>
          <w:p w:rsidR="00C63D18" w:rsidRPr="00243913" w:rsidRDefault="00C63D18" w:rsidP="00243913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</w:tbl>
    <w:p w:rsidR="00C01E62" w:rsidRDefault="00C01E62" w:rsidP="002F0B28">
      <w:pPr>
        <w:tabs>
          <w:tab w:val="left" w:pos="2880"/>
          <w:tab w:val="left" w:pos="10080"/>
        </w:tabs>
        <w:suppressAutoHyphens/>
        <w:spacing w:before="80"/>
        <w:ind w:left="2880"/>
        <w:jc w:val="right"/>
        <w:rPr>
          <w:rFonts w:ascii="Georgia" w:hAnsi="Georgia" w:cs="Arial"/>
          <w:i/>
          <w:sz w:val="22"/>
          <w:szCs w:val="22"/>
        </w:rPr>
        <w:sectPr w:rsidR="00C01E62" w:rsidSect="00200961">
          <w:headerReference w:type="default" r:id="rId18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:rsidR="00B26CE8" w:rsidRDefault="00B26CE8" w:rsidP="00827CE6">
      <w:pPr>
        <w:pStyle w:val="Heading1"/>
        <w:spacing w:after="120"/>
        <w:ind w:left="540" w:firstLine="0"/>
      </w:pPr>
    </w:p>
    <w:p w:rsidR="008E7BF9" w:rsidRPr="00EF6F99" w:rsidRDefault="00EF6F99" w:rsidP="00827CE6">
      <w:pPr>
        <w:pStyle w:val="Heading1"/>
        <w:spacing w:after="120"/>
        <w:ind w:left="540" w:firstLine="0"/>
      </w:pPr>
      <w:r w:rsidRPr="00A948A9">
        <w:t>Current Impact to MassHealth HIPAA Transactions</w:t>
      </w:r>
      <w:r>
        <w:t xml:space="preserve"> </w:t>
      </w:r>
      <w:r w:rsidRPr="00EF6F99">
        <w:rPr>
          <w:i/>
        </w:rPr>
        <w:t>(cont.)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  <w:tblDescription w:val="The chart below outlines the current high-level impact to the HIPAA transaction. "/>
      </w:tblPr>
      <w:tblGrid>
        <w:gridCol w:w="2119"/>
        <w:gridCol w:w="1819"/>
        <w:gridCol w:w="658"/>
        <w:gridCol w:w="658"/>
        <w:gridCol w:w="679"/>
        <w:gridCol w:w="658"/>
        <w:gridCol w:w="658"/>
        <w:gridCol w:w="658"/>
        <w:gridCol w:w="658"/>
        <w:gridCol w:w="658"/>
        <w:gridCol w:w="1037"/>
      </w:tblGrid>
      <w:tr w:rsidR="00EF6F99" w:rsidRPr="00243913" w:rsidTr="00914569">
        <w:trPr>
          <w:trHeight w:val="620"/>
          <w:tblHeader/>
        </w:trPr>
        <w:tc>
          <w:tcPr>
            <w:tcW w:w="2119" w:type="dxa"/>
            <w:shd w:val="clear" w:color="auto" w:fill="B8CCE4" w:themeFill="accent1" w:themeFillTint="66"/>
            <w:vAlign w:val="center"/>
          </w:tcPr>
          <w:p w:rsidR="00D60737" w:rsidRPr="00704789" w:rsidRDefault="00D60737" w:rsidP="008E7BF9">
            <w:pPr>
              <w:jc w:val="center"/>
              <w:rPr>
                <w:b/>
                <w:color w:val="002060"/>
              </w:rPr>
            </w:pPr>
            <w:r w:rsidRPr="00704789">
              <w:rPr>
                <w:b/>
                <w:color w:val="002060"/>
              </w:rPr>
              <w:t>Known Changes</w:t>
            </w:r>
          </w:p>
          <w:p w:rsidR="00D60737" w:rsidRPr="00704789" w:rsidRDefault="00D60737" w:rsidP="008E7BF9">
            <w:pPr>
              <w:jc w:val="center"/>
              <w:rPr>
                <w:b/>
                <w:color w:val="002060"/>
              </w:rPr>
            </w:pPr>
            <w:r w:rsidRPr="00704789">
              <w:rPr>
                <w:b/>
                <w:color w:val="002060"/>
              </w:rPr>
              <w:t>To Date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D60737" w:rsidRPr="00704789" w:rsidRDefault="00D60737" w:rsidP="008E7BF9">
            <w:pPr>
              <w:jc w:val="center"/>
              <w:rPr>
                <w:b/>
                <w:color w:val="002060"/>
              </w:rPr>
            </w:pPr>
            <w:r w:rsidRPr="00704789">
              <w:rPr>
                <w:b/>
                <w:color w:val="002060"/>
              </w:rPr>
              <w:t>Provider Impact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270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271</w:t>
            </w:r>
          </w:p>
        </w:tc>
        <w:tc>
          <w:tcPr>
            <w:tcW w:w="679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837P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837I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835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276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277</w:t>
            </w:r>
          </w:p>
        </w:tc>
        <w:tc>
          <w:tcPr>
            <w:tcW w:w="658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834</w:t>
            </w:r>
          </w:p>
        </w:tc>
        <w:tc>
          <w:tcPr>
            <w:tcW w:w="1037" w:type="dxa"/>
            <w:shd w:val="clear" w:color="auto" w:fill="B8CCE4" w:themeFill="accent1" w:themeFillTint="66"/>
            <w:vAlign w:val="center"/>
          </w:tcPr>
          <w:p w:rsidR="00D60737" w:rsidRPr="00D60737" w:rsidRDefault="00D60737" w:rsidP="008E7BF9">
            <w:pPr>
              <w:jc w:val="center"/>
              <w:rPr>
                <w:b/>
                <w:color w:val="002060"/>
              </w:rPr>
            </w:pPr>
            <w:r w:rsidRPr="00D60737">
              <w:rPr>
                <w:b/>
                <w:color w:val="002060"/>
              </w:rPr>
              <w:t>820</w:t>
            </w:r>
          </w:p>
        </w:tc>
      </w:tr>
      <w:tr w:rsidR="0054245F" w:rsidRPr="00243913" w:rsidTr="00EF6F99">
        <w:trPr>
          <w:trHeight w:val="1420"/>
          <w:tblHeader/>
        </w:trPr>
        <w:tc>
          <w:tcPr>
            <w:tcW w:w="2119" w:type="dxa"/>
          </w:tcPr>
          <w:p w:rsidR="0054245F" w:rsidRDefault="0054245F" w:rsidP="00A05ED8">
            <w:pPr>
              <w:rPr>
                <w:color w:val="002060"/>
                <w:sz w:val="19"/>
                <w:szCs w:val="19"/>
              </w:rPr>
            </w:pPr>
            <w:r>
              <w:rPr>
                <w:color w:val="002060"/>
                <w:sz w:val="19"/>
                <w:szCs w:val="19"/>
              </w:rPr>
              <w:t xml:space="preserve">Updated MassHealth contact information (phone number, URL, etc.) that will be returned on applicable transactions. </w:t>
            </w:r>
          </w:p>
          <w:p w:rsidR="0054245F" w:rsidRPr="00243913" w:rsidRDefault="0054245F" w:rsidP="00A05ED8">
            <w:pPr>
              <w:rPr>
                <w:color w:val="002060"/>
                <w:sz w:val="19"/>
                <w:szCs w:val="19"/>
              </w:rPr>
            </w:pPr>
            <w:r>
              <w:rPr>
                <w:color w:val="002060"/>
                <w:sz w:val="19"/>
                <w:szCs w:val="19"/>
              </w:rPr>
              <w:t>The coding of the PER segments has changed and one of the segments has been removed.</w:t>
            </w:r>
          </w:p>
        </w:tc>
        <w:tc>
          <w:tcPr>
            <w:tcW w:w="0" w:type="auto"/>
          </w:tcPr>
          <w:p w:rsidR="0054245F" w:rsidRPr="00243913" w:rsidRDefault="0054245F" w:rsidP="00A05ED8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Please ensure that you update downstream systems that receive this information</w:t>
            </w:r>
            <w:r>
              <w:rPr>
                <w:color w:val="002060"/>
                <w:sz w:val="19"/>
                <w:szCs w:val="19"/>
              </w:rPr>
              <w:t>.</w:t>
            </w: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79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  <w:highlight w:val="yellow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  <w:highlight w:val="yellow"/>
              </w:rPr>
            </w:pPr>
          </w:p>
        </w:tc>
        <w:tc>
          <w:tcPr>
            <w:tcW w:w="658" w:type="dxa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  <w:highlight w:val="yellow"/>
              </w:rPr>
            </w:pPr>
          </w:p>
        </w:tc>
        <w:tc>
          <w:tcPr>
            <w:tcW w:w="1037" w:type="dxa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  <w:highlight w:val="yellow"/>
              </w:rPr>
            </w:pPr>
          </w:p>
        </w:tc>
      </w:tr>
      <w:tr w:rsidR="0054245F" w:rsidRPr="00243913" w:rsidTr="00EF6F99">
        <w:trPr>
          <w:trHeight w:val="929"/>
        </w:trPr>
        <w:tc>
          <w:tcPr>
            <w:tcW w:w="2119" w:type="dxa"/>
          </w:tcPr>
          <w:p w:rsidR="0054245F" w:rsidRPr="00243913" w:rsidRDefault="0054245F" w:rsidP="00A05ED8">
            <w:pPr>
              <w:rPr>
                <w:color w:val="002060"/>
                <w:sz w:val="19"/>
                <w:szCs w:val="19"/>
              </w:rPr>
            </w:pPr>
            <w:r w:rsidRPr="0021584D">
              <w:rPr>
                <w:bCs/>
                <w:color w:val="002060"/>
                <w:sz w:val="19"/>
                <w:szCs w:val="19"/>
              </w:rPr>
              <w:t>For Physician Claims,</w:t>
            </w:r>
            <w:r w:rsidRPr="0021584D">
              <w:rPr>
                <w:color w:val="002060"/>
                <w:sz w:val="19"/>
                <w:szCs w:val="19"/>
              </w:rPr>
              <w:t xml:space="preserve"> the Type of Bill (TOB) will no longer be returned on the </w:t>
            </w:r>
            <w:r w:rsidRPr="0021584D">
              <w:rPr>
                <w:bCs/>
                <w:color w:val="002060"/>
                <w:sz w:val="19"/>
                <w:szCs w:val="19"/>
              </w:rPr>
              <w:t>Claim Status</w:t>
            </w:r>
            <w:r w:rsidRPr="0021584D">
              <w:rPr>
                <w:color w:val="002060"/>
                <w:sz w:val="19"/>
                <w:szCs w:val="19"/>
              </w:rPr>
              <w:t xml:space="preserve"> response.</w:t>
            </w:r>
            <w:r w:rsidRPr="0021584D">
              <w:rPr>
                <w:b/>
                <w:color w:val="002060"/>
                <w:sz w:val="19"/>
                <w:szCs w:val="19"/>
              </w:rPr>
              <w:t> </w:t>
            </w:r>
          </w:p>
        </w:tc>
        <w:tc>
          <w:tcPr>
            <w:tcW w:w="0" w:type="auto"/>
          </w:tcPr>
          <w:p w:rsidR="0054245F" w:rsidRPr="00243913" w:rsidRDefault="0054245F" w:rsidP="00A05ED8">
            <w:pPr>
              <w:rPr>
                <w:color w:val="002060"/>
                <w:sz w:val="19"/>
                <w:szCs w:val="19"/>
              </w:rPr>
            </w:pPr>
            <w:r w:rsidRPr="00243913">
              <w:rPr>
                <w:color w:val="002060"/>
                <w:sz w:val="19"/>
                <w:szCs w:val="19"/>
              </w:rPr>
              <w:t>Please update downstream system processes that utilize this information</w:t>
            </w:r>
            <w:r>
              <w:rPr>
                <w:color w:val="002060"/>
                <w:sz w:val="19"/>
                <w:szCs w:val="19"/>
              </w:rPr>
              <w:t>.</w:t>
            </w:r>
            <w:r w:rsidRPr="00243913">
              <w:rPr>
                <w:color w:val="002060"/>
                <w:sz w:val="19"/>
                <w:szCs w:val="19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79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658" w:type="dxa"/>
            <w:vAlign w:val="center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  <w:r w:rsidRPr="00243913">
              <w:rPr>
                <w:color w:val="002060"/>
                <w:sz w:val="36"/>
                <w:szCs w:val="36"/>
              </w:rPr>
              <w:t>X</w:t>
            </w:r>
          </w:p>
        </w:tc>
        <w:tc>
          <w:tcPr>
            <w:tcW w:w="658" w:type="dxa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1037" w:type="dxa"/>
          </w:tcPr>
          <w:p w:rsidR="0054245F" w:rsidRPr="00243913" w:rsidRDefault="0054245F" w:rsidP="00A05ED8">
            <w:pPr>
              <w:jc w:val="center"/>
              <w:rPr>
                <w:color w:val="002060"/>
                <w:sz w:val="36"/>
                <w:szCs w:val="36"/>
              </w:rPr>
            </w:pPr>
          </w:p>
        </w:tc>
      </w:tr>
    </w:tbl>
    <w:p w:rsidR="001D4A82" w:rsidRPr="00A27473" w:rsidRDefault="001D4A82" w:rsidP="00827CE6">
      <w:pPr>
        <w:pStyle w:val="Heading1"/>
        <w:spacing w:before="720" w:after="120"/>
        <w:ind w:left="540" w:firstLine="0"/>
      </w:pPr>
      <w:r w:rsidRPr="00A27473">
        <w:t>MassHealth Website</w:t>
      </w:r>
    </w:p>
    <w:p w:rsidR="001D4A82" w:rsidRPr="00A27473" w:rsidRDefault="001D4A82" w:rsidP="00827CE6">
      <w:pPr>
        <w:widowControl w:val="0"/>
        <w:spacing w:after="120"/>
        <w:ind w:left="54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9" w:tooltip="MassHealth Provider Bulletins homepage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1D4A82" w:rsidRPr="00283142" w:rsidRDefault="001D4A82" w:rsidP="00827CE6">
      <w:pPr>
        <w:spacing w:after="240"/>
        <w:ind w:left="540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20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1D4A82" w:rsidRPr="00C66371" w:rsidRDefault="001D4A82" w:rsidP="00B96AE0">
      <w:pPr>
        <w:pStyle w:val="Heading1"/>
        <w:spacing w:after="120"/>
        <w:ind w:left="547" w:firstLine="0"/>
      </w:pPr>
      <w:r w:rsidRPr="00C66371">
        <w:t>Questions</w:t>
      </w:r>
    </w:p>
    <w:p w:rsidR="00D65B5E" w:rsidRPr="003F56EC" w:rsidRDefault="001D4A82" w:rsidP="00827CE6">
      <w:pPr>
        <w:ind w:left="540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>
        <w:rPr>
          <w:rFonts w:ascii="Georgia" w:hAnsi="Georgia" w:cs="Arial"/>
          <w:sz w:val="22"/>
          <w:szCs w:val="22"/>
        </w:rPr>
        <w:t xml:space="preserve"> Center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21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sectPr w:rsidR="00D65B5E" w:rsidRPr="003F56EC" w:rsidSect="00200961">
      <w:headerReference w:type="default" r:id="rId22"/>
      <w:footerReference w:type="default" r:id="rId23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43" w:rsidRDefault="009D4243" w:rsidP="00D65B5E">
      <w:r>
        <w:separator/>
      </w:r>
    </w:p>
  </w:endnote>
  <w:endnote w:type="continuationSeparator" w:id="0">
    <w:p w:rsidR="009D4243" w:rsidRDefault="009D424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62" w:rsidRPr="00C01E62" w:rsidRDefault="00C01E62" w:rsidP="00C01E62">
    <w:pPr>
      <w:pStyle w:val="ListParagraph"/>
      <w:tabs>
        <w:tab w:val="right" w:pos="9720"/>
        <w:tab w:val="left" w:pos="10080"/>
      </w:tabs>
      <w:suppressAutoHyphens/>
      <w:spacing w:line="260" w:lineRule="exact"/>
      <w:ind w:left="7200"/>
      <w:jc w:val="center"/>
      <w:rPr>
        <w:rFonts w:ascii="Georgia" w:hAnsi="Georgia" w:cs="Arial"/>
        <w:i/>
        <w:sz w:val="22"/>
        <w:szCs w:val="22"/>
      </w:rPr>
    </w:pPr>
    <w:r w:rsidRPr="00A57243">
      <w:rPr>
        <w:rFonts w:ascii="Georgia" w:hAnsi="Georgia" w:cs="Arial"/>
        <w:i/>
        <w:sz w:val="22"/>
        <w:szCs w:val="22"/>
      </w:rPr>
      <w:t>(</w:t>
    </w:r>
    <w:proofErr w:type="gramStart"/>
    <w:r w:rsidRPr="00A57243">
      <w:rPr>
        <w:rFonts w:ascii="Georgia" w:hAnsi="Georgia" w:cs="Arial"/>
        <w:i/>
        <w:sz w:val="22"/>
        <w:szCs w:val="22"/>
      </w:rPr>
      <w:t>continued</w:t>
    </w:r>
    <w:proofErr w:type="gramEnd"/>
    <w:r w:rsidRPr="00A57243">
      <w:rPr>
        <w:rFonts w:ascii="Georgia" w:hAnsi="Georgia" w:cs="Arial"/>
        <w:i/>
        <w:sz w:val="22"/>
        <w:szCs w:val="22"/>
      </w:rPr>
      <w:t xml:space="preserve"> on next page)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62" w:rsidRPr="00C01E62" w:rsidRDefault="00C01E62" w:rsidP="00C01E62">
    <w:pPr>
      <w:pStyle w:val="ListParagraph"/>
      <w:tabs>
        <w:tab w:val="right" w:pos="9720"/>
        <w:tab w:val="left" w:pos="10080"/>
      </w:tabs>
      <w:suppressAutoHyphens/>
      <w:spacing w:line="260" w:lineRule="exact"/>
      <w:ind w:left="7200"/>
      <w:jc w:val="center"/>
      <w:rPr>
        <w:rFonts w:ascii="Georgia" w:hAnsi="Georgia" w:cs="Arial"/>
        <w:i/>
        <w:sz w:val="22"/>
        <w:szCs w:val="22"/>
      </w:rPr>
    </w:pPr>
    <w:r w:rsidRPr="00A57243">
      <w:rPr>
        <w:rFonts w:ascii="Georgia" w:hAnsi="Georgia" w:cs="Arial"/>
        <w:i/>
        <w:sz w:val="22"/>
        <w:szCs w:val="22"/>
      </w:rPr>
      <w:t>(</w:t>
    </w:r>
    <w:proofErr w:type="gramStart"/>
    <w:r w:rsidRPr="00A57243">
      <w:rPr>
        <w:rFonts w:ascii="Georgia" w:hAnsi="Georgia" w:cs="Arial"/>
        <w:i/>
        <w:sz w:val="22"/>
        <w:szCs w:val="22"/>
      </w:rPr>
      <w:t>continued</w:t>
    </w:r>
    <w:proofErr w:type="gramEnd"/>
    <w:r w:rsidRPr="00A57243">
      <w:rPr>
        <w:rFonts w:ascii="Georgia" w:hAnsi="Georgia" w:cs="Arial"/>
        <w:i/>
        <w:sz w:val="22"/>
        <w:szCs w:val="22"/>
      </w:rPr>
      <w:t xml:space="preserve"> on next page)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FA" w:rsidRPr="00C01E62" w:rsidRDefault="00C01E62" w:rsidP="00C01E62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Fonts w:ascii="Bookman Old Style" w:hAnsi="Bookman Old Styl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  <w:r>
      <w:rPr>
        <w:rStyle w:val="Hyperlink"/>
        <w:rFonts w:ascii="Bookman Old Style" w:hAnsi="Bookman Old Style"/>
        <w:u w:val="none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43" w:rsidRDefault="009D4243" w:rsidP="00D65B5E">
      <w:r>
        <w:separator/>
      </w:r>
    </w:p>
  </w:footnote>
  <w:footnote w:type="continuationSeparator" w:id="0">
    <w:p w:rsidR="009D4243" w:rsidRDefault="009D4243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62" w:rsidRPr="008C4604" w:rsidRDefault="00C01E62" w:rsidP="00C01E62">
    <w:pPr>
      <w:pStyle w:val="Heading1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>MassHealth</w:t>
    </w:r>
  </w:p>
  <w:p w:rsidR="00C01E62" w:rsidRPr="008C4604" w:rsidRDefault="00C01E62" w:rsidP="00C01E62">
    <w:pPr>
      <w:pStyle w:val="Heading1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>All Provider Bulletin DRAFT</w:t>
    </w:r>
  </w:p>
  <w:p w:rsidR="00C01E62" w:rsidRPr="00464EFA" w:rsidRDefault="00C01E62" w:rsidP="00C01E62">
    <w:pPr>
      <w:pStyle w:val="Heading1"/>
      <w:spacing w:after="360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>DRAFT 2019</w:t>
    </w:r>
  </w:p>
  <w:p w:rsidR="00C01E62" w:rsidRPr="00C01E62" w:rsidRDefault="00C01E62" w:rsidP="00C01E62">
    <w:pPr>
      <w:tabs>
        <w:tab w:val="left" w:pos="5040"/>
      </w:tabs>
      <w:spacing w:after="120"/>
      <w:rPr>
        <w:rFonts w:ascii="Georgia" w:hAnsi="Georgia"/>
        <w:b/>
        <w:color w:val="365F91" w:themeColor="accent1" w:themeShade="BF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62" w:rsidRPr="008C4604" w:rsidRDefault="00C01E62" w:rsidP="00C01E62">
    <w:pPr>
      <w:pStyle w:val="Heading1"/>
      <w:spacing w:before="840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>MassHealth</w:t>
    </w:r>
  </w:p>
  <w:p w:rsidR="00C01E62" w:rsidRPr="008C4604" w:rsidRDefault="00C01E62" w:rsidP="00C01E62">
    <w:pPr>
      <w:pStyle w:val="Heading1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 xml:space="preserve">All Provider Bulletin </w:t>
    </w:r>
    <w:r w:rsidR="009A5C0A">
      <w:rPr>
        <w:color w:val="365F91" w:themeColor="accent1" w:themeShade="BF"/>
      </w:rPr>
      <w:t>284</w:t>
    </w:r>
  </w:p>
  <w:p w:rsidR="000E3F61" w:rsidRDefault="009A5C0A" w:rsidP="000E3F61">
    <w:pPr>
      <w:pStyle w:val="Heading1"/>
      <w:ind w:firstLine="1584"/>
      <w:rPr>
        <w:color w:val="365F91" w:themeColor="accent1" w:themeShade="BF"/>
      </w:rPr>
    </w:pPr>
    <w:r>
      <w:rPr>
        <w:color w:val="365F91" w:themeColor="accent1" w:themeShade="BF"/>
      </w:rPr>
      <w:t>March</w:t>
    </w:r>
    <w:r w:rsidR="00C01E62" w:rsidRPr="008C4604">
      <w:rPr>
        <w:color w:val="365F91" w:themeColor="accent1" w:themeShade="BF"/>
      </w:rPr>
      <w:t xml:space="preserve"> 2019</w:t>
    </w:r>
    <w:r w:rsidR="000E3F61" w:rsidRPr="000E3F61">
      <w:rPr>
        <w:color w:val="365F91" w:themeColor="accent1" w:themeShade="BF"/>
      </w:rPr>
      <w:t xml:space="preserve"> </w:t>
    </w:r>
  </w:p>
  <w:p w:rsidR="000E3F61" w:rsidRPr="000E3F61" w:rsidRDefault="000E3F61" w:rsidP="000E3F61">
    <w:pPr>
      <w:pStyle w:val="Heading1"/>
      <w:ind w:firstLine="1584"/>
      <w:rPr>
        <w:color w:val="365F91" w:themeColor="accent1" w:themeShade="BF"/>
      </w:rPr>
    </w:pPr>
    <w:r>
      <w:rPr>
        <w:color w:val="365F91" w:themeColor="accent1" w:themeShade="BF"/>
      </w:rPr>
      <w:t>Page 2</w:t>
    </w:r>
  </w:p>
  <w:p w:rsidR="000E3F61" w:rsidRPr="000E3F61" w:rsidRDefault="000E3F61" w:rsidP="000E3F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62" w:rsidRPr="008C4604" w:rsidRDefault="00C01E62" w:rsidP="00C01E62">
    <w:pPr>
      <w:pStyle w:val="Heading1"/>
      <w:spacing w:before="840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>MassHealth</w:t>
    </w:r>
  </w:p>
  <w:p w:rsidR="00C01E62" w:rsidRPr="008C4604" w:rsidRDefault="00C01E62" w:rsidP="00C01E62">
    <w:pPr>
      <w:pStyle w:val="Heading1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 xml:space="preserve">All Provider </w:t>
    </w:r>
    <w:r w:rsidR="00827CE6">
      <w:rPr>
        <w:color w:val="365F91" w:themeColor="accent1" w:themeShade="BF"/>
      </w:rPr>
      <w:t xml:space="preserve">Bulletin </w:t>
    </w:r>
    <w:r w:rsidR="009A5C0A">
      <w:rPr>
        <w:color w:val="365F91" w:themeColor="accent1" w:themeShade="BF"/>
      </w:rPr>
      <w:t>284</w:t>
    </w:r>
  </w:p>
  <w:p w:rsidR="008E7BF9" w:rsidRDefault="009A5C0A" w:rsidP="008E7BF9">
    <w:pPr>
      <w:pStyle w:val="Heading1"/>
      <w:ind w:firstLine="1584"/>
      <w:rPr>
        <w:color w:val="365F91" w:themeColor="accent1" w:themeShade="BF"/>
      </w:rPr>
    </w:pPr>
    <w:r>
      <w:rPr>
        <w:color w:val="365F91" w:themeColor="accent1" w:themeShade="BF"/>
      </w:rPr>
      <w:t>March</w:t>
    </w:r>
    <w:r w:rsidR="00C01E62" w:rsidRPr="008C4604">
      <w:rPr>
        <w:color w:val="365F91" w:themeColor="accent1" w:themeShade="BF"/>
      </w:rPr>
      <w:t xml:space="preserve"> 2019</w:t>
    </w:r>
  </w:p>
  <w:p w:rsidR="008E7BF9" w:rsidRPr="008E7BF9" w:rsidRDefault="008E7BF9" w:rsidP="00A948A9">
    <w:pPr>
      <w:pStyle w:val="Heading1"/>
      <w:spacing w:after="360"/>
      <w:ind w:firstLine="1584"/>
      <w:rPr>
        <w:color w:val="365F91" w:themeColor="accent1" w:themeShade="BF"/>
      </w:rPr>
    </w:pPr>
    <w:r>
      <w:rPr>
        <w:color w:val="365F91" w:themeColor="accent1" w:themeShade="BF"/>
      </w:rPr>
      <w:t>Page 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F9" w:rsidRPr="008C4604" w:rsidRDefault="008E7BF9" w:rsidP="008E7BF9">
    <w:pPr>
      <w:pStyle w:val="Heading1"/>
      <w:spacing w:before="840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>MassHealth</w:t>
    </w:r>
  </w:p>
  <w:p w:rsidR="008E7BF9" w:rsidRPr="008C4604" w:rsidRDefault="008E7BF9" w:rsidP="008E7BF9">
    <w:pPr>
      <w:pStyle w:val="Heading1"/>
      <w:ind w:firstLine="1584"/>
      <w:rPr>
        <w:color w:val="365F91" w:themeColor="accent1" w:themeShade="BF"/>
      </w:rPr>
    </w:pPr>
    <w:r w:rsidRPr="008C4604">
      <w:rPr>
        <w:color w:val="365F91" w:themeColor="accent1" w:themeShade="BF"/>
      </w:rPr>
      <w:t xml:space="preserve">All Provider Bulletin </w:t>
    </w:r>
    <w:r w:rsidR="009A5C0A">
      <w:rPr>
        <w:color w:val="365F91" w:themeColor="accent1" w:themeShade="BF"/>
      </w:rPr>
      <w:t>284</w:t>
    </w:r>
  </w:p>
  <w:p w:rsidR="008E7BF9" w:rsidRDefault="009A5C0A" w:rsidP="008E7BF9">
    <w:pPr>
      <w:pStyle w:val="Heading1"/>
      <w:ind w:firstLine="1584"/>
      <w:rPr>
        <w:color w:val="365F91" w:themeColor="accent1" w:themeShade="BF"/>
      </w:rPr>
    </w:pPr>
    <w:r>
      <w:rPr>
        <w:color w:val="365F91" w:themeColor="accent1" w:themeShade="BF"/>
      </w:rPr>
      <w:t>March</w:t>
    </w:r>
    <w:r w:rsidR="008E7BF9" w:rsidRPr="008C4604">
      <w:rPr>
        <w:color w:val="365F91" w:themeColor="accent1" w:themeShade="BF"/>
      </w:rPr>
      <w:t xml:space="preserve"> 2019</w:t>
    </w:r>
  </w:p>
  <w:p w:rsidR="008E7BF9" w:rsidRPr="008E7BF9" w:rsidRDefault="008E7BF9" w:rsidP="00EF6F99">
    <w:pPr>
      <w:pStyle w:val="Heading1"/>
      <w:spacing w:after="240"/>
      <w:ind w:firstLine="1584"/>
      <w:rPr>
        <w:color w:val="365F91" w:themeColor="accent1" w:themeShade="BF"/>
      </w:rPr>
    </w:pPr>
    <w:r>
      <w:rPr>
        <w:color w:val="365F91" w:themeColor="accent1" w:themeShade="BF"/>
      </w:rPr>
      <w:t>Page 4</w:t>
    </w:r>
  </w:p>
  <w:p w:rsidR="00C01E62" w:rsidRPr="008E7BF9" w:rsidRDefault="00C01E62" w:rsidP="008E7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459"/>
    <w:multiLevelType w:val="hybridMultilevel"/>
    <w:tmpl w:val="EFD8E9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>
    <w:nsid w:val="1F69332C"/>
    <w:multiLevelType w:val="hybridMultilevel"/>
    <w:tmpl w:val="1D14ED40"/>
    <w:lvl w:ilvl="0" w:tplc="5E821056">
      <w:numFmt w:val="bullet"/>
      <w:lvlText w:val="•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54D12B89"/>
    <w:multiLevelType w:val="hybridMultilevel"/>
    <w:tmpl w:val="D17C289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55850D12"/>
    <w:multiLevelType w:val="hybridMultilevel"/>
    <w:tmpl w:val="47FE4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982B4D"/>
    <w:multiLevelType w:val="hybridMultilevel"/>
    <w:tmpl w:val="C3367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72788B"/>
    <w:multiLevelType w:val="hybridMultilevel"/>
    <w:tmpl w:val="792E781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DExMDUxNrU0MDFW0lEKTi0uzszPAykwqwUAIDvsbSwAAAA="/>
  </w:docVars>
  <w:rsids>
    <w:rsidRoot w:val="002F0836"/>
    <w:rsid w:val="00005E07"/>
    <w:rsid w:val="00014A01"/>
    <w:rsid w:val="0001797F"/>
    <w:rsid w:val="00023C57"/>
    <w:rsid w:val="0003185F"/>
    <w:rsid w:val="00037A54"/>
    <w:rsid w:val="00046D73"/>
    <w:rsid w:val="00051A74"/>
    <w:rsid w:val="00051CB0"/>
    <w:rsid w:val="0005607C"/>
    <w:rsid w:val="000561F1"/>
    <w:rsid w:val="000673A3"/>
    <w:rsid w:val="00081D68"/>
    <w:rsid w:val="0008203E"/>
    <w:rsid w:val="00083961"/>
    <w:rsid w:val="000A0245"/>
    <w:rsid w:val="000A0662"/>
    <w:rsid w:val="000A34E0"/>
    <w:rsid w:val="000B6C3A"/>
    <w:rsid w:val="000C085A"/>
    <w:rsid w:val="000E13C9"/>
    <w:rsid w:val="000E3963"/>
    <w:rsid w:val="000E3F61"/>
    <w:rsid w:val="000F3698"/>
    <w:rsid w:val="000F5EDD"/>
    <w:rsid w:val="00100F15"/>
    <w:rsid w:val="0010460D"/>
    <w:rsid w:val="001100D4"/>
    <w:rsid w:val="00121B4C"/>
    <w:rsid w:val="00122FC2"/>
    <w:rsid w:val="001341D1"/>
    <w:rsid w:val="001433E7"/>
    <w:rsid w:val="00144477"/>
    <w:rsid w:val="0015177D"/>
    <w:rsid w:val="00153CFF"/>
    <w:rsid w:val="0015523A"/>
    <w:rsid w:val="00163194"/>
    <w:rsid w:val="00165D0F"/>
    <w:rsid w:val="00173613"/>
    <w:rsid w:val="0019295A"/>
    <w:rsid w:val="00192E74"/>
    <w:rsid w:val="001954D2"/>
    <w:rsid w:val="0019652F"/>
    <w:rsid w:val="001A369C"/>
    <w:rsid w:val="001B792F"/>
    <w:rsid w:val="001D4A82"/>
    <w:rsid w:val="001D63E2"/>
    <w:rsid w:val="001E1B45"/>
    <w:rsid w:val="00200961"/>
    <w:rsid w:val="002017FD"/>
    <w:rsid w:val="00204BAE"/>
    <w:rsid w:val="0021584D"/>
    <w:rsid w:val="002331E9"/>
    <w:rsid w:val="00241C06"/>
    <w:rsid w:val="00243913"/>
    <w:rsid w:val="002528D1"/>
    <w:rsid w:val="00253ED3"/>
    <w:rsid w:val="00256431"/>
    <w:rsid w:val="00266B2A"/>
    <w:rsid w:val="00277E30"/>
    <w:rsid w:val="00286E7B"/>
    <w:rsid w:val="00287894"/>
    <w:rsid w:val="002A6BAB"/>
    <w:rsid w:val="002B3CFE"/>
    <w:rsid w:val="002B5624"/>
    <w:rsid w:val="002B5B63"/>
    <w:rsid w:val="002C4BD7"/>
    <w:rsid w:val="002D3D2D"/>
    <w:rsid w:val="002F0836"/>
    <w:rsid w:val="002F0B28"/>
    <w:rsid w:val="002F2F1E"/>
    <w:rsid w:val="00300B78"/>
    <w:rsid w:val="003056C3"/>
    <w:rsid w:val="00307D4B"/>
    <w:rsid w:val="0031536D"/>
    <w:rsid w:val="00331AAC"/>
    <w:rsid w:val="0033431F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569"/>
    <w:rsid w:val="003C6F16"/>
    <w:rsid w:val="003D713E"/>
    <w:rsid w:val="003F1CF0"/>
    <w:rsid w:val="003F56EC"/>
    <w:rsid w:val="003F6732"/>
    <w:rsid w:val="00402988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2A68"/>
    <w:rsid w:val="0044541E"/>
    <w:rsid w:val="00452681"/>
    <w:rsid w:val="00454870"/>
    <w:rsid w:val="004577E0"/>
    <w:rsid w:val="0046223D"/>
    <w:rsid w:val="0046348B"/>
    <w:rsid w:val="00464EFA"/>
    <w:rsid w:val="00472BF9"/>
    <w:rsid w:val="00486922"/>
    <w:rsid w:val="004907A1"/>
    <w:rsid w:val="00491119"/>
    <w:rsid w:val="00491DF9"/>
    <w:rsid w:val="004970D0"/>
    <w:rsid w:val="00497950"/>
    <w:rsid w:val="004A0139"/>
    <w:rsid w:val="004A0F8D"/>
    <w:rsid w:val="004A2EDB"/>
    <w:rsid w:val="004A642D"/>
    <w:rsid w:val="004B0337"/>
    <w:rsid w:val="004B165B"/>
    <w:rsid w:val="004B6D35"/>
    <w:rsid w:val="004C0D0B"/>
    <w:rsid w:val="004C1220"/>
    <w:rsid w:val="004D6D9C"/>
    <w:rsid w:val="004D7CEC"/>
    <w:rsid w:val="004E1DB1"/>
    <w:rsid w:val="004F09A1"/>
    <w:rsid w:val="004F347E"/>
    <w:rsid w:val="004F4873"/>
    <w:rsid w:val="00507615"/>
    <w:rsid w:val="00511E42"/>
    <w:rsid w:val="00517055"/>
    <w:rsid w:val="00530C00"/>
    <w:rsid w:val="00532EDE"/>
    <w:rsid w:val="00536273"/>
    <w:rsid w:val="00540E00"/>
    <w:rsid w:val="0054227F"/>
    <w:rsid w:val="0054245F"/>
    <w:rsid w:val="00542FE2"/>
    <w:rsid w:val="00544D3B"/>
    <w:rsid w:val="005475A4"/>
    <w:rsid w:val="00566F08"/>
    <w:rsid w:val="005775BB"/>
    <w:rsid w:val="00590CCB"/>
    <w:rsid w:val="005A5D1C"/>
    <w:rsid w:val="005A7DD1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341FB"/>
    <w:rsid w:val="00637EDC"/>
    <w:rsid w:val="00640A54"/>
    <w:rsid w:val="006446FA"/>
    <w:rsid w:val="00647DCE"/>
    <w:rsid w:val="00661476"/>
    <w:rsid w:val="006621A1"/>
    <w:rsid w:val="00677E19"/>
    <w:rsid w:val="00684368"/>
    <w:rsid w:val="0069586B"/>
    <w:rsid w:val="00695CC0"/>
    <w:rsid w:val="00697375"/>
    <w:rsid w:val="00697A13"/>
    <w:rsid w:val="00697BF6"/>
    <w:rsid w:val="006B1CA3"/>
    <w:rsid w:val="006B22E3"/>
    <w:rsid w:val="006C244D"/>
    <w:rsid w:val="006D3F3E"/>
    <w:rsid w:val="006D63AE"/>
    <w:rsid w:val="006E1750"/>
    <w:rsid w:val="006E3443"/>
    <w:rsid w:val="00701802"/>
    <w:rsid w:val="007025DC"/>
    <w:rsid w:val="00706585"/>
    <w:rsid w:val="00715ADA"/>
    <w:rsid w:val="007265DA"/>
    <w:rsid w:val="00736364"/>
    <w:rsid w:val="00746065"/>
    <w:rsid w:val="0075470C"/>
    <w:rsid w:val="00762517"/>
    <w:rsid w:val="0077237C"/>
    <w:rsid w:val="00772D2E"/>
    <w:rsid w:val="00793652"/>
    <w:rsid w:val="007B096C"/>
    <w:rsid w:val="007C636A"/>
    <w:rsid w:val="007D13FB"/>
    <w:rsid w:val="007D602F"/>
    <w:rsid w:val="007E0CBC"/>
    <w:rsid w:val="007E5047"/>
    <w:rsid w:val="007F085D"/>
    <w:rsid w:val="00814EEC"/>
    <w:rsid w:val="008163A0"/>
    <w:rsid w:val="00817AED"/>
    <w:rsid w:val="00827CE6"/>
    <w:rsid w:val="00827DC2"/>
    <w:rsid w:val="008300C9"/>
    <w:rsid w:val="00830F03"/>
    <w:rsid w:val="0083595D"/>
    <w:rsid w:val="00836D22"/>
    <w:rsid w:val="00853580"/>
    <w:rsid w:val="008556C1"/>
    <w:rsid w:val="008638E0"/>
    <w:rsid w:val="008668EF"/>
    <w:rsid w:val="00871B57"/>
    <w:rsid w:val="0087427D"/>
    <w:rsid w:val="00882865"/>
    <w:rsid w:val="00883C3B"/>
    <w:rsid w:val="00884B8D"/>
    <w:rsid w:val="00890762"/>
    <w:rsid w:val="008A0DD5"/>
    <w:rsid w:val="008A2757"/>
    <w:rsid w:val="008A5E41"/>
    <w:rsid w:val="008B1ACF"/>
    <w:rsid w:val="008B6990"/>
    <w:rsid w:val="008C3BDF"/>
    <w:rsid w:val="008C4604"/>
    <w:rsid w:val="008C75E2"/>
    <w:rsid w:val="008D24EC"/>
    <w:rsid w:val="008E4C57"/>
    <w:rsid w:val="008E6510"/>
    <w:rsid w:val="008E7BF9"/>
    <w:rsid w:val="008F0179"/>
    <w:rsid w:val="008F0C53"/>
    <w:rsid w:val="008F605D"/>
    <w:rsid w:val="0090478E"/>
    <w:rsid w:val="00905BB5"/>
    <w:rsid w:val="0091250B"/>
    <w:rsid w:val="00914569"/>
    <w:rsid w:val="0091518B"/>
    <w:rsid w:val="00930A2B"/>
    <w:rsid w:val="0093403A"/>
    <w:rsid w:val="0093713A"/>
    <w:rsid w:val="009478C1"/>
    <w:rsid w:val="00957B5D"/>
    <w:rsid w:val="00967E33"/>
    <w:rsid w:val="00971D67"/>
    <w:rsid w:val="009A494A"/>
    <w:rsid w:val="009A5C0A"/>
    <w:rsid w:val="009A7D2E"/>
    <w:rsid w:val="009C3053"/>
    <w:rsid w:val="009C37D5"/>
    <w:rsid w:val="009D1F5C"/>
    <w:rsid w:val="009D4243"/>
    <w:rsid w:val="009D6628"/>
    <w:rsid w:val="009E157D"/>
    <w:rsid w:val="009E1988"/>
    <w:rsid w:val="00A010D1"/>
    <w:rsid w:val="00A10486"/>
    <w:rsid w:val="00A4118D"/>
    <w:rsid w:val="00A45AAC"/>
    <w:rsid w:val="00A55213"/>
    <w:rsid w:val="00A57243"/>
    <w:rsid w:val="00A61095"/>
    <w:rsid w:val="00A63B71"/>
    <w:rsid w:val="00A7476F"/>
    <w:rsid w:val="00A91FB2"/>
    <w:rsid w:val="00A9437D"/>
    <w:rsid w:val="00A948A9"/>
    <w:rsid w:val="00A973B4"/>
    <w:rsid w:val="00AA0126"/>
    <w:rsid w:val="00AA1074"/>
    <w:rsid w:val="00AA5EED"/>
    <w:rsid w:val="00AB0550"/>
    <w:rsid w:val="00AB1C1F"/>
    <w:rsid w:val="00AD41AD"/>
    <w:rsid w:val="00AD6B24"/>
    <w:rsid w:val="00AE6406"/>
    <w:rsid w:val="00AF7CB8"/>
    <w:rsid w:val="00B02284"/>
    <w:rsid w:val="00B21B3E"/>
    <w:rsid w:val="00B23AA2"/>
    <w:rsid w:val="00B25A7B"/>
    <w:rsid w:val="00B26CE8"/>
    <w:rsid w:val="00B302C2"/>
    <w:rsid w:val="00B36452"/>
    <w:rsid w:val="00B441C4"/>
    <w:rsid w:val="00B472DA"/>
    <w:rsid w:val="00B61CF5"/>
    <w:rsid w:val="00B70B16"/>
    <w:rsid w:val="00B85308"/>
    <w:rsid w:val="00B877BE"/>
    <w:rsid w:val="00B93E59"/>
    <w:rsid w:val="00B96AE0"/>
    <w:rsid w:val="00B9734C"/>
    <w:rsid w:val="00B97812"/>
    <w:rsid w:val="00B97DEF"/>
    <w:rsid w:val="00BB0B08"/>
    <w:rsid w:val="00BC0557"/>
    <w:rsid w:val="00BC677C"/>
    <w:rsid w:val="00BD2A38"/>
    <w:rsid w:val="00BE52FC"/>
    <w:rsid w:val="00BE7676"/>
    <w:rsid w:val="00BF4F49"/>
    <w:rsid w:val="00BF5AA4"/>
    <w:rsid w:val="00C01E62"/>
    <w:rsid w:val="00C03F85"/>
    <w:rsid w:val="00C07372"/>
    <w:rsid w:val="00C26155"/>
    <w:rsid w:val="00C55D56"/>
    <w:rsid w:val="00C62206"/>
    <w:rsid w:val="00C63D18"/>
    <w:rsid w:val="00C64DC1"/>
    <w:rsid w:val="00C66371"/>
    <w:rsid w:val="00C71878"/>
    <w:rsid w:val="00C74836"/>
    <w:rsid w:val="00C81F6B"/>
    <w:rsid w:val="00C82910"/>
    <w:rsid w:val="00C97095"/>
    <w:rsid w:val="00CA4EAF"/>
    <w:rsid w:val="00CB0959"/>
    <w:rsid w:val="00CC4071"/>
    <w:rsid w:val="00CE4B40"/>
    <w:rsid w:val="00CF5226"/>
    <w:rsid w:val="00CF6E84"/>
    <w:rsid w:val="00D17FC2"/>
    <w:rsid w:val="00D2159E"/>
    <w:rsid w:val="00D275E5"/>
    <w:rsid w:val="00D34ADE"/>
    <w:rsid w:val="00D421CC"/>
    <w:rsid w:val="00D53B84"/>
    <w:rsid w:val="00D55831"/>
    <w:rsid w:val="00D60737"/>
    <w:rsid w:val="00D64B09"/>
    <w:rsid w:val="00D657CA"/>
    <w:rsid w:val="00D65B5E"/>
    <w:rsid w:val="00D66920"/>
    <w:rsid w:val="00D71BBA"/>
    <w:rsid w:val="00D840C5"/>
    <w:rsid w:val="00D96485"/>
    <w:rsid w:val="00D97760"/>
    <w:rsid w:val="00DA2F9E"/>
    <w:rsid w:val="00DA3E13"/>
    <w:rsid w:val="00DB2672"/>
    <w:rsid w:val="00DC292A"/>
    <w:rsid w:val="00DE46E6"/>
    <w:rsid w:val="00DE5045"/>
    <w:rsid w:val="00E024B7"/>
    <w:rsid w:val="00E20125"/>
    <w:rsid w:val="00E26B81"/>
    <w:rsid w:val="00E273F8"/>
    <w:rsid w:val="00E308C6"/>
    <w:rsid w:val="00E3459A"/>
    <w:rsid w:val="00E46BE7"/>
    <w:rsid w:val="00E63572"/>
    <w:rsid w:val="00E658A2"/>
    <w:rsid w:val="00E715FE"/>
    <w:rsid w:val="00E837E7"/>
    <w:rsid w:val="00E83CEA"/>
    <w:rsid w:val="00E84B1B"/>
    <w:rsid w:val="00EA1D60"/>
    <w:rsid w:val="00EA2C8E"/>
    <w:rsid w:val="00EA562B"/>
    <w:rsid w:val="00EC2275"/>
    <w:rsid w:val="00ED115A"/>
    <w:rsid w:val="00ED1A93"/>
    <w:rsid w:val="00EF6F99"/>
    <w:rsid w:val="00F00927"/>
    <w:rsid w:val="00F00955"/>
    <w:rsid w:val="00F076ED"/>
    <w:rsid w:val="00F12C1E"/>
    <w:rsid w:val="00F21012"/>
    <w:rsid w:val="00F23B30"/>
    <w:rsid w:val="00F3021E"/>
    <w:rsid w:val="00F346A4"/>
    <w:rsid w:val="00F559B6"/>
    <w:rsid w:val="00F66A36"/>
    <w:rsid w:val="00F7118D"/>
    <w:rsid w:val="00F81EF5"/>
    <w:rsid w:val="00F9449B"/>
    <w:rsid w:val="00F950C5"/>
    <w:rsid w:val="00FA7458"/>
    <w:rsid w:val="00FA7A90"/>
    <w:rsid w:val="00FB0941"/>
    <w:rsid w:val="00FD580D"/>
    <w:rsid w:val="00FD60B4"/>
    <w:rsid w:val="00FE20D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DCE"/>
  </w:style>
  <w:style w:type="paragraph" w:styleId="Heading1">
    <w:name w:val="heading 1"/>
    <w:basedOn w:val="Normal"/>
    <w:next w:val="Normal"/>
    <w:qFormat/>
    <w:rsid w:val="00D2159E"/>
    <w:pPr>
      <w:ind w:left="3456" w:right="576" w:hanging="288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rsid w:val="00D2159E"/>
    <w:pPr>
      <w:ind w:left="576" w:right="576"/>
      <w:outlineLvl w:val="1"/>
    </w:pPr>
    <w:rPr>
      <w:rFonts w:ascii="Georgia" w:hAnsi="Georgia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200961"/>
    <w:pPr>
      <w:ind w:left="576" w:right="576"/>
      <w:outlineLvl w:val="2"/>
    </w:pPr>
    <w:rPr>
      <w:rFonts w:ascii="Georgia" w:hAnsi="Georgia" w:cs="Arial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customStyle="1" w:styleId="HeaderChar">
    <w:name w:val="Header Char"/>
    <w:basedOn w:val="DefaultParagraphFont"/>
    <w:link w:val="Header"/>
    <w:rsid w:val="00200961"/>
  </w:style>
  <w:style w:type="character" w:customStyle="1" w:styleId="Heading3Char">
    <w:name w:val="Heading 3 Char"/>
    <w:basedOn w:val="DefaultParagraphFont"/>
    <w:link w:val="Heading3"/>
    <w:rsid w:val="00200961"/>
    <w:rPr>
      <w:rFonts w:ascii="Georgia" w:hAnsi="Georgia" w:cs="Arial"/>
      <w:b/>
      <w:i/>
      <w:sz w:val="22"/>
      <w:szCs w:val="22"/>
    </w:rPr>
  </w:style>
  <w:style w:type="table" w:styleId="TableGrid">
    <w:name w:val="Table Grid"/>
    <w:basedOn w:val="TableNormal"/>
    <w:uiPriority w:val="39"/>
    <w:rsid w:val="001552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F6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605D"/>
  </w:style>
  <w:style w:type="character" w:customStyle="1" w:styleId="CommentTextChar">
    <w:name w:val="Comment Text Char"/>
    <w:basedOn w:val="DefaultParagraphFont"/>
    <w:link w:val="CommentText"/>
    <w:uiPriority w:val="99"/>
    <w:rsid w:val="008F605D"/>
  </w:style>
  <w:style w:type="paragraph" w:styleId="CommentSubject">
    <w:name w:val="annotation subject"/>
    <w:basedOn w:val="CommentText"/>
    <w:next w:val="CommentText"/>
    <w:link w:val="CommentSubjectChar"/>
    <w:rsid w:val="008F6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605D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F23B3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DCE"/>
  </w:style>
  <w:style w:type="paragraph" w:styleId="Heading1">
    <w:name w:val="heading 1"/>
    <w:basedOn w:val="Normal"/>
    <w:next w:val="Normal"/>
    <w:qFormat/>
    <w:rsid w:val="00D2159E"/>
    <w:pPr>
      <w:ind w:left="3456" w:right="576" w:hanging="288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rsid w:val="00D2159E"/>
    <w:pPr>
      <w:ind w:left="576" w:right="576"/>
      <w:outlineLvl w:val="1"/>
    </w:pPr>
    <w:rPr>
      <w:rFonts w:ascii="Georgia" w:hAnsi="Georgia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200961"/>
    <w:pPr>
      <w:ind w:left="576" w:right="576"/>
      <w:outlineLvl w:val="2"/>
    </w:pPr>
    <w:rPr>
      <w:rFonts w:ascii="Georgia" w:hAnsi="Georgia" w:cs="Arial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customStyle="1" w:styleId="HeaderChar">
    <w:name w:val="Header Char"/>
    <w:basedOn w:val="DefaultParagraphFont"/>
    <w:link w:val="Header"/>
    <w:rsid w:val="00200961"/>
  </w:style>
  <w:style w:type="character" w:customStyle="1" w:styleId="Heading3Char">
    <w:name w:val="Heading 3 Char"/>
    <w:basedOn w:val="DefaultParagraphFont"/>
    <w:link w:val="Heading3"/>
    <w:rsid w:val="00200961"/>
    <w:rPr>
      <w:rFonts w:ascii="Georgia" w:hAnsi="Georgia" w:cs="Arial"/>
      <w:b/>
      <w:i/>
      <w:sz w:val="22"/>
      <w:szCs w:val="22"/>
    </w:rPr>
  </w:style>
  <w:style w:type="table" w:styleId="TableGrid">
    <w:name w:val="Table Grid"/>
    <w:basedOn w:val="TableNormal"/>
    <w:uiPriority w:val="39"/>
    <w:rsid w:val="001552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F6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605D"/>
  </w:style>
  <w:style w:type="character" w:customStyle="1" w:styleId="CommentTextChar">
    <w:name w:val="Comment Text Char"/>
    <w:basedOn w:val="DefaultParagraphFont"/>
    <w:link w:val="CommentText"/>
    <w:uiPriority w:val="99"/>
    <w:rsid w:val="008F605D"/>
  </w:style>
  <w:style w:type="paragraph" w:styleId="CommentSubject">
    <w:name w:val="annotation subject"/>
    <w:basedOn w:val="CommentText"/>
    <w:next w:val="CommentText"/>
    <w:link w:val="CommentSubjectChar"/>
    <w:rsid w:val="008F6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605D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F23B3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cboone\AppData\Local\Microsoft\Windows\Temporary%20Internet%20Files\Content.Outlook\J8FYL20M\www.mass.gov\masshealt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providersupport@mahealth.net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info-details/technical-refresh-companion-guides" TargetMode="External"/><Relationship Id="rId20" Type="http://schemas.openxmlformats.org/officeDocument/2006/relationships/hyperlink" Target="Mailto:join-masshealth-provider-pubs@listserv.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0.jpg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mass.gov/masshealth-provider-bulleti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g"/><Relationship Id="rId22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CA9E-6BF5-495C-9E17-504B51D9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6589</Characters>
  <Application>Microsoft Office Word</Application>
  <DocSecurity>0</DocSecurity>
  <Lines>346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7475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Peter Lee</cp:lastModifiedBy>
  <cp:revision>2</cp:revision>
  <cp:lastPrinted>2019-03-20T16:07:00Z</cp:lastPrinted>
  <dcterms:created xsi:type="dcterms:W3CDTF">2019-04-02T15:35:00Z</dcterms:created>
  <dcterms:modified xsi:type="dcterms:W3CDTF">2019-04-02T15:35:00Z</dcterms:modified>
</cp:coreProperties>
</file>