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9F5A4" w14:textId="39BDF69E" w:rsidR="00F664CC" w:rsidRPr="00777A22" w:rsidRDefault="00777A22" w:rsidP="00CB4C63">
      <w:r w:rsidRPr="00777A22">
        <w:rPr>
          <w:noProof/>
        </w:rPr>
        <w:drawing>
          <wp:anchor distT="0" distB="0" distL="114300" distR="114300" simplePos="0" relativeHeight="251660288" behindDoc="0" locked="0" layoutInCell="1" allowOverlap="1" wp14:anchorId="76E8BDA8" wp14:editId="59C0C2A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noProof/>
        </w:rPr>
        <w:drawing>
          <wp:anchor distT="0" distB="0" distL="114300" distR="114300" simplePos="0" relativeHeight="251658240" behindDoc="0" locked="0" layoutInCell="1" allowOverlap="1" wp14:anchorId="52F94F5F" wp14:editId="4166D84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t>Commonwealth of Mas</w:t>
      </w:r>
    </w:p>
    <w:p w14:paraId="26015F2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1DAB6AE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431DC30" w14:textId="77777777" w:rsidR="006D3F15" w:rsidRPr="00777A22" w:rsidRDefault="00366E9A"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7D91254" w14:textId="77777777" w:rsidR="00F664CC" w:rsidRPr="00150BCC" w:rsidRDefault="00F664CC" w:rsidP="00982839">
      <w:pPr>
        <w:pStyle w:val="BullsHeading"/>
        <w:spacing w:before="480"/>
      </w:pPr>
      <w:r w:rsidRPr="00150BCC">
        <w:t>MassHealth</w:t>
      </w:r>
    </w:p>
    <w:p w14:paraId="7DA0E1C6" w14:textId="21C1C41E" w:rsidR="00F664CC" w:rsidRPr="00150BCC" w:rsidRDefault="00973A99" w:rsidP="00150BCC">
      <w:pPr>
        <w:pStyle w:val="BullsHeading"/>
      </w:pPr>
      <w:r>
        <w:t>All Provider</w:t>
      </w:r>
      <w:r w:rsidR="00F664CC" w:rsidRPr="00150BCC">
        <w:t xml:space="preserve"> Bulletin </w:t>
      </w:r>
      <w:r w:rsidR="007C336E">
        <w:t>294</w:t>
      </w:r>
    </w:p>
    <w:p w14:paraId="20027127" w14:textId="6919C3CC" w:rsidR="00F664CC" w:rsidRPr="00150BCC" w:rsidRDefault="00973A99" w:rsidP="00150BCC">
      <w:pPr>
        <w:pStyle w:val="BullsHeading"/>
      </w:pPr>
      <w:r>
        <w:t>May 2020</w:t>
      </w:r>
    </w:p>
    <w:p w14:paraId="18BBA157" w14:textId="77777777" w:rsidR="00F664CC" w:rsidRDefault="00F664CC" w:rsidP="00BD2DAF">
      <w:pPr>
        <w:spacing w:line="360" w:lineRule="auto"/>
        <w:ind w:left="360"/>
        <w:rPr>
          <w:rFonts w:ascii="Georgia" w:hAnsi="Georgia"/>
          <w:b/>
          <w:color w:val="1F497D" w:themeColor="text2"/>
          <w:sz w:val="24"/>
          <w:szCs w:val="24"/>
        </w:rPr>
      </w:pPr>
    </w:p>
    <w:p w14:paraId="7129349C"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4D432BE" w14:textId="7882EDE3" w:rsidR="00F664CC" w:rsidRPr="004802E3" w:rsidRDefault="00F664CC" w:rsidP="00BD2DAF">
      <w:pPr>
        <w:spacing w:line="480" w:lineRule="auto"/>
        <w:ind w:left="360"/>
        <w:rPr>
          <w:rFonts w:ascii="Georgia" w:hAnsi="Georgia"/>
          <w:sz w:val="22"/>
          <w:szCs w:val="22"/>
        </w:rPr>
      </w:pPr>
      <w:r w:rsidRPr="004802E3">
        <w:rPr>
          <w:rFonts w:ascii="Georgia" w:hAnsi="Georgia"/>
          <w:b/>
          <w:sz w:val="22"/>
          <w:szCs w:val="22"/>
        </w:rPr>
        <w:t>TO</w:t>
      </w:r>
      <w:r w:rsidRPr="004802E3">
        <w:rPr>
          <w:rFonts w:ascii="Georgia" w:hAnsi="Georgia"/>
          <w:sz w:val="22"/>
          <w:szCs w:val="22"/>
        </w:rPr>
        <w:t>:</w:t>
      </w:r>
      <w:r w:rsidRPr="004802E3">
        <w:rPr>
          <w:rFonts w:ascii="Georgia" w:hAnsi="Georgia"/>
          <w:sz w:val="22"/>
          <w:szCs w:val="22"/>
        </w:rPr>
        <w:tab/>
      </w:r>
      <w:r w:rsidR="00D84A96">
        <w:rPr>
          <w:rFonts w:ascii="Georgia" w:hAnsi="Georgia"/>
          <w:sz w:val="22"/>
          <w:szCs w:val="22"/>
        </w:rPr>
        <w:t>All Providers</w:t>
      </w:r>
      <w:r w:rsidRPr="004802E3">
        <w:rPr>
          <w:rFonts w:ascii="Georgia" w:hAnsi="Georgia"/>
          <w:sz w:val="22"/>
          <w:szCs w:val="22"/>
        </w:rPr>
        <w:t xml:space="preserve"> Participating in MassHealth</w:t>
      </w:r>
    </w:p>
    <w:p w14:paraId="6BAB766B" w14:textId="5602407F" w:rsidR="00F664CC" w:rsidRPr="004802E3" w:rsidRDefault="00F664CC" w:rsidP="00BD2DAF">
      <w:pPr>
        <w:spacing w:line="480" w:lineRule="auto"/>
        <w:ind w:left="360"/>
        <w:rPr>
          <w:rFonts w:ascii="Georgia" w:hAnsi="Georgia"/>
          <w:sz w:val="22"/>
          <w:szCs w:val="22"/>
        </w:rPr>
      </w:pPr>
      <w:r w:rsidRPr="004802E3">
        <w:rPr>
          <w:rFonts w:ascii="Georgia" w:hAnsi="Georgia"/>
          <w:b/>
          <w:sz w:val="22"/>
          <w:szCs w:val="22"/>
        </w:rPr>
        <w:t>FROM</w:t>
      </w:r>
      <w:r w:rsidRPr="004802E3">
        <w:rPr>
          <w:rFonts w:ascii="Georgia" w:hAnsi="Georgia"/>
          <w:sz w:val="22"/>
          <w:szCs w:val="22"/>
        </w:rPr>
        <w:t>:</w:t>
      </w:r>
      <w:r w:rsidRPr="004802E3">
        <w:rPr>
          <w:rFonts w:ascii="Georgia" w:hAnsi="Georgia"/>
          <w:sz w:val="22"/>
          <w:szCs w:val="22"/>
        </w:rPr>
        <w:tab/>
      </w:r>
      <w:r w:rsidR="003A7588" w:rsidRPr="004802E3">
        <w:rPr>
          <w:rFonts w:ascii="Georgia" w:hAnsi="Georgia"/>
          <w:sz w:val="22"/>
          <w:szCs w:val="22"/>
        </w:rPr>
        <w:t>Amanda Cassel Kraft, Acting Medicaid Director</w:t>
      </w:r>
      <w:r w:rsidR="00F81315">
        <w:rPr>
          <w:rFonts w:ascii="Georgia" w:hAnsi="Georgia"/>
          <w:sz w:val="22"/>
          <w:szCs w:val="22"/>
        </w:rPr>
        <w:t xml:space="preserve"> </w:t>
      </w:r>
      <w:r w:rsidR="00F81315" w:rsidRPr="004802E3">
        <w:rPr>
          <w:rFonts w:ascii="Georgia" w:hAnsi="Georgia"/>
          <w:sz w:val="22"/>
          <w:szCs w:val="22"/>
        </w:rPr>
        <w:t>[signature of Amanda Cassel Kraft]</w:t>
      </w:r>
    </w:p>
    <w:p w14:paraId="2BEAC715" w14:textId="6E07C005" w:rsidR="00F664CC" w:rsidRPr="004802E3" w:rsidRDefault="00F664CC" w:rsidP="00002A9C">
      <w:pPr>
        <w:spacing w:after="240" w:line="276" w:lineRule="auto"/>
        <w:ind w:left="360"/>
        <w:rPr>
          <w:rFonts w:ascii="Georgia" w:hAnsi="Georgia"/>
          <w:b/>
          <w:sz w:val="22"/>
          <w:szCs w:val="22"/>
        </w:rPr>
      </w:pPr>
      <w:r w:rsidRPr="004802E3">
        <w:rPr>
          <w:rFonts w:ascii="Georgia" w:hAnsi="Georgia"/>
          <w:b/>
          <w:sz w:val="22"/>
          <w:szCs w:val="22"/>
        </w:rPr>
        <w:t>RE:</w:t>
      </w:r>
      <w:r w:rsidR="00BD2DAF" w:rsidRPr="004802E3">
        <w:rPr>
          <w:rFonts w:ascii="Georgia" w:hAnsi="Georgia"/>
          <w:b/>
          <w:sz w:val="22"/>
          <w:szCs w:val="22"/>
        </w:rPr>
        <w:tab/>
      </w:r>
      <w:r w:rsidR="008F66DE" w:rsidRPr="00CB4C63">
        <w:rPr>
          <w:rFonts w:ascii="Georgia" w:hAnsi="Georgia"/>
          <w:b/>
          <w:bCs/>
          <w:sz w:val="22"/>
          <w:szCs w:val="22"/>
        </w:rPr>
        <w:t>MassHealth Coverage Flexibilities for Services Related to Coronavirus Disease 2019</w:t>
      </w:r>
    </w:p>
    <w:p w14:paraId="68E42CCB" w14:textId="0BE57C28" w:rsidR="00F664CC" w:rsidRPr="003370E4" w:rsidRDefault="004D05A8" w:rsidP="003370E4">
      <w:pPr>
        <w:pStyle w:val="Heading1"/>
      </w:pPr>
      <w:r w:rsidRPr="003370E4">
        <w:t>Background</w:t>
      </w:r>
    </w:p>
    <w:p w14:paraId="6E8202A9" w14:textId="51ED2024" w:rsidR="004D05A8" w:rsidRPr="004802E3" w:rsidRDefault="004D05A8" w:rsidP="00563102">
      <w:pPr>
        <w:pStyle w:val="BullsHeading"/>
        <w:spacing w:before="120" w:line="240" w:lineRule="auto"/>
        <w:ind w:left="360"/>
        <w:rPr>
          <w:b w:val="0"/>
          <w:color w:val="auto"/>
          <w:sz w:val="22"/>
          <w:szCs w:val="22"/>
        </w:rPr>
      </w:pPr>
      <w:r w:rsidRPr="004802E3">
        <w:rPr>
          <w:b w:val="0"/>
          <w:color w:val="auto"/>
          <w:sz w:val="22"/>
          <w:szCs w:val="22"/>
        </w:rPr>
        <w:t>MassHealth’s mission is to improve the health outcomes of our diverse members and their families by providing access to integrated health care services that sustainably and equitably promote health, well-being, independence</w:t>
      </w:r>
      <w:r w:rsidR="00D84A96">
        <w:rPr>
          <w:b w:val="0"/>
          <w:color w:val="auto"/>
          <w:sz w:val="22"/>
          <w:szCs w:val="22"/>
        </w:rPr>
        <w:t>,</w:t>
      </w:r>
      <w:r w:rsidRPr="004802E3">
        <w:rPr>
          <w:b w:val="0"/>
          <w:color w:val="auto"/>
          <w:sz w:val="22"/>
          <w:szCs w:val="22"/>
        </w:rPr>
        <w:t xml:space="preserve"> and quality of life. In support of that mission, MassHealth provides broad coverage of medically necessary health care services to its members. In light of the state of emergency declared in the Commonwealth due to the 2019 novel Coronavirus (COVID-19) outbreak, MassHealth is introducing additional guidance to all providers. </w:t>
      </w:r>
    </w:p>
    <w:p w14:paraId="0CACFE77" w14:textId="4C30DB65" w:rsidR="004D05A8" w:rsidRDefault="004D05A8" w:rsidP="00563102">
      <w:pPr>
        <w:pStyle w:val="BullsHeading"/>
        <w:spacing w:before="120" w:line="240" w:lineRule="auto"/>
        <w:ind w:left="360"/>
        <w:rPr>
          <w:b w:val="0"/>
          <w:color w:val="auto"/>
          <w:sz w:val="22"/>
          <w:szCs w:val="22"/>
        </w:rPr>
      </w:pPr>
      <w:r w:rsidRPr="004802E3">
        <w:rPr>
          <w:b w:val="0"/>
          <w:color w:val="auto"/>
          <w:sz w:val="22"/>
          <w:szCs w:val="22"/>
        </w:rPr>
        <w:t xml:space="preserve">This bulletin supplements </w:t>
      </w:r>
      <w:hyperlink r:id="rId11" w:history="1">
        <w:r w:rsidRPr="004802E3">
          <w:rPr>
            <w:rStyle w:val="Hyperlink"/>
            <w:rFonts w:eastAsiaTheme="majorEastAsia"/>
            <w:b w:val="0"/>
            <w:i/>
            <w:iCs/>
            <w:sz w:val="22"/>
            <w:szCs w:val="22"/>
          </w:rPr>
          <w:t>All Provider Bulletin 289</w:t>
        </w:r>
      </w:hyperlink>
      <w:r w:rsidRPr="004802E3">
        <w:rPr>
          <w:rStyle w:val="Hyperlink"/>
          <w:rFonts w:eastAsiaTheme="majorEastAsia"/>
          <w:b w:val="0"/>
          <w:i/>
          <w:iCs/>
          <w:sz w:val="22"/>
          <w:szCs w:val="22"/>
        </w:rPr>
        <w:t xml:space="preserve"> </w:t>
      </w:r>
      <w:r w:rsidR="00D84A96">
        <w:rPr>
          <w:b w:val="0"/>
          <w:color w:val="auto"/>
          <w:sz w:val="22"/>
          <w:szCs w:val="22"/>
        </w:rPr>
        <w:t xml:space="preserve">and </w:t>
      </w:r>
      <w:hyperlink r:id="rId12" w:history="1">
        <w:r w:rsidR="00D84A96" w:rsidRPr="00D84A96">
          <w:rPr>
            <w:rStyle w:val="Hyperlink"/>
            <w:b w:val="0"/>
            <w:i/>
            <w:iCs/>
            <w:sz w:val="22"/>
            <w:szCs w:val="22"/>
          </w:rPr>
          <w:t>All Provider Bulletin 291</w:t>
        </w:r>
      </w:hyperlink>
      <w:r w:rsidR="00D84A96">
        <w:rPr>
          <w:b w:val="0"/>
          <w:color w:val="auto"/>
          <w:sz w:val="22"/>
          <w:szCs w:val="22"/>
        </w:rPr>
        <w:t xml:space="preserve"> </w:t>
      </w:r>
      <w:r w:rsidRPr="004802E3">
        <w:rPr>
          <w:b w:val="0"/>
          <w:color w:val="auto"/>
          <w:sz w:val="22"/>
          <w:szCs w:val="22"/>
        </w:rPr>
        <w:t>by providing guidance for providers regarding additional flexibilities</w:t>
      </w:r>
      <w:r w:rsidR="0028530E">
        <w:rPr>
          <w:b w:val="0"/>
          <w:color w:val="auto"/>
          <w:sz w:val="22"/>
          <w:szCs w:val="22"/>
        </w:rPr>
        <w:t>,</w:t>
      </w:r>
      <w:r w:rsidRPr="004802E3">
        <w:rPr>
          <w:b w:val="0"/>
          <w:color w:val="auto"/>
          <w:sz w:val="22"/>
          <w:szCs w:val="22"/>
        </w:rPr>
        <w:t xml:space="preserve"> including </w:t>
      </w:r>
      <w:r w:rsidR="000F2445">
        <w:rPr>
          <w:b w:val="0"/>
          <w:color w:val="auto"/>
          <w:sz w:val="22"/>
          <w:szCs w:val="22"/>
        </w:rPr>
        <w:t xml:space="preserve">flexibilities related to </w:t>
      </w:r>
      <w:r w:rsidR="00D02C0B">
        <w:rPr>
          <w:b w:val="0"/>
          <w:color w:val="auto"/>
          <w:sz w:val="22"/>
          <w:szCs w:val="22"/>
        </w:rPr>
        <w:t xml:space="preserve">billing for </w:t>
      </w:r>
      <w:r w:rsidRPr="004802E3">
        <w:rPr>
          <w:b w:val="0"/>
          <w:color w:val="auto"/>
          <w:sz w:val="22"/>
          <w:szCs w:val="22"/>
        </w:rPr>
        <w:t xml:space="preserve">services </w:t>
      </w:r>
      <w:r w:rsidR="00D02C0B">
        <w:rPr>
          <w:b w:val="0"/>
          <w:color w:val="auto"/>
          <w:sz w:val="22"/>
          <w:szCs w:val="22"/>
        </w:rPr>
        <w:t xml:space="preserve">rendered </w:t>
      </w:r>
      <w:r w:rsidRPr="004802E3">
        <w:rPr>
          <w:b w:val="0"/>
          <w:color w:val="auto"/>
          <w:sz w:val="22"/>
          <w:szCs w:val="22"/>
        </w:rPr>
        <w:t>via telehealth</w:t>
      </w:r>
      <w:r w:rsidR="00D02C0B">
        <w:rPr>
          <w:b w:val="0"/>
          <w:color w:val="auto"/>
          <w:sz w:val="22"/>
          <w:szCs w:val="22"/>
        </w:rPr>
        <w:t>, billing for services rendered to dual-eligible members via audio-only telehealth,</w:t>
      </w:r>
      <w:r w:rsidRPr="004802E3">
        <w:rPr>
          <w:b w:val="0"/>
          <w:color w:val="auto"/>
          <w:sz w:val="22"/>
          <w:szCs w:val="22"/>
        </w:rPr>
        <w:t xml:space="preserve"> coverage and billing for remote patient monitoring, </w:t>
      </w:r>
      <w:r w:rsidR="0028530E">
        <w:rPr>
          <w:b w:val="0"/>
          <w:color w:val="auto"/>
          <w:sz w:val="22"/>
          <w:szCs w:val="22"/>
        </w:rPr>
        <w:t xml:space="preserve">the extension of certain informational edits, </w:t>
      </w:r>
      <w:r w:rsidRPr="004802E3">
        <w:rPr>
          <w:b w:val="0"/>
          <w:color w:val="auto"/>
          <w:sz w:val="22"/>
          <w:szCs w:val="22"/>
        </w:rPr>
        <w:t>and billing for preventive visits for children</w:t>
      </w:r>
      <w:r w:rsidR="0028530E">
        <w:rPr>
          <w:b w:val="0"/>
          <w:color w:val="auto"/>
          <w:sz w:val="22"/>
          <w:szCs w:val="22"/>
        </w:rPr>
        <w:t xml:space="preserve"> and adults</w:t>
      </w:r>
      <w:r w:rsidRPr="004802E3">
        <w:rPr>
          <w:b w:val="0"/>
          <w:color w:val="auto"/>
          <w:sz w:val="22"/>
          <w:szCs w:val="22"/>
        </w:rPr>
        <w:t xml:space="preserve">. Unless specifically noted in this bulletin, providers should comply in all respects with </w:t>
      </w:r>
      <w:hyperlink r:id="rId13" w:history="1">
        <w:r w:rsidR="00D84A96" w:rsidRPr="004802E3">
          <w:rPr>
            <w:rStyle w:val="Hyperlink"/>
            <w:rFonts w:eastAsiaTheme="majorEastAsia"/>
            <w:b w:val="0"/>
            <w:i/>
            <w:iCs/>
            <w:sz w:val="22"/>
            <w:szCs w:val="22"/>
          </w:rPr>
          <w:t>All Provider Bulletin 289</w:t>
        </w:r>
      </w:hyperlink>
      <w:r w:rsidR="00D84A96" w:rsidRPr="004802E3">
        <w:rPr>
          <w:rStyle w:val="Hyperlink"/>
          <w:rFonts w:eastAsiaTheme="majorEastAsia"/>
          <w:b w:val="0"/>
          <w:i/>
          <w:iCs/>
          <w:sz w:val="22"/>
          <w:szCs w:val="22"/>
        </w:rPr>
        <w:t xml:space="preserve"> </w:t>
      </w:r>
      <w:r w:rsidR="00D84A96">
        <w:rPr>
          <w:b w:val="0"/>
          <w:color w:val="auto"/>
          <w:sz w:val="22"/>
          <w:szCs w:val="22"/>
        </w:rPr>
        <w:t xml:space="preserve">and </w:t>
      </w:r>
      <w:hyperlink r:id="rId14" w:history="1">
        <w:r w:rsidR="00D84A96" w:rsidRPr="00D84A96">
          <w:rPr>
            <w:rStyle w:val="Hyperlink"/>
            <w:b w:val="0"/>
            <w:i/>
            <w:iCs/>
            <w:sz w:val="22"/>
            <w:szCs w:val="22"/>
          </w:rPr>
          <w:t>All Provider Bulletin 291</w:t>
        </w:r>
      </w:hyperlink>
      <w:r w:rsidR="00B8072D">
        <w:rPr>
          <w:rStyle w:val="Hyperlink"/>
          <w:b w:val="0"/>
          <w:i/>
          <w:iCs/>
          <w:sz w:val="22"/>
          <w:szCs w:val="22"/>
        </w:rPr>
        <w:t>,</w:t>
      </w:r>
      <w:r w:rsidRPr="004802E3">
        <w:rPr>
          <w:b w:val="0"/>
          <w:color w:val="auto"/>
          <w:sz w:val="22"/>
          <w:szCs w:val="22"/>
        </w:rPr>
        <w:t xml:space="preserve"> which remain in full force and effect.</w:t>
      </w:r>
    </w:p>
    <w:p w14:paraId="001A2E6D" w14:textId="5C2FB071" w:rsidR="00BC361A" w:rsidRDefault="00BC361A" w:rsidP="007B10DC">
      <w:pPr>
        <w:pStyle w:val="BullsHeading"/>
        <w:spacing w:before="120"/>
        <w:ind w:left="360"/>
        <w:rPr>
          <w:b w:val="0"/>
          <w:color w:val="auto"/>
          <w:sz w:val="22"/>
          <w:szCs w:val="22"/>
        </w:rPr>
      </w:pPr>
      <w:r w:rsidRPr="00BC361A">
        <w:rPr>
          <w:b w:val="0"/>
          <w:color w:val="auto"/>
          <w:sz w:val="22"/>
          <w:szCs w:val="22"/>
        </w:rPr>
        <w:t xml:space="preserve">This bulletin applies to members enrolled in MassHealth fee-for-service, the Primary Care Clinician (PCC) Plan, or a Primary Care </w:t>
      </w:r>
      <w:r w:rsidR="00D84A96">
        <w:rPr>
          <w:b w:val="0"/>
          <w:color w:val="auto"/>
          <w:sz w:val="22"/>
          <w:szCs w:val="22"/>
        </w:rPr>
        <w:t>Accountable Care Organization (</w:t>
      </w:r>
      <w:r w:rsidRPr="00BC361A">
        <w:rPr>
          <w:b w:val="0"/>
          <w:color w:val="auto"/>
          <w:sz w:val="22"/>
          <w:szCs w:val="22"/>
        </w:rPr>
        <w:t>ACO</w:t>
      </w:r>
      <w:r w:rsidR="00D84A96">
        <w:rPr>
          <w:b w:val="0"/>
          <w:color w:val="auto"/>
          <w:sz w:val="22"/>
          <w:szCs w:val="22"/>
        </w:rPr>
        <w:t>)</w:t>
      </w:r>
      <w:r w:rsidRPr="00BC361A">
        <w:rPr>
          <w:b w:val="0"/>
          <w:color w:val="auto"/>
          <w:sz w:val="22"/>
          <w:szCs w:val="22"/>
        </w:rPr>
        <w:t xml:space="preserve">. </w:t>
      </w:r>
      <w:r w:rsidR="007B10DC" w:rsidRPr="002640F3">
        <w:rPr>
          <w:b w:val="0"/>
          <w:color w:val="auto"/>
          <w:sz w:val="22"/>
          <w:szCs w:val="22"/>
        </w:rPr>
        <w:t>Information about coverage through MassHealth Managed Care Entities is included in applicable</w:t>
      </w:r>
      <w:r w:rsidR="00F81315">
        <w:rPr>
          <w:b w:val="0"/>
          <w:color w:val="auto"/>
          <w:sz w:val="22"/>
          <w:szCs w:val="22"/>
        </w:rPr>
        <w:t xml:space="preserve"> </w:t>
      </w:r>
      <w:r w:rsidR="007B10DC" w:rsidRPr="002640F3">
        <w:rPr>
          <w:b w:val="0"/>
          <w:color w:val="auto"/>
          <w:sz w:val="22"/>
          <w:szCs w:val="22"/>
        </w:rPr>
        <w:t>MCE Bulletins.</w:t>
      </w:r>
    </w:p>
    <w:p w14:paraId="77132F9A" w14:textId="122727CC" w:rsidR="0028530E" w:rsidRPr="004802E3" w:rsidRDefault="0028530E" w:rsidP="00BC361A">
      <w:pPr>
        <w:pStyle w:val="BullsHeading"/>
        <w:spacing w:before="120" w:line="240" w:lineRule="auto"/>
        <w:ind w:left="360"/>
        <w:rPr>
          <w:b w:val="0"/>
          <w:color w:val="auto"/>
          <w:sz w:val="22"/>
          <w:szCs w:val="22"/>
        </w:rPr>
      </w:pPr>
      <w:r w:rsidRPr="0028530E">
        <w:rPr>
          <w:b w:val="0"/>
          <w:color w:val="auto"/>
          <w:sz w:val="22"/>
          <w:szCs w:val="22"/>
        </w:rPr>
        <w:t>The Massachusetts Executive Office of Health and Human Services (EOHHS) is coordinating with federal and local partners to respond to COVID-19. As this situation evolves, EOHHS may issue additional guidance on this topic as informed and directed by the Massachusetts Department of Public Health (DPH) and the federal Centers for Disease Control and Prevention (CDC).</w:t>
      </w:r>
    </w:p>
    <w:p w14:paraId="63AAD273" w14:textId="480A7189" w:rsidR="004D05A8" w:rsidRPr="004802E3" w:rsidRDefault="004D05A8" w:rsidP="00563102">
      <w:pPr>
        <w:pStyle w:val="BullsHeading"/>
        <w:spacing w:before="120" w:line="240" w:lineRule="auto"/>
        <w:ind w:left="360"/>
        <w:rPr>
          <w:bCs/>
          <w:color w:val="auto"/>
          <w:sz w:val="22"/>
          <w:szCs w:val="22"/>
        </w:rPr>
      </w:pPr>
      <w:r w:rsidRPr="004802E3">
        <w:rPr>
          <w:bCs/>
          <w:color w:val="auto"/>
          <w:sz w:val="22"/>
          <w:szCs w:val="22"/>
        </w:rPr>
        <w:t xml:space="preserve">As with </w:t>
      </w:r>
      <w:hyperlink r:id="rId15" w:history="1">
        <w:r w:rsidR="00D84A96" w:rsidRPr="00D84A96">
          <w:rPr>
            <w:rStyle w:val="Hyperlink"/>
            <w:rFonts w:eastAsiaTheme="majorEastAsia"/>
            <w:i/>
            <w:iCs/>
            <w:sz w:val="22"/>
            <w:szCs w:val="22"/>
          </w:rPr>
          <w:t>All Provider Bulletin 289</w:t>
        </w:r>
      </w:hyperlink>
      <w:r w:rsidR="00D84A96" w:rsidRPr="00D84A96">
        <w:rPr>
          <w:rStyle w:val="Hyperlink"/>
          <w:rFonts w:eastAsiaTheme="majorEastAsia"/>
          <w:i/>
          <w:iCs/>
          <w:sz w:val="22"/>
          <w:szCs w:val="22"/>
        </w:rPr>
        <w:t xml:space="preserve"> </w:t>
      </w:r>
      <w:r w:rsidR="00D84A96" w:rsidRPr="00D84A96">
        <w:rPr>
          <w:color w:val="auto"/>
          <w:sz w:val="22"/>
          <w:szCs w:val="22"/>
        </w:rPr>
        <w:t xml:space="preserve">and </w:t>
      </w:r>
      <w:hyperlink r:id="rId16" w:history="1">
        <w:r w:rsidR="00D84A96" w:rsidRPr="00D84A96">
          <w:rPr>
            <w:rStyle w:val="Hyperlink"/>
            <w:i/>
            <w:iCs/>
            <w:sz w:val="22"/>
            <w:szCs w:val="22"/>
          </w:rPr>
          <w:t>All Provider Bulletin 291</w:t>
        </w:r>
      </w:hyperlink>
      <w:r w:rsidRPr="004802E3">
        <w:rPr>
          <w:bCs/>
          <w:color w:val="auto"/>
          <w:sz w:val="22"/>
          <w:szCs w:val="22"/>
        </w:rPr>
        <w:t>, this bulletin, and the flexibilities described herein,</w:t>
      </w:r>
      <w:r w:rsidRPr="004802E3">
        <w:rPr>
          <w:b w:val="0"/>
          <w:color w:val="auto"/>
          <w:sz w:val="22"/>
          <w:szCs w:val="22"/>
        </w:rPr>
        <w:t xml:space="preserve"> </w:t>
      </w:r>
      <w:r w:rsidRPr="004802E3">
        <w:rPr>
          <w:bCs/>
          <w:color w:val="auto"/>
          <w:sz w:val="22"/>
          <w:szCs w:val="22"/>
        </w:rPr>
        <w:t xml:space="preserve">shall remain effective for the duration of the state of emergency declared via </w:t>
      </w:r>
      <w:hyperlink r:id="rId17" w:history="1">
        <w:r w:rsidRPr="004802E3">
          <w:rPr>
            <w:rStyle w:val="Hyperlink"/>
            <w:rFonts w:eastAsiaTheme="majorEastAsia"/>
            <w:sz w:val="22"/>
            <w:szCs w:val="22"/>
          </w:rPr>
          <w:t>Executive Order No. 591</w:t>
        </w:r>
      </w:hyperlink>
      <w:r w:rsidRPr="004802E3">
        <w:rPr>
          <w:bCs/>
          <w:color w:val="auto"/>
          <w:sz w:val="22"/>
          <w:szCs w:val="22"/>
        </w:rPr>
        <w:t>.</w:t>
      </w:r>
      <w:r w:rsidR="00C261F0">
        <w:rPr>
          <w:bCs/>
          <w:color w:val="auto"/>
          <w:sz w:val="22"/>
          <w:szCs w:val="22"/>
        </w:rPr>
        <w:t xml:space="preserve"> </w:t>
      </w:r>
      <w:r w:rsidRPr="004802E3">
        <w:rPr>
          <w:bCs/>
          <w:color w:val="auto"/>
          <w:sz w:val="22"/>
          <w:szCs w:val="22"/>
        </w:rPr>
        <w:t>Upon the expiration of that state of emergency, MassHealth will evaluate the continued need for each of the flexibilities that follow, and make appropriate adjustments, as necessary.</w:t>
      </w:r>
    </w:p>
    <w:p w14:paraId="0919492A" w14:textId="77777777" w:rsidR="00403BED" w:rsidRDefault="00403BED">
      <w:pPr>
        <w:spacing w:after="200" w:line="276" w:lineRule="auto"/>
        <w:rPr>
          <w:rFonts w:ascii="Georgia" w:hAnsi="Georgia"/>
          <w:b/>
          <w:color w:val="1F497D" w:themeColor="text2"/>
          <w:sz w:val="22"/>
          <w:szCs w:val="22"/>
        </w:rPr>
      </w:pPr>
      <w:r>
        <w:rPr>
          <w:sz w:val="22"/>
          <w:szCs w:val="22"/>
        </w:rPr>
        <w:br w:type="page"/>
      </w:r>
    </w:p>
    <w:p w14:paraId="25CA50A6" w14:textId="77777777" w:rsidR="00C261F0" w:rsidRPr="00F664CC" w:rsidRDefault="00C261F0" w:rsidP="00C261F0">
      <w:pPr>
        <w:pStyle w:val="BullsHeading"/>
      </w:pPr>
      <w:r w:rsidRPr="00F664CC">
        <w:lastRenderedPageBreak/>
        <w:t>MassHealth</w:t>
      </w:r>
    </w:p>
    <w:p w14:paraId="5D84B157" w14:textId="7EB5FCE7" w:rsidR="00C261F0" w:rsidRPr="00F664CC" w:rsidRDefault="00C261F0" w:rsidP="00C261F0">
      <w:pPr>
        <w:pStyle w:val="BullsHeading"/>
      </w:pPr>
      <w:r>
        <w:t>All Provider</w:t>
      </w:r>
      <w:r w:rsidRPr="00F664CC">
        <w:t xml:space="preserve"> Bulletin </w:t>
      </w:r>
      <w:r w:rsidR="004907D3">
        <w:t>294</w:t>
      </w:r>
    </w:p>
    <w:p w14:paraId="469449EC" w14:textId="77777777" w:rsidR="00C261F0" w:rsidRDefault="00C261F0" w:rsidP="00C261F0">
      <w:pPr>
        <w:pStyle w:val="BullsHeading"/>
      </w:pPr>
      <w:r>
        <w:t>May 2020</w:t>
      </w:r>
    </w:p>
    <w:p w14:paraId="41E4AB1E" w14:textId="26331E90" w:rsidR="00C261F0" w:rsidRDefault="00C261F0" w:rsidP="00C261F0">
      <w:pPr>
        <w:pStyle w:val="BullsHeading"/>
      </w:pPr>
      <w:r>
        <w:t xml:space="preserve">Page </w:t>
      </w:r>
      <w:r w:rsidR="00FC69F6">
        <w:t>2</w:t>
      </w:r>
      <w:r>
        <w:t xml:space="preserve"> of </w:t>
      </w:r>
      <w:r w:rsidR="00FD41F8">
        <w:t>9</w:t>
      </w:r>
    </w:p>
    <w:p w14:paraId="21FC5471" w14:textId="77777777" w:rsidR="00403BED" w:rsidRPr="003370E4" w:rsidRDefault="00403BED" w:rsidP="003370E4">
      <w:pPr>
        <w:pStyle w:val="Heading1"/>
      </w:pPr>
      <w:r w:rsidRPr="003370E4">
        <w:t>Additional Billing Flexibility Applicable to All Providers Rendering MassHealth-Covered Services via Telehealth</w:t>
      </w:r>
    </w:p>
    <w:p w14:paraId="5F54C1CB" w14:textId="77777777" w:rsidR="007020B5" w:rsidRDefault="00403BED" w:rsidP="00403BED">
      <w:pPr>
        <w:pStyle w:val="Heading1"/>
        <w:spacing w:before="120" w:after="0"/>
        <w:rPr>
          <w:b w:val="0"/>
          <w:color w:val="auto"/>
          <w:sz w:val="22"/>
          <w:szCs w:val="22"/>
        </w:rPr>
      </w:pPr>
      <w:r w:rsidRPr="004802E3">
        <w:rPr>
          <w:b w:val="0"/>
          <w:color w:val="auto"/>
          <w:sz w:val="22"/>
          <w:szCs w:val="22"/>
        </w:rPr>
        <w:t>As explained in All Provider Bulletins 289 and 291, MassHealth is temporarily permitting MassHealth providers to deliver all clinically appropriate, medically necessary MassHealth-covered services to MassHealth members via telehealth (whether audio-only or live video) in accordance with the standards set forth in those bulletins.</w:t>
      </w:r>
      <w:r>
        <w:rPr>
          <w:b w:val="0"/>
          <w:color w:val="auto"/>
          <w:sz w:val="22"/>
          <w:szCs w:val="22"/>
        </w:rPr>
        <w:t xml:space="preserve"> </w:t>
      </w:r>
      <w:r w:rsidRPr="004802E3">
        <w:rPr>
          <w:b w:val="0"/>
          <w:color w:val="auto"/>
          <w:sz w:val="22"/>
          <w:szCs w:val="22"/>
        </w:rPr>
        <w:t>Since publishing those bulletins, MassHealth has learned that, in certain instances, providers have struggled to identify the appropriate code to describe a service rendered via telehealth because certain codes contain references to specific telehealth modalities (e.g., services rendered telephonically) while other codes that might otherwise more accurately describe the service rendered are silent on the means of service delivery or require face-to-face delivery.</w:t>
      </w:r>
      <w:r>
        <w:rPr>
          <w:b w:val="0"/>
          <w:color w:val="auto"/>
          <w:sz w:val="22"/>
          <w:szCs w:val="22"/>
        </w:rPr>
        <w:t xml:space="preserve"> </w:t>
      </w:r>
    </w:p>
    <w:p w14:paraId="542FC2FD" w14:textId="77777777" w:rsidR="007020B5" w:rsidRDefault="00403BED" w:rsidP="00403BED">
      <w:pPr>
        <w:pStyle w:val="Heading1"/>
        <w:spacing w:before="120" w:after="0"/>
        <w:rPr>
          <w:b w:val="0"/>
          <w:color w:val="auto"/>
          <w:sz w:val="22"/>
          <w:szCs w:val="22"/>
        </w:rPr>
      </w:pPr>
      <w:r w:rsidRPr="004802E3">
        <w:rPr>
          <w:b w:val="0"/>
          <w:color w:val="auto"/>
          <w:sz w:val="22"/>
          <w:szCs w:val="22"/>
        </w:rPr>
        <w:t xml:space="preserve">To facilitate the implementation of the telehealth-related flexibilities announced in All Provider Bulletins 289 and 291, for the duration of the state of emergency </w:t>
      </w:r>
      <w:r w:rsidR="00FC69F6" w:rsidRPr="004802E3">
        <w:rPr>
          <w:b w:val="0"/>
          <w:color w:val="auto"/>
          <w:sz w:val="22"/>
          <w:szCs w:val="22"/>
        </w:rPr>
        <w:t xml:space="preserve">declared via Executive Order. No 591, and notwithstanding any MassHealth requirement to the contrary, MassHealth will permit providers submitting claims to MassHealth for services delivered </w:t>
      </w:r>
      <w:r w:rsidR="004D05A8" w:rsidRPr="004802E3">
        <w:rPr>
          <w:b w:val="0"/>
          <w:color w:val="auto"/>
          <w:sz w:val="22"/>
          <w:szCs w:val="22"/>
        </w:rPr>
        <w:t>via telehealth in accordance with those bulletins to disregard any references within a service code description to the means by which a service is delivered (e.g., in-person, through live-video telehealth, or via telephone) when identifying the appropriate service code.</w:t>
      </w:r>
      <w:r w:rsidR="00C261F0">
        <w:rPr>
          <w:b w:val="0"/>
          <w:color w:val="auto"/>
          <w:sz w:val="22"/>
          <w:szCs w:val="22"/>
        </w:rPr>
        <w:t xml:space="preserve"> </w:t>
      </w:r>
    </w:p>
    <w:p w14:paraId="5799D2ED" w14:textId="519B76F7" w:rsidR="004D05A8" w:rsidRPr="004802E3" w:rsidRDefault="004D05A8" w:rsidP="00403BED">
      <w:pPr>
        <w:pStyle w:val="Heading1"/>
        <w:spacing w:before="120" w:after="0"/>
        <w:rPr>
          <w:b w:val="0"/>
          <w:color w:val="auto"/>
          <w:sz w:val="22"/>
          <w:szCs w:val="22"/>
        </w:rPr>
      </w:pPr>
      <w:r w:rsidRPr="004802E3">
        <w:rPr>
          <w:b w:val="0"/>
          <w:color w:val="auto"/>
          <w:sz w:val="22"/>
          <w:szCs w:val="22"/>
        </w:rPr>
        <w:t>Providers must ensure that, in all other respects, they select the service code that most accurately describes the service rendered.</w:t>
      </w:r>
      <w:r w:rsidR="00C261F0">
        <w:rPr>
          <w:b w:val="0"/>
          <w:color w:val="auto"/>
          <w:sz w:val="22"/>
          <w:szCs w:val="22"/>
        </w:rPr>
        <w:t xml:space="preserve"> </w:t>
      </w:r>
      <w:r w:rsidRPr="004802E3">
        <w:rPr>
          <w:b w:val="0"/>
          <w:color w:val="auto"/>
          <w:sz w:val="22"/>
          <w:szCs w:val="22"/>
        </w:rPr>
        <w:t xml:space="preserve">This flexibility notwithstanding, </w:t>
      </w:r>
      <w:r w:rsidR="00FC69F6">
        <w:rPr>
          <w:b w:val="0"/>
          <w:color w:val="auto"/>
          <w:sz w:val="22"/>
          <w:szCs w:val="22"/>
        </w:rPr>
        <w:t>p</w:t>
      </w:r>
      <w:r w:rsidRPr="004802E3">
        <w:rPr>
          <w:b w:val="0"/>
          <w:color w:val="auto"/>
          <w:sz w:val="22"/>
          <w:szCs w:val="22"/>
        </w:rPr>
        <w:t>roviders must comply in all respects with all other applicable laws, regulations, and subregulatory guidance.</w:t>
      </w:r>
    </w:p>
    <w:p w14:paraId="33BEA18D" w14:textId="77777777" w:rsidR="004D05A8" w:rsidRPr="003370E4" w:rsidRDefault="004D05A8" w:rsidP="003370E4">
      <w:pPr>
        <w:pStyle w:val="Heading1"/>
      </w:pPr>
      <w:r w:rsidRPr="003370E4">
        <w:t>Services Delivered to Individuals Enrolled in MassHealth Fee-for-Service and Eligible for Medicare (Dually Eligible Members) via Audio-Only Telehealth</w:t>
      </w:r>
    </w:p>
    <w:p w14:paraId="33487FC8" w14:textId="04A915F9" w:rsidR="004D05A8" w:rsidRPr="00D4388C" w:rsidRDefault="004D05A8" w:rsidP="00563102">
      <w:pPr>
        <w:pStyle w:val="BullsHeading"/>
        <w:spacing w:before="120" w:line="240" w:lineRule="auto"/>
        <w:ind w:left="360"/>
        <w:rPr>
          <w:b w:val="0"/>
          <w:color w:val="auto"/>
          <w:sz w:val="22"/>
          <w:szCs w:val="22"/>
        </w:rPr>
      </w:pPr>
      <w:r w:rsidRPr="004802E3">
        <w:rPr>
          <w:b w:val="0"/>
          <w:color w:val="auto"/>
          <w:sz w:val="22"/>
          <w:szCs w:val="22"/>
        </w:rPr>
        <w:t xml:space="preserve">As explained above, and as noted in All Provider Bulletins 289 and 291, MassHealth is temporarily permitting MassHealth providers to render all clinically appropriate, medically necessary MassHealth-covered services through telehealth, either through live video or through audio-only (telephone) communication, in accordance with the standards set forth in those bulletins. In contrast, Medicare’s coverage of services rendered via audio-only telehealth is limited </w:t>
      </w:r>
      <w:r w:rsidRPr="00D4388C">
        <w:rPr>
          <w:b w:val="0"/>
          <w:color w:val="auto"/>
          <w:sz w:val="22"/>
          <w:szCs w:val="22"/>
        </w:rPr>
        <w:t xml:space="preserve">to </w:t>
      </w:r>
      <w:r w:rsidR="00D4388C" w:rsidRPr="00D4388C">
        <w:rPr>
          <w:b w:val="0"/>
          <w:bCs/>
          <w:color w:val="auto"/>
          <w:sz w:val="22"/>
          <w:szCs w:val="22"/>
          <w:shd w:val="clear" w:color="auto" w:fill="FFFFFF"/>
        </w:rPr>
        <w:t>certain</w:t>
      </w:r>
      <w:r w:rsidR="00D4388C" w:rsidRPr="00D4388C">
        <w:rPr>
          <w:b w:val="0"/>
          <w:bCs/>
          <w:strike/>
          <w:color w:val="auto"/>
          <w:sz w:val="22"/>
          <w:szCs w:val="22"/>
          <w:shd w:val="clear" w:color="auto" w:fill="FFFFFF"/>
        </w:rPr>
        <w:t xml:space="preserve"> </w:t>
      </w:r>
      <w:r w:rsidR="00D4388C" w:rsidRPr="00D4388C">
        <w:rPr>
          <w:b w:val="0"/>
          <w:bCs/>
          <w:color w:val="auto"/>
          <w:sz w:val="22"/>
          <w:szCs w:val="22"/>
          <w:shd w:val="clear" w:color="auto" w:fill="FFFFFF"/>
        </w:rPr>
        <w:t>services. Providers should reference the latest CMS guidance for Medicare coverage of audio-only telehealth services prior to billing MassHealth.</w:t>
      </w:r>
    </w:p>
    <w:p w14:paraId="5B836AC4" w14:textId="28172352" w:rsidR="004D05A8" w:rsidRPr="004802E3" w:rsidRDefault="004D05A8" w:rsidP="00563102">
      <w:pPr>
        <w:pStyle w:val="BullsHeading"/>
        <w:spacing w:before="120" w:line="240" w:lineRule="auto"/>
        <w:ind w:left="360"/>
        <w:rPr>
          <w:b w:val="0"/>
          <w:color w:val="auto"/>
          <w:sz w:val="22"/>
          <w:szCs w:val="22"/>
        </w:rPr>
      </w:pPr>
      <w:r w:rsidRPr="004802E3">
        <w:rPr>
          <w:b w:val="0"/>
          <w:color w:val="auto"/>
          <w:sz w:val="22"/>
          <w:szCs w:val="22"/>
        </w:rPr>
        <w:t xml:space="preserve">To facilitate the implementation of MassHealth’s temporarily broadened telehealth policy, and notwithstanding 130 CMR 450.316, </w:t>
      </w:r>
      <w:r w:rsidR="00B8072D">
        <w:rPr>
          <w:b w:val="0"/>
          <w:color w:val="auto"/>
          <w:sz w:val="22"/>
          <w:szCs w:val="22"/>
        </w:rPr>
        <w:t xml:space="preserve">effective for dates of service on or after March 12, 2020, </w:t>
      </w:r>
      <w:r w:rsidRPr="004802E3">
        <w:rPr>
          <w:b w:val="0"/>
          <w:color w:val="auto"/>
          <w:sz w:val="22"/>
          <w:szCs w:val="22"/>
        </w:rPr>
        <w:t>MassHealth will permit providers to submit directly to MassHealth, without prior submission to Medicare, claims for clinically appropriate and medically necessary services rendered to dually eligible members via audio-only telehealth that are not coverable by Medicare.</w:t>
      </w:r>
      <w:r w:rsidR="00C261F0">
        <w:rPr>
          <w:b w:val="0"/>
          <w:color w:val="auto"/>
          <w:sz w:val="22"/>
          <w:szCs w:val="22"/>
        </w:rPr>
        <w:t xml:space="preserve"> </w:t>
      </w:r>
      <w:r w:rsidRPr="004802E3">
        <w:rPr>
          <w:b w:val="0"/>
          <w:color w:val="auto"/>
          <w:sz w:val="22"/>
          <w:szCs w:val="22"/>
        </w:rPr>
        <w:t>Providers invoking this policy must comply in all respects with this bulletin and all other applicable laws, regulations, and subregulatory guidance.</w:t>
      </w:r>
      <w:r w:rsidR="00C261F0">
        <w:rPr>
          <w:b w:val="0"/>
          <w:color w:val="auto"/>
          <w:sz w:val="22"/>
          <w:szCs w:val="22"/>
        </w:rPr>
        <w:t xml:space="preserve"> </w:t>
      </w:r>
    </w:p>
    <w:p w14:paraId="1DF28FAF" w14:textId="77777777" w:rsidR="007020B5" w:rsidRDefault="00B8072D" w:rsidP="00D4388C">
      <w:pPr>
        <w:pStyle w:val="BullsHeading"/>
        <w:spacing w:before="120" w:line="240" w:lineRule="auto"/>
        <w:ind w:left="360"/>
        <w:rPr>
          <w:b w:val="0"/>
          <w:color w:val="auto"/>
          <w:sz w:val="22"/>
          <w:szCs w:val="22"/>
        </w:rPr>
      </w:pPr>
      <w:r>
        <w:rPr>
          <w:b w:val="0"/>
          <w:color w:val="auto"/>
          <w:sz w:val="22"/>
          <w:szCs w:val="22"/>
        </w:rPr>
        <w:t>As explained above, t</w:t>
      </w:r>
      <w:r w:rsidRPr="004802E3">
        <w:rPr>
          <w:b w:val="0"/>
          <w:color w:val="auto"/>
          <w:sz w:val="22"/>
          <w:szCs w:val="22"/>
        </w:rPr>
        <w:t xml:space="preserve">his </w:t>
      </w:r>
      <w:r w:rsidR="004D05A8" w:rsidRPr="004802E3">
        <w:rPr>
          <w:b w:val="0"/>
          <w:color w:val="auto"/>
          <w:sz w:val="22"/>
          <w:szCs w:val="22"/>
        </w:rPr>
        <w:t>flexibility applies only to services rendered to dually eligible members via audio-only telehealth that are not coverable by Medicare.</w:t>
      </w:r>
      <w:r w:rsidR="00C261F0">
        <w:rPr>
          <w:b w:val="0"/>
          <w:color w:val="auto"/>
          <w:sz w:val="22"/>
          <w:szCs w:val="22"/>
        </w:rPr>
        <w:t xml:space="preserve"> </w:t>
      </w:r>
      <w:r>
        <w:rPr>
          <w:b w:val="0"/>
          <w:color w:val="auto"/>
          <w:sz w:val="22"/>
          <w:szCs w:val="22"/>
        </w:rPr>
        <w:t>As a result, p</w:t>
      </w:r>
      <w:r w:rsidRPr="004802E3">
        <w:rPr>
          <w:b w:val="0"/>
          <w:color w:val="auto"/>
          <w:sz w:val="22"/>
          <w:szCs w:val="22"/>
        </w:rPr>
        <w:t xml:space="preserve">roviders </w:t>
      </w:r>
      <w:r w:rsidR="004D05A8" w:rsidRPr="004802E3">
        <w:rPr>
          <w:b w:val="0"/>
          <w:color w:val="auto"/>
          <w:sz w:val="22"/>
          <w:szCs w:val="22"/>
        </w:rPr>
        <w:t>delivering services to dually eligible members via a telehealth modality that includes a live video component must first submit those claims to Medicare for adjudication.</w:t>
      </w:r>
      <w:r w:rsidR="00C261F0">
        <w:rPr>
          <w:b w:val="0"/>
          <w:color w:val="auto"/>
          <w:sz w:val="22"/>
          <w:szCs w:val="22"/>
        </w:rPr>
        <w:t xml:space="preserve"> </w:t>
      </w:r>
      <w:r w:rsidR="004D05A8" w:rsidRPr="004802E3">
        <w:rPr>
          <w:b w:val="0"/>
          <w:color w:val="auto"/>
          <w:sz w:val="22"/>
          <w:szCs w:val="22"/>
        </w:rPr>
        <w:t xml:space="preserve">Similarly, providers rendering services that are </w:t>
      </w:r>
    </w:p>
    <w:p w14:paraId="6A8B4E4A" w14:textId="5B49D90E" w:rsidR="00672168" w:rsidRPr="00D4388C" w:rsidRDefault="007020B5" w:rsidP="007020B5">
      <w:pPr>
        <w:spacing w:after="200" w:line="276" w:lineRule="auto"/>
        <w:rPr>
          <w:b/>
          <w:sz w:val="22"/>
          <w:szCs w:val="22"/>
        </w:rPr>
      </w:pPr>
      <w:r>
        <w:rPr>
          <w:b/>
          <w:sz w:val="22"/>
          <w:szCs w:val="22"/>
        </w:rPr>
        <w:br w:type="page"/>
      </w:r>
    </w:p>
    <w:p w14:paraId="62FE4424" w14:textId="77777777" w:rsidR="00FC69F6" w:rsidRPr="00F664CC" w:rsidRDefault="00FC69F6" w:rsidP="00FC69F6">
      <w:pPr>
        <w:pStyle w:val="BullsHeading"/>
      </w:pPr>
      <w:r w:rsidRPr="00F664CC">
        <w:lastRenderedPageBreak/>
        <w:t>MassHealth</w:t>
      </w:r>
    </w:p>
    <w:p w14:paraId="4F890832" w14:textId="33B3154B" w:rsidR="00FC69F6" w:rsidRPr="00F664CC" w:rsidRDefault="00FC69F6" w:rsidP="00FC69F6">
      <w:pPr>
        <w:pStyle w:val="BullsHeading"/>
      </w:pPr>
      <w:r>
        <w:t>All Provider</w:t>
      </w:r>
      <w:r w:rsidRPr="00F664CC">
        <w:t xml:space="preserve"> Bulletin </w:t>
      </w:r>
      <w:r w:rsidR="004907D3">
        <w:t>294</w:t>
      </w:r>
    </w:p>
    <w:p w14:paraId="570C4E50" w14:textId="77777777" w:rsidR="00FC69F6" w:rsidRDefault="00FC69F6" w:rsidP="00FC69F6">
      <w:pPr>
        <w:pStyle w:val="BullsHeading"/>
      </w:pPr>
      <w:r>
        <w:t>May 2020</w:t>
      </w:r>
    </w:p>
    <w:p w14:paraId="0E253F56" w14:textId="2D9EEB75" w:rsidR="00FC69F6" w:rsidRDefault="00FC69F6" w:rsidP="00FC69F6">
      <w:pPr>
        <w:pStyle w:val="BullsHeading"/>
      </w:pPr>
      <w:r>
        <w:t xml:space="preserve">Page 3 of </w:t>
      </w:r>
      <w:r w:rsidR="00FD41F8">
        <w:t>9</w:t>
      </w:r>
    </w:p>
    <w:p w14:paraId="30F3380B" w14:textId="77777777" w:rsidR="007020B5" w:rsidRDefault="007020B5" w:rsidP="00672168">
      <w:pPr>
        <w:pStyle w:val="BullsHeading"/>
        <w:spacing w:before="120" w:line="240" w:lineRule="auto"/>
        <w:ind w:left="360"/>
        <w:rPr>
          <w:b w:val="0"/>
          <w:color w:val="auto"/>
          <w:sz w:val="22"/>
          <w:szCs w:val="22"/>
        </w:rPr>
      </w:pPr>
      <w:r w:rsidRPr="004802E3">
        <w:rPr>
          <w:b w:val="0"/>
          <w:color w:val="auto"/>
          <w:sz w:val="22"/>
          <w:szCs w:val="22"/>
        </w:rPr>
        <w:t>coverable by Medicare when rendered via audio-only telephone communication to dually eligible members must submit those claims to Medicare for adjudication.</w:t>
      </w:r>
      <w:r>
        <w:rPr>
          <w:b w:val="0"/>
          <w:color w:val="auto"/>
          <w:sz w:val="22"/>
          <w:szCs w:val="22"/>
        </w:rPr>
        <w:t xml:space="preserve"> </w:t>
      </w:r>
      <w:r w:rsidRPr="004802E3">
        <w:rPr>
          <w:b w:val="0"/>
          <w:color w:val="auto"/>
          <w:sz w:val="22"/>
          <w:szCs w:val="22"/>
        </w:rPr>
        <w:t>By submitting directly to MassHealth a claim for a service rendered to a dually eligible member via audio-only telehealth, the billing provider is certifying to MassHealth that the service was not coverable by Medicare as of the date of service. MassHealth will pursue as overpayments all payments to providers for services billed directly to MassHealth that were coverable by Medicare.</w:t>
      </w:r>
    </w:p>
    <w:p w14:paraId="79AA48A1" w14:textId="299AC138" w:rsidR="00672168" w:rsidRPr="004802E3" w:rsidRDefault="00672168" w:rsidP="00672168">
      <w:pPr>
        <w:pStyle w:val="BullsHeading"/>
        <w:spacing w:before="120" w:line="240" w:lineRule="auto"/>
        <w:ind w:left="360"/>
        <w:rPr>
          <w:b w:val="0"/>
          <w:color w:val="auto"/>
          <w:sz w:val="22"/>
          <w:szCs w:val="22"/>
        </w:rPr>
      </w:pPr>
      <w:r w:rsidRPr="004802E3">
        <w:rPr>
          <w:b w:val="0"/>
          <w:color w:val="auto"/>
          <w:sz w:val="22"/>
          <w:szCs w:val="22"/>
        </w:rPr>
        <w:t>The following two subsections provide billing instructions for 837P Transactions and Direct Data Entry for claims submitted directly to MassHealth for audio-only telehealth services to dually eligible members as described above</w:t>
      </w:r>
      <w:r>
        <w:rPr>
          <w:b w:val="0"/>
          <w:color w:val="auto"/>
          <w:sz w:val="22"/>
          <w:szCs w:val="22"/>
        </w:rPr>
        <w:t>.</w:t>
      </w:r>
    </w:p>
    <w:p w14:paraId="14B13044" w14:textId="77777777" w:rsidR="00672168" w:rsidRPr="004802E3" w:rsidRDefault="00672168" w:rsidP="00672168">
      <w:pPr>
        <w:pStyle w:val="Heading2"/>
      </w:pPr>
      <w:r w:rsidRPr="004802E3">
        <w:t>Billing Instructions for 837P Transactions</w:t>
      </w:r>
    </w:p>
    <w:p w14:paraId="6C956A35" w14:textId="3B18CC6C" w:rsidR="00672168" w:rsidRDefault="00672168" w:rsidP="00672168">
      <w:pPr>
        <w:spacing w:before="120"/>
        <w:ind w:left="360"/>
        <w:rPr>
          <w:rFonts w:ascii="Georgia" w:hAnsi="Georgia"/>
          <w:sz w:val="22"/>
          <w:szCs w:val="22"/>
        </w:rPr>
      </w:pPr>
      <w:r w:rsidRPr="004802E3">
        <w:rPr>
          <w:rFonts w:ascii="Georgia" w:hAnsi="Georgia"/>
          <w:sz w:val="22"/>
          <w:szCs w:val="22"/>
        </w:rPr>
        <w:t xml:space="preserve">For claims meeting the above criteria, complete the other payer loops in the 837P transaction as described in the following table. </w:t>
      </w:r>
    </w:p>
    <w:p w14:paraId="41671903" w14:textId="77777777" w:rsidR="007020B5" w:rsidRDefault="007020B5" w:rsidP="00672168">
      <w:pPr>
        <w:spacing w:before="120"/>
        <w:ind w:left="360"/>
        <w:rPr>
          <w:rFonts w:ascii="Georgia" w:hAnsi="Georgia"/>
          <w:sz w:val="22"/>
          <w:szCs w:val="22"/>
        </w:rPr>
      </w:pPr>
    </w:p>
    <w:tbl>
      <w:tblPr>
        <w:tblW w:w="96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4200"/>
      </w:tblGrid>
      <w:tr w:rsidR="004D05A8" w:rsidRPr="004802E3" w14:paraId="43A77170" w14:textId="77777777" w:rsidTr="00834F67">
        <w:trPr>
          <w:cantSplit/>
          <w:trHeight w:val="144"/>
          <w:tblHeader/>
        </w:trPr>
        <w:tc>
          <w:tcPr>
            <w:tcW w:w="900" w:type="dxa"/>
          </w:tcPr>
          <w:p w14:paraId="7F2B6831" w14:textId="77777777" w:rsidR="004D05A8" w:rsidRPr="004802E3" w:rsidRDefault="004D05A8" w:rsidP="00FC69F6">
            <w:pPr>
              <w:spacing w:before="120"/>
              <w:jc w:val="center"/>
              <w:rPr>
                <w:rFonts w:ascii="Georgia" w:hAnsi="Georgia" w:cs="Arial"/>
                <w:b/>
                <w:sz w:val="22"/>
                <w:szCs w:val="22"/>
              </w:rPr>
            </w:pPr>
            <w:r w:rsidRPr="004802E3">
              <w:rPr>
                <w:rFonts w:ascii="Georgia" w:hAnsi="Georgia"/>
                <w:sz w:val="22"/>
                <w:szCs w:val="22"/>
              </w:rPr>
              <w:br w:type="page"/>
            </w:r>
            <w:r w:rsidRPr="004802E3">
              <w:rPr>
                <w:rFonts w:ascii="Georgia" w:hAnsi="Georgia"/>
                <w:sz w:val="22"/>
                <w:szCs w:val="22"/>
              </w:rPr>
              <w:br w:type="page"/>
            </w:r>
            <w:r w:rsidRPr="004802E3">
              <w:rPr>
                <w:rFonts w:ascii="Georgia" w:hAnsi="Georgia" w:cs="Arial"/>
                <w:b/>
                <w:sz w:val="22"/>
                <w:szCs w:val="22"/>
              </w:rPr>
              <w:t>Loop</w:t>
            </w:r>
          </w:p>
        </w:tc>
        <w:tc>
          <w:tcPr>
            <w:tcW w:w="4500" w:type="dxa"/>
          </w:tcPr>
          <w:p w14:paraId="3F490ED8" w14:textId="77777777" w:rsidR="004D05A8" w:rsidRPr="004802E3" w:rsidRDefault="004D05A8" w:rsidP="00FC69F6">
            <w:pPr>
              <w:spacing w:before="120"/>
              <w:jc w:val="center"/>
              <w:rPr>
                <w:rFonts w:ascii="Georgia" w:hAnsi="Georgia" w:cs="Arial"/>
                <w:b/>
                <w:sz w:val="22"/>
                <w:szCs w:val="22"/>
              </w:rPr>
            </w:pPr>
            <w:r w:rsidRPr="004802E3">
              <w:rPr>
                <w:rFonts w:ascii="Georgia" w:hAnsi="Georgia" w:cs="Arial"/>
                <w:b/>
                <w:sz w:val="22"/>
                <w:szCs w:val="22"/>
              </w:rPr>
              <w:t>Segment</w:t>
            </w:r>
          </w:p>
        </w:tc>
        <w:tc>
          <w:tcPr>
            <w:tcW w:w="4200" w:type="dxa"/>
          </w:tcPr>
          <w:p w14:paraId="70CB55CC" w14:textId="77777777" w:rsidR="004D05A8" w:rsidRPr="004802E3" w:rsidRDefault="004D05A8" w:rsidP="00FC69F6">
            <w:pPr>
              <w:spacing w:before="120"/>
              <w:jc w:val="center"/>
              <w:rPr>
                <w:rFonts w:ascii="Georgia" w:hAnsi="Georgia" w:cs="Arial"/>
                <w:b/>
                <w:sz w:val="22"/>
                <w:szCs w:val="22"/>
              </w:rPr>
            </w:pPr>
            <w:r w:rsidRPr="004802E3">
              <w:rPr>
                <w:rFonts w:ascii="Georgia" w:hAnsi="Georgia" w:cs="Arial"/>
                <w:b/>
                <w:sz w:val="22"/>
                <w:szCs w:val="22"/>
              </w:rPr>
              <w:t xml:space="preserve">Value </w:t>
            </w:r>
          </w:p>
        </w:tc>
      </w:tr>
      <w:tr w:rsidR="004D05A8" w:rsidRPr="004802E3" w14:paraId="2E523B31" w14:textId="77777777" w:rsidTr="00834F67">
        <w:trPr>
          <w:cantSplit/>
          <w:trHeight w:val="144"/>
        </w:trPr>
        <w:tc>
          <w:tcPr>
            <w:tcW w:w="900" w:type="dxa"/>
          </w:tcPr>
          <w:p w14:paraId="09B7B91F"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2320</w:t>
            </w:r>
          </w:p>
        </w:tc>
        <w:tc>
          <w:tcPr>
            <w:tcW w:w="4500" w:type="dxa"/>
          </w:tcPr>
          <w:p w14:paraId="68458F29"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SBR09 (Claim Filing Indicator)</w:t>
            </w:r>
          </w:p>
        </w:tc>
        <w:tc>
          <w:tcPr>
            <w:tcW w:w="4200" w:type="dxa"/>
          </w:tcPr>
          <w:p w14:paraId="4F91FAE0"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MB</w:t>
            </w:r>
          </w:p>
        </w:tc>
      </w:tr>
      <w:tr w:rsidR="004D05A8" w:rsidRPr="004802E3" w14:paraId="3F82B2A3" w14:textId="77777777" w:rsidTr="00834F67">
        <w:trPr>
          <w:cantSplit/>
          <w:trHeight w:val="144"/>
        </w:trPr>
        <w:tc>
          <w:tcPr>
            <w:tcW w:w="900" w:type="dxa"/>
          </w:tcPr>
          <w:p w14:paraId="23B59C25"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2320</w:t>
            </w:r>
          </w:p>
        </w:tc>
        <w:tc>
          <w:tcPr>
            <w:tcW w:w="4500" w:type="dxa"/>
          </w:tcPr>
          <w:p w14:paraId="09340D03"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AMT01 (Total Noncovered Amount Qualifier)</w:t>
            </w:r>
          </w:p>
        </w:tc>
        <w:tc>
          <w:tcPr>
            <w:tcW w:w="4200" w:type="dxa"/>
          </w:tcPr>
          <w:p w14:paraId="2CE3F033"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A8</w:t>
            </w:r>
          </w:p>
        </w:tc>
      </w:tr>
      <w:tr w:rsidR="004D05A8" w:rsidRPr="004802E3" w14:paraId="52BC6F79" w14:textId="77777777" w:rsidTr="00834F67">
        <w:trPr>
          <w:cantSplit/>
          <w:trHeight w:val="144"/>
        </w:trPr>
        <w:tc>
          <w:tcPr>
            <w:tcW w:w="900" w:type="dxa"/>
          </w:tcPr>
          <w:p w14:paraId="140BF674"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2320</w:t>
            </w:r>
          </w:p>
        </w:tc>
        <w:tc>
          <w:tcPr>
            <w:tcW w:w="4500" w:type="dxa"/>
          </w:tcPr>
          <w:p w14:paraId="29FA6E73"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AMT02 (Total Noncovered Amount)</w:t>
            </w:r>
          </w:p>
        </w:tc>
        <w:tc>
          <w:tcPr>
            <w:tcW w:w="4200" w:type="dxa"/>
          </w:tcPr>
          <w:p w14:paraId="076BEEFF"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The total noncovered amount must equal the total billed amount.</w:t>
            </w:r>
          </w:p>
        </w:tc>
      </w:tr>
      <w:tr w:rsidR="004D05A8" w:rsidRPr="004802E3" w14:paraId="0FB6E819" w14:textId="77777777" w:rsidTr="00834F67">
        <w:trPr>
          <w:cantSplit/>
          <w:trHeight w:val="144"/>
        </w:trPr>
        <w:tc>
          <w:tcPr>
            <w:tcW w:w="900" w:type="dxa"/>
            <w:tcBorders>
              <w:top w:val="single" w:sz="4" w:space="0" w:color="auto"/>
              <w:left w:val="single" w:sz="4" w:space="0" w:color="auto"/>
              <w:bottom w:val="single" w:sz="4" w:space="0" w:color="auto"/>
              <w:right w:val="single" w:sz="4" w:space="0" w:color="auto"/>
            </w:tcBorders>
          </w:tcPr>
          <w:p w14:paraId="220D4FB3"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2330B</w:t>
            </w:r>
          </w:p>
        </w:tc>
        <w:tc>
          <w:tcPr>
            <w:tcW w:w="4500" w:type="dxa"/>
            <w:tcBorders>
              <w:top w:val="single" w:sz="4" w:space="0" w:color="auto"/>
              <w:left w:val="single" w:sz="4" w:space="0" w:color="auto"/>
              <w:bottom w:val="single" w:sz="4" w:space="0" w:color="auto"/>
              <w:right w:val="single" w:sz="4" w:space="0" w:color="auto"/>
            </w:tcBorders>
          </w:tcPr>
          <w:p w14:paraId="73B7383A"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NM109 (Other Payer Name)</w:t>
            </w:r>
          </w:p>
        </w:tc>
        <w:tc>
          <w:tcPr>
            <w:tcW w:w="4200" w:type="dxa"/>
            <w:tcBorders>
              <w:top w:val="single" w:sz="4" w:space="0" w:color="auto"/>
              <w:left w:val="single" w:sz="4" w:space="0" w:color="auto"/>
              <w:bottom w:val="single" w:sz="4" w:space="0" w:color="auto"/>
              <w:right w:val="single" w:sz="4" w:space="0" w:color="auto"/>
            </w:tcBorders>
          </w:tcPr>
          <w:p w14:paraId="56F4FDBC" w14:textId="77777777" w:rsidR="004D05A8" w:rsidRPr="004802E3" w:rsidRDefault="004D05A8" w:rsidP="00FC69F6">
            <w:pPr>
              <w:spacing w:before="120"/>
              <w:rPr>
                <w:rFonts w:ascii="Georgia" w:hAnsi="Georgia" w:cs="Arial"/>
                <w:sz w:val="22"/>
                <w:szCs w:val="22"/>
              </w:rPr>
            </w:pPr>
            <w:r w:rsidRPr="004802E3">
              <w:rPr>
                <w:rFonts w:ascii="Georgia" w:hAnsi="Georgia" w:cs="Arial"/>
                <w:sz w:val="22"/>
                <w:szCs w:val="22"/>
              </w:rPr>
              <w:t>0085000</w:t>
            </w:r>
          </w:p>
        </w:tc>
      </w:tr>
    </w:tbl>
    <w:p w14:paraId="1766CC4D" w14:textId="77777777" w:rsidR="004D05A8" w:rsidRPr="004802E3" w:rsidRDefault="004D05A8" w:rsidP="004D05A8">
      <w:pPr>
        <w:ind w:left="360"/>
        <w:rPr>
          <w:rFonts w:ascii="Georgia" w:hAnsi="Georgia"/>
          <w:sz w:val="22"/>
          <w:szCs w:val="22"/>
        </w:rPr>
      </w:pPr>
    </w:p>
    <w:p w14:paraId="5DB86A75" w14:textId="48BEE5A3" w:rsidR="004D05A8" w:rsidRPr="004802E3" w:rsidRDefault="004D05A8" w:rsidP="00563102">
      <w:pPr>
        <w:spacing w:before="120"/>
        <w:ind w:left="360"/>
        <w:rPr>
          <w:rFonts w:ascii="Georgia" w:hAnsi="Georgia"/>
          <w:sz w:val="22"/>
          <w:szCs w:val="22"/>
        </w:rPr>
      </w:pPr>
      <w:r w:rsidRPr="00BC5B41">
        <w:rPr>
          <w:rFonts w:ascii="Georgia" w:hAnsi="Georgia"/>
          <w:b/>
          <w:bCs/>
          <w:sz w:val="22"/>
          <w:szCs w:val="22"/>
        </w:rPr>
        <w:t>Please note</w:t>
      </w:r>
      <w:r w:rsidR="00D4388C">
        <w:rPr>
          <w:rFonts w:ascii="Georgia" w:hAnsi="Georgia"/>
          <w:sz w:val="22"/>
          <w:szCs w:val="22"/>
        </w:rPr>
        <w:t>:</w:t>
      </w:r>
      <w:r w:rsidRPr="004802E3">
        <w:rPr>
          <w:rFonts w:ascii="Georgia" w:hAnsi="Georgia"/>
          <w:sz w:val="22"/>
          <w:szCs w:val="22"/>
        </w:rPr>
        <w:t xml:space="preserve"> </w:t>
      </w:r>
      <w:r w:rsidR="00D4388C">
        <w:rPr>
          <w:rFonts w:ascii="Georgia" w:hAnsi="Georgia"/>
          <w:sz w:val="22"/>
          <w:szCs w:val="22"/>
        </w:rPr>
        <w:t>P</w:t>
      </w:r>
      <w:r w:rsidRPr="004802E3">
        <w:rPr>
          <w:rFonts w:ascii="Georgia" w:hAnsi="Georgia"/>
          <w:sz w:val="22"/>
          <w:szCs w:val="22"/>
        </w:rPr>
        <w:t>roviders must follow the HIPAA 837P Implementation Guide and the MassHealth 837P Companion Guide instructions when submitting claims to MassHealth.</w:t>
      </w:r>
      <w:r w:rsidR="00C261F0">
        <w:rPr>
          <w:rFonts w:ascii="Georgia" w:hAnsi="Georgia"/>
          <w:sz w:val="22"/>
          <w:szCs w:val="22"/>
        </w:rPr>
        <w:t xml:space="preserve"> </w:t>
      </w:r>
    </w:p>
    <w:p w14:paraId="60519358" w14:textId="77777777" w:rsidR="004D05A8" w:rsidRPr="004802E3" w:rsidRDefault="004D05A8" w:rsidP="00557888">
      <w:pPr>
        <w:pStyle w:val="Heading2"/>
      </w:pPr>
      <w:r w:rsidRPr="004802E3">
        <w:t>Billing Instructions for Direct Data Entry (DDE)</w:t>
      </w:r>
    </w:p>
    <w:p w14:paraId="348E8C3C" w14:textId="77777777" w:rsidR="004D05A8" w:rsidRPr="004802E3" w:rsidRDefault="004D05A8" w:rsidP="005236C5">
      <w:pPr>
        <w:spacing w:before="120"/>
        <w:ind w:left="360"/>
        <w:rPr>
          <w:rFonts w:ascii="Georgia" w:hAnsi="Georgia"/>
          <w:sz w:val="22"/>
          <w:szCs w:val="22"/>
        </w:rPr>
      </w:pPr>
      <w:r w:rsidRPr="004802E3">
        <w:rPr>
          <w:rFonts w:ascii="Georgia" w:hAnsi="Georgia"/>
          <w:sz w:val="22"/>
          <w:szCs w:val="22"/>
        </w:rPr>
        <w:t xml:space="preserve">For claims meeting the above criteria, complete the coordination of benefits (COB) panel in the Provider Online Service Center (POSC) direct data entry (DDE) claim panels. </w:t>
      </w:r>
    </w:p>
    <w:p w14:paraId="5169F2FE" w14:textId="77777777" w:rsidR="007020B5" w:rsidRDefault="004D05A8" w:rsidP="005236C5">
      <w:pPr>
        <w:spacing w:before="120"/>
        <w:ind w:left="360"/>
        <w:rPr>
          <w:rFonts w:ascii="Georgia" w:hAnsi="Georgia"/>
          <w:sz w:val="22"/>
          <w:szCs w:val="22"/>
        </w:rPr>
      </w:pPr>
      <w:r w:rsidRPr="004802E3">
        <w:rPr>
          <w:rFonts w:ascii="Georgia" w:hAnsi="Georgia"/>
          <w:sz w:val="22"/>
          <w:szCs w:val="22"/>
        </w:rPr>
        <w:t xml:space="preserve">On the Coordination of Benefits tab, click New Item and complete all applicable fields including the fields described </w:t>
      </w:r>
      <w:r w:rsidR="00891A11">
        <w:rPr>
          <w:rFonts w:ascii="Georgia" w:hAnsi="Georgia"/>
          <w:sz w:val="22"/>
          <w:szCs w:val="22"/>
        </w:rPr>
        <w:t>in the following table</w:t>
      </w:r>
      <w:r w:rsidRPr="004802E3">
        <w:rPr>
          <w:rFonts w:ascii="Georgia" w:hAnsi="Georgia"/>
          <w:sz w:val="22"/>
          <w:szCs w:val="22"/>
        </w:rPr>
        <w:t>.</w:t>
      </w:r>
    </w:p>
    <w:p w14:paraId="5BA69789" w14:textId="13A4E897" w:rsidR="007020B5" w:rsidRDefault="007020B5">
      <w:pPr>
        <w:spacing w:after="200" w:line="276" w:lineRule="auto"/>
        <w:rPr>
          <w:rFonts w:ascii="Georgia" w:hAnsi="Georgia"/>
          <w:sz w:val="22"/>
          <w:szCs w:val="22"/>
        </w:rPr>
      </w:pPr>
      <w:r>
        <w:rPr>
          <w:rFonts w:ascii="Georgia" w:hAnsi="Georgia"/>
          <w:sz w:val="22"/>
          <w:szCs w:val="22"/>
        </w:rPr>
        <w:br w:type="page"/>
      </w:r>
    </w:p>
    <w:p w14:paraId="77FE47FF" w14:textId="77777777" w:rsidR="007020B5" w:rsidRPr="00F664CC" w:rsidRDefault="007020B5" w:rsidP="007020B5">
      <w:pPr>
        <w:pStyle w:val="BullsHeading"/>
      </w:pPr>
      <w:r w:rsidRPr="00F664CC">
        <w:lastRenderedPageBreak/>
        <w:t>MassHealth</w:t>
      </w:r>
    </w:p>
    <w:p w14:paraId="711D07FB" w14:textId="4987B860" w:rsidR="007020B5" w:rsidRPr="00F664CC" w:rsidRDefault="007020B5" w:rsidP="007020B5">
      <w:pPr>
        <w:pStyle w:val="BullsHeading"/>
      </w:pPr>
      <w:r>
        <w:t>All Provider</w:t>
      </w:r>
      <w:r w:rsidRPr="00F664CC">
        <w:t xml:space="preserve"> Bulletin </w:t>
      </w:r>
      <w:r w:rsidR="004907D3">
        <w:t>294</w:t>
      </w:r>
    </w:p>
    <w:p w14:paraId="01C81C40" w14:textId="77777777" w:rsidR="007020B5" w:rsidRDefault="007020B5" w:rsidP="007020B5">
      <w:pPr>
        <w:pStyle w:val="BullsHeading"/>
      </w:pPr>
      <w:r>
        <w:t>May 2020</w:t>
      </w:r>
    </w:p>
    <w:p w14:paraId="74F084A9" w14:textId="77777777" w:rsidR="007020B5" w:rsidRDefault="007020B5" w:rsidP="007020B5">
      <w:pPr>
        <w:pStyle w:val="BullsHeading"/>
      </w:pPr>
      <w:r>
        <w:t>Page 4 of 9</w:t>
      </w:r>
    </w:p>
    <w:p w14:paraId="21105663" w14:textId="77777777" w:rsidR="004D05A8" w:rsidRPr="00D4388C" w:rsidRDefault="004D05A8" w:rsidP="004D05A8">
      <w:pPr>
        <w:rPr>
          <w:rFonts w:ascii="Georgia" w:hAnsi="Georgia"/>
          <w:sz w:val="8"/>
          <w:szCs w:val="8"/>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5640"/>
      </w:tblGrid>
      <w:tr w:rsidR="004D05A8" w:rsidRPr="004802E3" w14:paraId="3B5599BF" w14:textId="77777777" w:rsidTr="00654B0C">
        <w:trPr>
          <w:cantSplit/>
        </w:trPr>
        <w:tc>
          <w:tcPr>
            <w:tcW w:w="9353" w:type="dxa"/>
            <w:gridSpan w:val="2"/>
          </w:tcPr>
          <w:p w14:paraId="0ACED1DC" w14:textId="77777777" w:rsidR="004D05A8" w:rsidRPr="004802E3" w:rsidRDefault="004D05A8" w:rsidP="00311C46">
            <w:pPr>
              <w:spacing w:before="120"/>
              <w:ind w:right="-216"/>
              <w:jc w:val="center"/>
              <w:rPr>
                <w:rFonts w:ascii="Georgia" w:hAnsi="Georgia" w:cs="Arial"/>
                <w:b/>
                <w:color w:val="000000"/>
                <w:sz w:val="22"/>
                <w:szCs w:val="22"/>
              </w:rPr>
            </w:pPr>
            <w:r w:rsidRPr="004802E3">
              <w:rPr>
                <w:rFonts w:ascii="Georgia" w:hAnsi="Georgia" w:cs="Arial"/>
                <w:b/>
                <w:sz w:val="22"/>
                <w:szCs w:val="22"/>
              </w:rPr>
              <w:t>Coordination of Benefits Panel</w:t>
            </w:r>
          </w:p>
        </w:tc>
      </w:tr>
      <w:tr w:rsidR="004D05A8" w:rsidRPr="004802E3" w14:paraId="7D58893D" w14:textId="77777777" w:rsidTr="00654B0C">
        <w:trPr>
          <w:cantSplit/>
          <w:tblHeader/>
        </w:trPr>
        <w:tc>
          <w:tcPr>
            <w:tcW w:w="3713" w:type="dxa"/>
          </w:tcPr>
          <w:p w14:paraId="5DF81066" w14:textId="77777777" w:rsidR="004D05A8" w:rsidRPr="004802E3" w:rsidRDefault="004D05A8" w:rsidP="00311C46">
            <w:pPr>
              <w:spacing w:before="120"/>
              <w:ind w:right="-216"/>
              <w:jc w:val="center"/>
              <w:rPr>
                <w:rFonts w:ascii="Georgia" w:hAnsi="Georgia" w:cs="Arial"/>
                <w:b/>
                <w:color w:val="000000"/>
                <w:sz w:val="22"/>
                <w:szCs w:val="22"/>
              </w:rPr>
            </w:pPr>
            <w:r w:rsidRPr="004802E3">
              <w:rPr>
                <w:rFonts w:ascii="Georgia" w:hAnsi="Georgia" w:cs="Arial"/>
                <w:b/>
                <w:color w:val="000000"/>
                <w:sz w:val="22"/>
                <w:szCs w:val="22"/>
              </w:rPr>
              <w:t>Field Name</w:t>
            </w:r>
          </w:p>
        </w:tc>
        <w:tc>
          <w:tcPr>
            <w:tcW w:w="5640" w:type="dxa"/>
          </w:tcPr>
          <w:p w14:paraId="1099F4FF" w14:textId="77777777" w:rsidR="004D05A8" w:rsidRPr="004802E3" w:rsidRDefault="004D05A8" w:rsidP="00311C46">
            <w:pPr>
              <w:spacing w:before="120"/>
              <w:ind w:right="-216"/>
              <w:jc w:val="center"/>
              <w:rPr>
                <w:rFonts w:ascii="Georgia" w:hAnsi="Georgia" w:cs="Arial"/>
                <w:b/>
                <w:color w:val="000000"/>
                <w:sz w:val="22"/>
                <w:szCs w:val="22"/>
              </w:rPr>
            </w:pPr>
            <w:r w:rsidRPr="004802E3">
              <w:rPr>
                <w:rFonts w:ascii="Georgia" w:hAnsi="Georgia" w:cs="Arial"/>
                <w:b/>
                <w:color w:val="000000"/>
                <w:sz w:val="22"/>
                <w:szCs w:val="22"/>
              </w:rPr>
              <w:t>Instructions</w:t>
            </w:r>
          </w:p>
        </w:tc>
      </w:tr>
      <w:tr w:rsidR="004D05A8" w:rsidRPr="004802E3" w14:paraId="1F782CDC" w14:textId="77777777" w:rsidTr="00654B0C">
        <w:trPr>
          <w:cantSplit/>
        </w:trPr>
        <w:tc>
          <w:tcPr>
            <w:tcW w:w="3713" w:type="dxa"/>
          </w:tcPr>
          <w:p w14:paraId="4895E89D"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Carrier Code</w:t>
            </w:r>
          </w:p>
        </w:tc>
        <w:tc>
          <w:tcPr>
            <w:tcW w:w="5640" w:type="dxa"/>
          </w:tcPr>
          <w:p w14:paraId="3A09A7D3" w14:textId="77777777" w:rsidR="004D05A8" w:rsidRPr="004802E3" w:rsidRDefault="004D05A8" w:rsidP="00311C46">
            <w:pPr>
              <w:spacing w:before="120"/>
              <w:ind w:right="-108"/>
              <w:rPr>
                <w:rFonts w:ascii="Georgia" w:hAnsi="Georgia" w:cs="Arial"/>
                <w:color w:val="000000"/>
                <w:sz w:val="22"/>
                <w:szCs w:val="22"/>
              </w:rPr>
            </w:pPr>
            <w:r w:rsidRPr="004802E3">
              <w:rPr>
                <w:rFonts w:ascii="Georgia" w:hAnsi="Georgia" w:cs="Arial"/>
                <w:color w:val="000000"/>
                <w:sz w:val="22"/>
                <w:szCs w:val="22"/>
              </w:rPr>
              <w:t>Enter 0085000.</w:t>
            </w:r>
          </w:p>
        </w:tc>
      </w:tr>
      <w:tr w:rsidR="004D05A8" w:rsidRPr="004802E3" w14:paraId="145D8669" w14:textId="77777777" w:rsidTr="00654B0C">
        <w:trPr>
          <w:cantSplit/>
        </w:trPr>
        <w:tc>
          <w:tcPr>
            <w:tcW w:w="3713" w:type="dxa"/>
          </w:tcPr>
          <w:p w14:paraId="605DBA47"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Carrier Name</w:t>
            </w:r>
          </w:p>
        </w:tc>
        <w:tc>
          <w:tcPr>
            <w:tcW w:w="5640" w:type="dxa"/>
          </w:tcPr>
          <w:p w14:paraId="06C02524" w14:textId="77777777" w:rsidR="004D05A8" w:rsidRPr="004802E3" w:rsidRDefault="004D05A8" w:rsidP="00311C46">
            <w:pPr>
              <w:spacing w:before="120"/>
              <w:ind w:right="-108"/>
              <w:rPr>
                <w:rFonts w:ascii="Georgia" w:hAnsi="Georgia" w:cs="Arial"/>
                <w:color w:val="000000"/>
                <w:sz w:val="22"/>
                <w:szCs w:val="22"/>
              </w:rPr>
            </w:pPr>
            <w:r w:rsidRPr="004802E3">
              <w:rPr>
                <w:rFonts w:ascii="Georgia" w:hAnsi="Georgia" w:cs="Arial"/>
                <w:color w:val="000000"/>
                <w:sz w:val="22"/>
                <w:szCs w:val="22"/>
              </w:rPr>
              <w:t>Enter Medicare B.</w:t>
            </w:r>
          </w:p>
        </w:tc>
      </w:tr>
      <w:tr w:rsidR="004D05A8" w:rsidRPr="004802E3" w14:paraId="4CFCB2DB" w14:textId="77777777" w:rsidTr="00654B0C">
        <w:trPr>
          <w:cantSplit/>
        </w:trPr>
        <w:tc>
          <w:tcPr>
            <w:tcW w:w="3713" w:type="dxa"/>
            <w:tcBorders>
              <w:top w:val="single" w:sz="4" w:space="0" w:color="auto"/>
              <w:left w:val="single" w:sz="4" w:space="0" w:color="auto"/>
              <w:bottom w:val="single" w:sz="4" w:space="0" w:color="auto"/>
              <w:right w:val="single" w:sz="4" w:space="0" w:color="auto"/>
            </w:tcBorders>
          </w:tcPr>
          <w:p w14:paraId="62FA23B0"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Remittance Date</w:t>
            </w:r>
          </w:p>
        </w:tc>
        <w:tc>
          <w:tcPr>
            <w:tcW w:w="5640" w:type="dxa"/>
            <w:tcBorders>
              <w:top w:val="single" w:sz="4" w:space="0" w:color="auto"/>
              <w:left w:val="single" w:sz="4" w:space="0" w:color="auto"/>
              <w:bottom w:val="single" w:sz="4" w:space="0" w:color="auto"/>
              <w:right w:val="single" w:sz="4" w:space="0" w:color="auto"/>
            </w:tcBorders>
          </w:tcPr>
          <w:p w14:paraId="313803F6" w14:textId="77777777" w:rsidR="004D05A8" w:rsidRPr="004802E3" w:rsidRDefault="004D05A8" w:rsidP="00311C46">
            <w:pPr>
              <w:spacing w:before="120"/>
              <w:ind w:right="-108"/>
              <w:rPr>
                <w:rFonts w:ascii="Georgia" w:hAnsi="Georgia" w:cs="Arial"/>
                <w:color w:val="000000"/>
                <w:sz w:val="22"/>
                <w:szCs w:val="22"/>
              </w:rPr>
            </w:pPr>
            <w:r w:rsidRPr="004802E3">
              <w:rPr>
                <w:rFonts w:ascii="Georgia" w:hAnsi="Georgia" w:cs="Arial"/>
                <w:color w:val="000000"/>
                <w:sz w:val="22"/>
                <w:szCs w:val="22"/>
              </w:rPr>
              <w:t>Do not enter a remittance date.</w:t>
            </w:r>
          </w:p>
        </w:tc>
      </w:tr>
      <w:tr w:rsidR="004D05A8" w:rsidRPr="004802E3" w14:paraId="161750A1" w14:textId="77777777" w:rsidTr="00654B0C">
        <w:trPr>
          <w:cantSplit/>
        </w:trPr>
        <w:tc>
          <w:tcPr>
            <w:tcW w:w="3713" w:type="dxa"/>
          </w:tcPr>
          <w:p w14:paraId="15666822"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Payer Claim Number</w:t>
            </w:r>
          </w:p>
        </w:tc>
        <w:tc>
          <w:tcPr>
            <w:tcW w:w="5640" w:type="dxa"/>
          </w:tcPr>
          <w:p w14:paraId="14B59B66" w14:textId="77777777" w:rsidR="004D05A8" w:rsidRPr="004802E3" w:rsidRDefault="004D05A8" w:rsidP="00311C46">
            <w:pPr>
              <w:spacing w:before="120"/>
              <w:ind w:right="-108"/>
              <w:rPr>
                <w:rFonts w:ascii="Georgia" w:hAnsi="Georgia" w:cs="Arial"/>
                <w:color w:val="000000"/>
                <w:sz w:val="22"/>
                <w:szCs w:val="22"/>
              </w:rPr>
            </w:pPr>
            <w:r w:rsidRPr="004802E3">
              <w:rPr>
                <w:rFonts w:ascii="Georgia" w:hAnsi="Georgia" w:cs="Arial"/>
                <w:sz w:val="22"/>
                <w:szCs w:val="22"/>
              </w:rPr>
              <w:t>Enter 99.</w:t>
            </w:r>
          </w:p>
        </w:tc>
      </w:tr>
      <w:tr w:rsidR="004D05A8" w:rsidRPr="004802E3" w14:paraId="7901430B" w14:textId="77777777" w:rsidTr="00654B0C">
        <w:trPr>
          <w:cantSplit/>
        </w:trPr>
        <w:tc>
          <w:tcPr>
            <w:tcW w:w="3713" w:type="dxa"/>
          </w:tcPr>
          <w:p w14:paraId="177CE949"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Payer Responsibility</w:t>
            </w:r>
          </w:p>
        </w:tc>
        <w:tc>
          <w:tcPr>
            <w:tcW w:w="5640" w:type="dxa"/>
          </w:tcPr>
          <w:p w14:paraId="2E0E6339" w14:textId="77777777" w:rsidR="004D05A8" w:rsidRPr="004802E3" w:rsidRDefault="004D05A8" w:rsidP="00311C46">
            <w:pPr>
              <w:spacing w:before="120"/>
              <w:ind w:right="-108"/>
              <w:rPr>
                <w:rFonts w:ascii="Georgia" w:hAnsi="Georgia" w:cs="Arial"/>
                <w:color w:val="000000"/>
                <w:sz w:val="22"/>
                <w:szCs w:val="22"/>
              </w:rPr>
            </w:pPr>
            <w:r w:rsidRPr="004802E3">
              <w:rPr>
                <w:rFonts w:ascii="Georgia" w:hAnsi="Georgia" w:cs="Arial"/>
                <w:color w:val="000000"/>
                <w:sz w:val="22"/>
                <w:szCs w:val="22"/>
              </w:rPr>
              <w:t>Select the appropriate code from the drop-down list.</w:t>
            </w:r>
          </w:p>
        </w:tc>
      </w:tr>
      <w:tr w:rsidR="004D05A8" w:rsidRPr="004802E3" w14:paraId="10A5D2E7" w14:textId="77777777" w:rsidTr="00654B0C">
        <w:trPr>
          <w:cantSplit/>
        </w:trPr>
        <w:tc>
          <w:tcPr>
            <w:tcW w:w="3713" w:type="dxa"/>
            <w:tcBorders>
              <w:top w:val="single" w:sz="4" w:space="0" w:color="auto"/>
              <w:left w:val="single" w:sz="4" w:space="0" w:color="auto"/>
              <w:bottom w:val="single" w:sz="4" w:space="0" w:color="auto"/>
              <w:right w:val="single" w:sz="4" w:space="0" w:color="auto"/>
            </w:tcBorders>
          </w:tcPr>
          <w:p w14:paraId="4075E5D2"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COB Payer Paid Amount</w:t>
            </w:r>
          </w:p>
        </w:tc>
        <w:tc>
          <w:tcPr>
            <w:tcW w:w="5640" w:type="dxa"/>
            <w:tcBorders>
              <w:top w:val="single" w:sz="4" w:space="0" w:color="auto"/>
              <w:left w:val="single" w:sz="4" w:space="0" w:color="auto"/>
              <w:bottom w:val="single" w:sz="4" w:space="0" w:color="auto"/>
              <w:right w:val="single" w:sz="4" w:space="0" w:color="auto"/>
            </w:tcBorders>
          </w:tcPr>
          <w:p w14:paraId="05FE87A1" w14:textId="77777777" w:rsidR="004D05A8" w:rsidRPr="004802E3" w:rsidRDefault="004D05A8" w:rsidP="00311C46">
            <w:pPr>
              <w:spacing w:before="120"/>
              <w:ind w:right="-108"/>
              <w:rPr>
                <w:rFonts w:ascii="Georgia" w:hAnsi="Georgia" w:cs="Arial"/>
                <w:color w:val="000000"/>
                <w:sz w:val="22"/>
                <w:szCs w:val="22"/>
              </w:rPr>
            </w:pPr>
            <w:r w:rsidRPr="004802E3">
              <w:rPr>
                <w:rFonts w:ascii="Georgia" w:hAnsi="Georgia" w:cs="Arial"/>
                <w:color w:val="000000"/>
                <w:sz w:val="22"/>
                <w:szCs w:val="22"/>
              </w:rPr>
              <w:t>Do not enter a COB payer paid amount.</w:t>
            </w:r>
          </w:p>
        </w:tc>
      </w:tr>
      <w:tr w:rsidR="004D05A8" w:rsidRPr="004802E3" w14:paraId="06321DC8" w14:textId="77777777" w:rsidTr="00654B0C">
        <w:trPr>
          <w:cantSplit/>
        </w:trPr>
        <w:tc>
          <w:tcPr>
            <w:tcW w:w="3713" w:type="dxa"/>
          </w:tcPr>
          <w:p w14:paraId="4498B039"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Total Noncovered Amount</w:t>
            </w:r>
          </w:p>
        </w:tc>
        <w:tc>
          <w:tcPr>
            <w:tcW w:w="5640" w:type="dxa"/>
          </w:tcPr>
          <w:p w14:paraId="30AD5F69" w14:textId="77777777" w:rsidR="004D05A8" w:rsidRPr="004802E3" w:rsidRDefault="004D05A8" w:rsidP="00311C46">
            <w:pPr>
              <w:spacing w:before="120"/>
              <w:ind w:right="-108"/>
              <w:rPr>
                <w:rFonts w:ascii="Georgia" w:hAnsi="Georgia" w:cs="Arial"/>
                <w:sz w:val="22"/>
                <w:szCs w:val="22"/>
              </w:rPr>
            </w:pPr>
            <w:r w:rsidRPr="004802E3">
              <w:rPr>
                <w:rFonts w:ascii="Georgia" w:hAnsi="Georgia" w:cs="Arial"/>
                <w:sz w:val="22"/>
                <w:szCs w:val="22"/>
              </w:rPr>
              <w:t>Enter the total billed amount. The total noncovered amount must equal the total billed amount.</w:t>
            </w:r>
            <w:r w:rsidRPr="004802E3" w:rsidDel="004B7820">
              <w:rPr>
                <w:rFonts w:ascii="Georgia" w:hAnsi="Georgia" w:cs="Arial"/>
                <w:sz w:val="22"/>
                <w:szCs w:val="22"/>
              </w:rPr>
              <w:t xml:space="preserve"> </w:t>
            </w:r>
          </w:p>
        </w:tc>
      </w:tr>
      <w:tr w:rsidR="004D05A8" w:rsidRPr="004802E3" w14:paraId="5374A580" w14:textId="77777777" w:rsidTr="00654B0C">
        <w:trPr>
          <w:cantSplit/>
        </w:trPr>
        <w:tc>
          <w:tcPr>
            <w:tcW w:w="3713" w:type="dxa"/>
          </w:tcPr>
          <w:p w14:paraId="4BAD44F1"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Remaining Patient Liability</w:t>
            </w:r>
          </w:p>
        </w:tc>
        <w:tc>
          <w:tcPr>
            <w:tcW w:w="5640" w:type="dxa"/>
          </w:tcPr>
          <w:p w14:paraId="513AAFBC" w14:textId="77777777" w:rsidR="004D05A8" w:rsidRPr="004802E3" w:rsidRDefault="004D05A8" w:rsidP="00311C46">
            <w:pPr>
              <w:spacing w:before="120"/>
              <w:ind w:right="-108"/>
              <w:rPr>
                <w:rFonts w:ascii="Georgia" w:hAnsi="Georgia" w:cs="Arial"/>
                <w:color w:val="000000"/>
                <w:sz w:val="22"/>
                <w:szCs w:val="22"/>
              </w:rPr>
            </w:pPr>
            <w:r w:rsidRPr="004802E3">
              <w:rPr>
                <w:rFonts w:ascii="Georgia" w:hAnsi="Georgia" w:cs="Arial"/>
                <w:color w:val="000000"/>
                <w:sz w:val="22"/>
                <w:szCs w:val="22"/>
              </w:rPr>
              <w:t>Do not enter any values.</w:t>
            </w:r>
          </w:p>
        </w:tc>
      </w:tr>
      <w:tr w:rsidR="004D05A8" w:rsidRPr="004802E3" w14:paraId="0B2042BE" w14:textId="77777777" w:rsidTr="00654B0C">
        <w:trPr>
          <w:cantSplit/>
        </w:trPr>
        <w:tc>
          <w:tcPr>
            <w:tcW w:w="3713" w:type="dxa"/>
          </w:tcPr>
          <w:p w14:paraId="3CFDF00C" w14:textId="77777777" w:rsidR="004D05A8" w:rsidRPr="004802E3" w:rsidRDefault="004D05A8" w:rsidP="00311C46">
            <w:pPr>
              <w:spacing w:before="120"/>
              <w:rPr>
                <w:rFonts w:ascii="Georgia" w:hAnsi="Georgia" w:cs="Arial"/>
                <w:color w:val="000000"/>
                <w:sz w:val="22"/>
                <w:szCs w:val="22"/>
              </w:rPr>
            </w:pPr>
            <w:r w:rsidRPr="004802E3">
              <w:rPr>
                <w:rFonts w:ascii="Georgia" w:hAnsi="Georgia" w:cs="Arial"/>
                <w:color w:val="000000"/>
                <w:sz w:val="22"/>
                <w:szCs w:val="22"/>
              </w:rPr>
              <w:t>Claim Filing Indicator</w:t>
            </w:r>
          </w:p>
        </w:tc>
        <w:tc>
          <w:tcPr>
            <w:tcW w:w="5640" w:type="dxa"/>
          </w:tcPr>
          <w:p w14:paraId="74EEE050" w14:textId="77777777" w:rsidR="004D05A8" w:rsidRPr="004802E3" w:rsidRDefault="004D05A8" w:rsidP="00311C46">
            <w:pPr>
              <w:spacing w:before="120"/>
              <w:ind w:right="-108"/>
              <w:rPr>
                <w:rFonts w:ascii="Georgia" w:hAnsi="Georgia" w:cs="Arial"/>
                <w:color w:val="000000"/>
                <w:sz w:val="22"/>
                <w:szCs w:val="22"/>
              </w:rPr>
            </w:pPr>
            <w:r w:rsidRPr="004802E3">
              <w:rPr>
                <w:rFonts w:ascii="Georgia" w:hAnsi="Georgia" w:cs="Arial"/>
                <w:sz w:val="22"/>
                <w:szCs w:val="22"/>
              </w:rPr>
              <w:t>Enter MB.</w:t>
            </w:r>
          </w:p>
        </w:tc>
      </w:tr>
    </w:tbl>
    <w:p w14:paraId="6FAD393B" w14:textId="77777777" w:rsidR="004D05A8" w:rsidRPr="004802E3" w:rsidRDefault="004D05A8" w:rsidP="004D05A8">
      <w:pPr>
        <w:rPr>
          <w:rFonts w:ascii="Georgia" w:hAnsi="Georgia"/>
          <w:sz w:val="22"/>
          <w:szCs w:val="22"/>
        </w:rPr>
      </w:pPr>
    </w:p>
    <w:p w14:paraId="63796DD7" w14:textId="114FF137" w:rsidR="004D05A8" w:rsidRPr="004802E3" w:rsidRDefault="004D05A8" w:rsidP="005236C5">
      <w:pPr>
        <w:spacing w:before="120"/>
        <w:ind w:left="360"/>
        <w:rPr>
          <w:rFonts w:ascii="Georgia" w:hAnsi="Georgia"/>
          <w:sz w:val="22"/>
          <w:szCs w:val="22"/>
        </w:rPr>
      </w:pPr>
      <w:r w:rsidRPr="004802E3">
        <w:rPr>
          <w:rFonts w:ascii="Georgia" w:hAnsi="Georgia"/>
          <w:b/>
          <w:sz w:val="22"/>
          <w:szCs w:val="22"/>
        </w:rPr>
        <w:t>Please Note</w:t>
      </w:r>
      <w:r w:rsidR="00D4388C">
        <w:rPr>
          <w:rFonts w:ascii="Georgia" w:hAnsi="Georgia"/>
          <w:b/>
          <w:sz w:val="22"/>
          <w:szCs w:val="22"/>
        </w:rPr>
        <w:t>:</w:t>
      </w:r>
      <w:r w:rsidRPr="004802E3">
        <w:rPr>
          <w:rFonts w:ascii="Georgia" w:hAnsi="Georgia"/>
          <w:b/>
          <w:sz w:val="22"/>
          <w:szCs w:val="22"/>
        </w:rPr>
        <w:t xml:space="preserve"> </w:t>
      </w:r>
      <w:r w:rsidR="00D4388C">
        <w:rPr>
          <w:rFonts w:ascii="Georgia" w:hAnsi="Georgia"/>
          <w:sz w:val="22"/>
          <w:szCs w:val="22"/>
        </w:rPr>
        <w:t>P</w:t>
      </w:r>
      <w:r w:rsidRPr="004802E3">
        <w:rPr>
          <w:rFonts w:ascii="Georgia" w:hAnsi="Georgia"/>
          <w:sz w:val="22"/>
          <w:szCs w:val="22"/>
        </w:rPr>
        <w:t xml:space="preserve">roviders should not complete the fields in the List of COB Reasons panel or the List of COB line items panel when billing for these Medicare non-covered services. </w:t>
      </w:r>
    </w:p>
    <w:p w14:paraId="48F86D9D" w14:textId="55B978FE" w:rsidR="00557888" w:rsidRPr="004802E3" w:rsidRDefault="00557888" w:rsidP="00557888">
      <w:pPr>
        <w:pStyle w:val="Heading1"/>
        <w:rPr>
          <w:sz w:val="22"/>
          <w:szCs w:val="22"/>
        </w:rPr>
      </w:pPr>
      <w:r w:rsidRPr="004802E3">
        <w:rPr>
          <w:sz w:val="22"/>
          <w:szCs w:val="22"/>
        </w:rPr>
        <w:t>Payment for Specimen Collection</w:t>
      </w:r>
    </w:p>
    <w:p w14:paraId="7D91FE11" w14:textId="7E85753F" w:rsidR="00557888" w:rsidRPr="004802E3" w:rsidRDefault="00557888" w:rsidP="00563102">
      <w:pPr>
        <w:spacing w:before="120"/>
        <w:ind w:left="360"/>
        <w:rPr>
          <w:rFonts w:ascii="Georgia" w:hAnsi="Georgia" w:cs="Arial"/>
          <w:sz w:val="22"/>
          <w:szCs w:val="22"/>
        </w:rPr>
      </w:pPr>
      <w:r w:rsidRPr="004802E3">
        <w:rPr>
          <w:rFonts w:ascii="Georgia" w:hAnsi="Georgia" w:cs="Arial"/>
          <w:sz w:val="22"/>
          <w:szCs w:val="22"/>
        </w:rPr>
        <w:t xml:space="preserve">To facilitate the testing of MassHealth members suspected of having COVID-19, including at rapid-testing sites operating in accordance with MassHealth and Department of Public Health rules and regulations, and in recognition of the unique costs incurred by providers collecting specimens from those members, MassHealth is implementing additional flexibilities to allow providers </w:t>
      </w:r>
      <w:r w:rsidR="002A3B96">
        <w:rPr>
          <w:rFonts w:ascii="Georgia" w:hAnsi="Georgia" w:cs="Arial"/>
          <w:sz w:val="22"/>
          <w:szCs w:val="22"/>
        </w:rPr>
        <w:t xml:space="preserve">to separately bill and receive payment </w:t>
      </w:r>
      <w:r w:rsidRPr="004802E3">
        <w:rPr>
          <w:rFonts w:ascii="Georgia" w:hAnsi="Georgia" w:cs="Arial"/>
          <w:sz w:val="22"/>
          <w:szCs w:val="22"/>
        </w:rPr>
        <w:t>for COVID-19 specimen collection services</w:t>
      </w:r>
      <w:r w:rsidR="002A3B96">
        <w:rPr>
          <w:rFonts w:ascii="Georgia" w:hAnsi="Georgia" w:cs="Arial"/>
          <w:sz w:val="22"/>
          <w:szCs w:val="22"/>
        </w:rPr>
        <w:t>, in addition to the other billable services provided during the encounter.</w:t>
      </w:r>
    </w:p>
    <w:p w14:paraId="04381DA8" w14:textId="77777777" w:rsidR="007020B5" w:rsidRDefault="00557888" w:rsidP="00563102">
      <w:pPr>
        <w:spacing w:before="120"/>
        <w:ind w:left="360"/>
        <w:rPr>
          <w:rFonts w:ascii="Georgia" w:hAnsi="Georgia" w:cs="Arial"/>
          <w:sz w:val="22"/>
          <w:szCs w:val="22"/>
        </w:rPr>
      </w:pPr>
      <w:r w:rsidRPr="004802E3">
        <w:rPr>
          <w:rFonts w:ascii="Georgia" w:hAnsi="Georgia" w:cs="Arial"/>
          <w:sz w:val="22"/>
          <w:szCs w:val="22"/>
        </w:rPr>
        <w:t xml:space="preserve">More specifically, and notwithstanding any requirement to the contrary, including 130 CMR 401.411(A), 130 CMR 405.433(B), 130 CMR 410.455(A), 130 CMR 421.433(B), and 130 CMR 433.439(A), MassHealth will permit providers enrolled in the MassHealth physician, acute outpatient hospital, community health center, family planning agency, or clinical laboratory programs to bill MassHealth </w:t>
      </w:r>
      <w:r w:rsidR="002A3B96">
        <w:rPr>
          <w:rFonts w:ascii="Georgia" w:hAnsi="Georgia" w:cs="Arial"/>
          <w:sz w:val="22"/>
          <w:szCs w:val="22"/>
        </w:rPr>
        <w:t xml:space="preserve">separately </w:t>
      </w:r>
      <w:r w:rsidRPr="004802E3">
        <w:rPr>
          <w:rFonts w:ascii="Georgia" w:hAnsi="Georgia" w:cs="Arial"/>
          <w:sz w:val="22"/>
          <w:szCs w:val="22"/>
        </w:rPr>
        <w:t xml:space="preserve">for </w:t>
      </w:r>
      <w:r w:rsidR="005B269C">
        <w:rPr>
          <w:rFonts w:ascii="Georgia" w:hAnsi="Georgia" w:cs="Arial"/>
          <w:sz w:val="22"/>
          <w:szCs w:val="22"/>
        </w:rPr>
        <w:t xml:space="preserve">either or </w:t>
      </w:r>
      <w:r w:rsidR="002A3B96">
        <w:rPr>
          <w:rFonts w:ascii="Georgia" w:hAnsi="Georgia" w:cs="Arial"/>
          <w:sz w:val="22"/>
          <w:szCs w:val="22"/>
        </w:rPr>
        <w:t xml:space="preserve">both </w:t>
      </w:r>
      <w:r w:rsidR="005B269C">
        <w:rPr>
          <w:rFonts w:ascii="Georgia" w:hAnsi="Georgia" w:cs="Arial"/>
          <w:sz w:val="22"/>
          <w:szCs w:val="22"/>
        </w:rPr>
        <w:t xml:space="preserve">1) </w:t>
      </w:r>
      <w:r w:rsidRPr="004802E3">
        <w:rPr>
          <w:rFonts w:ascii="Georgia" w:hAnsi="Georgia" w:cs="Arial"/>
          <w:sz w:val="22"/>
          <w:szCs w:val="22"/>
        </w:rPr>
        <w:t>the collection of specimens for the purpose of clinical laboratory testing for COVID-19</w:t>
      </w:r>
      <w:r w:rsidR="002A3B96">
        <w:rPr>
          <w:rFonts w:ascii="Georgia" w:hAnsi="Georgia" w:cs="Arial"/>
          <w:sz w:val="22"/>
          <w:szCs w:val="22"/>
        </w:rPr>
        <w:t xml:space="preserve">, and </w:t>
      </w:r>
      <w:r w:rsidR="005B269C">
        <w:rPr>
          <w:rFonts w:ascii="Georgia" w:hAnsi="Georgia" w:cs="Arial"/>
          <w:sz w:val="22"/>
          <w:szCs w:val="22"/>
        </w:rPr>
        <w:t xml:space="preserve">2) </w:t>
      </w:r>
      <w:r w:rsidR="002A3B96">
        <w:rPr>
          <w:rFonts w:ascii="Georgia" w:hAnsi="Georgia" w:cs="Arial"/>
          <w:sz w:val="22"/>
          <w:szCs w:val="22"/>
        </w:rPr>
        <w:t xml:space="preserve">the laboratory analysis of such specimens. </w:t>
      </w:r>
    </w:p>
    <w:p w14:paraId="76255CDC" w14:textId="4A1E3731" w:rsidR="00E01F49" w:rsidRDefault="002A3B96" w:rsidP="00563102">
      <w:pPr>
        <w:spacing w:before="120"/>
        <w:ind w:left="360"/>
        <w:rPr>
          <w:rFonts w:ascii="Georgia" w:hAnsi="Georgia" w:cs="Arial"/>
          <w:sz w:val="22"/>
          <w:szCs w:val="22"/>
        </w:rPr>
      </w:pPr>
      <w:r>
        <w:rPr>
          <w:rFonts w:ascii="Georgia" w:hAnsi="Georgia" w:cs="Arial"/>
          <w:sz w:val="22"/>
          <w:szCs w:val="22"/>
        </w:rPr>
        <w:t xml:space="preserve">Additionally, </w:t>
      </w:r>
      <w:r w:rsidR="005B269C">
        <w:rPr>
          <w:rFonts w:ascii="Georgia" w:hAnsi="Georgia" w:cs="Arial"/>
          <w:sz w:val="22"/>
          <w:szCs w:val="22"/>
        </w:rPr>
        <w:t xml:space="preserve">notwithstanding any requirement to the contrary, providers rendering either or both of these COVID-19-related laboratory services during the course of </w:t>
      </w:r>
      <w:r w:rsidR="00B01143">
        <w:rPr>
          <w:rFonts w:ascii="Georgia" w:hAnsi="Georgia" w:cs="Arial"/>
          <w:sz w:val="22"/>
          <w:szCs w:val="22"/>
        </w:rPr>
        <w:t xml:space="preserve">or in connection with </w:t>
      </w:r>
      <w:r w:rsidR="005B269C">
        <w:rPr>
          <w:rFonts w:ascii="Georgia" w:hAnsi="Georgia" w:cs="Arial"/>
          <w:sz w:val="22"/>
          <w:szCs w:val="22"/>
        </w:rPr>
        <w:t xml:space="preserve">a payable medical visit, whether such visit occurs in person or via telehealth, may bill MassHealth for the provision of those services separately from the medical visit. For example, </w:t>
      </w:r>
      <w:r w:rsidR="00D979B4">
        <w:rPr>
          <w:rFonts w:ascii="Georgia" w:hAnsi="Georgia"/>
          <w:sz w:val="22"/>
          <w:szCs w:val="22"/>
        </w:rPr>
        <w:t xml:space="preserve">a provider rendering COVID-19-related specimen collection and laboratory analysis services during the course of a payable medical visit may bill </w:t>
      </w:r>
      <w:r w:rsidR="008B73A7">
        <w:rPr>
          <w:rFonts w:ascii="Georgia" w:hAnsi="Georgia" w:cs="Calibri"/>
          <w:color w:val="000000"/>
          <w:sz w:val="22"/>
          <w:szCs w:val="22"/>
          <w:shd w:val="clear" w:color="auto" w:fill="FFFFFF"/>
        </w:rPr>
        <w:t>MassHealth for (1) the COVID-19 specimen collection, (2) the laboratory analysis of that specimen, and (3) the medical visit.</w:t>
      </w:r>
    </w:p>
    <w:p w14:paraId="7A3DF381" w14:textId="0409E4D4" w:rsidR="007020B5" w:rsidRDefault="00557888" w:rsidP="00563102">
      <w:pPr>
        <w:spacing w:before="120"/>
        <w:ind w:left="360"/>
        <w:rPr>
          <w:rFonts w:ascii="Georgia" w:hAnsi="Georgia" w:cs="Arial"/>
          <w:sz w:val="22"/>
          <w:szCs w:val="22"/>
        </w:rPr>
      </w:pPr>
      <w:r w:rsidRPr="004802E3">
        <w:rPr>
          <w:rFonts w:ascii="Georgia" w:hAnsi="Georgia" w:cs="Arial"/>
          <w:sz w:val="22"/>
          <w:szCs w:val="22"/>
        </w:rPr>
        <w:t xml:space="preserve">These flexibilities apply to dates of service beginning March 12, 2020, for the duration of the state of emergency declared by Executive Order </w:t>
      </w:r>
      <w:r w:rsidR="00D15061">
        <w:rPr>
          <w:rFonts w:ascii="Georgia" w:hAnsi="Georgia" w:cs="Arial"/>
          <w:sz w:val="22"/>
          <w:szCs w:val="22"/>
        </w:rPr>
        <w:t>N</w:t>
      </w:r>
      <w:r w:rsidRPr="004802E3">
        <w:rPr>
          <w:rFonts w:ascii="Georgia" w:hAnsi="Georgia" w:cs="Arial"/>
          <w:sz w:val="22"/>
          <w:szCs w:val="22"/>
        </w:rPr>
        <w:t>o. 591.</w:t>
      </w:r>
      <w:r w:rsidR="00C261F0">
        <w:rPr>
          <w:rFonts w:ascii="Georgia" w:hAnsi="Georgia" w:cs="Arial"/>
          <w:sz w:val="22"/>
          <w:szCs w:val="22"/>
        </w:rPr>
        <w:t xml:space="preserve"> </w:t>
      </w:r>
      <w:r w:rsidRPr="004802E3">
        <w:rPr>
          <w:rFonts w:ascii="Georgia" w:hAnsi="Georgia" w:cs="Arial"/>
          <w:sz w:val="22"/>
          <w:szCs w:val="22"/>
        </w:rPr>
        <w:t xml:space="preserve">Providers billing MassHealth for </w:t>
      </w:r>
      <w:r w:rsidR="002A3B96">
        <w:rPr>
          <w:rFonts w:ascii="Georgia" w:hAnsi="Georgia" w:cs="Arial"/>
          <w:sz w:val="22"/>
          <w:szCs w:val="22"/>
        </w:rPr>
        <w:t xml:space="preserve">specimen </w:t>
      </w:r>
      <w:r w:rsidR="006D5FDE">
        <w:rPr>
          <w:rFonts w:ascii="Georgia" w:hAnsi="Georgia" w:cs="Arial"/>
          <w:sz w:val="22"/>
          <w:szCs w:val="22"/>
        </w:rPr>
        <w:t xml:space="preserve">collection </w:t>
      </w:r>
      <w:r w:rsidR="006D5FDE" w:rsidRPr="004802E3">
        <w:rPr>
          <w:rFonts w:ascii="Georgia" w:hAnsi="Georgia" w:cs="Arial"/>
          <w:sz w:val="22"/>
          <w:szCs w:val="22"/>
        </w:rPr>
        <w:t>services rendered pursuant to this policy must use HCPCS codes G2023 or G2024.</w:t>
      </w:r>
    </w:p>
    <w:p w14:paraId="45015ABC" w14:textId="77777777" w:rsidR="007020B5" w:rsidRDefault="007020B5">
      <w:pPr>
        <w:spacing w:after="200" w:line="276" w:lineRule="auto"/>
        <w:rPr>
          <w:rFonts w:ascii="Georgia" w:hAnsi="Georgia" w:cs="Arial"/>
          <w:sz w:val="22"/>
          <w:szCs w:val="22"/>
        </w:rPr>
      </w:pPr>
      <w:r>
        <w:rPr>
          <w:rFonts w:ascii="Georgia" w:hAnsi="Georgia" w:cs="Arial"/>
          <w:sz w:val="22"/>
          <w:szCs w:val="22"/>
        </w:rPr>
        <w:br w:type="page"/>
      </w:r>
    </w:p>
    <w:p w14:paraId="41DCC4BC" w14:textId="77777777" w:rsidR="007020B5" w:rsidRPr="00F664CC" w:rsidRDefault="007020B5" w:rsidP="007020B5">
      <w:pPr>
        <w:pStyle w:val="BullsHeading"/>
      </w:pPr>
      <w:r w:rsidRPr="00F664CC">
        <w:lastRenderedPageBreak/>
        <w:t>MassHealth</w:t>
      </w:r>
    </w:p>
    <w:p w14:paraId="4D7429F3" w14:textId="40BB52CF" w:rsidR="007020B5" w:rsidRPr="00F664CC" w:rsidRDefault="007020B5" w:rsidP="007020B5">
      <w:pPr>
        <w:pStyle w:val="BullsHeading"/>
      </w:pPr>
      <w:r>
        <w:t>All Provider</w:t>
      </w:r>
      <w:r w:rsidRPr="00F664CC">
        <w:t xml:space="preserve"> Bulletin </w:t>
      </w:r>
      <w:r w:rsidR="004907D3">
        <w:t>294</w:t>
      </w:r>
    </w:p>
    <w:p w14:paraId="7C7A3E51" w14:textId="77777777" w:rsidR="007020B5" w:rsidRDefault="007020B5" w:rsidP="007020B5">
      <w:pPr>
        <w:pStyle w:val="BullsHeading"/>
      </w:pPr>
      <w:r>
        <w:t>May 2020</w:t>
      </w:r>
    </w:p>
    <w:p w14:paraId="78B5B0F8" w14:textId="77777777" w:rsidR="007020B5" w:rsidRDefault="007020B5" w:rsidP="007020B5">
      <w:pPr>
        <w:pStyle w:val="BullsHeading"/>
      </w:pPr>
      <w:r>
        <w:t>Page 5 of 9</w:t>
      </w:r>
    </w:p>
    <w:p w14:paraId="5BC65F04" w14:textId="508B1DFA" w:rsidR="00557888" w:rsidRPr="004802E3" w:rsidRDefault="00557888" w:rsidP="00563102">
      <w:pPr>
        <w:spacing w:before="120"/>
        <w:ind w:left="360"/>
        <w:rPr>
          <w:rFonts w:ascii="Georgia" w:hAnsi="Georgia" w:cs="Arial"/>
          <w:sz w:val="22"/>
          <w:szCs w:val="22"/>
        </w:rPr>
      </w:pPr>
      <w:r w:rsidRPr="004802E3">
        <w:rPr>
          <w:rFonts w:ascii="Georgia" w:hAnsi="Georgia" w:cs="Arial"/>
          <w:sz w:val="22"/>
          <w:szCs w:val="22"/>
        </w:rPr>
        <w:t>MassHealth has issued, or will issue, transmittal letters that add these codes to the relevant provider manuals.</w:t>
      </w:r>
      <w:r w:rsidR="00C261F0">
        <w:rPr>
          <w:rFonts w:ascii="Georgia" w:hAnsi="Georgia" w:cs="Arial"/>
          <w:sz w:val="22"/>
          <w:szCs w:val="22"/>
        </w:rPr>
        <w:t xml:space="preserve"> </w:t>
      </w:r>
      <w:r w:rsidRPr="004802E3">
        <w:rPr>
          <w:rFonts w:ascii="Georgia" w:hAnsi="Georgia" w:cs="Arial"/>
          <w:sz w:val="22"/>
          <w:szCs w:val="22"/>
        </w:rPr>
        <w:t>Providers billing MassHealth for COVID-19 specimen collection pursuant to this flexibility must comply in all respects with all other applicable laws, regulations, subregulatory guidance, and contracts.</w:t>
      </w:r>
    </w:p>
    <w:p w14:paraId="431EF88F" w14:textId="6EE37563" w:rsidR="00557888" w:rsidRDefault="00E01F49" w:rsidP="00563102">
      <w:pPr>
        <w:spacing w:before="120"/>
        <w:ind w:left="360"/>
        <w:rPr>
          <w:rFonts w:ascii="Georgia" w:hAnsi="Georgia" w:cs="Arial"/>
          <w:sz w:val="22"/>
          <w:szCs w:val="22"/>
        </w:rPr>
      </w:pPr>
      <w:r>
        <w:rPr>
          <w:rFonts w:ascii="Georgia" w:hAnsi="Georgia" w:cs="Arial"/>
          <w:sz w:val="22"/>
          <w:szCs w:val="22"/>
        </w:rPr>
        <w:t>A c</w:t>
      </w:r>
      <w:r w:rsidR="00557888" w:rsidRPr="004802E3">
        <w:rPr>
          <w:rFonts w:ascii="Georgia" w:hAnsi="Georgia" w:cs="Arial"/>
          <w:sz w:val="22"/>
          <w:szCs w:val="22"/>
        </w:rPr>
        <w:t>ommunity health center provider that partner</w:t>
      </w:r>
      <w:r>
        <w:rPr>
          <w:rFonts w:ascii="Georgia" w:hAnsi="Georgia" w:cs="Arial"/>
          <w:sz w:val="22"/>
          <w:szCs w:val="22"/>
        </w:rPr>
        <w:t>s</w:t>
      </w:r>
      <w:r w:rsidR="00557888" w:rsidRPr="004802E3">
        <w:rPr>
          <w:rFonts w:ascii="Georgia" w:hAnsi="Georgia" w:cs="Arial"/>
          <w:sz w:val="22"/>
          <w:szCs w:val="22"/>
        </w:rPr>
        <w:t xml:space="preserve"> with an EOHHS-approved laboratory that is not a MassHealth provider</w:t>
      </w:r>
      <w:r>
        <w:rPr>
          <w:rFonts w:ascii="Georgia" w:hAnsi="Georgia" w:cs="Arial"/>
          <w:sz w:val="22"/>
          <w:szCs w:val="22"/>
        </w:rPr>
        <w:t xml:space="preserve"> to </w:t>
      </w:r>
      <w:r w:rsidR="004F649C">
        <w:rPr>
          <w:rFonts w:ascii="Georgia" w:hAnsi="Georgia" w:cs="Arial"/>
          <w:sz w:val="22"/>
          <w:szCs w:val="22"/>
        </w:rPr>
        <w:t>deliver</w:t>
      </w:r>
      <w:r>
        <w:rPr>
          <w:rFonts w:ascii="Georgia" w:hAnsi="Georgia" w:cs="Arial"/>
          <w:sz w:val="22"/>
          <w:szCs w:val="22"/>
        </w:rPr>
        <w:t xml:space="preserve"> COVID-19 related laboratory services</w:t>
      </w:r>
      <w:r w:rsidR="00557888" w:rsidRPr="004802E3">
        <w:rPr>
          <w:rFonts w:ascii="Georgia" w:hAnsi="Georgia" w:cs="Arial"/>
          <w:sz w:val="22"/>
          <w:szCs w:val="22"/>
        </w:rPr>
        <w:t xml:space="preserve">, in accordance with </w:t>
      </w:r>
      <w:r w:rsidR="00B57C7D">
        <w:rPr>
          <w:rFonts w:ascii="Georgia" w:hAnsi="Georgia" w:cs="Arial"/>
          <w:sz w:val="22"/>
          <w:szCs w:val="22"/>
        </w:rPr>
        <w:t xml:space="preserve">a forthcoming </w:t>
      </w:r>
      <w:r w:rsidR="00557888" w:rsidRPr="004802E3">
        <w:rPr>
          <w:rFonts w:ascii="Georgia" w:hAnsi="Georgia" w:cs="Arial"/>
          <w:sz w:val="22"/>
          <w:szCs w:val="22"/>
        </w:rPr>
        <w:t xml:space="preserve">MassHealth Community Health Center Provider Bulletin, may </w:t>
      </w:r>
      <w:r w:rsidR="002D3020">
        <w:rPr>
          <w:rFonts w:ascii="Georgia" w:hAnsi="Georgia" w:cs="Arial"/>
          <w:sz w:val="22"/>
          <w:szCs w:val="22"/>
        </w:rPr>
        <w:t>bill</w:t>
      </w:r>
      <w:r>
        <w:rPr>
          <w:rFonts w:ascii="Georgia" w:hAnsi="Georgia" w:cs="Arial"/>
          <w:sz w:val="22"/>
          <w:szCs w:val="22"/>
        </w:rPr>
        <w:t xml:space="preserve"> MassHealth</w:t>
      </w:r>
      <w:r w:rsidR="002D3020">
        <w:rPr>
          <w:rFonts w:ascii="Georgia" w:hAnsi="Georgia" w:cs="Arial"/>
          <w:sz w:val="22"/>
          <w:szCs w:val="22"/>
        </w:rPr>
        <w:t xml:space="preserve"> for</w:t>
      </w:r>
      <w:r>
        <w:rPr>
          <w:rFonts w:ascii="Georgia" w:hAnsi="Georgia" w:cs="Arial"/>
          <w:sz w:val="22"/>
          <w:szCs w:val="22"/>
        </w:rPr>
        <w:t xml:space="preserve"> the</w:t>
      </w:r>
      <w:r w:rsidR="002D3020">
        <w:rPr>
          <w:rFonts w:ascii="Georgia" w:hAnsi="Georgia" w:cs="Arial"/>
          <w:sz w:val="22"/>
          <w:szCs w:val="22"/>
        </w:rPr>
        <w:t xml:space="preserve"> COVID-19 specimen collection and the laboratory analysis, whether such services are conducted directly by the </w:t>
      </w:r>
      <w:r>
        <w:rPr>
          <w:rFonts w:ascii="Georgia" w:hAnsi="Georgia" w:cs="Arial"/>
          <w:sz w:val="22"/>
          <w:szCs w:val="22"/>
        </w:rPr>
        <w:t>community health center</w:t>
      </w:r>
      <w:r w:rsidR="002D3020">
        <w:rPr>
          <w:rFonts w:ascii="Georgia" w:hAnsi="Georgia" w:cs="Arial"/>
          <w:sz w:val="22"/>
          <w:szCs w:val="22"/>
        </w:rPr>
        <w:t xml:space="preserve"> or by </w:t>
      </w:r>
      <w:r>
        <w:rPr>
          <w:rFonts w:ascii="Georgia" w:hAnsi="Georgia" w:cs="Arial"/>
          <w:sz w:val="22"/>
          <w:szCs w:val="22"/>
        </w:rPr>
        <w:t>its</w:t>
      </w:r>
      <w:r w:rsidR="002D3020">
        <w:rPr>
          <w:rFonts w:ascii="Georgia" w:hAnsi="Georgia" w:cs="Arial"/>
          <w:sz w:val="22"/>
          <w:szCs w:val="22"/>
        </w:rPr>
        <w:t xml:space="preserve"> </w:t>
      </w:r>
      <w:r>
        <w:rPr>
          <w:rFonts w:ascii="Georgia" w:hAnsi="Georgia" w:cs="Arial"/>
          <w:sz w:val="22"/>
          <w:szCs w:val="22"/>
        </w:rPr>
        <w:t xml:space="preserve">EOHHS-approved </w:t>
      </w:r>
      <w:r w:rsidR="002D3020">
        <w:rPr>
          <w:rFonts w:ascii="Georgia" w:hAnsi="Georgia" w:cs="Arial"/>
          <w:sz w:val="22"/>
          <w:szCs w:val="22"/>
        </w:rPr>
        <w:t xml:space="preserve">laboratory partner. </w:t>
      </w:r>
      <w:r w:rsidR="00B57C7D">
        <w:rPr>
          <w:rFonts w:ascii="Georgia" w:hAnsi="Georgia" w:cs="Arial"/>
          <w:sz w:val="22"/>
          <w:szCs w:val="22"/>
        </w:rPr>
        <w:t xml:space="preserve">Community health centers may bill for a medical visit provided in addition to COVID-19 laboratory services they provide, but </w:t>
      </w:r>
      <w:r w:rsidR="00557888" w:rsidRPr="004802E3">
        <w:rPr>
          <w:rFonts w:ascii="Georgia" w:hAnsi="Georgia" w:cs="Arial"/>
          <w:sz w:val="22"/>
          <w:szCs w:val="22"/>
        </w:rPr>
        <w:t>COVID-19 specimen collection or laboratory testing services alone do not amount to a medical visit</w:t>
      </w:r>
      <w:r w:rsidR="00B57C7D">
        <w:rPr>
          <w:rFonts w:ascii="Georgia" w:hAnsi="Georgia" w:cs="Arial"/>
          <w:sz w:val="22"/>
          <w:szCs w:val="22"/>
        </w:rPr>
        <w:t>.</w:t>
      </w:r>
      <w:r w:rsidR="00557888" w:rsidRPr="004802E3">
        <w:rPr>
          <w:rFonts w:ascii="Georgia" w:hAnsi="Georgia" w:cs="Arial"/>
          <w:sz w:val="22"/>
          <w:szCs w:val="22"/>
        </w:rPr>
        <w:t xml:space="preserve"> </w:t>
      </w:r>
      <w:r w:rsidR="00B57C7D">
        <w:rPr>
          <w:rFonts w:ascii="Georgia" w:hAnsi="Georgia" w:cs="Arial"/>
          <w:sz w:val="22"/>
          <w:szCs w:val="22"/>
        </w:rPr>
        <w:t>T</w:t>
      </w:r>
      <w:r w:rsidR="00557888" w:rsidRPr="004802E3">
        <w:rPr>
          <w:rFonts w:ascii="Georgia" w:hAnsi="Georgia" w:cs="Arial"/>
          <w:sz w:val="22"/>
          <w:szCs w:val="22"/>
        </w:rPr>
        <w:t xml:space="preserve">he community health center may not bill for an individual medical visit or an </w:t>
      </w:r>
      <w:r w:rsidR="00565C54" w:rsidRPr="00565C54">
        <w:rPr>
          <w:rStyle w:val="Emphasis"/>
          <w:rFonts w:ascii="Georgia" w:eastAsiaTheme="majorEastAsia" w:hAnsi="Georgia" w:cs="Arial"/>
          <w:i w:val="0"/>
          <w:iCs w:val="0"/>
          <w:sz w:val="22"/>
          <w:szCs w:val="22"/>
          <w:shd w:val="clear" w:color="auto" w:fill="FFFFFF"/>
        </w:rPr>
        <w:t>Early and Periodic Screening, Diagnostic</w:t>
      </w:r>
      <w:r w:rsidR="004F649C">
        <w:rPr>
          <w:rStyle w:val="Emphasis"/>
          <w:rFonts w:ascii="Georgia" w:eastAsiaTheme="majorEastAsia" w:hAnsi="Georgia" w:cs="Arial"/>
          <w:i w:val="0"/>
          <w:iCs w:val="0"/>
          <w:sz w:val="22"/>
          <w:szCs w:val="22"/>
          <w:shd w:val="clear" w:color="auto" w:fill="FFFFFF"/>
        </w:rPr>
        <w:t>,</w:t>
      </w:r>
      <w:r w:rsidR="00565C54" w:rsidRPr="00565C54">
        <w:rPr>
          <w:rStyle w:val="Emphasis"/>
          <w:rFonts w:ascii="Georgia" w:eastAsiaTheme="majorEastAsia" w:hAnsi="Georgia" w:cs="Arial"/>
          <w:i w:val="0"/>
          <w:iCs w:val="0"/>
          <w:sz w:val="22"/>
          <w:szCs w:val="22"/>
          <w:shd w:val="clear" w:color="auto" w:fill="FFFFFF"/>
        </w:rPr>
        <w:t xml:space="preserve"> and Treatment</w:t>
      </w:r>
      <w:r w:rsidR="00565C54" w:rsidRPr="00565C54">
        <w:rPr>
          <w:rFonts w:ascii="Georgia" w:hAnsi="Georgia" w:cs="Arial"/>
          <w:sz w:val="22"/>
          <w:szCs w:val="22"/>
        </w:rPr>
        <w:t xml:space="preserve"> </w:t>
      </w:r>
      <w:r w:rsidR="00565C54">
        <w:rPr>
          <w:rFonts w:ascii="Georgia" w:hAnsi="Georgia" w:cs="Arial"/>
          <w:sz w:val="22"/>
          <w:szCs w:val="22"/>
        </w:rPr>
        <w:t>(</w:t>
      </w:r>
      <w:r w:rsidR="00557888" w:rsidRPr="004802E3">
        <w:rPr>
          <w:rFonts w:ascii="Georgia" w:hAnsi="Georgia" w:cs="Arial"/>
          <w:sz w:val="22"/>
          <w:szCs w:val="22"/>
        </w:rPr>
        <w:t>EPSDT</w:t>
      </w:r>
      <w:r w:rsidR="00565C54">
        <w:rPr>
          <w:rFonts w:ascii="Georgia" w:hAnsi="Georgia" w:cs="Arial"/>
          <w:sz w:val="22"/>
          <w:szCs w:val="22"/>
        </w:rPr>
        <w:t>)</w:t>
      </w:r>
      <w:r w:rsidR="00557888" w:rsidRPr="004802E3">
        <w:rPr>
          <w:rFonts w:ascii="Georgia" w:hAnsi="Georgia" w:cs="Arial"/>
          <w:sz w:val="22"/>
          <w:szCs w:val="22"/>
        </w:rPr>
        <w:t xml:space="preserve"> visit when a member is being seen only for laboratory services.</w:t>
      </w:r>
    </w:p>
    <w:p w14:paraId="27ED4C23" w14:textId="36F60801" w:rsidR="00236F2F" w:rsidRPr="004802E3" w:rsidRDefault="00236F2F" w:rsidP="00236F2F">
      <w:pPr>
        <w:pStyle w:val="Heading1"/>
        <w:rPr>
          <w:b w:val="0"/>
          <w:bCs/>
          <w:sz w:val="22"/>
          <w:szCs w:val="22"/>
        </w:rPr>
      </w:pPr>
      <w:r w:rsidRPr="004802E3">
        <w:rPr>
          <w:rStyle w:val="Heading1Char"/>
          <w:b/>
          <w:bCs/>
          <w:sz w:val="22"/>
          <w:szCs w:val="22"/>
        </w:rPr>
        <w:t>COVID-19 Remote Patient Monitoring</w:t>
      </w:r>
      <w:r w:rsidRPr="004802E3">
        <w:rPr>
          <w:b w:val="0"/>
          <w:bCs/>
          <w:sz w:val="22"/>
          <w:szCs w:val="22"/>
        </w:rPr>
        <w:t xml:space="preserve"> </w:t>
      </w:r>
    </w:p>
    <w:p w14:paraId="5BAB9E43" w14:textId="77777777" w:rsidR="007020B5" w:rsidRDefault="00236F2F" w:rsidP="007020B5">
      <w:pPr>
        <w:spacing w:before="120"/>
        <w:ind w:left="360"/>
        <w:rPr>
          <w:rFonts w:ascii="Georgia" w:hAnsi="Georgia"/>
          <w:sz w:val="22"/>
          <w:szCs w:val="22"/>
        </w:rPr>
      </w:pPr>
      <w:r w:rsidRPr="004802E3">
        <w:rPr>
          <w:rFonts w:ascii="Georgia" w:hAnsi="Georgia"/>
          <w:sz w:val="22"/>
          <w:szCs w:val="22"/>
        </w:rPr>
        <w:t>In order to divert unnecessary emergency and hospital utilization during the COVID-19 emergency, MassHealth is adding</w:t>
      </w:r>
      <w:r w:rsidR="00B8072D">
        <w:rPr>
          <w:rFonts w:ascii="Georgia" w:hAnsi="Georgia"/>
          <w:sz w:val="22"/>
          <w:szCs w:val="22"/>
        </w:rPr>
        <w:t xml:space="preserve"> to the MassHealth Physician, Community Health Center, and Acute Outpatient Hospital program manuals</w:t>
      </w:r>
      <w:r w:rsidR="00CF554A">
        <w:rPr>
          <w:rFonts w:ascii="Georgia" w:hAnsi="Georgia"/>
          <w:sz w:val="22"/>
          <w:szCs w:val="22"/>
        </w:rPr>
        <w:t xml:space="preserve"> coverage of</w:t>
      </w:r>
      <w:r w:rsidRPr="004802E3">
        <w:rPr>
          <w:rFonts w:ascii="Georgia" w:hAnsi="Georgia"/>
          <w:sz w:val="22"/>
          <w:szCs w:val="22"/>
        </w:rPr>
        <w:t xml:space="preserve"> a code for COVID-19 remote patient monitoring (COVID-19 RPM) bundled </w:t>
      </w:r>
      <w:r w:rsidR="004F649C" w:rsidRPr="004802E3">
        <w:rPr>
          <w:rFonts w:ascii="Georgia" w:hAnsi="Georgia"/>
          <w:sz w:val="22"/>
          <w:szCs w:val="22"/>
        </w:rPr>
        <w:t>services to facilitate home</w:t>
      </w:r>
      <w:r w:rsidR="004F649C">
        <w:rPr>
          <w:rFonts w:ascii="Georgia" w:hAnsi="Georgia"/>
          <w:sz w:val="22"/>
          <w:szCs w:val="22"/>
        </w:rPr>
        <w:t>- or residence-based</w:t>
      </w:r>
      <w:r w:rsidR="004F649C" w:rsidRPr="004802E3">
        <w:rPr>
          <w:rFonts w:ascii="Georgia" w:hAnsi="Georgia"/>
          <w:sz w:val="22"/>
          <w:szCs w:val="22"/>
        </w:rPr>
        <w:t xml:space="preserve"> monitoring of members with confirmed or suspected COVID-19 who do</w:t>
      </w:r>
      <w:r w:rsidR="004F649C">
        <w:rPr>
          <w:rFonts w:ascii="Georgia" w:hAnsi="Georgia"/>
          <w:sz w:val="22"/>
          <w:szCs w:val="22"/>
        </w:rPr>
        <w:t xml:space="preserve"> </w:t>
      </w:r>
      <w:r w:rsidR="004F649C" w:rsidRPr="004802E3">
        <w:rPr>
          <w:rFonts w:ascii="Georgia" w:hAnsi="Georgia"/>
          <w:sz w:val="22"/>
          <w:szCs w:val="22"/>
        </w:rPr>
        <w:t>not require emergency department or hospital level of care but require continued</w:t>
      </w:r>
      <w:r w:rsidR="007020B5">
        <w:rPr>
          <w:rFonts w:ascii="Georgia" w:hAnsi="Georgia" w:cs="Arial"/>
          <w:sz w:val="22"/>
          <w:szCs w:val="22"/>
        </w:rPr>
        <w:t xml:space="preserve"> </w:t>
      </w:r>
      <w:r w:rsidR="00F544C9" w:rsidRPr="004802E3">
        <w:rPr>
          <w:rFonts w:ascii="Georgia" w:hAnsi="Georgia"/>
          <w:sz w:val="22"/>
          <w:szCs w:val="22"/>
        </w:rPr>
        <w:t xml:space="preserve">close monitoring. </w:t>
      </w:r>
    </w:p>
    <w:p w14:paraId="0B415CCA" w14:textId="2B725174" w:rsidR="00F544C9" w:rsidRPr="007020B5" w:rsidRDefault="00F544C9" w:rsidP="007020B5">
      <w:pPr>
        <w:spacing w:before="120"/>
        <w:ind w:left="360"/>
        <w:rPr>
          <w:rFonts w:ascii="Georgia" w:hAnsi="Georgia" w:cs="Arial"/>
          <w:sz w:val="22"/>
          <w:szCs w:val="22"/>
        </w:rPr>
      </w:pPr>
      <w:r w:rsidRPr="004802E3">
        <w:rPr>
          <w:rFonts w:ascii="Georgia" w:hAnsi="Georgia"/>
          <w:sz w:val="22"/>
          <w:szCs w:val="22"/>
        </w:rPr>
        <w:t xml:space="preserve">The COVID-19 RPM bundle includes all medically necessary </w:t>
      </w:r>
      <w:r w:rsidR="0028530E">
        <w:rPr>
          <w:rFonts w:ascii="Georgia" w:hAnsi="Georgia"/>
          <w:sz w:val="22"/>
          <w:szCs w:val="22"/>
        </w:rPr>
        <w:t>evaluation and management</w:t>
      </w:r>
      <w:r w:rsidR="0028530E" w:rsidRPr="004802E3">
        <w:rPr>
          <w:rFonts w:ascii="Georgia" w:hAnsi="Georgia"/>
          <w:sz w:val="22"/>
          <w:szCs w:val="22"/>
        </w:rPr>
        <w:t xml:space="preserve"> </w:t>
      </w:r>
      <w:r w:rsidR="0028530E">
        <w:rPr>
          <w:rFonts w:ascii="Georgia" w:hAnsi="Georgia"/>
          <w:sz w:val="22"/>
          <w:szCs w:val="22"/>
        </w:rPr>
        <w:t xml:space="preserve">(E&amp;M) </w:t>
      </w:r>
      <w:r w:rsidRPr="004802E3">
        <w:rPr>
          <w:rFonts w:ascii="Georgia" w:hAnsi="Georgia"/>
          <w:sz w:val="22"/>
          <w:szCs w:val="22"/>
        </w:rPr>
        <w:t>services required to facilitate seven days of close, in-home, monitoring of members with confirmed or suspected COVID-19, as further described below.</w:t>
      </w:r>
      <w:r w:rsidR="00C261F0">
        <w:rPr>
          <w:rFonts w:ascii="Georgia" w:hAnsi="Georgia"/>
          <w:sz w:val="22"/>
          <w:szCs w:val="22"/>
        </w:rPr>
        <w:t xml:space="preserve"> </w:t>
      </w:r>
      <w:r w:rsidRPr="004802E3">
        <w:rPr>
          <w:rFonts w:ascii="Georgia" w:hAnsi="Georgia"/>
          <w:sz w:val="22"/>
          <w:szCs w:val="22"/>
        </w:rPr>
        <w:t>Providers rendering COVID-19 RPM bundled services must comply in all respects with this bulletin and other applicable laws, regulations</w:t>
      </w:r>
      <w:r w:rsidR="0028530E">
        <w:rPr>
          <w:rFonts w:ascii="Georgia" w:hAnsi="Georgia"/>
          <w:sz w:val="22"/>
          <w:szCs w:val="22"/>
        </w:rPr>
        <w:t>,</w:t>
      </w:r>
      <w:r w:rsidRPr="004802E3">
        <w:rPr>
          <w:rFonts w:ascii="Georgia" w:hAnsi="Georgia"/>
          <w:sz w:val="22"/>
          <w:szCs w:val="22"/>
        </w:rPr>
        <w:t xml:space="preserve"> subregulatory guidance, and contracts.</w:t>
      </w:r>
    </w:p>
    <w:p w14:paraId="66CF08A7" w14:textId="12C07010" w:rsidR="00F544C9" w:rsidRDefault="00F544C9" w:rsidP="005236C5">
      <w:pPr>
        <w:pStyle w:val="Heading2"/>
        <w:spacing w:before="120" w:after="0"/>
        <w:rPr>
          <w:b w:val="0"/>
        </w:rPr>
      </w:pPr>
      <w:r w:rsidRPr="004802E3">
        <w:rPr>
          <w:b w:val="0"/>
        </w:rPr>
        <w:t xml:space="preserve">The following provider types may render COVID-19 RPM </w:t>
      </w:r>
      <w:r w:rsidR="00565C54">
        <w:rPr>
          <w:b w:val="0"/>
        </w:rPr>
        <w:t>b</w:t>
      </w:r>
      <w:r w:rsidRPr="004802E3">
        <w:rPr>
          <w:b w:val="0"/>
        </w:rPr>
        <w:t>undle</w:t>
      </w:r>
      <w:r w:rsidR="00565C54">
        <w:rPr>
          <w:b w:val="0"/>
        </w:rPr>
        <w:t>d</w:t>
      </w:r>
      <w:r w:rsidRPr="004802E3">
        <w:rPr>
          <w:b w:val="0"/>
        </w:rPr>
        <w:t xml:space="preserve"> services:</w:t>
      </w:r>
    </w:p>
    <w:p w14:paraId="2166EB97" w14:textId="162BDA63" w:rsidR="00F544C9" w:rsidRPr="004802E3" w:rsidRDefault="00F544C9" w:rsidP="00F544C9">
      <w:pPr>
        <w:pStyle w:val="ListParagraph"/>
        <w:numPr>
          <w:ilvl w:val="0"/>
          <w:numId w:val="16"/>
        </w:numPr>
        <w:rPr>
          <w:rFonts w:ascii="Georgia" w:hAnsi="Georgia"/>
          <w:sz w:val="22"/>
          <w:szCs w:val="22"/>
        </w:rPr>
      </w:pPr>
      <w:r w:rsidRPr="004802E3">
        <w:rPr>
          <w:rFonts w:ascii="Georgia" w:hAnsi="Georgia"/>
          <w:sz w:val="22"/>
          <w:szCs w:val="22"/>
        </w:rPr>
        <w:t>Physician (provider type (PT 01);</w:t>
      </w:r>
    </w:p>
    <w:p w14:paraId="0468BD13" w14:textId="77777777" w:rsidR="00F544C9" w:rsidRPr="004802E3" w:rsidRDefault="00F544C9" w:rsidP="00F544C9">
      <w:pPr>
        <w:pStyle w:val="ListParagraph"/>
        <w:numPr>
          <w:ilvl w:val="0"/>
          <w:numId w:val="16"/>
        </w:numPr>
        <w:rPr>
          <w:rFonts w:ascii="Georgia" w:hAnsi="Georgia"/>
          <w:sz w:val="22"/>
          <w:szCs w:val="22"/>
        </w:rPr>
      </w:pPr>
      <w:r w:rsidRPr="004802E3">
        <w:rPr>
          <w:rFonts w:ascii="Georgia" w:hAnsi="Georgia"/>
          <w:sz w:val="22"/>
          <w:szCs w:val="22"/>
        </w:rPr>
        <w:t>Community Health Centers (PT 20);</w:t>
      </w:r>
    </w:p>
    <w:p w14:paraId="412A44BD" w14:textId="77777777" w:rsidR="00F544C9" w:rsidRPr="004802E3" w:rsidRDefault="00F544C9" w:rsidP="00F544C9">
      <w:pPr>
        <w:pStyle w:val="ListParagraph"/>
        <w:numPr>
          <w:ilvl w:val="0"/>
          <w:numId w:val="16"/>
        </w:numPr>
        <w:rPr>
          <w:rFonts w:ascii="Georgia" w:hAnsi="Georgia"/>
          <w:sz w:val="22"/>
          <w:szCs w:val="22"/>
        </w:rPr>
      </w:pPr>
      <w:r w:rsidRPr="004802E3">
        <w:rPr>
          <w:rFonts w:ascii="Georgia" w:hAnsi="Georgia"/>
          <w:sz w:val="22"/>
          <w:szCs w:val="22"/>
        </w:rPr>
        <w:t>Acute Outpatient Hospitals (PT 80);</w:t>
      </w:r>
    </w:p>
    <w:p w14:paraId="0D9BE167" w14:textId="77777777" w:rsidR="00F544C9" w:rsidRPr="004802E3" w:rsidRDefault="00F544C9" w:rsidP="00F544C9">
      <w:pPr>
        <w:pStyle w:val="ListParagraph"/>
        <w:numPr>
          <w:ilvl w:val="0"/>
          <w:numId w:val="16"/>
        </w:numPr>
        <w:rPr>
          <w:rFonts w:ascii="Georgia" w:hAnsi="Georgia"/>
          <w:sz w:val="22"/>
          <w:szCs w:val="22"/>
        </w:rPr>
      </w:pPr>
      <w:r w:rsidRPr="004802E3">
        <w:rPr>
          <w:rFonts w:ascii="Georgia" w:hAnsi="Georgia"/>
          <w:sz w:val="22"/>
          <w:szCs w:val="22"/>
        </w:rPr>
        <w:t>Hospital Licensed Health Centers (PT 81); and</w:t>
      </w:r>
    </w:p>
    <w:p w14:paraId="3022DE9F" w14:textId="77777777" w:rsidR="00F544C9" w:rsidRPr="004802E3" w:rsidRDefault="00F544C9" w:rsidP="00F544C9">
      <w:pPr>
        <w:pStyle w:val="ListParagraph"/>
        <w:numPr>
          <w:ilvl w:val="0"/>
          <w:numId w:val="16"/>
        </w:numPr>
        <w:rPr>
          <w:rFonts w:ascii="Georgia" w:hAnsi="Georgia"/>
          <w:sz w:val="22"/>
          <w:szCs w:val="22"/>
        </w:rPr>
      </w:pPr>
      <w:r w:rsidRPr="004802E3">
        <w:rPr>
          <w:rFonts w:ascii="Georgia" w:hAnsi="Georgia"/>
          <w:sz w:val="22"/>
          <w:szCs w:val="22"/>
        </w:rPr>
        <w:t>Group Practices (PT 97).</w:t>
      </w:r>
    </w:p>
    <w:p w14:paraId="44C34810" w14:textId="77777777" w:rsidR="00F544C9" w:rsidRPr="004802E3" w:rsidRDefault="00F544C9" w:rsidP="00F544C9">
      <w:pPr>
        <w:rPr>
          <w:rFonts w:ascii="Georgia" w:hAnsi="Georgia"/>
          <w:b/>
          <w:sz w:val="22"/>
          <w:szCs w:val="22"/>
        </w:rPr>
      </w:pPr>
    </w:p>
    <w:p w14:paraId="12B06089" w14:textId="7D01FF9C" w:rsidR="00F544C9" w:rsidRDefault="00F544C9" w:rsidP="005236C5">
      <w:pPr>
        <w:pStyle w:val="Heading2"/>
        <w:spacing w:before="120" w:after="0"/>
        <w:rPr>
          <w:b w:val="0"/>
        </w:rPr>
      </w:pPr>
      <w:r w:rsidRPr="004802E3">
        <w:rPr>
          <w:b w:val="0"/>
        </w:rPr>
        <w:t xml:space="preserve">Eligible </w:t>
      </w:r>
      <w:r w:rsidR="004F649C">
        <w:rPr>
          <w:b w:val="0"/>
        </w:rPr>
        <w:t>p</w:t>
      </w:r>
      <w:r w:rsidRPr="004802E3">
        <w:rPr>
          <w:b w:val="0"/>
        </w:rPr>
        <w:t xml:space="preserve">roviders may render COVID-19 RPM </w:t>
      </w:r>
      <w:r w:rsidR="00565C54">
        <w:rPr>
          <w:b w:val="0"/>
        </w:rPr>
        <w:t>b</w:t>
      </w:r>
      <w:r w:rsidRPr="004802E3">
        <w:rPr>
          <w:b w:val="0"/>
        </w:rPr>
        <w:t>undle</w:t>
      </w:r>
      <w:r w:rsidR="00565C54">
        <w:rPr>
          <w:b w:val="0"/>
        </w:rPr>
        <w:t>d</w:t>
      </w:r>
      <w:r w:rsidRPr="004802E3">
        <w:rPr>
          <w:b w:val="0"/>
        </w:rPr>
        <w:t xml:space="preserve"> services to MassHealth members meeting either of the following clinical eligibility criteria:</w:t>
      </w:r>
      <w:r w:rsidR="00C261F0">
        <w:rPr>
          <w:b w:val="0"/>
        </w:rPr>
        <w:t xml:space="preserve"> </w:t>
      </w:r>
    </w:p>
    <w:p w14:paraId="2AF02773" w14:textId="77777777" w:rsidR="00565C54" w:rsidRPr="00565C54" w:rsidRDefault="00565C54" w:rsidP="00565C54"/>
    <w:p w14:paraId="13742FA1" w14:textId="2A438153" w:rsidR="00F544C9" w:rsidRPr="004802E3" w:rsidRDefault="00F544C9" w:rsidP="00F544C9">
      <w:pPr>
        <w:pStyle w:val="ListParagraph"/>
        <w:numPr>
          <w:ilvl w:val="0"/>
          <w:numId w:val="12"/>
        </w:numPr>
        <w:rPr>
          <w:rFonts w:ascii="Georgia" w:hAnsi="Georgia"/>
          <w:sz w:val="22"/>
          <w:szCs w:val="22"/>
        </w:rPr>
      </w:pPr>
      <w:r w:rsidRPr="004802E3">
        <w:rPr>
          <w:rFonts w:ascii="Georgia" w:hAnsi="Georgia"/>
          <w:sz w:val="22"/>
          <w:szCs w:val="22"/>
        </w:rPr>
        <w:t xml:space="preserve">Members with </w:t>
      </w:r>
      <w:r w:rsidRPr="004802E3">
        <w:rPr>
          <w:rFonts w:ascii="Georgia" w:hAnsi="Georgia"/>
          <w:b/>
          <w:sz w:val="22"/>
          <w:szCs w:val="22"/>
        </w:rPr>
        <w:t>confirmed or suspected COVID-19</w:t>
      </w:r>
      <w:r w:rsidRPr="004802E3">
        <w:rPr>
          <w:rFonts w:ascii="Georgia" w:hAnsi="Georgia"/>
          <w:sz w:val="22"/>
          <w:szCs w:val="22"/>
        </w:rPr>
        <w:t xml:space="preserve"> who present to an appropriate clinical professional (either in-person or by telehealth), and in that clinical professional’s judgment, the person is stable </w:t>
      </w:r>
      <w:r w:rsidR="00565C54">
        <w:rPr>
          <w:rFonts w:ascii="Georgia" w:hAnsi="Georgia"/>
          <w:sz w:val="22"/>
          <w:szCs w:val="22"/>
        </w:rPr>
        <w:t xml:space="preserve">enough </w:t>
      </w:r>
      <w:r w:rsidRPr="004802E3">
        <w:rPr>
          <w:rFonts w:ascii="Georgia" w:hAnsi="Georgia"/>
          <w:sz w:val="22"/>
          <w:szCs w:val="22"/>
        </w:rPr>
        <w:t>to isolate at home, but requires close monitoring for deterioration and need for a higher level of care; or</w:t>
      </w:r>
      <w:r w:rsidR="00C261F0">
        <w:rPr>
          <w:rFonts w:ascii="Georgia" w:hAnsi="Georgia"/>
          <w:sz w:val="22"/>
          <w:szCs w:val="22"/>
        </w:rPr>
        <w:t xml:space="preserve"> </w:t>
      </w:r>
    </w:p>
    <w:p w14:paraId="6B53EE61" w14:textId="356D0ED2" w:rsidR="00F544C9" w:rsidRPr="004802E3" w:rsidRDefault="00F544C9" w:rsidP="00F544C9">
      <w:pPr>
        <w:pStyle w:val="ListParagraph"/>
        <w:numPr>
          <w:ilvl w:val="0"/>
          <w:numId w:val="12"/>
        </w:numPr>
        <w:rPr>
          <w:rFonts w:ascii="Georgia" w:hAnsi="Georgia"/>
          <w:sz w:val="22"/>
          <w:szCs w:val="22"/>
        </w:rPr>
      </w:pPr>
      <w:r w:rsidRPr="004802E3">
        <w:rPr>
          <w:rFonts w:ascii="Georgia" w:hAnsi="Georgia"/>
          <w:sz w:val="22"/>
          <w:szCs w:val="22"/>
        </w:rPr>
        <w:t xml:space="preserve">Members who have been hospitalized due to </w:t>
      </w:r>
      <w:r w:rsidRPr="004802E3">
        <w:rPr>
          <w:rFonts w:ascii="Georgia" w:hAnsi="Georgia"/>
          <w:b/>
          <w:sz w:val="22"/>
          <w:szCs w:val="22"/>
        </w:rPr>
        <w:t>confirmed or suspected COVID-19,</w:t>
      </w:r>
      <w:r w:rsidRPr="004802E3">
        <w:rPr>
          <w:rFonts w:ascii="Georgia" w:hAnsi="Georgia"/>
          <w:sz w:val="22"/>
          <w:szCs w:val="22"/>
        </w:rPr>
        <w:t xml:space="preserve"> who in the judgment of an appropriate clinical professional, are stable </w:t>
      </w:r>
      <w:r w:rsidR="00537C56">
        <w:rPr>
          <w:rFonts w:ascii="Georgia" w:hAnsi="Georgia"/>
          <w:sz w:val="22"/>
          <w:szCs w:val="22"/>
        </w:rPr>
        <w:t xml:space="preserve">enough </w:t>
      </w:r>
      <w:r w:rsidRPr="004802E3">
        <w:rPr>
          <w:rFonts w:ascii="Georgia" w:hAnsi="Georgia"/>
          <w:sz w:val="22"/>
          <w:szCs w:val="22"/>
        </w:rPr>
        <w:t>to be discharged to home or another community-based setting, but require continued close monitoring for deterioration and need for a higher level of care</w:t>
      </w:r>
    </w:p>
    <w:p w14:paraId="0DECF69A" w14:textId="77777777" w:rsidR="00F544C9" w:rsidRPr="004802E3" w:rsidRDefault="00F544C9" w:rsidP="00F544C9">
      <w:pPr>
        <w:pStyle w:val="Heading2"/>
        <w:spacing w:before="0"/>
      </w:pPr>
    </w:p>
    <w:p w14:paraId="5D8BC855" w14:textId="77777777" w:rsidR="006D5FDE" w:rsidRPr="00F664CC" w:rsidRDefault="006D5FDE" w:rsidP="006D5FDE">
      <w:pPr>
        <w:pStyle w:val="BullsHeading"/>
      </w:pPr>
      <w:r w:rsidRPr="00F664CC">
        <w:lastRenderedPageBreak/>
        <w:t>MassHealth</w:t>
      </w:r>
    </w:p>
    <w:p w14:paraId="56914D8D" w14:textId="66DFB129" w:rsidR="006D5FDE" w:rsidRPr="00F664CC" w:rsidRDefault="006D5FDE" w:rsidP="006D5FDE">
      <w:pPr>
        <w:pStyle w:val="BullsHeading"/>
      </w:pPr>
      <w:r>
        <w:t>All Provider</w:t>
      </w:r>
      <w:r w:rsidRPr="00F664CC">
        <w:t xml:space="preserve"> Bulletin </w:t>
      </w:r>
      <w:r w:rsidR="004907D3">
        <w:t>294</w:t>
      </w:r>
    </w:p>
    <w:p w14:paraId="1F5910E9" w14:textId="77777777" w:rsidR="006D5FDE" w:rsidRDefault="006D5FDE" w:rsidP="006D5FDE">
      <w:pPr>
        <w:pStyle w:val="BullsHeading"/>
      </w:pPr>
      <w:r>
        <w:t>May 2020</w:t>
      </w:r>
    </w:p>
    <w:p w14:paraId="36EA89B2" w14:textId="77777777" w:rsidR="006D5FDE" w:rsidRDefault="006D5FDE" w:rsidP="006D5FDE">
      <w:pPr>
        <w:pStyle w:val="BullsHeading"/>
      </w:pPr>
      <w:r>
        <w:t>Page 6 of 9</w:t>
      </w:r>
    </w:p>
    <w:p w14:paraId="56BD330F" w14:textId="0BEC2ABA" w:rsidR="00F544C9" w:rsidRDefault="00F544C9" w:rsidP="005236C5">
      <w:pPr>
        <w:spacing w:before="120"/>
        <w:ind w:left="360"/>
        <w:rPr>
          <w:rFonts w:ascii="Georgia" w:hAnsi="Georgia"/>
          <w:sz w:val="22"/>
          <w:szCs w:val="22"/>
        </w:rPr>
      </w:pPr>
      <w:r w:rsidRPr="004802E3">
        <w:rPr>
          <w:rFonts w:ascii="Georgia" w:hAnsi="Georgia"/>
          <w:sz w:val="22"/>
          <w:szCs w:val="22"/>
        </w:rPr>
        <w:t>Providers rendering COVID-19 RPM bundled services must, at a minimum:</w:t>
      </w:r>
      <w:r w:rsidR="00C261F0">
        <w:rPr>
          <w:rFonts w:ascii="Georgia" w:hAnsi="Georgia"/>
          <w:sz w:val="22"/>
          <w:szCs w:val="22"/>
        </w:rPr>
        <w:t xml:space="preserve"> </w:t>
      </w:r>
    </w:p>
    <w:p w14:paraId="335C9A5F" w14:textId="7339EF18" w:rsidR="00F544C9" w:rsidRPr="004802E3" w:rsidRDefault="00F544C9" w:rsidP="00F544C9">
      <w:pPr>
        <w:pStyle w:val="ListParagraph"/>
        <w:numPr>
          <w:ilvl w:val="0"/>
          <w:numId w:val="13"/>
        </w:numPr>
        <w:rPr>
          <w:rFonts w:ascii="Georgia" w:hAnsi="Georgia"/>
          <w:sz w:val="22"/>
          <w:szCs w:val="22"/>
        </w:rPr>
      </w:pPr>
      <w:r w:rsidRPr="004802E3">
        <w:rPr>
          <w:rFonts w:ascii="Georgia" w:hAnsi="Georgia"/>
          <w:sz w:val="22"/>
          <w:szCs w:val="22"/>
        </w:rPr>
        <w:t>Ensure that a physician, midlevel professional (such as a physician assistant or certified nurse practitioner), or paraprofessional (such as a medical assistant or a licensed practical nurse), checks in with the member at least once per day to assess symptoms and record home bio-monitoring data (e.g.</w:t>
      </w:r>
      <w:r w:rsidR="00537C56">
        <w:rPr>
          <w:rFonts w:ascii="Georgia" w:hAnsi="Georgia"/>
          <w:sz w:val="22"/>
          <w:szCs w:val="22"/>
        </w:rPr>
        <w:t>,</w:t>
      </w:r>
      <w:r w:rsidRPr="004802E3">
        <w:rPr>
          <w:rFonts w:ascii="Georgia" w:hAnsi="Georgia"/>
          <w:sz w:val="22"/>
          <w:szCs w:val="22"/>
        </w:rPr>
        <w:t xml:space="preserve"> oxygen saturation, temperature).</w:t>
      </w:r>
      <w:r w:rsidR="00C261F0">
        <w:rPr>
          <w:rFonts w:ascii="Georgia" w:hAnsi="Georgia"/>
          <w:sz w:val="22"/>
          <w:szCs w:val="22"/>
        </w:rPr>
        <w:t xml:space="preserve"> </w:t>
      </w:r>
      <w:r w:rsidRPr="004802E3">
        <w:rPr>
          <w:rFonts w:ascii="Georgia" w:hAnsi="Georgia"/>
          <w:sz w:val="22"/>
          <w:szCs w:val="22"/>
        </w:rPr>
        <w:t>Eligible providers may perform these check-ins via telehealth in accordance with All</w:t>
      </w:r>
      <w:r w:rsidR="00C0587D">
        <w:rPr>
          <w:rFonts w:ascii="Georgia" w:hAnsi="Georgia"/>
          <w:sz w:val="22"/>
          <w:szCs w:val="22"/>
        </w:rPr>
        <w:t xml:space="preserve"> </w:t>
      </w:r>
      <w:r w:rsidRPr="004802E3">
        <w:rPr>
          <w:rFonts w:ascii="Georgia" w:hAnsi="Georgia"/>
          <w:sz w:val="22"/>
          <w:szCs w:val="22"/>
        </w:rPr>
        <w:t>Provider Bulletin</w:t>
      </w:r>
      <w:r w:rsidR="00945AC5">
        <w:rPr>
          <w:rFonts w:ascii="Georgia" w:hAnsi="Georgia"/>
          <w:sz w:val="22"/>
          <w:szCs w:val="22"/>
        </w:rPr>
        <w:t>s 289 and</w:t>
      </w:r>
      <w:r w:rsidRPr="004802E3">
        <w:rPr>
          <w:rFonts w:ascii="Georgia" w:hAnsi="Georgia"/>
          <w:sz w:val="22"/>
          <w:szCs w:val="22"/>
        </w:rPr>
        <w:t xml:space="preserve"> 291.</w:t>
      </w:r>
      <w:r w:rsidR="00C261F0">
        <w:rPr>
          <w:rFonts w:ascii="Georgia" w:hAnsi="Georgia"/>
          <w:sz w:val="22"/>
          <w:szCs w:val="22"/>
        </w:rPr>
        <w:t xml:space="preserve"> </w:t>
      </w:r>
      <w:r w:rsidRPr="004802E3">
        <w:rPr>
          <w:rFonts w:ascii="Georgia" w:hAnsi="Georgia"/>
          <w:sz w:val="22"/>
          <w:szCs w:val="22"/>
        </w:rPr>
        <w:t xml:space="preserve">Providers unable to contact a member to whom they are rendering COVID-19 RPM bundled services must make their best effort </w:t>
      </w:r>
      <w:r w:rsidR="00945AC5">
        <w:rPr>
          <w:rFonts w:ascii="Georgia" w:hAnsi="Georgia"/>
          <w:sz w:val="22"/>
          <w:szCs w:val="22"/>
        </w:rPr>
        <w:t xml:space="preserve">to contact that member </w:t>
      </w:r>
      <w:r w:rsidRPr="004802E3">
        <w:rPr>
          <w:rFonts w:ascii="Georgia" w:hAnsi="Georgia"/>
          <w:sz w:val="22"/>
          <w:szCs w:val="22"/>
        </w:rPr>
        <w:t xml:space="preserve">and exercise reasonable </w:t>
      </w:r>
      <w:r w:rsidR="00945AC5" w:rsidRPr="004802E3">
        <w:rPr>
          <w:rFonts w:ascii="Georgia" w:hAnsi="Georgia"/>
          <w:sz w:val="22"/>
          <w:szCs w:val="22"/>
        </w:rPr>
        <w:t xml:space="preserve">judgment </w:t>
      </w:r>
      <w:r w:rsidRPr="004802E3">
        <w:rPr>
          <w:rFonts w:ascii="Georgia" w:hAnsi="Georgia"/>
          <w:sz w:val="22"/>
          <w:szCs w:val="22"/>
        </w:rPr>
        <w:t>to determine whether in-person follow-up is possible or necessary. Providers must document such outreach and attempts to contact members throughout the seven-day monitoring period.</w:t>
      </w:r>
    </w:p>
    <w:p w14:paraId="013DB0C0" w14:textId="70382840" w:rsidR="00537C56" w:rsidRPr="00236F2F" w:rsidRDefault="00F544C9" w:rsidP="000266AD">
      <w:pPr>
        <w:pStyle w:val="ListParagraph"/>
        <w:numPr>
          <w:ilvl w:val="0"/>
          <w:numId w:val="13"/>
        </w:numPr>
        <w:rPr>
          <w:rFonts w:ascii="Georgia" w:hAnsi="Georgia"/>
          <w:sz w:val="22"/>
          <w:szCs w:val="22"/>
        </w:rPr>
      </w:pPr>
      <w:r w:rsidRPr="00236F2F">
        <w:rPr>
          <w:rFonts w:ascii="Georgia" w:hAnsi="Georgia"/>
          <w:sz w:val="22"/>
          <w:szCs w:val="22"/>
        </w:rPr>
        <w:t xml:space="preserve">On at least a daily basis, convene </w:t>
      </w:r>
      <w:r w:rsidR="00F0059D">
        <w:rPr>
          <w:rFonts w:ascii="Georgia" w:hAnsi="Georgia"/>
          <w:sz w:val="22"/>
          <w:szCs w:val="22"/>
        </w:rPr>
        <w:t xml:space="preserve">a multidisciplinary team to </w:t>
      </w:r>
      <w:r w:rsidRPr="00236F2F">
        <w:rPr>
          <w:rFonts w:ascii="Georgia" w:hAnsi="Georgia"/>
          <w:sz w:val="22"/>
          <w:szCs w:val="22"/>
        </w:rPr>
        <w:t xml:space="preserve">review the status of members receiving COVID-19 RPM bundled services and coordinate care related to all needs </w:t>
      </w:r>
      <w:r w:rsidR="00236F2F" w:rsidRPr="00236F2F">
        <w:rPr>
          <w:rFonts w:ascii="Georgia" w:hAnsi="Georgia"/>
          <w:sz w:val="22"/>
          <w:szCs w:val="22"/>
        </w:rPr>
        <w:t xml:space="preserve">identified through the provider’s monitoring of the member, as necessary. At a minimum, the multidisciplinary team must include a physician, as well as any other provider staff who are involved in care for that member, including those who are conducting outreach to the member that day. The multidisciplinary case review may occur in-person or through </w:t>
      </w:r>
      <w:r w:rsidR="00945AC5">
        <w:rPr>
          <w:rFonts w:ascii="Georgia" w:hAnsi="Georgia"/>
          <w:sz w:val="22"/>
          <w:szCs w:val="22"/>
        </w:rPr>
        <w:t xml:space="preserve">the </w:t>
      </w:r>
      <w:r w:rsidR="00236F2F" w:rsidRPr="00236F2F">
        <w:rPr>
          <w:rFonts w:ascii="Georgia" w:hAnsi="Georgia"/>
          <w:sz w:val="22"/>
          <w:szCs w:val="22"/>
        </w:rPr>
        <w:t xml:space="preserve">use of remote </w:t>
      </w:r>
      <w:r w:rsidR="00C0587D" w:rsidRPr="004802E3">
        <w:rPr>
          <w:rFonts w:ascii="Georgia" w:hAnsi="Georgia"/>
          <w:sz w:val="22"/>
          <w:szCs w:val="22"/>
        </w:rPr>
        <w:t>technology</w:t>
      </w:r>
      <w:r w:rsidR="00945AC5">
        <w:rPr>
          <w:rFonts w:ascii="Georgia" w:hAnsi="Georgia"/>
          <w:sz w:val="22"/>
          <w:szCs w:val="22"/>
        </w:rPr>
        <w:t>,</w:t>
      </w:r>
      <w:r w:rsidR="00C0587D" w:rsidRPr="004802E3">
        <w:rPr>
          <w:rFonts w:ascii="Georgia" w:hAnsi="Georgia"/>
          <w:sz w:val="22"/>
          <w:szCs w:val="22"/>
        </w:rPr>
        <w:t xml:space="preserve"> provided that all relevant members of the clinical care team as described above are participating in a live discussion to address identified member needs and coordinate care as</w:t>
      </w:r>
      <w:r w:rsidR="00C0587D">
        <w:rPr>
          <w:rFonts w:ascii="Georgia" w:hAnsi="Georgia"/>
          <w:sz w:val="22"/>
          <w:szCs w:val="22"/>
        </w:rPr>
        <w:t xml:space="preserve"> </w:t>
      </w:r>
      <w:r w:rsidR="00C0587D" w:rsidRPr="004802E3">
        <w:rPr>
          <w:rFonts w:ascii="Georgia" w:hAnsi="Georgia"/>
          <w:sz w:val="22"/>
          <w:szCs w:val="22"/>
        </w:rPr>
        <w:t>necessary. Care coordination includes any coordination of services needed to address the monitored member’s suspected or confirmed COVID-19. This may include, but is not limited to, facilitating an array of medically necessary services, such as hospital admission, the involvement of social workers, or medication refills.</w:t>
      </w:r>
      <w:r w:rsidR="00C0587D">
        <w:rPr>
          <w:rFonts w:ascii="Georgia" w:hAnsi="Georgia"/>
          <w:sz w:val="22"/>
          <w:szCs w:val="22"/>
        </w:rPr>
        <w:t xml:space="preserve"> </w:t>
      </w:r>
    </w:p>
    <w:p w14:paraId="0D605B9E" w14:textId="0D6BC79E" w:rsidR="00F544C9" w:rsidRPr="004802E3" w:rsidRDefault="00F544C9" w:rsidP="00F544C9">
      <w:pPr>
        <w:pStyle w:val="ListParagraph"/>
        <w:numPr>
          <w:ilvl w:val="0"/>
          <w:numId w:val="13"/>
        </w:numPr>
        <w:rPr>
          <w:rFonts w:ascii="Georgia" w:hAnsi="Georgia"/>
          <w:sz w:val="22"/>
          <w:szCs w:val="22"/>
        </w:rPr>
      </w:pPr>
      <w:r w:rsidRPr="004802E3">
        <w:rPr>
          <w:rFonts w:ascii="Georgia" w:hAnsi="Georgia"/>
          <w:sz w:val="22"/>
          <w:szCs w:val="22"/>
        </w:rPr>
        <w:t>Provide physician oversight as needed. MassHealth expects that, as part of the COVID-19 RPM bundled services, the physician will perform at least one evaluation and management visit (either in-person or via telehealth in accordance with All</w:t>
      </w:r>
      <w:r w:rsidR="003A534D">
        <w:rPr>
          <w:rFonts w:ascii="Georgia" w:hAnsi="Georgia"/>
          <w:sz w:val="22"/>
          <w:szCs w:val="22"/>
        </w:rPr>
        <w:t xml:space="preserve"> </w:t>
      </w:r>
      <w:r w:rsidRPr="004802E3">
        <w:rPr>
          <w:rFonts w:ascii="Georgia" w:hAnsi="Georgia"/>
          <w:sz w:val="22"/>
          <w:szCs w:val="22"/>
        </w:rPr>
        <w:t>Provider Bulletin</w:t>
      </w:r>
      <w:r w:rsidR="00945AC5">
        <w:rPr>
          <w:rFonts w:ascii="Georgia" w:hAnsi="Georgia"/>
          <w:sz w:val="22"/>
          <w:szCs w:val="22"/>
        </w:rPr>
        <w:t>s 289 and</w:t>
      </w:r>
      <w:r w:rsidRPr="004802E3">
        <w:rPr>
          <w:rFonts w:ascii="Georgia" w:hAnsi="Georgia"/>
          <w:sz w:val="22"/>
          <w:szCs w:val="22"/>
        </w:rPr>
        <w:t xml:space="preserve"> 291) over the course of the seven-day monitoring period</w:t>
      </w:r>
      <w:r w:rsidR="00945AC5">
        <w:rPr>
          <w:rFonts w:ascii="Georgia" w:hAnsi="Georgia"/>
          <w:sz w:val="22"/>
          <w:szCs w:val="22"/>
        </w:rPr>
        <w:t>,</w:t>
      </w:r>
      <w:r w:rsidRPr="004802E3">
        <w:rPr>
          <w:rFonts w:ascii="Georgia" w:hAnsi="Georgia"/>
          <w:sz w:val="22"/>
          <w:szCs w:val="22"/>
        </w:rPr>
        <w:t xml:space="preserve"> if consistent with patient need and medically necessity. </w:t>
      </w:r>
    </w:p>
    <w:p w14:paraId="44A76D07" w14:textId="76B92B4A" w:rsidR="00F544C9" w:rsidRPr="004802E3" w:rsidRDefault="00F544C9" w:rsidP="00F544C9">
      <w:pPr>
        <w:pStyle w:val="ListParagraph"/>
        <w:numPr>
          <w:ilvl w:val="0"/>
          <w:numId w:val="13"/>
        </w:numPr>
        <w:rPr>
          <w:rFonts w:ascii="Georgia" w:hAnsi="Georgia"/>
          <w:sz w:val="22"/>
          <w:szCs w:val="22"/>
        </w:rPr>
      </w:pPr>
      <w:r w:rsidRPr="004802E3">
        <w:rPr>
          <w:rFonts w:ascii="Georgia" w:hAnsi="Georgia"/>
          <w:sz w:val="22"/>
          <w:szCs w:val="22"/>
        </w:rPr>
        <w:t>Ensure that each member receiving COVID-19 RPM bundled services has access to a thermometer and a pulse oximeter upon the commencement of COVID-19 RPM bundled services.</w:t>
      </w:r>
      <w:r w:rsidR="00C261F0">
        <w:rPr>
          <w:rFonts w:ascii="Georgia" w:hAnsi="Georgia"/>
          <w:sz w:val="22"/>
          <w:szCs w:val="22"/>
        </w:rPr>
        <w:t xml:space="preserve"> </w:t>
      </w:r>
      <w:r w:rsidRPr="004802E3">
        <w:rPr>
          <w:rFonts w:ascii="Georgia" w:hAnsi="Georgia"/>
          <w:sz w:val="22"/>
          <w:szCs w:val="22"/>
        </w:rPr>
        <w:t xml:space="preserve">If the member lacks access to either or both pieces of equipment, the provider must provide the member such equipment. The provider may not bill MassHealth or the member for this equipment. </w:t>
      </w:r>
    </w:p>
    <w:p w14:paraId="58028433" w14:textId="76D44462" w:rsidR="00F544C9" w:rsidRPr="004802E3" w:rsidRDefault="00F544C9" w:rsidP="00563102">
      <w:pPr>
        <w:pStyle w:val="Heading2"/>
      </w:pPr>
      <w:r w:rsidRPr="004802E3">
        <w:t>Billing Specifications</w:t>
      </w:r>
    </w:p>
    <w:p w14:paraId="73967FB3" w14:textId="78DD6039" w:rsidR="00F544C9" w:rsidRPr="004802E3" w:rsidRDefault="00F544C9" w:rsidP="00F544C9">
      <w:pPr>
        <w:pStyle w:val="ListParagraph"/>
        <w:numPr>
          <w:ilvl w:val="0"/>
          <w:numId w:val="14"/>
        </w:numPr>
        <w:rPr>
          <w:rFonts w:ascii="Georgia" w:hAnsi="Georgia"/>
          <w:sz w:val="22"/>
          <w:szCs w:val="22"/>
        </w:rPr>
      </w:pPr>
      <w:r w:rsidRPr="004802E3">
        <w:rPr>
          <w:rFonts w:ascii="Georgia" w:hAnsi="Georgia"/>
          <w:sz w:val="22"/>
          <w:szCs w:val="22"/>
        </w:rPr>
        <w:t>Providers will determine that a member is clinically eligible for COVID-19 RPM bundled services during the course of a hospitalization or a separately billable provider evaluation and management visit (either in-person or by telehealth in accordance with All</w:t>
      </w:r>
      <w:r w:rsidR="003A534D">
        <w:rPr>
          <w:rFonts w:ascii="Georgia" w:hAnsi="Georgia"/>
          <w:sz w:val="22"/>
          <w:szCs w:val="22"/>
        </w:rPr>
        <w:t xml:space="preserve"> P</w:t>
      </w:r>
      <w:r w:rsidRPr="004802E3">
        <w:rPr>
          <w:rFonts w:ascii="Georgia" w:hAnsi="Georgia"/>
          <w:sz w:val="22"/>
          <w:szCs w:val="22"/>
        </w:rPr>
        <w:t>rovider Bulletin</w:t>
      </w:r>
      <w:r w:rsidR="00945AC5">
        <w:rPr>
          <w:rFonts w:ascii="Georgia" w:hAnsi="Georgia"/>
          <w:sz w:val="22"/>
          <w:szCs w:val="22"/>
        </w:rPr>
        <w:t>s 289 and</w:t>
      </w:r>
      <w:r w:rsidRPr="004802E3">
        <w:rPr>
          <w:rFonts w:ascii="Georgia" w:hAnsi="Georgia"/>
          <w:sz w:val="22"/>
          <w:szCs w:val="22"/>
        </w:rPr>
        <w:t xml:space="preserve"> 291).</w:t>
      </w:r>
    </w:p>
    <w:p w14:paraId="6FADFACC" w14:textId="109655BF" w:rsidR="00F544C9" w:rsidRPr="004802E3" w:rsidRDefault="00F544C9" w:rsidP="00F544C9">
      <w:pPr>
        <w:pStyle w:val="ListParagraph"/>
        <w:numPr>
          <w:ilvl w:val="0"/>
          <w:numId w:val="14"/>
        </w:numPr>
        <w:rPr>
          <w:rFonts w:ascii="Georgia" w:hAnsi="Georgia"/>
          <w:sz w:val="22"/>
          <w:szCs w:val="22"/>
        </w:rPr>
      </w:pPr>
      <w:r w:rsidRPr="004802E3">
        <w:rPr>
          <w:rFonts w:ascii="Georgia" w:hAnsi="Georgia"/>
          <w:sz w:val="22"/>
          <w:szCs w:val="22"/>
        </w:rPr>
        <w:t xml:space="preserve">Providers initiate the provision of COVID-19 RPM bundled services by billing the code 99423 with modifier U9 on the first day the </w:t>
      </w:r>
      <w:r w:rsidR="00537C56">
        <w:rPr>
          <w:rFonts w:ascii="Georgia" w:hAnsi="Georgia"/>
          <w:sz w:val="22"/>
          <w:szCs w:val="22"/>
        </w:rPr>
        <w:t>p</w:t>
      </w:r>
      <w:r w:rsidRPr="004802E3">
        <w:rPr>
          <w:rFonts w:ascii="Georgia" w:hAnsi="Georgia"/>
          <w:sz w:val="22"/>
          <w:szCs w:val="22"/>
        </w:rPr>
        <w:t>rovider renders COVID-19 RPM bundled services. Providers may not bill this code again during the next seven days (including the date on which the provider billed 99423-U9).</w:t>
      </w:r>
      <w:r w:rsidR="00C261F0">
        <w:rPr>
          <w:rFonts w:ascii="Georgia" w:hAnsi="Georgia"/>
          <w:sz w:val="22"/>
          <w:szCs w:val="22"/>
        </w:rPr>
        <w:t xml:space="preserve"> </w:t>
      </w:r>
      <w:r w:rsidRPr="004802E3">
        <w:rPr>
          <w:rFonts w:ascii="Georgia" w:hAnsi="Georgia"/>
          <w:sz w:val="22"/>
          <w:szCs w:val="22"/>
        </w:rPr>
        <w:t>MassHealth will issue transmittal letters that add</w:t>
      </w:r>
      <w:r w:rsidR="00CF554A">
        <w:rPr>
          <w:rFonts w:ascii="Georgia" w:hAnsi="Georgia"/>
          <w:sz w:val="22"/>
          <w:szCs w:val="22"/>
        </w:rPr>
        <w:t xml:space="preserve"> coverage of</w:t>
      </w:r>
      <w:r w:rsidRPr="004802E3">
        <w:rPr>
          <w:rFonts w:ascii="Georgia" w:hAnsi="Georgia"/>
          <w:sz w:val="22"/>
          <w:szCs w:val="22"/>
        </w:rPr>
        <w:t xml:space="preserve"> this code </w:t>
      </w:r>
      <w:r w:rsidR="00CF554A">
        <w:rPr>
          <w:rFonts w:ascii="Georgia" w:hAnsi="Georgia"/>
          <w:sz w:val="22"/>
          <w:szCs w:val="22"/>
        </w:rPr>
        <w:t>in</w:t>
      </w:r>
      <w:r w:rsidRPr="004802E3">
        <w:rPr>
          <w:rFonts w:ascii="Georgia" w:hAnsi="Georgia"/>
          <w:sz w:val="22"/>
          <w:szCs w:val="22"/>
        </w:rPr>
        <w:t xml:space="preserve"> the relevant </w:t>
      </w:r>
      <w:r w:rsidR="00537C56">
        <w:rPr>
          <w:rFonts w:ascii="Georgia" w:hAnsi="Georgia"/>
          <w:sz w:val="22"/>
          <w:szCs w:val="22"/>
        </w:rPr>
        <w:t>p</w:t>
      </w:r>
      <w:r w:rsidRPr="004802E3">
        <w:rPr>
          <w:rFonts w:ascii="Georgia" w:hAnsi="Georgia"/>
          <w:sz w:val="22"/>
          <w:szCs w:val="22"/>
        </w:rPr>
        <w:t xml:space="preserve">rovider </w:t>
      </w:r>
      <w:r w:rsidR="00537C56">
        <w:rPr>
          <w:rFonts w:ascii="Georgia" w:hAnsi="Georgia"/>
          <w:sz w:val="22"/>
          <w:szCs w:val="22"/>
        </w:rPr>
        <w:t>m</w:t>
      </w:r>
      <w:r w:rsidRPr="004802E3">
        <w:rPr>
          <w:rFonts w:ascii="Georgia" w:hAnsi="Georgia"/>
          <w:sz w:val="22"/>
          <w:szCs w:val="22"/>
        </w:rPr>
        <w:t xml:space="preserve">anuals. </w:t>
      </w:r>
    </w:p>
    <w:p w14:paraId="0EFABF95" w14:textId="77777777" w:rsidR="006D5FDE" w:rsidRDefault="006D5FDE" w:rsidP="006D5FDE">
      <w:pPr>
        <w:pStyle w:val="ListParagraph"/>
        <w:numPr>
          <w:ilvl w:val="0"/>
          <w:numId w:val="14"/>
        </w:numPr>
        <w:rPr>
          <w:rFonts w:ascii="Georgia" w:hAnsi="Georgia"/>
          <w:sz w:val="22"/>
          <w:szCs w:val="22"/>
        </w:rPr>
      </w:pPr>
      <w:r>
        <w:rPr>
          <w:rFonts w:ascii="Georgia" w:hAnsi="Georgia"/>
          <w:sz w:val="22"/>
          <w:szCs w:val="22"/>
        </w:rPr>
        <w:t>T</w:t>
      </w:r>
      <w:r w:rsidR="00F544C9" w:rsidRPr="004802E3">
        <w:rPr>
          <w:rFonts w:ascii="Georgia" w:hAnsi="Georgia"/>
          <w:sz w:val="22"/>
          <w:szCs w:val="22"/>
        </w:rPr>
        <w:t xml:space="preserve">he COVID-19 RPM bundle is intended to cover all COVID-19-related </w:t>
      </w:r>
      <w:r w:rsidR="0028530E">
        <w:rPr>
          <w:rFonts w:ascii="Georgia" w:hAnsi="Georgia"/>
          <w:sz w:val="22"/>
          <w:szCs w:val="22"/>
        </w:rPr>
        <w:t>E&amp;M</w:t>
      </w:r>
      <w:r w:rsidR="00F544C9" w:rsidRPr="004802E3">
        <w:rPr>
          <w:rFonts w:ascii="Georgia" w:hAnsi="Georgia"/>
          <w:sz w:val="22"/>
          <w:szCs w:val="22"/>
        </w:rPr>
        <w:t xml:space="preserve"> services rendered for a period of up to seven days. MassHealth will not prorate this payment if the member ultimately requires fewer than seven days of COVID-19-related </w:t>
      </w:r>
      <w:r w:rsidR="0028530E">
        <w:rPr>
          <w:rFonts w:ascii="Georgia" w:hAnsi="Georgia"/>
          <w:sz w:val="22"/>
          <w:szCs w:val="22"/>
        </w:rPr>
        <w:t>E&amp;M</w:t>
      </w:r>
      <w:r w:rsidR="003573B9">
        <w:rPr>
          <w:rFonts w:ascii="Georgia" w:hAnsi="Georgia"/>
          <w:sz w:val="22"/>
          <w:szCs w:val="22"/>
        </w:rPr>
        <w:t xml:space="preserve"> </w:t>
      </w:r>
      <w:r w:rsidR="00F544C9" w:rsidRPr="004802E3">
        <w:rPr>
          <w:rFonts w:ascii="Georgia" w:hAnsi="Georgia"/>
          <w:sz w:val="22"/>
          <w:szCs w:val="22"/>
        </w:rPr>
        <w:t>services.</w:t>
      </w:r>
      <w:r w:rsidR="00C261F0">
        <w:rPr>
          <w:rFonts w:ascii="Georgia" w:hAnsi="Georgia"/>
          <w:sz w:val="22"/>
          <w:szCs w:val="22"/>
        </w:rPr>
        <w:t xml:space="preserve"> </w:t>
      </w:r>
      <w:r w:rsidR="00F544C9" w:rsidRPr="004802E3">
        <w:rPr>
          <w:rFonts w:ascii="Georgia" w:hAnsi="Georgia"/>
          <w:sz w:val="22"/>
          <w:szCs w:val="22"/>
        </w:rPr>
        <w:t xml:space="preserve">Providers who </w:t>
      </w:r>
    </w:p>
    <w:p w14:paraId="0CF5AC0B" w14:textId="77777777" w:rsidR="006D5FDE" w:rsidRDefault="006D5FDE">
      <w:pPr>
        <w:spacing w:after="200" w:line="276" w:lineRule="auto"/>
        <w:rPr>
          <w:rFonts w:ascii="Georgia" w:hAnsi="Georgia"/>
          <w:sz w:val="22"/>
          <w:szCs w:val="22"/>
        </w:rPr>
      </w:pPr>
      <w:r>
        <w:rPr>
          <w:rFonts w:ascii="Georgia" w:hAnsi="Georgia"/>
          <w:sz w:val="22"/>
          <w:szCs w:val="22"/>
        </w:rPr>
        <w:br w:type="page"/>
      </w:r>
    </w:p>
    <w:p w14:paraId="29FAB6C0" w14:textId="77777777" w:rsidR="006D5FDE" w:rsidRPr="00F664CC" w:rsidRDefault="006D5FDE" w:rsidP="006D5FDE">
      <w:pPr>
        <w:pStyle w:val="BullsHeading"/>
      </w:pPr>
      <w:r w:rsidRPr="00F664CC">
        <w:lastRenderedPageBreak/>
        <w:t>MassHealth</w:t>
      </w:r>
    </w:p>
    <w:p w14:paraId="1241AF48" w14:textId="152E3DA9" w:rsidR="006D5FDE" w:rsidRPr="00F664CC" w:rsidRDefault="006D5FDE" w:rsidP="006D5FDE">
      <w:pPr>
        <w:pStyle w:val="BullsHeading"/>
      </w:pPr>
      <w:r>
        <w:t>All Provider</w:t>
      </w:r>
      <w:r w:rsidRPr="00F664CC">
        <w:t xml:space="preserve"> Bulletin </w:t>
      </w:r>
      <w:r w:rsidR="004907D3">
        <w:t>294</w:t>
      </w:r>
    </w:p>
    <w:p w14:paraId="7CEE143A" w14:textId="77777777" w:rsidR="006D5FDE" w:rsidRDefault="006D5FDE" w:rsidP="006D5FDE">
      <w:pPr>
        <w:pStyle w:val="BullsHeading"/>
      </w:pPr>
      <w:r>
        <w:t>May 2020</w:t>
      </w:r>
    </w:p>
    <w:p w14:paraId="548AE251" w14:textId="77777777" w:rsidR="006D5FDE" w:rsidRDefault="006D5FDE" w:rsidP="006D5FDE">
      <w:pPr>
        <w:pStyle w:val="BullsHeading"/>
        <w:rPr>
          <w:noProof/>
        </w:rPr>
      </w:pPr>
      <w:r>
        <w:t>Page 7 of 9</w:t>
      </w:r>
    </w:p>
    <w:p w14:paraId="2FACE83D" w14:textId="77777777" w:rsidR="006D5FDE" w:rsidRDefault="006D5FDE" w:rsidP="006D5FDE">
      <w:pPr>
        <w:pStyle w:val="ListParagraph"/>
        <w:rPr>
          <w:rFonts w:ascii="Georgia" w:hAnsi="Georgia"/>
          <w:sz w:val="22"/>
          <w:szCs w:val="22"/>
        </w:rPr>
      </w:pPr>
    </w:p>
    <w:p w14:paraId="5AEAADA1" w14:textId="493C3EAE" w:rsidR="006744E1" w:rsidRDefault="00F544C9" w:rsidP="006D5FDE">
      <w:pPr>
        <w:pStyle w:val="ListParagraph"/>
        <w:rPr>
          <w:rFonts w:ascii="Georgia" w:hAnsi="Georgia"/>
          <w:sz w:val="22"/>
          <w:szCs w:val="22"/>
        </w:rPr>
      </w:pPr>
      <w:r w:rsidRPr="004802E3">
        <w:rPr>
          <w:rFonts w:ascii="Georgia" w:hAnsi="Georgia"/>
          <w:sz w:val="22"/>
          <w:szCs w:val="22"/>
        </w:rPr>
        <w:t xml:space="preserve">determine that a member receiving COVID-19 RPM bundled services no longer requires those services must document this fact in the member’s medical record, including the reason for that determination (e.g., improvements in the patient’s condition rendering monitoring services </w:t>
      </w:r>
      <w:r w:rsidRPr="006D5FDE">
        <w:rPr>
          <w:rFonts w:ascii="Georgia" w:hAnsi="Georgia"/>
          <w:sz w:val="22"/>
          <w:szCs w:val="22"/>
        </w:rPr>
        <w:t xml:space="preserve">medically unnecessary, or the member’s transition to a different level of care). </w:t>
      </w:r>
    </w:p>
    <w:p w14:paraId="007B5F39" w14:textId="586F8488" w:rsidR="00537C56" w:rsidRDefault="007E314B" w:rsidP="00F544C9">
      <w:pPr>
        <w:pStyle w:val="ListParagraph"/>
        <w:numPr>
          <w:ilvl w:val="0"/>
          <w:numId w:val="14"/>
        </w:numPr>
        <w:rPr>
          <w:rFonts w:ascii="Georgia" w:hAnsi="Georgia"/>
          <w:sz w:val="22"/>
          <w:szCs w:val="22"/>
        </w:rPr>
      </w:pPr>
      <w:r>
        <w:rPr>
          <w:rFonts w:ascii="Georgia" w:hAnsi="Georgia"/>
          <w:sz w:val="22"/>
          <w:szCs w:val="22"/>
        </w:rPr>
        <w:t xml:space="preserve">A provider may furnish and bill for a subsequent COVID-19 bundle after the member’s initial seven-day service period concludes only if </w:t>
      </w:r>
      <w:r w:rsidR="00F544C9" w:rsidRPr="004802E3">
        <w:rPr>
          <w:rFonts w:ascii="Georgia" w:hAnsi="Georgia"/>
          <w:sz w:val="22"/>
          <w:szCs w:val="22"/>
        </w:rPr>
        <w:t xml:space="preserve">a </w:t>
      </w:r>
      <w:r>
        <w:rPr>
          <w:rFonts w:ascii="Georgia" w:hAnsi="Georgia"/>
          <w:sz w:val="22"/>
          <w:szCs w:val="22"/>
        </w:rPr>
        <w:t xml:space="preserve">physician </w:t>
      </w:r>
      <w:r w:rsidR="00F544C9" w:rsidRPr="004802E3">
        <w:rPr>
          <w:rFonts w:ascii="Georgia" w:hAnsi="Georgia"/>
          <w:sz w:val="22"/>
          <w:szCs w:val="22"/>
        </w:rPr>
        <w:t>determines</w:t>
      </w:r>
      <w:r>
        <w:rPr>
          <w:rFonts w:ascii="Georgia" w:hAnsi="Georgia"/>
          <w:sz w:val="22"/>
          <w:szCs w:val="22"/>
        </w:rPr>
        <w:t>, following an E&amp;M visit with the member (whether conducted in-person or via telehealth), that the continuation of reinitiation of RPM services for the member is</w:t>
      </w:r>
      <w:r w:rsidR="00F544C9" w:rsidRPr="004802E3">
        <w:rPr>
          <w:rFonts w:ascii="Georgia" w:hAnsi="Georgia"/>
          <w:sz w:val="22"/>
          <w:szCs w:val="22"/>
        </w:rPr>
        <w:t xml:space="preserve"> clinically appropriate and medically necessary. </w:t>
      </w:r>
    </w:p>
    <w:p w14:paraId="0AF06D5F" w14:textId="57AED59F" w:rsidR="0037410D" w:rsidRDefault="0037410D" w:rsidP="007D4C0A">
      <w:pPr>
        <w:pStyle w:val="ListParagraph"/>
        <w:numPr>
          <w:ilvl w:val="0"/>
          <w:numId w:val="14"/>
        </w:numPr>
        <w:rPr>
          <w:rFonts w:ascii="Georgia" w:hAnsi="Georgia"/>
          <w:sz w:val="22"/>
          <w:szCs w:val="22"/>
        </w:rPr>
      </w:pPr>
      <w:r w:rsidRPr="004802E3">
        <w:rPr>
          <w:rFonts w:ascii="Georgia" w:hAnsi="Georgia"/>
          <w:sz w:val="22"/>
          <w:szCs w:val="22"/>
        </w:rPr>
        <w:t>Pursuant to A</w:t>
      </w:r>
      <w:r>
        <w:rPr>
          <w:rFonts w:ascii="Georgia" w:hAnsi="Georgia"/>
          <w:sz w:val="22"/>
          <w:szCs w:val="22"/>
        </w:rPr>
        <w:t>dministrative</w:t>
      </w:r>
      <w:r w:rsidRPr="004802E3">
        <w:rPr>
          <w:rFonts w:ascii="Georgia" w:hAnsi="Georgia"/>
          <w:sz w:val="22"/>
          <w:szCs w:val="22"/>
        </w:rPr>
        <w:t xml:space="preserve"> Bulletin</w:t>
      </w:r>
      <w:r w:rsidR="009B71D9">
        <w:rPr>
          <w:rFonts w:ascii="Georgia" w:hAnsi="Georgia"/>
          <w:sz w:val="22"/>
          <w:szCs w:val="22"/>
        </w:rPr>
        <w:t xml:space="preserve"> 20-40</w:t>
      </w:r>
      <w:r w:rsidRPr="004802E3">
        <w:rPr>
          <w:rFonts w:ascii="Georgia" w:hAnsi="Georgia"/>
          <w:sz w:val="22"/>
          <w:szCs w:val="22"/>
        </w:rPr>
        <w:t xml:space="preserve">, MassHealth will </w:t>
      </w:r>
      <w:r>
        <w:rPr>
          <w:rFonts w:ascii="Georgia" w:hAnsi="Georgia"/>
          <w:sz w:val="22"/>
          <w:szCs w:val="22"/>
        </w:rPr>
        <w:t>pay</w:t>
      </w:r>
      <w:r w:rsidRPr="004802E3">
        <w:rPr>
          <w:rFonts w:ascii="Georgia" w:hAnsi="Georgia"/>
          <w:sz w:val="22"/>
          <w:szCs w:val="22"/>
        </w:rPr>
        <w:t xml:space="preserve"> providers rendering COVID-19 RPM bundle</w:t>
      </w:r>
      <w:r>
        <w:rPr>
          <w:rFonts w:ascii="Georgia" w:hAnsi="Georgia"/>
          <w:sz w:val="22"/>
          <w:szCs w:val="22"/>
        </w:rPr>
        <w:t>d services</w:t>
      </w:r>
      <w:r w:rsidRPr="004802E3">
        <w:rPr>
          <w:rFonts w:ascii="Georgia" w:hAnsi="Georgia"/>
          <w:sz w:val="22"/>
          <w:szCs w:val="22"/>
        </w:rPr>
        <w:t xml:space="preserve"> at the bundled payment rate </w:t>
      </w:r>
      <w:r>
        <w:rPr>
          <w:rFonts w:ascii="Georgia" w:hAnsi="Georgia"/>
          <w:sz w:val="22"/>
          <w:szCs w:val="22"/>
        </w:rPr>
        <w:t>set forth in that administrative bulletin</w:t>
      </w:r>
      <w:r w:rsidRPr="004802E3">
        <w:rPr>
          <w:rFonts w:ascii="Georgia" w:hAnsi="Georgia"/>
          <w:sz w:val="22"/>
          <w:szCs w:val="22"/>
        </w:rPr>
        <w:t xml:space="preserve"> for all bundled services rendered over the course of the seven-day service period.</w:t>
      </w:r>
    </w:p>
    <w:p w14:paraId="00FB444C" w14:textId="1CBA0261" w:rsidR="007D4C0A" w:rsidRPr="004802E3" w:rsidRDefault="00236F2F" w:rsidP="007D4C0A">
      <w:pPr>
        <w:pStyle w:val="ListParagraph"/>
        <w:numPr>
          <w:ilvl w:val="0"/>
          <w:numId w:val="14"/>
        </w:numPr>
        <w:rPr>
          <w:rFonts w:ascii="Georgia" w:hAnsi="Georgia"/>
          <w:sz w:val="22"/>
          <w:szCs w:val="22"/>
        </w:rPr>
      </w:pPr>
      <w:r w:rsidRPr="004802E3">
        <w:rPr>
          <w:rFonts w:ascii="Georgia" w:hAnsi="Georgia"/>
          <w:sz w:val="22"/>
          <w:szCs w:val="22"/>
        </w:rPr>
        <w:t xml:space="preserve">Except for COVID-19 related </w:t>
      </w:r>
      <w:r w:rsidR="0028530E">
        <w:rPr>
          <w:rFonts w:ascii="Georgia" w:hAnsi="Georgia"/>
          <w:sz w:val="22"/>
          <w:szCs w:val="22"/>
        </w:rPr>
        <w:t xml:space="preserve">E&amp;M </w:t>
      </w:r>
      <w:r w:rsidRPr="004802E3">
        <w:rPr>
          <w:rFonts w:ascii="Georgia" w:hAnsi="Georgia"/>
          <w:sz w:val="22"/>
          <w:szCs w:val="22"/>
        </w:rPr>
        <w:t xml:space="preserve">services included in the COVID-19 RPM bundle, </w:t>
      </w:r>
      <w:r w:rsidR="0028530E">
        <w:rPr>
          <w:rFonts w:ascii="Georgia" w:hAnsi="Georgia"/>
          <w:sz w:val="22"/>
          <w:szCs w:val="22"/>
        </w:rPr>
        <w:t>as well as the provision of</w:t>
      </w:r>
      <w:r w:rsidR="0037410D">
        <w:rPr>
          <w:rFonts w:ascii="Georgia" w:hAnsi="Georgia"/>
          <w:sz w:val="22"/>
          <w:szCs w:val="22"/>
        </w:rPr>
        <w:t xml:space="preserve"> the associated durable medical equipment (i.e.,</w:t>
      </w:r>
      <w:r w:rsidR="0028530E">
        <w:rPr>
          <w:rFonts w:ascii="Georgia" w:hAnsi="Georgia"/>
          <w:sz w:val="22"/>
          <w:szCs w:val="22"/>
        </w:rPr>
        <w:t xml:space="preserve"> a thermometer and a pulse oximeter</w:t>
      </w:r>
      <w:r w:rsidR="0037410D">
        <w:rPr>
          <w:rFonts w:ascii="Georgia" w:hAnsi="Georgia"/>
          <w:sz w:val="22"/>
          <w:szCs w:val="22"/>
        </w:rPr>
        <w:t>)</w:t>
      </w:r>
      <w:r w:rsidR="0028530E">
        <w:rPr>
          <w:rFonts w:ascii="Georgia" w:hAnsi="Georgia"/>
          <w:sz w:val="22"/>
          <w:szCs w:val="22"/>
        </w:rPr>
        <w:t xml:space="preserve">, </w:t>
      </w:r>
      <w:r>
        <w:rPr>
          <w:rFonts w:ascii="Georgia" w:hAnsi="Georgia"/>
          <w:sz w:val="22"/>
          <w:szCs w:val="22"/>
        </w:rPr>
        <w:t>p</w:t>
      </w:r>
      <w:r w:rsidRPr="004802E3">
        <w:rPr>
          <w:rFonts w:ascii="Georgia" w:hAnsi="Georgia"/>
          <w:sz w:val="22"/>
          <w:szCs w:val="22"/>
        </w:rPr>
        <w:t xml:space="preserve">roviders may bill separately for other medically necessary services for members being remotely monitored during the seven-day period, such as pharmacy, behavioral health, or substance use disorder services, </w:t>
      </w:r>
      <w:r w:rsidR="007D4C0A">
        <w:rPr>
          <w:rFonts w:ascii="Georgia" w:hAnsi="Georgia"/>
          <w:sz w:val="22"/>
          <w:szCs w:val="22"/>
        </w:rPr>
        <w:t>as</w:t>
      </w:r>
      <w:r w:rsidRPr="004802E3">
        <w:rPr>
          <w:rFonts w:ascii="Georgia" w:hAnsi="Georgia"/>
          <w:sz w:val="22"/>
          <w:szCs w:val="22"/>
        </w:rPr>
        <w:t xml:space="preserve"> long as the additional services are not duplicative of the </w:t>
      </w:r>
      <w:r w:rsidR="007D4C0A" w:rsidRPr="004802E3">
        <w:rPr>
          <w:rFonts w:ascii="Georgia" w:hAnsi="Georgia"/>
          <w:sz w:val="22"/>
          <w:szCs w:val="22"/>
        </w:rPr>
        <w:t xml:space="preserve">COVID-19-related </w:t>
      </w:r>
      <w:r w:rsidR="007D4C0A">
        <w:rPr>
          <w:rFonts w:ascii="Georgia" w:hAnsi="Georgia"/>
          <w:sz w:val="22"/>
          <w:szCs w:val="22"/>
        </w:rPr>
        <w:t>E&amp;M</w:t>
      </w:r>
      <w:r w:rsidR="007D4C0A" w:rsidRPr="004802E3">
        <w:rPr>
          <w:rFonts w:ascii="Georgia" w:hAnsi="Georgia"/>
          <w:sz w:val="22"/>
          <w:szCs w:val="22"/>
        </w:rPr>
        <w:t xml:space="preserve"> services provided as part of the COVID-19 RPM bundle. </w:t>
      </w:r>
    </w:p>
    <w:p w14:paraId="4277D3DA" w14:textId="6B4CB7CE" w:rsidR="007D4C0A" w:rsidRPr="004802E3" w:rsidRDefault="007D4C0A" w:rsidP="007D4C0A">
      <w:pPr>
        <w:pStyle w:val="ListParagraph"/>
        <w:numPr>
          <w:ilvl w:val="1"/>
          <w:numId w:val="14"/>
        </w:numPr>
        <w:rPr>
          <w:rFonts w:ascii="Georgia" w:hAnsi="Georgia"/>
          <w:sz w:val="22"/>
          <w:szCs w:val="22"/>
        </w:rPr>
      </w:pPr>
      <w:r w:rsidRPr="004802E3">
        <w:rPr>
          <w:rFonts w:ascii="Georgia" w:hAnsi="Georgia"/>
          <w:sz w:val="22"/>
          <w:szCs w:val="22"/>
        </w:rPr>
        <w:t>Pursuant to 130 CMR 450.235, MassHealth does not pay for duplicative services.</w:t>
      </w:r>
      <w:r>
        <w:rPr>
          <w:rFonts w:ascii="Georgia" w:hAnsi="Georgia"/>
          <w:sz w:val="22"/>
          <w:szCs w:val="22"/>
        </w:rPr>
        <w:t xml:space="preserve"> </w:t>
      </w:r>
      <w:r w:rsidRPr="004802E3">
        <w:rPr>
          <w:rFonts w:ascii="Georgia" w:hAnsi="Georgia"/>
          <w:sz w:val="22"/>
          <w:szCs w:val="22"/>
        </w:rPr>
        <w:t xml:space="preserve">In the case of COVID-19 RPM bundled services, duplicative services may include, but are not limited to, any other </w:t>
      </w:r>
      <w:r>
        <w:rPr>
          <w:rFonts w:ascii="Georgia" w:hAnsi="Georgia"/>
          <w:sz w:val="22"/>
          <w:szCs w:val="22"/>
        </w:rPr>
        <w:t>E&amp;M</w:t>
      </w:r>
      <w:r w:rsidRPr="004802E3">
        <w:rPr>
          <w:rFonts w:ascii="Georgia" w:hAnsi="Georgia"/>
          <w:sz w:val="22"/>
          <w:szCs w:val="22"/>
        </w:rPr>
        <w:t xml:space="preserve"> service, telehealth encounter, or home visit related to COVID-19. </w:t>
      </w:r>
    </w:p>
    <w:p w14:paraId="3AE5D8C4" w14:textId="5598E999" w:rsidR="00F544C9" w:rsidRPr="004802E3" w:rsidRDefault="00F544C9" w:rsidP="00F544C9">
      <w:pPr>
        <w:pStyle w:val="ListParagraph"/>
        <w:numPr>
          <w:ilvl w:val="0"/>
          <w:numId w:val="14"/>
        </w:numPr>
        <w:rPr>
          <w:rFonts w:ascii="Georgia" w:hAnsi="Georgia"/>
          <w:sz w:val="22"/>
          <w:szCs w:val="22"/>
        </w:rPr>
      </w:pPr>
      <w:r w:rsidRPr="004802E3">
        <w:rPr>
          <w:rFonts w:ascii="Georgia" w:hAnsi="Georgia"/>
          <w:sz w:val="22"/>
          <w:szCs w:val="22"/>
        </w:rPr>
        <w:t>Eligible providers may bill MassHealth a facility fee for the COVID-19 RPM bundle if such a fee is permitted under such provider’s governing regulations or contracts. Eligible providers may bill such a facility fee only once during the seven-day monitoring period.</w:t>
      </w:r>
      <w:r w:rsidR="00C261F0">
        <w:rPr>
          <w:rFonts w:ascii="Georgia" w:hAnsi="Georgia"/>
          <w:sz w:val="22"/>
          <w:szCs w:val="22"/>
        </w:rPr>
        <w:t xml:space="preserve"> </w:t>
      </w:r>
      <w:r w:rsidRPr="004802E3">
        <w:rPr>
          <w:rFonts w:ascii="Georgia" w:hAnsi="Georgia"/>
          <w:sz w:val="22"/>
          <w:szCs w:val="22"/>
        </w:rPr>
        <w:t xml:space="preserve">Eligible providers must bill </w:t>
      </w:r>
      <w:r w:rsidR="00945AC5">
        <w:rPr>
          <w:rFonts w:ascii="Georgia" w:hAnsi="Georgia"/>
          <w:sz w:val="22"/>
          <w:szCs w:val="22"/>
        </w:rPr>
        <w:t xml:space="preserve">such </w:t>
      </w:r>
      <w:r w:rsidRPr="004802E3">
        <w:rPr>
          <w:rFonts w:ascii="Georgia" w:hAnsi="Georgia"/>
          <w:sz w:val="22"/>
          <w:szCs w:val="22"/>
        </w:rPr>
        <w:t xml:space="preserve">a facility </w:t>
      </w:r>
      <w:r w:rsidR="007E314B">
        <w:rPr>
          <w:rFonts w:ascii="Georgia" w:hAnsi="Georgia"/>
          <w:sz w:val="22"/>
          <w:szCs w:val="22"/>
        </w:rPr>
        <w:t xml:space="preserve">fee </w:t>
      </w:r>
      <w:r w:rsidR="00945AC5">
        <w:rPr>
          <w:rFonts w:ascii="Georgia" w:hAnsi="Georgia"/>
          <w:sz w:val="22"/>
          <w:szCs w:val="22"/>
        </w:rPr>
        <w:t>by using:</w:t>
      </w:r>
    </w:p>
    <w:p w14:paraId="1EB9BB62" w14:textId="77777777" w:rsidR="00F544C9" w:rsidRPr="004802E3" w:rsidRDefault="00F544C9" w:rsidP="00537C56">
      <w:pPr>
        <w:pStyle w:val="ListParagraph"/>
        <w:numPr>
          <w:ilvl w:val="1"/>
          <w:numId w:val="14"/>
        </w:numPr>
        <w:rPr>
          <w:rFonts w:ascii="Georgia" w:hAnsi="Georgia"/>
          <w:sz w:val="22"/>
          <w:szCs w:val="22"/>
        </w:rPr>
      </w:pPr>
      <w:r w:rsidRPr="004802E3">
        <w:rPr>
          <w:rFonts w:ascii="Georgia" w:hAnsi="Georgia"/>
          <w:sz w:val="22"/>
          <w:szCs w:val="22"/>
        </w:rPr>
        <w:t>Procedure code 99423 with modifier U9</w:t>
      </w:r>
    </w:p>
    <w:p w14:paraId="565672D2" w14:textId="77777777" w:rsidR="00F544C9" w:rsidRPr="004802E3" w:rsidRDefault="00F544C9" w:rsidP="00537C56">
      <w:pPr>
        <w:pStyle w:val="ListParagraph"/>
        <w:numPr>
          <w:ilvl w:val="1"/>
          <w:numId w:val="14"/>
        </w:numPr>
        <w:rPr>
          <w:rFonts w:ascii="Georgia" w:hAnsi="Georgia"/>
          <w:sz w:val="22"/>
          <w:szCs w:val="22"/>
        </w:rPr>
      </w:pPr>
      <w:r w:rsidRPr="004802E3">
        <w:rPr>
          <w:rFonts w:ascii="Georgia" w:hAnsi="Georgia"/>
          <w:sz w:val="22"/>
          <w:szCs w:val="22"/>
        </w:rPr>
        <w:t>U07.1 as the principal diagnosis code</w:t>
      </w:r>
    </w:p>
    <w:p w14:paraId="4D7FC26C" w14:textId="77777777" w:rsidR="00F544C9" w:rsidRPr="004802E3" w:rsidRDefault="00F544C9" w:rsidP="00537C56">
      <w:pPr>
        <w:pStyle w:val="ListParagraph"/>
        <w:numPr>
          <w:ilvl w:val="1"/>
          <w:numId w:val="14"/>
        </w:numPr>
        <w:rPr>
          <w:rFonts w:ascii="Georgia" w:hAnsi="Georgia"/>
          <w:sz w:val="22"/>
          <w:szCs w:val="22"/>
        </w:rPr>
      </w:pPr>
      <w:r w:rsidRPr="004802E3">
        <w:rPr>
          <w:rFonts w:ascii="Georgia" w:hAnsi="Georgia"/>
          <w:sz w:val="22"/>
          <w:szCs w:val="22"/>
        </w:rPr>
        <w:t>Observation revenue code 762</w:t>
      </w:r>
    </w:p>
    <w:p w14:paraId="395284CC" w14:textId="7B56B0CA" w:rsidR="00F544C9" w:rsidRPr="004802E3" w:rsidRDefault="00F544C9" w:rsidP="00F544C9">
      <w:pPr>
        <w:pStyle w:val="ListParagraph"/>
        <w:numPr>
          <w:ilvl w:val="0"/>
          <w:numId w:val="14"/>
        </w:numPr>
        <w:rPr>
          <w:rFonts w:ascii="Georgia" w:hAnsi="Georgia"/>
          <w:sz w:val="22"/>
          <w:szCs w:val="22"/>
        </w:rPr>
      </w:pPr>
      <w:bookmarkStart w:id="0" w:name="_Hlk38899992"/>
      <w:r w:rsidRPr="004802E3">
        <w:rPr>
          <w:rFonts w:ascii="Georgia" w:hAnsi="Georgia"/>
          <w:sz w:val="22"/>
          <w:szCs w:val="22"/>
        </w:rPr>
        <w:t>Providers may render COVID-19 RPM bundled services to all MassHealth members, regardless of their coverage type.</w:t>
      </w:r>
      <w:r w:rsidR="00C261F0">
        <w:rPr>
          <w:rFonts w:ascii="Georgia" w:hAnsi="Georgia"/>
          <w:sz w:val="22"/>
          <w:szCs w:val="22"/>
        </w:rPr>
        <w:t xml:space="preserve"> </w:t>
      </w:r>
      <w:r w:rsidRPr="004802E3">
        <w:rPr>
          <w:rFonts w:ascii="Georgia" w:hAnsi="Georgia"/>
          <w:sz w:val="22"/>
          <w:szCs w:val="22"/>
        </w:rPr>
        <w:t>Additionally, the Health Safety Net will pay for COVID-19 RPM bundled services</w:t>
      </w:r>
      <w:r w:rsidR="0037410D">
        <w:rPr>
          <w:rFonts w:ascii="Georgia" w:hAnsi="Georgia"/>
          <w:sz w:val="22"/>
          <w:szCs w:val="22"/>
        </w:rPr>
        <w:t xml:space="preserve"> provided by acute hospitals and community health centers</w:t>
      </w:r>
      <w:r w:rsidRPr="004802E3">
        <w:rPr>
          <w:rFonts w:ascii="Georgia" w:hAnsi="Georgia"/>
          <w:sz w:val="22"/>
          <w:szCs w:val="22"/>
        </w:rPr>
        <w:t xml:space="preserve">. </w:t>
      </w:r>
    </w:p>
    <w:bookmarkEnd w:id="0"/>
    <w:p w14:paraId="54E30147" w14:textId="2DEA5571" w:rsidR="00F544C9" w:rsidRPr="004802E3" w:rsidRDefault="0037410D" w:rsidP="00563102">
      <w:pPr>
        <w:pStyle w:val="Heading2"/>
      </w:pPr>
      <w:r>
        <w:t xml:space="preserve">Additional Notes on </w:t>
      </w:r>
      <w:r w:rsidR="00F544C9" w:rsidRPr="004802E3">
        <w:t>Durable Medical Equipment</w:t>
      </w:r>
      <w:r>
        <w:t xml:space="preserve"> for RPM</w:t>
      </w:r>
    </w:p>
    <w:p w14:paraId="6BC14FB2" w14:textId="4F5DCEEC" w:rsidR="00F544C9" w:rsidRPr="004802E3" w:rsidRDefault="00F544C9" w:rsidP="00F544C9">
      <w:pPr>
        <w:pStyle w:val="ListParagraph"/>
        <w:numPr>
          <w:ilvl w:val="0"/>
          <w:numId w:val="15"/>
        </w:numPr>
        <w:rPr>
          <w:rFonts w:ascii="Georgia" w:hAnsi="Georgia"/>
          <w:sz w:val="22"/>
          <w:szCs w:val="22"/>
        </w:rPr>
      </w:pPr>
      <w:r w:rsidRPr="004802E3">
        <w:rPr>
          <w:rFonts w:ascii="Georgia" w:hAnsi="Georgia"/>
          <w:sz w:val="22"/>
          <w:szCs w:val="22"/>
        </w:rPr>
        <w:t xml:space="preserve">To facilitate remote patient monitoring, </w:t>
      </w:r>
      <w:r w:rsidR="001136B8">
        <w:rPr>
          <w:rFonts w:ascii="Georgia" w:hAnsi="Georgia"/>
          <w:sz w:val="22"/>
          <w:szCs w:val="22"/>
        </w:rPr>
        <w:t>p</w:t>
      </w:r>
      <w:r w:rsidRPr="004802E3">
        <w:rPr>
          <w:rFonts w:ascii="Georgia" w:hAnsi="Georgia"/>
          <w:sz w:val="22"/>
          <w:szCs w:val="22"/>
        </w:rPr>
        <w:t xml:space="preserve">roviders billing the COVID-19 RPM bundle must provide members receiving those services a thermometer and a pulse oximeter on the first day of the service period, or ensure that the member has access to these pieces of equipment (i.e., if the member currently has access to adequate equipment, the </w:t>
      </w:r>
      <w:r w:rsidR="00236F2F">
        <w:rPr>
          <w:rFonts w:ascii="Georgia" w:hAnsi="Georgia"/>
          <w:sz w:val="22"/>
          <w:szCs w:val="22"/>
        </w:rPr>
        <w:t>p</w:t>
      </w:r>
      <w:r w:rsidRPr="004802E3">
        <w:rPr>
          <w:rFonts w:ascii="Georgia" w:hAnsi="Georgia"/>
          <w:sz w:val="22"/>
          <w:szCs w:val="22"/>
        </w:rPr>
        <w:t>rovider must document this fact, but need not issue additional equipment to the member unless the member loses access to the preexisting thermometer and/or pulse oximeter).</w:t>
      </w:r>
      <w:r w:rsidR="00C261F0">
        <w:rPr>
          <w:rFonts w:ascii="Georgia" w:hAnsi="Georgia"/>
          <w:sz w:val="22"/>
          <w:szCs w:val="22"/>
        </w:rPr>
        <w:t xml:space="preserve"> </w:t>
      </w:r>
      <w:r w:rsidRPr="004802E3">
        <w:rPr>
          <w:rFonts w:ascii="Georgia" w:hAnsi="Georgia"/>
          <w:sz w:val="22"/>
          <w:szCs w:val="22"/>
        </w:rPr>
        <w:t>MassHealth will not provide separate reimbursement for the provision of this equipment.</w:t>
      </w:r>
      <w:r w:rsidR="00C261F0">
        <w:rPr>
          <w:rFonts w:ascii="Georgia" w:hAnsi="Georgia"/>
          <w:sz w:val="22"/>
          <w:szCs w:val="22"/>
        </w:rPr>
        <w:t xml:space="preserve"> </w:t>
      </w:r>
      <w:r w:rsidRPr="004802E3">
        <w:rPr>
          <w:rFonts w:ascii="Georgia" w:hAnsi="Georgia"/>
          <w:sz w:val="22"/>
          <w:szCs w:val="22"/>
        </w:rPr>
        <w:t>Providers are responsible for obtaining these pieces of equipment.</w:t>
      </w:r>
      <w:r w:rsidR="00C261F0">
        <w:rPr>
          <w:rFonts w:ascii="Georgia" w:hAnsi="Georgia"/>
          <w:sz w:val="22"/>
          <w:szCs w:val="22"/>
        </w:rPr>
        <w:t xml:space="preserve"> </w:t>
      </w:r>
    </w:p>
    <w:p w14:paraId="721B4471" w14:textId="1F0E9867" w:rsidR="006D5FDE" w:rsidRDefault="00F544C9" w:rsidP="00F544C9">
      <w:pPr>
        <w:pStyle w:val="ListParagraph"/>
        <w:numPr>
          <w:ilvl w:val="0"/>
          <w:numId w:val="15"/>
        </w:numPr>
        <w:rPr>
          <w:rFonts w:ascii="Georgia" w:hAnsi="Georgia"/>
          <w:sz w:val="22"/>
          <w:szCs w:val="22"/>
        </w:rPr>
      </w:pPr>
      <w:r w:rsidRPr="004802E3">
        <w:rPr>
          <w:rFonts w:ascii="Georgia" w:hAnsi="Georgia"/>
          <w:sz w:val="22"/>
          <w:szCs w:val="22"/>
        </w:rPr>
        <w:t xml:space="preserve">If additional medically necessary equipment or supplies beyond a thermometer and pulse oximeter are indicated for a member, such as a blood pressure cuff or blood glucose monitor, a provider may order such additional supplies separately as needed through existing MassHealth DME benefit channels. </w:t>
      </w:r>
    </w:p>
    <w:p w14:paraId="0DF96D68" w14:textId="77777777" w:rsidR="006D5FDE" w:rsidRDefault="006D5FDE">
      <w:pPr>
        <w:spacing w:after="200" w:line="276" w:lineRule="auto"/>
        <w:rPr>
          <w:rFonts w:ascii="Georgia" w:hAnsi="Georgia"/>
          <w:sz w:val="22"/>
          <w:szCs w:val="22"/>
        </w:rPr>
      </w:pPr>
      <w:r>
        <w:rPr>
          <w:rFonts w:ascii="Georgia" w:hAnsi="Georgia"/>
          <w:sz w:val="22"/>
          <w:szCs w:val="22"/>
        </w:rPr>
        <w:br w:type="page"/>
      </w:r>
    </w:p>
    <w:p w14:paraId="3345D4E7" w14:textId="77777777" w:rsidR="006D5FDE" w:rsidRPr="00F664CC" w:rsidRDefault="006D5FDE" w:rsidP="006D5FDE">
      <w:pPr>
        <w:pStyle w:val="BullsHeading"/>
      </w:pPr>
      <w:r w:rsidRPr="00F664CC">
        <w:lastRenderedPageBreak/>
        <w:t>MassHealth</w:t>
      </w:r>
    </w:p>
    <w:p w14:paraId="19055EC3" w14:textId="6E028EC9" w:rsidR="006D5FDE" w:rsidRPr="00F664CC" w:rsidRDefault="006D5FDE" w:rsidP="006D5FDE">
      <w:pPr>
        <w:pStyle w:val="BullsHeading"/>
      </w:pPr>
      <w:r>
        <w:t>All Provider</w:t>
      </w:r>
      <w:r w:rsidRPr="00F664CC">
        <w:t xml:space="preserve"> Bulletin </w:t>
      </w:r>
      <w:r w:rsidR="004907D3">
        <w:t>294</w:t>
      </w:r>
    </w:p>
    <w:p w14:paraId="7E112532" w14:textId="77777777" w:rsidR="006D5FDE" w:rsidRDefault="006D5FDE" w:rsidP="006D5FDE">
      <w:pPr>
        <w:pStyle w:val="BullsHeading"/>
      </w:pPr>
      <w:r>
        <w:t>May 2020</w:t>
      </w:r>
    </w:p>
    <w:p w14:paraId="72CCDE81" w14:textId="77777777" w:rsidR="006D5FDE" w:rsidRDefault="006D5FDE" w:rsidP="006D5FDE">
      <w:pPr>
        <w:pStyle w:val="BullsHeading"/>
        <w:rPr>
          <w:noProof/>
        </w:rPr>
      </w:pPr>
      <w:r>
        <w:t>Page 8 of 9</w:t>
      </w:r>
    </w:p>
    <w:p w14:paraId="162EDE30" w14:textId="77777777" w:rsidR="00F544C9" w:rsidRPr="004802E3" w:rsidRDefault="00F544C9" w:rsidP="006D5FDE">
      <w:pPr>
        <w:pStyle w:val="ListParagraph"/>
        <w:rPr>
          <w:rFonts w:ascii="Georgia" w:hAnsi="Georgia"/>
          <w:sz w:val="22"/>
          <w:szCs w:val="22"/>
        </w:rPr>
      </w:pPr>
    </w:p>
    <w:p w14:paraId="1B1D88BB" w14:textId="5CD81058" w:rsidR="00F544C9" w:rsidRPr="004802E3" w:rsidRDefault="00F544C9" w:rsidP="00F544C9">
      <w:pPr>
        <w:pStyle w:val="ListParagraph"/>
        <w:numPr>
          <w:ilvl w:val="0"/>
          <w:numId w:val="15"/>
        </w:numPr>
        <w:rPr>
          <w:rFonts w:ascii="Georgia" w:hAnsi="Georgia"/>
          <w:sz w:val="22"/>
          <w:szCs w:val="22"/>
        </w:rPr>
      </w:pPr>
      <w:r w:rsidRPr="004802E3">
        <w:rPr>
          <w:rFonts w:ascii="Georgia" w:hAnsi="Georgia"/>
          <w:sz w:val="22"/>
          <w:szCs w:val="22"/>
        </w:rPr>
        <w:t>Upon the conclusion of the service period, providers may allow members to keep any thermometer and/or pulse oximeter furnished to the member for use as part of the COVID-19 RPM bundle.</w:t>
      </w:r>
      <w:r w:rsidR="00C261F0">
        <w:rPr>
          <w:rFonts w:ascii="Georgia" w:hAnsi="Georgia"/>
          <w:sz w:val="22"/>
          <w:szCs w:val="22"/>
        </w:rPr>
        <w:t xml:space="preserve"> </w:t>
      </w:r>
      <w:r w:rsidRPr="004802E3">
        <w:rPr>
          <w:rFonts w:ascii="Georgia" w:hAnsi="Georgia"/>
          <w:sz w:val="22"/>
          <w:szCs w:val="22"/>
        </w:rPr>
        <w:t xml:space="preserve">Alternatively, providers may collect this used equipment at the conclusion of the monitoring service and sterilize for reuse. </w:t>
      </w:r>
    </w:p>
    <w:p w14:paraId="2702B341" w14:textId="23082436" w:rsidR="00F544C9" w:rsidRPr="004802E3" w:rsidRDefault="00F544C9" w:rsidP="00F544C9">
      <w:pPr>
        <w:pStyle w:val="Heading1"/>
        <w:rPr>
          <w:sz w:val="22"/>
          <w:szCs w:val="22"/>
        </w:rPr>
      </w:pPr>
      <w:r w:rsidRPr="004802E3">
        <w:rPr>
          <w:sz w:val="22"/>
          <w:szCs w:val="22"/>
        </w:rPr>
        <w:t>Informational Edits Extended past June 1, 2020</w:t>
      </w:r>
    </w:p>
    <w:p w14:paraId="5A344CB6" w14:textId="77777777" w:rsidR="006D5FDE" w:rsidRDefault="00F544C9" w:rsidP="00DC6008">
      <w:pPr>
        <w:spacing w:before="120"/>
        <w:ind w:left="360"/>
        <w:rPr>
          <w:rFonts w:ascii="Georgia" w:hAnsi="Georgia" w:cs="Arial"/>
          <w:sz w:val="22"/>
          <w:szCs w:val="22"/>
        </w:rPr>
      </w:pPr>
      <w:r w:rsidRPr="004802E3">
        <w:rPr>
          <w:rFonts w:ascii="Georgia" w:hAnsi="Georgia" w:cs="Arial"/>
          <w:sz w:val="22"/>
          <w:szCs w:val="22"/>
        </w:rPr>
        <w:t xml:space="preserve">As explained in Transmittal Letters PHY-157, AOH-45, IDTF-20, and CHC-113, effective March 1, 2020, MassHealth began requiring prior authorization (PA) for certain advanced imaging, non-obstetric ultrasound, polysomnography, and cardiology services (collectively, the Services Requiring PA). To facilitate and ease the implementation of this requirement, on March 1, 2020, MassHealth implemented an informational edit that will not deny claims for Services Requiring PA for lack of PA, but instead will inform providers of the PA requirement for those services and codes. </w:t>
      </w:r>
    </w:p>
    <w:p w14:paraId="4BBDE053" w14:textId="58268E77" w:rsidR="00DC6008" w:rsidRPr="004802E3" w:rsidRDefault="00F544C9" w:rsidP="00DC6008">
      <w:pPr>
        <w:spacing w:before="120"/>
        <w:ind w:left="360"/>
        <w:rPr>
          <w:rFonts w:ascii="Georgia" w:hAnsi="Georgia" w:cs="Arial"/>
          <w:sz w:val="22"/>
          <w:szCs w:val="22"/>
        </w:rPr>
      </w:pPr>
      <w:r w:rsidRPr="004802E3">
        <w:rPr>
          <w:rFonts w:ascii="Georgia" w:hAnsi="Georgia" w:cs="Arial"/>
          <w:sz w:val="22"/>
          <w:szCs w:val="22"/>
        </w:rPr>
        <w:t xml:space="preserve">Although </w:t>
      </w:r>
      <w:r w:rsidR="00DC6008" w:rsidRPr="004802E3">
        <w:rPr>
          <w:rFonts w:ascii="Georgia" w:hAnsi="Georgia" w:cs="Arial"/>
          <w:sz w:val="22"/>
          <w:szCs w:val="22"/>
        </w:rPr>
        <w:t>MassHealth intended to discontinue this informational edit on May 31, 2020, and implement hard denials of claims for Services Requiring PA for lack of PA on June 1, 2020</w:t>
      </w:r>
      <w:r w:rsidR="00DC6008">
        <w:rPr>
          <w:rFonts w:ascii="Georgia" w:hAnsi="Georgia" w:cs="Arial"/>
          <w:sz w:val="22"/>
          <w:szCs w:val="22"/>
        </w:rPr>
        <w:t>, d</w:t>
      </w:r>
      <w:r w:rsidR="00DC6008" w:rsidRPr="004802E3">
        <w:rPr>
          <w:rFonts w:ascii="Georgia" w:hAnsi="Georgia" w:cs="Arial"/>
          <w:sz w:val="22"/>
          <w:szCs w:val="22"/>
        </w:rPr>
        <w:t>ue to the COVID</w:t>
      </w:r>
      <w:r w:rsidR="00DC6008">
        <w:rPr>
          <w:rFonts w:ascii="Georgia" w:hAnsi="Georgia" w:cs="Arial"/>
          <w:sz w:val="22"/>
          <w:szCs w:val="22"/>
        </w:rPr>
        <w:t>-</w:t>
      </w:r>
      <w:r w:rsidR="00DC6008" w:rsidRPr="004802E3">
        <w:rPr>
          <w:rFonts w:ascii="Georgia" w:hAnsi="Georgia" w:cs="Arial"/>
          <w:sz w:val="22"/>
          <w:szCs w:val="22"/>
        </w:rPr>
        <w:t>19 emergency, MassHealth will extend this informational edit for the duration of the state of emergency declared via Executive Order No. 591.</w:t>
      </w:r>
      <w:r w:rsidR="00DC6008">
        <w:rPr>
          <w:rFonts w:ascii="Georgia" w:hAnsi="Georgia" w:cs="Arial"/>
          <w:sz w:val="22"/>
          <w:szCs w:val="22"/>
        </w:rPr>
        <w:t xml:space="preserve"> </w:t>
      </w:r>
      <w:r w:rsidR="00DC6008" w:rsidRPr="004802E3">
        <w:rPr>
          <w:rFonts w:ascii="Georgia" w:hAnsi="Georgia" w:cs="Arial"/>
          <w:sz w:val="22"/>
          <w:szCs w:val="22"/>
        </w:rPr>
        <w:t>In other words, MassHealth will not deny claims for Services Requiring PA for lack of PA beginning on June 1, 2020.</w:t>
      </w:r>
      <w:r w:rsidR="00DC6008">
        <w:rPr>
          <w:rFonts w:ascii="Georgia" w:hAnsi="Georgia" w:cs="Arial"/>
          <w:sz w:val="22"/>
          <w:szCs w:val="22"/>
        </w:rPr>
        <w:t xml:space="preserve"> </w:t>
      </w:r>
      <w:r w:rsidR="00DC6008" w:rsidRPr="004802E3">
        <w:rPr>
          <w:rFonts w:ascii="Georgia" w:hAnsi="Georgia" w:cs="Arial"/>
          <w:sz w:val="22"/>
          <w:szCs w:val="22"/>
        </w:rPr>
        <w:t>MassHealth will publish a subsequent bulletin prior to implementing denials of claims for Services Requiring PA for lack of PA.</w:t>
      </w:r>
    </w:p>
    <w:p w14:paraId="55DB4F82" w14:textId="463AC2A6" w:rsidR="00557888" w:rsidRPr="004802E3" w:rsidRDefault="0089045A" w:rsidP="00557888">
      <w:pPr>
        <w:pStyle w:val="Heading1"/>
        <w:rPr>
          <w:sz w:val="22"/>
          <w:szCs w:val="22"/>
        </w:rPr>
      </w:pPr>
      <w:r>
        <w:rPr>
          <w:sz w:val="22"/>
          <w:szCs w:val="22"/>
          <w:shd w:val="clear" w:color="auto" w:fill="FFFFFF"/>
        </w:rPr>
        <w:t>Coverage of</w:t>
      </w:r>
      <w:r w:rsidR="00BC361A">
        <w:rPr>
          <w:sz w:val="22"/>
          <w:szCs w:val="22"/>
          <w:shd w:val="clear" w:color="auto" w:fill="FFFFFF"/>
        </w:rPr>
        <w:t xml:space="preserve"> </w:t>
      </w:r>
      <w:r w:rsidR="00557888" w:rsidRPr="004802E3">
        <w:rPr>
          <w:sz w:val="22"/>
          <w:szCs w:val="22"/>
          <w:shd w:val="clear" w:color="auto" w:fill="FFFFFF"/>
        </w:rPr>
        <w:t>Preventive Visits</w:t>
      </w:r>
      <w:r w:rsidR="00557888" w:rsidRPr="004802E3">
        <w:rPr>
          <w:sz w:val="22"/>
          <w:szCs w:val="22"/>
        </w:rPr>
        <w:t xml:space="preserve"> via Telehealth</w:t>
      </w:r>
    </w:p>
    <w:p w14:paraId="6255155A" w14:textId="3E91CBFD" w:rsidR="0089045A" w:rsidRDefault="00557888" w:rsidP="00674830">
      <w:pPr>
        <w:pStyle w:val="NormalWeb"/>
        <w:shd w:val="clear" w:color="auto" w:fill="FFFFFF"/>
        <w:spacing w:before="120" w:beforeAutospacing="0" w:after="0" w:afterAutospacing="0"/>
        <w:ind w:left="360"/>
        <w:rPr>
          <w:rFonts w:ascii="Georgia" w:hAnsi="Georgia" w:cs="Segoe UI"/>
          <w:color w:val="000000"/>
          <w:sz w:val="22"/>
          <w:szCs w:val="22"/>
        </w:rPr>
      </w:pPr>
      <w:r w:rsidRPr="004802E3">
        <w:rPr>
          <w:rFonts w:ascii="Georgia" w:hAnsi="Georgia" w:cs="Segoe UI"/>
          <w:color w:val="000000"/>
          <w:sz w:val="22"/>
          <w:szCs w:val="22"/>
        </w:rPr>
        <w:t>MassHealth recognizes the challenges being faced by primary care providers during the COVID-19 emergency, especially as it relates to completing important preventive visits for children</w:t>
      </w:r>
      <w:r w:rsidR="0089045A">
        <w:rPr>
          <w:rFonts w:ascii="Georgia" w:hAnsi="Georgia" w:cs="Segoe UI"/>
          <w:color w:val="000000"/>
          <w:sz w:val="22"/>
          <w:szCs w:val="22"/>
        </w:rPr>
        <w:t xml:space="preserve"> and adults</w:t>
      </w:r>
      <w:r w:rsidRPr="004802E3">
        <w:rPr>
          <w:rFonts w:ascii="Georgia" w:hAnsi="Georgia" w:cs="Segoe UI"/>
          <w:color w:val="000000"/>
          <w:sz w:val="22"/>
          <w:szCs w:val="22"/>
        </w:rPr>
        <w:t>.</w:t>
      </w:r>
      <w:r w:rsidR="00C261F0">
        <w:rPr>
          <w:rFonts w:ascii="Georgia" w:hAnsi="Georgia" w:cs="Segoe UI"/>
          <w:color w:val="000000"/>
          <w:sz w:val="22"/>
          <w:szCs w:val="22"/>
        </w:rPr>
        <w:t xml:space="preserve"> </w:t>
      </w:r>
      <w:r w:rsidRPr="004802E3">
        <w:rPr>
          <w:rFonts w:ascii="Georgia" w:hAnsi="Georgia" w:cs="Segoe UI"/>
          <w:color w:val="000000"/>
          <w:sz w:val="22"/>
          <w:szCs w:val="22"/>
        </w:rPr>
        <w:t xml:space="preserve">During the COVID-19 emergency, MassHealth allows, but does not require, </w:t>
      </w:r>
      <w:r w:rsidR="00DA0F51">
        <w:rPr>
          <w:rFonts w:ascii="Georgia" w:hAnsi="Georgia" w:cs="Segoe UI"/>
          <w:color w:val="000000"/>
          <w:sz w:val="22"/>
          <w:szCs w:val="22"/>
        </w:rPr>
        <w:t xml:space="preserve">providers to render </w:t>
      </w:r>
      <w:r w:rsidRPr="004802E3">
        <w:rPr>
          <w:rFonts w:ascii="Georgia" w:hAnsi="Georgia" w:cs="Segoe UI"/>
          <w:color w:val="000000"/>
          <w:sz w:val="22"/>
          <w:szCs w:val="22"/>
        </w:rPr>
        <w:t>preventive visits via telehealth when clinically appropriate.</w:t>
      </w:r>
      <w:r w:rsidR="00C261F0">
        <w:rPr>
          <w:rFonts w:ascii="Georgia" w:hAnsi="Georgia" w:cs="Segoe UI"/>
          <w:color w:val="000000"/>
          <w:sz w:val="22"/>
          <w:szCs w:val="22"/>
        </w:rPr>
        <w:t xml:space="preserve"> </w:t>
      </w:r>
      <w:r w:rsidRPr="004802E3">
        <w:rPr>
          <w:rFonts w:ascii="Georgia" w:hAnsi="Georgia" w:cs="Segoe UI"/>
          <w:color w:val="000000"/>
          <w:sz w:val="22"/>
          <w:szCs w:val="22"/>
        </w:rPr>
        <w:t>As outlined in All Provider Bulletin</w:t>
      </w:r>
      <w:r w:rsidR="00945AC5">
        <w:rPr>
          <w:rFonts w:ascii="Georgia" w:hAnsi="Georgia" w:cs="Segoe UI"/>
          <w:color w:val="000000"/>
          <w:sz w:val="22"/>
          <w:szCs w:val="22"/>
        </w:rPr>
        <w:t>s</w:t>
      </w:r>
      <w:r w:rsidRPr="004802E3">
        <w:rPr>
          <w:rFonts w:ascii="Georgia" w:hAnsi="Georgia" w:cs="Segoe UI"/>
          <w:color w:val="000000"/>
          <w:sz w:val="22"/>
          <w:szCs w:val="22"/>
        </w:rPr>
        <w:t xml:space="preserve"> 289</w:t>
      </w:r>
      <w:r w:rsidR="00945AC5">
        <w:rPr>
          <w:rFonts w:ascii="Georgia" w:hAnsi="Georgia" w:cs="Segoe UI"/>
          <w:color w:val="000000"/>
          <w:sz w:val="22"/>
          <w:szCs w:val="22"/>
        </w:rPr>
        <w:t xml:space="preserve"> and 291</w:t>
      </w:r>
      <w:r w:rsidRPr="004802E3">
        <w:rPr>
          <w:rFonts w:ascii="Georgia" w:hAnsi="Georgia" w:cs="Segoe UI"/>
          <w:color w:val="000000"/>
          <w:sz w:val="22"/>
          <w:szCs w:val="22"/>
        </w:rPr>
        <w:t>, MassHealth will pay claims</w:t>
      </w:r>
      <w:r w:rsidR="0081571E">
        <w:rPr>
          <w:rFonts w:ascii="Georgia" w:hAnsi="Georgia" w:cs="Segoe UI"/>
          <w:color w:val="000000"/>
          <w:sz w:val="22"/>
          <w:szCs w:val="22"/>
        </w:rPr>
        <w:t xml:space="preserve"> for such services</w:t>
      </w:r>
      <w:r w:rsidRPr="004802E3">
        <w:rPr>
          <w:rFonts w:ascii="Georgia" w:hAnsi="Georgia" w:cs="Segoe UI"/>
          <w:color w:val="000000"/>
          <w:sz w:val="22"/>
          <w:szCs w:val="22"/>
        </w:rPr>
        <w:t xml:space="preserve">, </w:t>
      </w:r>
      <w:r w:rsidR="00B456BF">
        <w:rPr>
          <w:rFonts w:ascii="Georgia" w:hAnsi="Georgia" w:cs="Segoe UI"/>
          <w:color w:val="000000"/>
          <w:sz w:val="22"/>
          <w:szCs w:val="22"/>
        </w:rPr>
        <w:t>as</w:t>
      </w:r>
      <w:r w:rsidRPr="004802E3">
        <w:rPr>
          <w:rFonts w:ascii="Georgia" w:hAnsi="Georgia" w:cs="Segoe UI"/>
          <w:color w:val="000000"/>
          <w:sz w:val="22"/>
          <w:szCs w:val="22"/>
        </w:rPr>
        <w:t xml:space="preserve"> long as the </w:t>
      </w:r>
      <w:r w:rsidR="0081571E">
        <w:rPr>
          <w:rFonts w:ascii="Georgia" w:hAnsi="Georgia" w:cs="Segoe UI"/>
          <w:color w:val="000000"/>
          <w:sz w:val="22"/>
          <w:szCs w:val="22"/>
        </w:rPr>
        <w:t xml:space="preserve">claim identifies the </w:t>
      </w:r>
      <w:r w:rsidRPr="004802E3">
        <w:rPr>
          <w:rFonts w:ascii="Georgia" w:hAnsi="Georgia" w:cs="Segoe UI"/>
          <w:color w:val="000000"/>
          <w:sz w:val="22"/>
          <w:szCs w:val="22"/>
        </w:rPr>
        <w:t>Place of Service as “02”.</w:t>
      </w:r>
      <w:r w:rsidR="0089045A">
        <w:rPr>
          <w:rFonts w:ascii="Georgia" w:hAnsi="Georgia" w:cs="Segoe UI"/>
          <w:color w:val="000000"/>
          <w:sz w:val="22"/>
          <w:szCs w:val="22"/>
        </w:rPr>
        <w:t xml:space="preserve"> </w:t>
      </w:r>
      <w:r w:rsidRPr="004802E3">
        <w:rPr>
          <w:rFonts w:ascii="Georgia" w:hAnsi="Georgia" w:cs="Segoe UI"/>
          <w:color w:val="000000"/>
          <w:sz w:val="22"/>
          <w:szCs w:val="22"/>
        </w:rPr>
        <w:t>MassHealth encourages providers to adhere to</w:t>
      </w:r>
      <w:r w:rsidR="00B456BF">
        <w:rPr>
          <w:rFonts w:ascii="Georgia" w:hAnsi="Georgia" w:cs="Segoe UI"/>
          <w:color w:val="000000"/>
          <w:sz w:val="22"/>
          <w:szCs w:val="22"/>
        </w:rPr>
        <w:t xml:space="preserve"> </w:t>
      </w:r>
      <w:hyperlink r:id="rId18" w:anchor="ClinicalGuidance" w:tgtFrame="_blank" w:history="1">
        <w:r w:rsidRPr="004802E3">
          <w:rPr>
            <w:rStyle w:val="Hyperlink"/>
            <w:rFonts w:ascii="Georgia" w:hAnsi="Georgia" w:cs="Segoe UI"/>
            <w:sz w:val="22"/>
            <w:szCs w:val="22"/>
          </w:rPr>
          <w:t>recommendations from the American Academy of Pediatrics</w:t>
        </w:r>
      </w:hyperlink>
      <w:r w:rsidR="00B456BF">
        <w:rPr>
          <w:rFonts w:ascii="Georgia" w:hAnsi="Georgia" w:cs="Segoe UI"/>
          <w:color w:val="000000"/>
          <w:sz w:val="22"/>
          <w:szCs w:val="22"/>
        </w:rPr>
        <w:t xml:space="preserve"> </w:t>
      </w:r>
      <w:r w:rsidRPr="004802E3">
        <w:rPr>
          <w:rFonts w:ascii="Georgia" w:hAnsi="Georgia" w:cs="Segoe UI"/>
          <w:color w:val="000000"/>
          <w:sz w:val="22"/>
          <w:szCs w:val="22"/>
        </w:rPr>
        <w:t>on delivery of preventive services during the COVID-19 emergency, including the recommendation to prioritize in-person newborn care and well visits and immunization of infants and young children (through 24 months of age) whenever possible.</w:t>
      </w:r>
      <w:r w:rsidR="00C261F0">
        <w:rPr>
          <w:rFonts w:ascii="Georgia" w:hAnsi="Georgia" w:cs="Segoe UI"/>
          <w:color w:val="000000"/>
          <w:sz w:val="22"/>
          <w:szCs w:val="22"/>
        </w:rPr>
        <w:t xml:space="preserve"> </w:t>
      </w:r>
    </w:p>
    <w:p w14:paraId="7FB25CBC" w14:textId="056699A3" w:rsidR="00674830" w:rsidRDefault="00557888" w:rsidP="00674830">
      <w:pPr>
        <w:pStyle w:val="NormalWeb"/>
        <w:shd w:val="clear" w:color="auto" w:fill="FFFFFF"/>
        <w:spacing w:before="120" w:beforeAutospacing="0" w:after="0" w:afterAutospacing="0"/>
        <w:ind w:left="360"/>
        <w:rPr>
          <w:rFonts w:ascii="Georgia" w:hAnsi="Georgia" w:cs="Segoe UI"/>
          <w:color w:val="000000"/>
          <w:sz w:val="22"/>
          <w:szCs w:val="22"/>
        </w:rPr>
      </w:pPr>
      <w:r w:rsidRPr="004802E3">
        <w:rPr>
          <w:rFonts w:ascii="Georgia" w:hAnsi="Georgia" w:cs="Segoe UI"/>
          <w:color w:val="000000"/>
          <w:sz w:val="22"/>
          <w:szCs w:val="22"/>
        </w:rPr>
        <w:t xml:space="preserve">For those preventive visits that are completed via telehealth, MassHealth is aware that there may be medically necessary components </w:t>
      </w:r>
      <w:r w:rsidR="00674830">
        <w:rPr>
          <w:rFonts w:ascii="Georgia" w:hAnsi="Georgia" w:cs="Segoe UI"/>
          <w:color w:val="000000"/>
          <w:sz w:val="22"/>
          <w:szCs w:val="22"/>
        </w:rPr>
        <w:t xml:space="preserve">of those visits </w:t>
      </w:r>
      <w:r w:rsidRPr="004802E3">
        <w:rPr>
          <w:rFonts w:ascii="Georgia" w:hAnsi="Georgia" w:cs="Segoe UI"/>
          <w:color w:val="000000"/>
          <w:sz w:val="22"/>
          <w:szCs w:val="22"/>
        </w:rPr>
        <w:t>that cannot be completed via telehealth modalities</w:t>
      </w:r>
      <w:r w:rsidR="00674830">
        <w:rPr>
          <w:rFonts w:ascii="Georgia" w:hAnsi="Georgia" w:cs="Segoe UI"/>
          <w:color w:val="000000"/>
          <w:sz w:val="22"/>
          <w:szCs w:val="22"/>
        </w:rPr>
        <w:t xml:space="preserve">. MassHealth </w:t>
      </w:r>
      <w:r w:rsidRPr="004802E3">
        <w:rPr>
          <w:rFonts w:ascii="Georgia" w:hAnsi="Georgia" w:cs="Segoe UI"/>
          <w:color w:val="000000"/>
          <w:sz w:val="22"/>
          <w:szCs w:val="22"/>
        </w:rPr>
        <w:t xml:space="preserve">recommends </w:t>
      </w:r>
      <w:r w:rsidR="00674830">
        <w:rPr>
          <w:rFonts w:ascii="Georgia" w:hAnsi="Georgia" w:cs="Segoe UI"/>
          <w:color w:val="000000"/>
          <w:sz w:val="22"/>
          <w:szCs w:val="22"/>
        </w:rPr>
        <w:t xml:space="preserve">that providers complete the </w:t>
      </w:r>
      <w:r w:rsidR="00945AC5">
        <w:rPr>
          <w:rFonts w:ascii="Georgia" w:hAnsi="Georgia" w:cs="Segoe UI"/>
          <w:color w:val="000000"/>
          <w:sz w:val="22"/>
          <w:szCs w:val="22"/>
        </w:rPr>
        <w:t xml:space="preserve">unperformed </w:t>
      </w:r>
      <w:r w:rsidR="00674830">
        <w:rPr>
          <w:rFonts w:ascii="Georgia" w:hAnsi="Georgia" w:cs="Segoe UI"/>
          <w:color w:val="000000"/>
          <w:sz w:val="22"/>
          <w:szCs w:val="22"/>
        </w:rPr>
        <w:t xml:space="preserve">components </w:t>
      </w:r>
      <w:r w:rsidR="00945AC5">
        <w:rPr>
          <w:rFonts w:ascii="Georgia" w:hAnsi="Georgia" w:cs="Segoe UI"/>
          <w:color w:val="000000"/>
          <w:sz w:val="22"/>
          <w:szCs w:val="22"/>
        </w:rPr>
        <w:t xml:space="preserve">of those visits </w:t>
      </w:r>
      <w:r w:rsidRPr="004802E3">
        <w:rPr>
          <w:rFonts w:ascii="Georgia" w:hAnsi="Georgia" w:cs="Segoe UI"/>
          <w:color w:val="000000"/>
          <w:sz w:val="22"/>
          <w:szCs w:val="22"/>
        </w:rPr>
        <w:t>as soon as possible</w:t>
      </w:r>
      <w:r w:rsidR="00674830">
        <w:rPr>
          <w:rFonts w:ascii="Georgia" w:hAnsi="Georgia" w:cs="Segoe UI"/>
          <w:color w:val="000000"/>
          <w:sz w:val="22"/>
          <w:szCs w:val="22"/>
        </w:rPr>
        <w:t>, whether</w:t>
      </w:r>
      <w:r w:rsidRPr="004802E3">
        <w:rPr>
          <w:rFonts w:ascii="Georgia" w:hAnsi="Georgia" w:cs="Segoe UI"/>
          <w:color w:val="000000"/>
          <w:sz w:val="22"/>
          <w:szCs w:val="22"/>
        </w:rPr>
        <w:t xml:space="preserve"> before or after the emergency concludes.</w:t>
      </w:r>
      <w:r w:rsidR="00C261F0">
        <w:rPr>
          <w:rFonts w:ascii="Georgia" w:hAnsi="Georgia" w:cs="Segoe UI"/>
          <w:color w:val="000000"/>
          <w:sz w:val="22"/>
          <w:szCs w:val="22"/>
        </w:rPr>
        <w:t xml:space="preserve"> </w:t>
      </w:r>
    </w:p>
    <w:p w14:paraId="077CF401" w14:textId="5338ED05" w:rsidR="00557888" w:rsidRDefault="00557888" w:rsidP="00674830">
      <w:pPr>
        <w:pStyle w:val="NormalWeb"/>
        <w:shd w:val="clear" w:color="auto" w:fill="FFFFFF"/>
        <w:spacing w:before="120" w:beforeAutospacing="0" w:after="0" w:afterAutospacing="0"/>
        <w:ind w:left="360"/>
        <w:rPr>
          <w:rFonts w:ascii="Georgia" w:hAnsi="Georgia" w:cs="Segoe UI"/>
          <w:color w:val="000000"/>
          <w:sz w:val="22"/>
          <w:szCs w:val="22"/>
        </w:rPr>
      </w:pPr>
      <w:r w:rsidRPr="004802E3">
        <w:rPr>
          <w:rFonts w:ascii="Georgia" w:hAnsi="Georgia" w:cs="Segoe UI"/>
          <w:color w:val="000000"/>
          <w:sz w:val="22"/>
          <w:szCs w:val="22"/>
        </w:rPr>
        <w:t>Therefore</w:t>
      </w:r>
      <w:r w:rsidR="00B456BF">
        <w:rPr>
          <w:rFonts w:ascii="Georgia" w:hAnsi="Georgia" w:cs="Segoe UI"/>
          <w:color w:val="000000"/>
          <w:sz w:val="22"/>
          <w:szCs w:val="22"/>
        </w:rPr>
        <w:t>,</w:t>
      </w:r>
      <w:r w:rsidRPr="004802E3">
        <w:rPr>
          <w:rFonts w:ascii="Georgia" w:hAnsi="Georgia" w:cs="Segoe UI"/>
          <w:color w:val="000000"/>
          <w:sz w:val="22"/>
          <w:szCs w:val="22"/>
        </w:rPr>
        <w:t xml:space="preserve"> </w:t>
      </w:r>
      <w:r w:rsidR="00674830">
        <w:rPr>
          <w:rFonts w:ascii="Georgia" w:hAnsi="Georgia" w:cs="Segoe UI"/>
          <w:color w:val="000000"/>
          <w:sz w:val="22"/>
          <w:szCs w:val="22"/>
        </w:rPr>
        <w:t>MassHealth anticipates that some providers will need to conduct in-person</w:t>
      </w:r>
      <w:r w:rsidR="00B5639E">
        <w:rPr>
          <w:rFonts w:ascii="Georgia" w:hAnsi="Georgia" w:cs="Segoe UI"/>
          <w:color w:val="000000"/>
          <w:sz w:val="22"/>
          <w:szCs w:val="22"/>
        </w:rPr>
        <w:t>,</w:t>
      </w:r>
      <w:r w:rsidR="00674830">
        <w:rPr>
          <w:rFonts w:ascii="Georgia" w:hAnsi="Georgia" w:cs="Segoe UI"/>
          <w:color w:val="000000"/>
          <w:sz w:val="22"/>
          <w:szCs w:val="22"/>
        </w:rPr>
        <w:t xml:space="preserve"> follow-up visits to complete those medically necessary, yet unperformed components of </w:t>
      </w:r>
      <w:r w:rsidR="00945AC5">
        <w:rPr>
          <w:rFonts w:ascii="Georgia" w:hAnsi="Georgia" w:cs="Segoe UI"/>
          <w:color w:val="000000"/>
          <w:sz w:val="22"/>
          <w:szCs w:val="22"/>
        </w:rPr>
        <w:t xml:space="preserve">a </w:t>
      </w:r>
      <w:r w:rsidR="0089045A">
        <w:rPr>
          <w:rFonts w:ascii="Georgia" w:hAnsi="Georgia" w:cs="Segoe UI"/>
          <w:color w:val="000000"/>
          <w:sz w:val="22"/>
          <w:szCs w:val="22"/>
        </w:rPr>
        <w:t xml:space="preserve">preventive </w:t>
      </w:r>
      <w:r w:rsidR="00674830">
        <w:rPr>
          <w:rFonts w:ascii="Georgia" w:hAnsi="Georgia" w:cs="Segoe UI"/>
          <w:color w:val="000000"/>
          <w:sz w:val="22"/>
          <w:szCs w:val="22"/>
        </w:rPr>
        <w:t>visit</w:t>
      </w:r>
      <w:r w:rsidR="0089045A">
        <w:rPr>
          <w:rFonts w:ascii="Georgia" w:hAnsi="Georgia" w:cs="Segoe UI"/>
          <w:color w:val="000000"/>
          <w:sz w:val="22"/>
          <w:szCs w:val="22"/>
        </w:rPr>
        <w:t xml:space="preserve"> conducted via telehealth</w:t>
      </w:r>
      <w:r w:rsidR="00674830">
        <w:rPr>
          <w:rFonts w:ascii="Georgia" w:hAnsi="Georgia" w:cs="Segoe UI"/>
          <w:color w:val="000000"/>
          <w:sz w:val="22"/>
          <w:szCs w:val="22"/>
        </w:rPr>
        <w:t xml:space="preserve">. </w:t>
      </w:r>
      <w:r w:rsidRPr="004802E3">
        <w:rPr>
          <w:rFonts w:ascii="Georgia" w:hAnsi="Georgia" w:cs="Segoe UI"/>
          <w:color w:val="000000"/>
          <w:sz w:val="22"/>
          <w:szCs w:val="22"/>
        </w:rPr>
        <w:t>MassHealth is implementing the following policy to address this need:</w:t>
      </w:r>
    </w:p>
    <w:p w14:paraId="5FA98422" w14:textId="1647C2B1" w:rsidR="00557888" w:rsidRDefault="00557888" w:rsidP="009B46A2">
      <w:pPr>
        <w:pStyle w:val="NormalWeb"/>
        <w:numPr>
          <w:ilvl w:val="0"/>
          <w:numId w:val="19"/>
        </w:numPr>
        <w:shd w:val="clear" w:color="auto" w:fill="FFFFFF"/>
        <w:spacing w:before="0" w:beforeAutospacing="0" w:after="0" w:afterAutospacing="0"/>
        <w:ind w:left="720"/>
        <w:rPr>
          <w:rStyle w:val="Strong"/>
          <w:rFonts w:ascii="Georgia" w:hAnsi="Georgia" w:cs="Segoe UI"/>
          <w:color w:val="000000"/>
          <w:sz w:val="22"/>
          <w:szCs w:val="22"/>
        </w:rPr>
      </w:pPr>
      <w:r w:rsidRPr="00CB4C63">
        <w:rPr>
          <w:rFonts w:ascii="Georgia" w:hAnsi="Georgia" w:cs="Segoe UI"/>
          <w:color w:val="000000"/>
          <w:sz w:val="22"/>
          <w:szCs w:val="22"/>
        </w:rPr>
        <w:t>For a</w:t>
      </w:r>
      <w:r w:rsidR="0089045A">
        <w:rPr>
          <w:rFonts w:ascii="Georgia" w:hAnsi="Georgia" w:cs="Segoe UI"/>
          <w:color w:val="000000"/>
          <w:sz w:val="22"/>
          <w:szCs w:val="22"/>
        </w:rPr>
        <w:t xml:space="preserve"> </w:t>
      </w:r>
      <w:r w:rsidRPr="00CB4C63">
        <w:rPr>
          <w:rFonts w:ascii="Georgia" w:hAnsi="Georgia" w:cs="Segoe UI"/>
          <w:color w:val="000000"/>
          <w:sz w:val="22"/>
          <w:szCs w:val="22"/>
        </w:rPr>
        <w:t>preventive visit conducted via telehealth</w:t>
      </w:r>
      <w:r w:rsidR="0028530E">
        <w:rPr>
          <w:rFonts w:ascii="Georgia" w:hAnsi="Georgia" w:cs="Segoe UI"/>
          <w:color w:val="000000"/>
          <w:sz w:val="22"/>
          <w:szCs w:val="22"/>
        </w:rPr>
        <w:t>,</w:t>
      </w:r>
      <w:r w:rsidRPr="00CB4C63">
        <w:rPr>
          <w:rFonts w:ascii="Georgia" w:hAnsi="Georgia" w:cs="Segoe UI"/>
          <w:color w:val="000000"/>
          <w:sz w:val="22"/>
          <w:szCs w:val="22"/>
        </w:rPr>
        <w:t xml:space="preserve"> </w:t>
      </w:r>
      <w:r w:rsidR="00F85D4D" w:rsidRPr="00CB4C63">
        <w:rPr>
          <w:rFonts w:ascii="Georgia" w:hAnsi="Georgia" w:cs="Segoe UI"/>
          <w:color w:val="000000"/>
          <w:sz w:val="22"/>
          <w:szCs w:val="22"/>
        </w:rPr>
        <w:t xml:space="preserve">providers may </w:t>
      </w:r>
      <w:r w:rsidRPr="00CB4C63">
        <w:rPr>
          <w:rFonts w:ascii="Georgia" w:hAnsi="Georgia" w:cs="Segoe UI"/>
          <w:color w:val="000000"/>
          <w:sz w:val="22"/>
          <w:szCs w:val="22"/>
        </w:rPr>
        <w:t>bill</w:t>
      </w:r>
      <w:r w:rsidRPr="00CB4C63">
        <w:rPr>
          <w:rStyle w:val="Strong"/>
          <w:rFonts w:ascii="Georgia" w:hAnsi="Georgia" w:cs="Segoe UI"/>
          <w:b w:val="0"/>
          <w:bCs w:val="0"/>
          <w:color w:val="000000"/>
          <w:sz w:val="22"/>
          <w:szCs w:val="22"/>
        </w:rPr>
        <w:t>:</w:t>
      </w:r>
    </w:p>
    <w:p w14:paraId="053EE7EB" w14:textId="36FCD50C" w:rsidR="00557888" w:rsidRPr="004802E3" w:rsidRDefault="0028530E" w:rsidP="006006DE">
      <w:pPr>
        <w:numPr>
          <w:ilvl w:val="0"/>
          <w:numId w:val="20"/>
        </w:numPr>
        <w:shd w:val="clear" w:color="auto" w:fill="FFFFFF"/>
        <w:rPr>
          <w:rFonts w:ascii="Georgia" w:hAnsi="Georgia" w:cs="Segoe UI"/>
          <w:color w:val="000000"/>
          <w:sz w:val="22"/>
          <w:szCs w:val="22"/>
        </w:rPr>
      </w:pPr>
      <w:r>
        <w:rPr>
          <w:rFonts w:ascii="Georgia" w:hAnsi="Georgia" w:cs="Segoe UI"/>
          <w:color w:val="000000"/>
          <w:sz w:val="22"/>
          <w:szCs w:val="22"/>
        </w:rPr>
        <w:t>An a</w:t>
      </w:r>
      <w:r w:rsidRPr="004802E3">
        <w:rPr>
          <w:rFonts w:ascii="Georgia" w:hAnsi="Georgia" w:cs="Segoe UI"/>
          <w:color w:val="000000"/>
          <w:sz w:val="22"/>
          <w:szCs w:val="22"/>
        </w:rPr>
        <w:t xml:space="preserve">ppropriate </w:t>
      </w:r>
      <w:r w:rsidR="00557888" w:rsidRPr="004802E3">
        <w:rPr>
          <w:rFonts w:ascii="Georgia" w:hAnsi="Georgia" w:cs="Segoe UI"/>
          <w:color w:val="000000"/>
          <w:sz w:val="22"/>
          <w:szCs w:val="22"/>
        </w:rPr>
        <w:t xml:space="preserve">preventive visit code plus </w:t>
      </w:r>
      <w:r w:rsidR="00FD41F8">
        <w:rPr>
          <w:rFonts w:ascii="Georgia" w:hAnsi="Georgia" w:cs="Segoe UI"/>
          <w:color w:val="000000"/>
          <w:sz w:val="22"/>
          <w:szCs w:val="22"/>
        </w:rPr>
        <w:t>“</w:t>
      </w:r>
      <w:r w:rsidR="00557888" w:rsidRPr="004802E3">
        <w:rPr>
          <w:rFonts w:ascii="Georgia" w:hAnsi="Georgia" w:cs="Segoe UI"/>
          <w:color w:val="000000"/>
          <w:sz w:val="22"/>
          <w:szCs w:val="22"/>
        </w:rPr>
        <w:t>02</w:t>
      </w:r>
      <w:r w:rsidR="00FD41F8">
        <w:rPr>
          <w:rFonts w:ascii="Georgia" w:hAnsi="Georgia" w:cs="Segoe UI"/>
          <w:color w:val="000000"/>
          <w:sz w:val="22"/>
          <w:szCs w:val="22"/>
        </w:rPr>
        <w:t>”</w:t>
      </w:r>
      <w:r w:rsidR="00557888" w:rsidRPr="004802E3">
        <w:rPr>
          <w:rFonts w:ascii="Georgia" w:hAnsi="Georgia" w:cs="Segoe UI"/>
          <w:color w:val="000000"/>
          <w:sz w:val="22"/>
          <w:szCs w:val="22"/>
        </w:rPr>
        <w:t xml:space="preserve"> for place of service</w:t>
      </w:r>
      <w:r w:rsidR="00FD41F8">
        <w:rPr>
          <w:rFonts w:ascii="Georgia" w:hAnsi="Georgia" w:cs="Segoe UI"/>
          <w:color w:val="000000"/>
          <w:sz w:val="22"/>
          <w:szCs w:val="22"/>
        </w:rPr>
        <w:t>;</w:t>
      </w:r>
    </w:p>
    <w:p w14:paraId="5953D47F" w14:textId="70D35934" w:rsidR="00557888" w:rsidRDefault="00557888" w:rsidP="006006DE">
      <w:pPr>
        <w:numPr>
          <w:ilvl w:val="0"/>
          <w:numId w:val="20"/>
        </w:numPr>
        <w:shd w:val="clear" w:color="auto" w:fill="FFFFFF"/>
        <w:rPr>
          <w:rFonts w:ascii="Georgia" w:hAnsi="Georgia" w:cs="Segoe UI"/>
          <w:color w:val="000000"/>
          <w:sz w:val="22"/>
          <w:szCs w:val="22"/>
        </w:rPr>
      </w:pPr>
      <w:r w:rsidRPr="004802E3">
        <w:rPr>
          <w:rFonts w:ascii="Georgia" w:hAnsi="Georgia" w:cs="Segoe UI"/>
          <w:color w:val="000000"/>
          <w:sz w:val="22"/>
          <w:szCs w:val="22"/>
        </w:rPr>
        <w:t>Any additional codes applicable to the service provided (e.g.</w:t>
      </w:r>
      <w:r w:rsidR="00FD41F8">
        <w:rPr>
          <w:rFonts w:ascii="Georgia" w:hAnsi="Georgia" w:cs="Segoe UI"/>
          <w:color w:val="000000"/>
          <w:sz w:val="22"/>
          <w:szCs w:val="22"/>
        </w:rPr>
        <w:t>,</w:t>
      </w:r>
      <w:r w:rsidRPr="004802E3">
        <w:rPr>
          <w:rFonts w:ascii="Georgia" w:hAnsi="Georgia" w:cs="Segoe UI"/>
          <w:color w:val="000000"/>
          <w:sz w:val="22"/>
          <w:szCs w:val="22"/>
        </w:rPr>
        <w:t xml:space="preserve"> developmental screening, health risk assessment, behavioral/emotional assessment)</w:t>
      </w:r>
      <w:r w:rsidR="00FD41F8">
        <w:rPr>
          <w:rFonts w:ascii="Georgia" w:hAnsi="Georgia" w:cs="Segoe UI"/>
          <w:color w:val="000000"/>
          <w:sz w:val="22"/>
          <w:szCs w:val="22"/>
        </w:rPr>
        <w:t>; and</w:t>
      </w:r>
    </w:p>
    <w:p w14:paraId="6A4FE0C3" w14:textId="7712227D" w:rsidR="00AD3A31" w:rsidRPr="004802E3" w:rsidRDefault="00BC361A" w:rsidP="006006DE">
      <w:pPr>
        <w:numPr>
          <w:ilvl w:val="0"/>
          <w:numId w:val="20"/>
        </w:numPr>
        <w:shd w:val="clear" w:color="auto" w:fill="FFFFFF"/>
        <w:rPr>
          <w:rFonts w:ascii="Georgia" w:hAnsi="Georgia" w:cs="Segoe UI"/>
          <w:color w:val="000000"/>
          <w:sz w:val="22"/>
          <w:szCs w:val="22"/>
        </w:rPr>
      </w:pPr>
      <w:r>
        <w:rPr>
          <w:rFonts w:ascii="Georgia" w:hAnsi="Georgia" w:cs="Segoe UI"/>
          <w:color w:val="000000"/>
          <w:sz w:val="22"/>
          <w:szCs w:val="22"/>
        </w:rPr>
        <w:t>S</w:t>
      </w:r>
      <w:r w:rsidR="00AD3A31">
        <w:rPr>
          <w:rFonts w:ascii="Georgia" w:hAnsi="Georgia" w:cs="Segoe UI"/>
          <w:color w:val="000000"/>
          <w:sz w:val="22"/>
          <w:szCs w:val="22"/>
        </w:rPr>
        <w:t>eparately for vaccines administered on the same date as the tele</w:t>
      </w:r>
      <w:r>
        <w:rPr>
          <w:rFonts w:ascii="Georgia" w:hAnsi="Georgia" w:cs="Segoe UI"/>
          <w:color w:val="000000"/>
          <w:sz w:val="22"/>
          <w:szCs w:val="22"/>
        </w:rPr>
        <w:t>health visit, as the vaccine administration and the telehealth visit do not occur in the same location. Providers may not use place of service code “02” when submitting claims for such same-day vaccine administrations.</w:t>
      </w:r>
    </w:p>
    <w:p w14:paraId="3D6FCD85" w14:textId="0CA0538C" w:rsidR="003E3CD4" w:rsidRDefault="003E3CD4">
      <w:pPr>
        <w:spacing w:after="200" w:line="276" w:lineRule="auto"/>
        <w:rPr>
          <w:rFonts w:ascii="Georgia" w:hAnsi="Georgia" w:cs="Segoe UI"/>
          <w:color w:val="000000"/>
          <w:sz w:val="22"/>
          <w:szCs w:val="22"/>
        </w:rPr>
      </w:pPr>
      <w:r>
        <w:rPr>
          <w:rFonts w:ascii="Georgia" w:hAnsi="Georgia" w:cs="Segoe UI"/>
          <w:color w:val="000000"/>
          <w:sz w:val="22"/>
          <w:szCs w:val="22"/>
        </w:rPr>
        <w:br w:type="page"/>
      </w:r>
    </w:p>
    <w:p w14:paraId="2B6329A1" w14:textId="77777777" w:rsidR="003E3CD4" w:rsidRPr="00F664CC" w:rsidRDefault="003E3CD4" w:rsidP="003E3CD4">
      <w:pPr>
        <w:pStyle w:val="BullsHeading"/>
      </w:pPr>
      <w:r w:rsidRPr="00F664CC">
        <w:lastRenderedPageBreak/>
        <w:t>MassHealth</w:t>
      </w:r>
    </w:p>
    <w:p w14:paraId="1640D717" w14:textId="2D42D55B" w:rsidR="003E3CD4" w:rsidRPr="00F664CC" w:rsidRDefault="003E3CD4" w:rsidP="003E3CD4">
      <w:pPr>
        <w:pStyle w:val="BullsHeading"/>
      </w:pPr>
      <w:r>
        <w:t>All Provider</w:t>
      </w:r>
      <w:r w:rsidRPr="00F664CC">
        <w:t xml:space="preserve"> Bulletin </w:t>
      </w:r>
      <w:r w:rsidR="004907D3">
        <w:t>294</w:t>
      </w:r>
    </w:p>
    <w:p w14:paraId="5088396A" w14:textId="77777777" w:rsidR="003E3CD4" w:rsidRDefault="003E3CD4" w:rsidP="003E3CD4">
      <w:pPr>
        <w:pStyle w:val="BullsHeading"/>
      </w:pPr>
      <w:r>
        <w:t>May 2020</w:t>
      </w:r>
    </w:p>
    <w:p w14:paraId="150F69DB" w14:textId="77777777" w:rsidR="003E3CD4" w:rsidRDefault="003E3CD4" w:rsidP="003E3CD4">
      <w:pPr>
        <w:pStyle w:val="BullsHeading"/>
        <w:rPr>
          <w:noProof/>
        </w:rPr>
      </w:pPr>
      <w:r>
        <w:t>Page 9 of 9</w:t>
      </w:r>
    </w:p>
    <w:p w14:paraId="7DB1DC73" w14:textId="77777777" w:rsidR="003E3CD4" w:rsidRDefault="003E3CD4" w:rsidP="003E3CD4">
      <w:pPr>
        <w:shd w:val="clear" w:color="auto" w:fill="FFFFFF"/>
        <w:ind w:left="720"/>
        <w:rPr>
          <w:rFonts w:ascii="Georgia" w:hAnsi="Georgia" w:cs="Segoe UI"/>
          <w:color w:val="000000"/>
          <w:sz w:val="22"/>
          <w:szCs w:val="22"/>
        </w:rPr>
      </w:pPr>
    </w:p>
    <w:p w14:paraId="667C3738" w14:textId="3B2CB6DB" w:rsidR="00557888" w:rsidRPr="0081571E" w:rsidRDefault="00557888" w:rsidP="009B46A2">
      <w:pPr>
        <w:numPr>
          <w:ilvl w:val="0"/>
          <w:numId w:val="17"/>
        </w:numPr>
        <w:shd w:val="clear" w:color="auto" w:fill="FFFFFF"/>
        <w:rPr>
          <w:rFonts w:ascii="Georgia" w:hAnsi="Georgia" w:cs="Segoe UI"/>
          <w:color w:val="000000"/>
          <w:sz w:val="22"/>
          <w:szCs w:val="22"/>
        </w:rPr>
      </w:pPr>
      <w:r w:rsidRPr="0081571E">
        <w:rPr>
          <w:rFonts w:ascii="Georgia" w:hAnsi="Georgia" w:cs="Segoe UI"/>
          <w:color w:val="000000"/>
          <w:sz w:val="22"/>
          <w:szCs w:val="22"/>
        </w:rPr>
        <w:t>For an in-person follow-up visit to complete medically necessary components of the preventive visit</w:t>
      </w:r>
      <w:r w:rsidR="00AD3A31">
        <w:rPr>
          <w:rFonts w:ascii="Georgia" w:hAnsi="Georgia" w:cs="Segoe UI"/>
          <w:color w:val="000000"/>
          <w:sz w:val="22"/>
          <w:szCs w:val="22"/>
        </w:rPr>
        <w:t>, not performed on the same day as the preventive visit,</w:t>
      </w:r>
      <w:r w:rsidRPr="0081571E">
        <w:rPr>
          <w:rFonts w:ascii="Georgia" w:hAnsi="Georgia" w:cs="Segoe UI"/>
          <w:color w:val="000000"/>
          <w:sz w:val="22"/>
          <w:szCs w:val="22"/>
        </w:rPr>
        <w:t xml:space="preserve"> </w:t>
      </w:r>
      <w:r w:rsidR="00F85D4D" w:rsidRPr="0081571E">
        <w:rPr>
          <w:rFonts w:ascii="Georgia" w:hAnsi="Georgia" w:cs="Segoe UI"/>
          <w:color w:val="000000"/>
          <w:sz w:val="22"/>
          <w:szCs w:val="22"/>
        </w:rPr>
        <w:t xml:space="preserve">providers may </w:t>
      </w:r>
      <w:r w:rsidRPr="0081571E">
        <w:rPr>
          <w:rFonts w:ascii="Georgia" w:hAnsi="Georgia" w:cs="Segoe UI"/>
          <w:color w:val="000000"/>
          <w:sz w:val="22"/>
          <w:szCs w:val="22"/>
        </w:rPr>
        <w:t>bill:</w:t>
      </w:r>
    </w:p>
    <w:p w14:paraId="465F4D31" w14:textId="67BACFCD" w:rsidR="00557888" w:rsidRPr="004802E3" w:rsidRDefault="00557888" w:rsidP="006006DE">
      <w:pPr>
        <w:numPr>
          <w:ilvl w:val="0"/>
          <w:numId w:val="21"/>
        </w:numPr>
        <w:shd w:val="clear" w:color="auto" w:fill="FFFFFF"/>
        <w:rPr>
          <w:rFonts w:ascii="Georgia" w:hAnsi="Georgia" w:cs="Segoe UI"/>
          <w:color w:val="000000"/>
          <w:sz w:val="22"/>
          <w:szCs w:val="22"/>
        </w:rPr>
      </w:pPr>
      <w:r w:rsidRPr="004802E3">
        <w:rPr>
          <w:rFonts w:ascii="Georgia" w:hAnsi="Georgia" w:cs="Segoe UI"/>
          <w:color w:val="000000"/>
          <w:sz w:val="22"/>
          <w:szCs w:val="22"/>
        </w:rPr>
        <w:t>A single E&amp;M visit at level 1, 2, or 3 (appropriate to complexity of visit)</w:t>
      </w:r>
      <w:r w:rsidR="00FD41F8">
        <w:rPr>
          <w:rFonts w:ascii="Georgia" w:hAnsi="Georgia" w:cs="Segoe UI"/>
          <w:color w:val="000000"/>
          <w:sz w:val="22"/>
          <w:szCs w:val="22"/>
        </w:rPr>
        <w:t>; and</w:t>
      </w:r>
    </w:p>
    <w:p w14:paraId="51211CDA" w14:textId="3FC4D7FA" w:rsidR="00557888" w:rsidRPr="004802E3" w:rsidRDefault="00557888" w:rsidP="006006DE">
      <w:pPr>
        <w:numPr>
          <w:ilvl w:val="0"/>
          <w:numId w:val="21"/>
        </w:numPr>
        <w:shd w:val="clear" w:color="auto" w:fill="FFFFFF"/>
        <w:rPr>
          <w:rFonts w:ascii="Georgia" w:hAnsi="Georgia" w:cs="Segoe UI"/>
          <w:color w:val="000000"/>
          <w:sz w:val="22"/>
          <w:szCs w:val="22"/>
        </w:rPr>
      </w:pPr>
      <w:r w:rsidRPr="004802E3">
        <w:rPr>
          <w:rFonts w:ascii="Georgia" w:hAnsi="Georgia" w:cs="Segoe UI"/>
          <w:color w:val="000000"/>
          <w:sz w:val="22"/>
          <w:szCs w:val="22"/>
        </w:rPr>
        <w:t>Any additional codes applicable to the service provided (e.g.</w:t>
      </w:r>
      <w:r w:rsidR="00FD41F8">
        <w:rPr>
          <w:rFonts w:ascii="Georgia" w:hAnsi="Georgia" w:cs="Segoe UI"/>
          <w:color w:val="000000"/>
          <w:sz w:val="22"/>
          <w:szCs w:val="22"/>
        </w:rPr>
        <w:t>,</w:t>
      </w:r>
      <w:r w:rsidRPr="004802E3">
        <w:rPr>
          <w:rFonts w:ascii="Georgia" w:hAnsi="Georgia" w:cs="Segoe UI"/>
          <w:color w:val="000000"/>
          <w:sz w:val="22"/>
          <w:szCs w:val="22"/>
        </w:rPr>
        <w:t xml:space="preserve"> laboratory, hearing/vision screening)</w:t>
      </w:r>
      <w:r w:rsidR="00FD41F8">
        <w:rPr>
          <w:rFonts w:ascii="Georgia" w:hAnsi="Georgia" w:cs="Segoe UI"/>
          <w:color w:val="000000"/>
          <w:sz w:val="22"/>
          <w:szCs w:val="22"/>
        </w:rPr>
        <w:t>.</w:t>
      </w:r>
    </w:p>
    <w:p w14:paraId="7E5CBF0B" w14:textId="3B21EE79" w:rsidR="00557888" w:rsidRPr="004802E3" w:rsidRDefault="00AD3A31" w:rsidP="005236C5">
      <w:pPr>
        <w:pStyle w:val="NormalWeb"/>
        <w:shd w:val="clear" w:color="auto" w:fill="FFFFFF"/>
        <w:spacing w:before="120" w:beforeAutospacing="0" w:after="0" w:afterAutospacing="0"/>
        <w:ind w:left="360"/>
        <w:rPr>
          <w:rFonts w:ascii="Georgia" w:hAnsi="Georgia" w:cs="Segoe UI"/>
          <w:color w:val="212121"/>
          <w:sz w:val="22"/>
          <w:szCs w:val="22"/>
        </w:rPr>
      </w:pPr>
      <w:r>
        <w:rPr>
          <w:rFonts w:ascii="Georgia" w:hAnsi="Georgia" w:cs="Segoe UI"/>
          <w:color w:val="000000"/>
          <w:sz w:val="22"/>
          <w:szCs w:val="22"/>
        </w:rPr>
        <w:t xml:space="preserve">Providers must document </w:t>
      </w:r>
      <w:r w:rsidR="00557888" w:rsidRPr="004802E3">
        <w:rPr>
          <w:rFonts w:ascii="Georgia" w:hAnsi="Georgia" w:cs="Segoe UI"/>
          <w:color w:val="000000"/>
          <w:sz w:val="22"/>
          <w:szCs w:val="22"/>
        </w:rPr>
        <w:t xml:space="preserve">all required components of </w:t>
      </w:r>
      <w:r>
        <w:rPr>
          <w:rFonts w:ascii="Georgia" w:hAnsi="Georgia" w:cs="Segoe UI"/>
          <w:color w:val="000000"/>
          <w:sz w:val="22"/>
          <w:szCs w:val="22"/>
        </w:rPr>
        <w:t xml:space="preserve">all visits, including </w:t>
      </w:r>
      <w:r w:rsidR="00557888" w:rsidRPr="004802E3">
        <w:rPr>
          <w:rFonts w:ascii="Georgia" w:hAnsi="Georgia" w:cs="Segoe UI"/>
          <w:color w:val="000000"/>
          <w:sz w:val="22"/>
          <w:szCs w:val="22"/>
        </w:rPr>
        <w:t>preventive visit</w:t>
      </w:r>
      <w:r>
        <w:rPr>
          <w:rFonts w:ascii="Georgia" w:hAnsi="Georgia" w:cs="Segoe UI"/>
          <w:color w:val="000000"/>
          <w:sz w:val="22"/>
          <w:szCs w:val="22"/>
        </w:rPr>
        <w:t>s</w:t>
      </w:r>
      <w:r w:rsidR="00557888" w:rsidRPr="004802E3">
        <w:rPr>
          <w:rFonts w:ascii="Georgia" w:hAnsi="Georgia" w:cs="Segoe UI"/>
          <w:color w:val="000000"/>
          <w:sz w:val="22"/>
          <w:szCs w:val="22"/>
        </w:rPr>
        <w:t xml:space="preserve">. Documentation </w:t>
      </w:r>
      <w:r>
        <w:rPr>
          <w:rFonts w:ascii="Georgia" w:hAnsi="Georgia" w:cs="Segoe UI"/>
          <w:color w:val="000000"/>
          <w:sz w:val="22"/>
          <w:szCs w:val="22"/>
        </w:rPr>
        <w:t xml:space="preserve">of preventive visits conducted via telehealth must </w:t>
      </w:r>
      <w:r w:rsidR="00557888" w:rsidRPr="004802E3">
        <w:rPr>
          <w:rFonts w:ascii="Georgia" w:hAnsi="Georgia" w:cs="Segoe UI"/>
          <w:color w:val="000000"/>
          <w:sz w:val="22"/>
          <w:szCs w:val="22"/>
        </w:rPr>
        <w:t>indicate that the visit was completed via telehealth due to the COVID-19 emergency, note any limitations of the visit, and</w:t>
      </w:r>
      <w:r w:rsidR="00B456BF">
        <w:rPr>
          <w:rFonts w:ascii="Georgia" w:hAnsi="Georgia" w:cs="Segoe UI"/>
          <w:color w:val="000000"/>
          <w:sz w:val="22"/>
          <w:szCs w:val="22"/>
        </w:rPr>
        <w:t xml:space="preserve"> </w:t>
      </w:r>
      <w:r w:rsidR="00557888" w:rsidRPr="004802E3">
        <w:rPr>
          <w:rFonts w:ascii="Georgia" w:hAnsi="Georgia" w:cs="Segoe UI"/>
          <w:color w:val="000000"/>
          <w:sz w:val="22"/>
          <w:szCs w:val="22"/>
        </w:rPr>
        <w:t>include a plan to follow up any medically necessary components deferred due to those limitations.</w:t>
      </w:r>
    </w:p>
    <w:p w14:paraId="4719FFC2" w14:textId="32EB0E74" w:rsidR="00557888" w:rsidRDefault="00674830" w:rsidP="005236C5">
      <w:pPr>
        <w:pStyle w:val="NormalWeb"/>
        <w:shd w:val="clear" w:color="auto" w:fill="FFFFFF"/>
        <w:spacing w:before="120" w:beforeAutospacing="0" w:after="0" w:afterAutospacing="0"/>
        <w:ind w:left="360"/>
        <w:rPr>
          <w:rFonts w:ascii="Georgia" w:hAnsi="Georgia" w:cs="Segoe UI"/>
          <w:color w:val="000000"/>
          <w:sz w:val="22"/>
          <w:szCs w:val="22"/>
        </w:rPr>
      </w:pPr>
      <w:r>
        <w:rPr>
          <w:rFonts w:ascii="Georgia" w:hAnsi="Georgia" w:cs="Segoe UI"/>
          <w:color w:val="000000"/>
          <w:sz w:val="22"/>
          <w:szCs w:val="22"/>
        </w:rPr>
        <w:t>MassHealth will apply this policy to all dates of service beginning on</w:t>
      </w:r>
      <w:r w:rsidR="00557888" w:rsidRPr="004802E3">
        <w:rPr>
          <w:rFonts w:ascii="Georgia" w:hAnsi="Georgia" w:cs="Segoe UI"/>
          <w:color w:val="000000"/>
          <w:sz w:val="22"/>
          <w:szCs w:val="22"/>
        </w:rPr>
        <w:t xml:space="preserve"> </w:t>
      </w:r>
      <w:r w:rsidR="0089045A">
        <w:rPr>
          <w:rFonts w:ascii="Georgia" w:hAnsi="Georgia" w:cs="Segoe UI"/>
          <w:color w:val="000000"/>
          <w:sz w:val="22"/>
          <w:szCs w:val="22"/>
        </w:rPr>
        <w:t>March 1</w:t>
      </w:r>
      <w:r w:rsidR="00BC361A">
        <w:rPr>
          <w:rFonts w:ascii="Georgia" w:hAnsi="Georgia" w:cs="Segoe UI"/>
          <w:color w:val="000000"/>
          <w:sz w:val="22"/>
          <w:szCs w:val="22"/>
        </w:rPr>
        <w:t>2</w:t>
      </w:r>
      <w:r w:rsidR="00557888" w:rsidRPr="004802E3">
        <w:rPr>
          <w:rFonts w:ascii="Georgia" w:hAnsi="Georgia" w:cs="Segoe UI"/>
          <w:color w:val="000000"/>
          <w:sz w:val="22"/>
          <w:szCs w:val="22"/>
        </w:rPr>
        <w:t>, 2020.</w:t>
      </w:r>
      <w:r w:rsidR="00C261F0">
        <w:rPr>
          <w:rFonts w:ascii="Georgia" w:hAnsi="Georgia" w:cs="Segoe UI"/>
          <w:color w:val="000000"/>
          <w:sz w:val="22"/>
          <w:szCs w:val="22"/>
        </w:rPr>
        <w:t xml:space="preserve"> </w:t>
      </w:r>
    </w:p>
    <w:p w14:paraId="687A945A" w14:textId="77777777" w:rsidR="00FD41F8" w:rsidRPr="004802E3" w:rsidRDefault="00FD41F8" w:rsidP="00FD41F8">
      <w:pPr>
        <w:pStyle w:val="Heading1"/>
      </w:pPr>
      <w:r w:rsidRPr="004802E3">
        <w:t>Additional Information</w:t>
      </w:r>
    </w:p>
    <w:p w14:paraId="419A379B" w14:textId="77777777" w:rsidR="00FD41F8" w:rsidRPr="004802E3" w:rsidRDefault="00FD41F8" w:rsidP="00FD41F8">
      <w:pPr>
        <w:pStyle w:val="BullsHeading"/>
        <w:spacing w:after="240"/>
        <w:ind w:left="360"/>
        <w:rPr>
          <w:b w:val="0"/>
          <w:color w:val="auto"/>
          <w:sz w:val="22"/>
          <w:szCs w:val="22"/>
        </w:rPr>
      </w:pPr>
      <w:r w:rsidRPr="004802E3">
        <w:rPr>
          <w:b w:val="0"/>
          <w:color w:val="auto"/>
          <w:sz w:val="22"/>
          <w:szCs w:val="22"/>
        </w:rPr>
        <w:t xml:space="preserve">For the latest MA-specific information, visit </w:t>
      </w:r>
      <w:hyperlink r:id="rId19" w:history="1">
        <w:r w:rsidRPr="004802E3">
          <w:rPr>
            <w:rStyle w:val="Hyperlink"/>
            <w:b w:val="0"/>
            <w:sz w:val="22"/>
            <w:szCs w:val="22"/>
          </w:rPr>
          <w:t>https://www.mass.gov/resource/information-on-the-outbreak-of-coronavirus-disease-2019-covid-19</w:t>
        </w:r>
      </w:hyperlink>
      <w:r w:rsidRPr="004802E3">
        <w:rPr>
          <w:b w:val="0"/>
          <w:color w:val="auto"/>
          <w:sz w:val="22"/>
          <w:szCs w:val="22"/>
        </w:rPr>
        <w:t>.</w:t>
      </w:r>
    </w:p>
    <w:p w14:paraId="54541943" w14:textId="77777777" w:rsidR="00FD41F8" w:rsidRPr="004802E3" w:rsidRDefault="00FD41F8" w:rsidP="00FD41F8">
      <w:pPr>
        <w:pStyle w:val="BullsHeading"/>
        <w:ind w:left="360"/>
        <w:rPr>
          <w:b w:val="0"/>
          <w:color w:val="auto"/>
          <w:sz w:val="22"/>
          <w:szCs w:val="22"/>
        </w:rPr>
      </w:pPr>
      <w:r w:rsidRPr="004802E3">
        <w:rPr>
          <w:b w:val="0"/>
          <w:color w:val="auto"/>
          <w:sz w:val="22"/>
          <w:szCs w:val="22"/>
        </w:rPr>
        <w:t xml:space="preserve">The latest Centers for Disease Control and Prevention (CDC) guidance for healthcare professionals is available at </w:t>
      </w:r>
      <w:hyperlink r:id="rId20" w:history="1">
        <w:r w:rsidRPr="004802E3">
          <w:rPr>
            <w:rStyle w:val="Hyperlink"/>
            <w:b w:val="0"/>
            <w:sz w:val="22"/>
            <w:szCs w:val="22"/>
          </w:rPr>
          <w:t>https://www.cdc.gov/coronavirus/2019-ncov/hcp/index.html</w:t>
        </w:r>
      </w:hyperlink>
      <w:r w:rsidRPr="004802E3">
        <w:rPr>
          <w:b w:val="0"/>
          <w:color w:val="auto"/>
          <w:sz w:val="22"/>
          <w:szCs w:val="22"/>
        </w:rPr>
        <w:t>.</w:t>
      </w:r>
    </w:p>
    <w:p w14:paraId="18DC1591" w14:textId="77777777" w:rsidR="00F544C9" w:rsidRPr="004802E3" w:rsidRDefault="00F544C9" w:rsidP="00F544C9">
      <w:pPr>
        <w:pStyle w:val="Heading1"/>
        <w:spacing w:before="240"/>
        <w:rPr>
          <w:sz w:val="22"/>
          <w:szCs w:val="22"/>
        </w:rPr>
      </w:pPr>
      <w:r w:rsidRPr="004802E3">
        <w:rPr>
          <w:sz w:val="22"/>
          <w:szCs w:val="22"/>
        </w:rPr>
        <w:t>MassHealth Website</w:t>
      </w:r>
    </w:p>
    <w:p w14:paraId="4E3415E5" w14:textId="77777777" w:rsidR="00F544C9" w:rsidRPr="004802E3" w:rsidRDefault="00F544C9" w:rsidP="00F544C9">
      <w:pPr>
        <w:pStyle w:val="BodyTextIndent"/>
        <w:spacing w:before="0" w:after="240" w:afterAutospacing="0"/>
      </w:pPr>
      <w:r w:rsidRPr="004802E3">
        <w:t xml:space="preserve">This bulletin is available on the </w:t>
      </w:r>
      <w:hyperlink r:id="rId21" w:history="1">
        <w:r w:rsidRPr="004802E3">
          <w:rPr>
            <w:rStyle w:val="Hyperlink"/>
          </w:rPr>
          <w:t>MassHealth Provider Bulletins</w:t>
        </w:r>
      </w:hyperlink>
      <w:r w:rsidRPr="004802E3">
        <w:t xml:space="preserve"> web page.</w:t>
      </w:r>
    </w:p>
    <w:p w14:paraId="3F38D133" w14:textId="5B901E02" w:rsidR="00F544C9" w:rsidRPr="004802E3" w:rsidRDefault="00F544C9" w:rsidP="00F544C9">
      <w:pPr>
        <w:pStyle w:val="BodyTextIndent"/>
      </w:pPr>
      <w:r w:rsidRPr="004802E3">
        <w:t>To sign up to receive email alerts when MassHealth issues new bulletins and transmittal letters, send a blank email to</w:t>
      </w:r>
      <w:r w:rsidR="00B456BF">
        <w:t xml:space="preserve"> </w:t>
      </w:r>
      <w:hyperlink r:id="rId22" w:history="1">
        <w:r w:rsidR="006A055A" w:rsidRPr="00B51B53">
          <w:rPr>
            <w:rStyle w:val="Hyperlink"/>
          </w:rPr>
          <w:t>join-masshealth-provider-pubs@listserv.state.ma.us</w:t>
        </w:r>
      </w:hyperlink>
      <w:r w:rsidRPr="004802E3">
        <w:t>. No text in the body or subject line is needed.</w:t>
      </w:r>
    </w:p>
    <w:p w14:paraId="01BE77A9" w14:textId="169C9936" w:rsidR="00F544C9" w:rsidRPr="004802E3" w:rsidRDefault="00F544C9" w:rsidP="00F544C9">
      <w:pPr>
        <w:pStyle w:val="Heading1"/>
        <w:spacing w:before="240" w:after="0"/>
        <w:rPr>
          <w:sz w:val="22"/>
          <w:szCs w:val="22"/>
        </w:rPr>
      </w:pPr>
      <w:r w:rsidRPr="004802E3">
        <w:rPr>
          <w:sz w:val="22"/>
          <w:szCs w:val="22"/>
        </w:rPr>
        <w:t>Questions</w:t>
      </w:r>
    </w:p>
    <w:p w14:paraId="05477CD1" w14:textId="12BAA4E9" w:rsidR="00D47DAE" w:rsidRDefault="00D47DAE" w:rsidP="00D47DAE">
      <w:pPr>
        <w:pStyle w:val="BodyTextIndent"/>
      </w:pPr>
      <w:r w:rsidRPr="007030A1">
        <w:t>If you have any questions about the information in this bulletin, please contact MassHealth</w:t>
      </w:r>
      <w:r>
        <w:t xml:space="preserve"> as applicable for your provider type.</w:t>
      </w:r>
    </w:p>
    <w:p w14:paraId="228C1740" w14:textId="77777777" w:rsidR="00D47DAE" w:rsidRPr="008773C4" w:rsidRDefault="00D47DAE" w:rsidP="00D47DAE">
      <w:pPr>
        <w:pStyle w:val="Heading2"/>
      </w:pPr>
      <w:r w:rsidRPr="008773C4">
        <w:t>Dental Services</w:t>
      </w:r>
    </w:p>
    <w:p w14:paraId="7364A400" w14:textId="77777777" w:rsidR="00D47DAE" w:rsidRDefault="00D47DAE" w:rsidP="00D47DAE">
      <w:pPr>
        <w:pStyle w:val="BodyTextIndent"/>
        <w:ind w:left="720"/>
      </w:pPr>
      <w:r>
        <w:t xml:space="preserve">Phone: (800) 207-5019; TTY: (800) 466-7566 </w:t>
      </w:r>
    </w:p>
    <w:p w14:paraId="76F48537" w14:textId="77777777" w:rsidR="00D47DAE" w:rsidRDefault="00D47DAE" w:rsidP="00D47DAE">
      <w:pPr>
        <w:pStyle w:val="Heading2"/>
      </w:pPr>
      <w:r w:rsidRPr="00402422">
        <w:t>Long-Term Services and Supports</w:t>
      </w:r>
      <w:r>
        <w:tab/>
      </w:r>
    </w:p>
    <w:p w14:paraId="1DA77A81" w14:textId="77777777" w:rsidR="00D47DAE" w:rsidRPr="001A5F9B" w:rsidRDefault="00D47DAE" w:rsidP="00C96062">
      <w:pPr>
        <w:pStyle w:val="BodyTextIndent"/>
        <w:spacing w:before="0" w:after="0" w:afterAutospacing="0"/>
        <w:ind w:left="720"/>
      </w:pPr>
      <w:r w:rsidRPr="001A5F9B">
        <w:t>Phone</w:t>
      </w:r>
      <w:r>
        <w:t xml:space="preserve">: </w:t>
      </w:r>
      <w:r w:rsidRPr="001A5F9B">
        <w:t xml:space="preserve">(844) 368-5184 </w:t>
      </w:r>
      <w:r>
        <w:t>(toll free)</w:t>
      </w:r>
    </w:p>
    <w:p w14:paraId="3D137384" w14:textId="77777777" w:rsidR="00D47DAE" w:rsidRPr="001A5F9B" w:rsidRDefault="00D47DAE" w:rsidP="00C96062">
      <w:pPr>
        <w:pStyle w:val="BodyTextIndent"/>
        <w:spacing w:before="0" w:after="0" w:afterAutospacing="0"/>
        <w:ind w:left="720"/>
      </w:pPr>
      <w:r w:rsidRPr="001A5F9B">
        <w:t>Email</w:t>
      </w:r>
      <w:r>
        <w:t>:</w:t>
      </w:r>
      <w:r w:rsidRPr="001A5F9B">
        <w:tab/>
      </w:r>
      <w:hyperlink r:id="rId23" w:history="1">
        <w:r w:rsidRPr="000178EA">
          <w:rPr>
            <w:rStyle w:val="Hyperlink"/>
          </w:rPr>
          <w:t>support@masshealthltss.com</w:t>
        </w:r>
      </w:hyperlink>
      <w:r>
        <w:t xml:space="preserve">  </w:t>
      </w:r>
    </w:p>
    <w:p w14:paraId="2E4361D3" w14:textId="77777777" w:rsidR="00D47DAE" w:rsidRPr="001A5F9B" w:rsidRDefault="00D47DAE" w:rsidP="00C96062">
      <w:pPr>
        <w:pStyle w:val="BodyTextIndent"/>
        <w:spacing w:before="0" w:after="0" w:afterAutospacing="0"/>
        <w:ind w:left="720"/>
      </w:pPr>
      <w:r w:rsidRPr="001A5F9B">
        <w:t>Portal</w:t>
      </w:r>
      <w:r>
        <w:t>:</w:t>
      </w:r>
      <w:r w:rsidRPr="001A5F9B">
        <w:tab/>
        <w:t>MassHealthLTSS.com</w:t>
      </w:r>
    </w:p>
    <w:p w14:paraId="6A0CB171" w14:textId="77777777" w:rsidR="00D47DAE" w:rsidRPr="001A5F9B" w:rsidRDefault="00D47DAE" w:rsidP="00C96062">
      <w:pPr>
        <w:pStyle w:val="BodyTextIndent"/>
        <w:spacing w:before="0" w:after="0" w:afterAutospacing="0"/>
        <w:ind w:left="720"/>
      </w:pPr>
      <w:r w:rsidRPr="001A5F9B">
        <w:t>Mail</w:t>
      </w:r>
      <w:r>
        <w:t xml:space="preserve">: </w:t>
      </w:r>
      <w:r w:rsidRPr="001A5F9B">
        <w:t>MassHealth LTSS</w:t>
      </w:r>
      <w:r>
        <w:t xml:space="preserve">, </w:t>
      </w:r>
      <w:r w:rsidRPr="001A5F9B">
        <w:t>PO Box 159108</w:t>
      </w:r>
      <w:r>
        <w:t xml:space="preserve">, </w:t>
      </w:r>
      <w:r w:rsidRPr="001A5F9B">
        <w:t>Boston, MA 02215</w:t>
      </w:r>
    </w:p>
    <w:p w14:paraId="04003B6F" w14:textId="77777777" w:rsidR="00D47DAE" w:rsidRPr="001A5F9B" w:rsidRDefault="00D47DAE" w:rsidP="00C96062">
      <w:pPr>
        <w:pStyle w:val="BodyTextIndent"/>
        <w:spacing w:before="0" w:after="0" w:afterAutospacing="0"/>
        <w:ind w:left="720"/>
      </w:pPr>
      <w:r w:rsidRPr="001A5F9B">
        <w:t>Fax</w:t>
      </w:r>
      <w:r>
        <w:t xml:space="preserve">: </w:t>
      </w:r>
      <w:r w:rsidRPr="001A5F9B">
        <w:t>(888) 832-3006</w:t>
      </w:r>
    </w:p>
    <w:p w14:paraId="17F4BCB6" w14:textId="77777777" w:rsidR="00D47DAE" w:rsidRPr="00402422" w:rsidRDefault="00D47DAE" w:rsidP="00D47DAE">
      <w:pPr>
        <w:pStyle w:val="Heading2"/>
      </w:pPr>
      <w:r>
        <w:t>All</w:t>
      </w:r>
      <w:r w:rsidRPr="00402422">
        <w:t xml:space="preserve"> </w:t>
      </w:r>
      <w:r>
        <w:t>O</w:t>
      </w:r>
      <w:r w:rsidRPr="00402422">
        <w:t xml:space="preserve">ther </w:t>
      </w:r>
      <w:r>
        <w:t>P</w:t>
      </w:r>
      <w:r w:rsidRPr="00402422">
        <w:t xml:space="preserve">rovider </w:t>
      </w:r>
      <w:r>
        <w:t>T</w:t>
      </w:r>
      <w:r w:rsidRPr="00402422">
        <w:t>ypes</w:t>
      </w:r>
    </w:p>
    <w:p w14:paraId="22F84C1D" w14:textId="77777777" w:rsidR="00D47DAE" w:rsidRPr="00F5366C" w:rsidRDefault="00D47DAE" w:rsidP="00C96062">
      <w:pPr>
        <w:pStyle w:val="BodyTextIndent"/>
        <w:spacing w:before="0" w:after="0" w:afterAutospacing="0"/>
        <w:ind w:left="720"/>
      </w:pPr>
      <w:r w:rsidRPr="001A5F9B">
        <w:t>Phone</w:t>
      </w:r>
      <w:r>
        <w:t xml:space="preserve">: (800) 841-2900; TTY: </w:t>
      </w:r>
      <w:hyperlink r:id="rId24" w:history="1">
        <w:r w:rsidRPr="00F5366C">
          <w:rPr>
            <w:bCs/>
          </w:rPr>
          <w:t>(800) 497-4648</w:t>
        </w:r>
      </w:hyperlink>
    </w:p>
    <w:p w14:paraId="2A8CBEA4" w14:textId="77777777" w:rsidR="00D47DAE" w:rsidRPr="001A5F9B" w:rsidRDefault="00D47DAE" w:rsidP="00C96062">
      <w:pPr>
        <w:pStyle w:val="BodyTextIndent"/>
        <w:spacing w:before="0" w:after="0" w:afterAutospacing="0"/>
        <w:ind w:left="720"/>
        <w:rPr>
          <w:rStyle w:val="Hyperlink"/>
        </w:rPr>
      </w:pPr>
      <w:r w:rsidRPr="001A5F9B">
        <w:t xml:space="preserve">Email: </w:t>
      </w:r>
      <w:hyperlink r:id="rId25" w:history="1">
        <w:r w:rsidRPr="001A5F9B">
          <w:rPr>
            <w:rStyle w:val="Hyperlink"/>
          </w:rPr>
          <w:t>providersupport@mahealth.net</w:t>
        </w:r>
      </w:hyperlink>
    </w:p>
    <w:p w14:paraId="747A65B4" w14:textId="77777777" w:rsidR="00D47DAE" w:rsidRPr="001A5F9B" w:rsidRDefault="00D47DAE" w:rsidP="00C96062">
      <w:pPr>
        <w:pStyle w:val="BodyTextIndent"/>
        <w:spacing w:before="0" w:after="0" w:afterAutospacing="0"/>
        <w:ind w:left="720"/>
      </w:pPr>
      <w:r w:rsidRPr="001A5F9B">
        <w:rPr>
          <w:rStyle w:val="Hyperlink"/>
          <w:color w:val="auto"/>
          <w:u w:val="none"/>
        </w:rPr>
        <w:t>Fax:</w:t>
      </w:r>
      <w:r>
        <w:rPr>
          <w:rStyle w:val="Hyperlink"/>
          <w:color w:val="auto"/>
          <w:u w:val="none"/>
        </w:rPr>
        <w:t xml:space="preserve"> </w:t>
      </w:r>
      <w:r w:rsidRPr="001A5F9B">
        <w:t>(617) 988</w:t>
      </w:r>
      <w:r w:rsidRPr="001A5F9B">
        <w:noBreakHyphen/>
        <w:t>8974</w:t>
      </w:r>
    </w:p>
    <w:sectPr w:rsidR="00D47DAE" w:rsidRPr="001A5F9B" w:rsidSect="00002A9C">
      <w:footerReference w:type="default" r:id="rId26"/>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56B9C" w14:textId="77777777" w:rsidR="00366E9A" w:rsidRDefault="00366E9A" w:rsidP="00CC1E11">
      <w:r>
        <w:separator/>
      </w:r>
    </w:p>
  </w:endnote>
  <w:endnote w:type="continuationSeparator" w:id="0">
    <w:p w14:paraId="12DE4F23" w14:textId="77777777" w:rsidR="00366E9A" w:rsidRDefault="00366E9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6083B"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15BF" w14:textId="77777777" w:rsidR="00F544C9" w:rsidRPr="00CC1E11" w:rsidRDefault="00F544C9" w:rsidP="00CC1E11">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F6788" w14:textId="77777777" w:rsidR="00366E9A" w:rsidRDefault="00366E9A" w:rsidP="00CC1E11">
      <w:r>
        <w:separator/>
      </w:r>
    </w:p>
  </w:footnote>
  <w:footnote w:type="continuationSeparator" w:id="0">
    <w:p w14:paraId="12926C5A" w14:textId="77777777" w:rsidR="00366E9A" w:rsidRDefault="00366E9A" w:rsidP="00CC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34634"/>
    <w:multiLevelType w:val="hybridMultilevel"/>
    <w:tmpl w:val="D458EF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75D0A0F"/>
    <w:multiLevelType w:val="hybridMultilevel"/>
    <w:tmpl w:val="C9E87D12"/>
    <w:lvl w:ilvl="0" w:tplc="9FDC2E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1551C"/>
    <w:multiLevelType w:val="multilevel"/>
    <w:tmpl w:val="D504A71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20405D67"/>
    <w:multiLevelType w:val="hybridMultilevel"/>
    <w:tmpl w:val="2D906B1A"/>
    <w:lvl w:ilvl="0" w:tplc="534AD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6B345F"/>
    <w:multiLevelType w:val="hybridMultilevel"/>
    <w:tmpl w:val="AA92411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38D80408"/>
    <w:multiLevelType w:val="multilevel"/>
    <w:tmpl w:val="B3D8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12995"/>
    <w:multiLevelType w:val="hybridMultilevel"/>
    <w:tmpl w:val="EBC808B2"/>
    <w:lvl w:ilvl="0" w:tplc="121E8B62">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E047C"/>
    <w:multiLevelType w:val="multilevel"/>
    <w:tmpl w:val="6928B10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557F3A7D"/>
    <w:multiLevelType w:val="hybridMultilevel"/>
    <w:tmpl w:val="A4D4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264D9"/>
    <w:multiLevelType w:val="hybridMultilevel"/>
    <w:tmpl w:val="B150DDF0"/>
    <w:lvl w:ilvl="0" w:tplc="05D8A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7237A"/>
    <w:multiLevelType w:val="multilevel"/>
    <w:tmpl w:val="89A0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8"/>
  </w:num>
  <w:num w:numId="14">
    <w:abstractNumId w:val="16"/>
  </w:num>
  <w:num w:numId="15">
    <w:abstractNumId w:val="11"/>
  </w:num>
  <w:num w:numId="16">
    <w:abstractNumId w:val="10"/>
  </w:num>
  <w:num w:numId="17">
    <w:abstractNumId w:val="15"/>
  </w:num>
  <w:num w:numId="18">
    <w:abstractNumId w:val="20"/>
  </w:num>
  <w:num w:numId="19">
    <w:abstractNumId w:val="14"/>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66AD"/>
    <w:rsid w:val="000D3DB5"/>
    <w:rsid w:val="000F2445"/>
    <w:rsid w:val="001136B8"/>
    <w:rsid w:val="001273E9"/>
    <w:rsid w:val="00144235"/>
    <w:rsid w:val="00150BCC"/>
    <w:rsid w:val="001E30FD"/>
    <w:rsid w:val="001E5AFA"/>
    <w:rsid w:val="00217546"/>
    <w:rsid w:val="0023424E"/>
    <w:rsid w:val="00236F2F"/>
    <w:rsid w:val="002640F3"/>
    <w:rsid w:val="0028530E"/>
    <w:rsid w:val="002A3B96"/>
    <w:rsid w:val="002B3491"/>
    <w:rsid w:val="002D3020"/>
    <w:rsid w:val="002F2993"/>
    <w:rsid w:val="00311C46"/>
    <w:rsid w:val="003370E4"/>
    <w:rsid w:val="003573B9"/>
    <w:rsid w:val="00366E9A"/>
    <w:rsid w:val="00372C29"/>
    <w:rsid w:val="0037410D"/>
    <w:rsid w:val="003A534D"/>
    <w:rsid w:val="003A679C"/>
    <w:rsid w:val="003A7588"/>
    <w:rsid w:val="003E3CD4"/>
    <w:rsid w:val="003F4569"/>
    <w:rsid w:val="00403BED"/>
    <w:rsid w:val="00456346"/>
    <w:rsid w:val="00466522"/>
    <w:rsid w:val="004802E3"/>
    <w:rsid w:val="004907D3"/>
    <w:rsid w:val="004A7718"/>
    <w:rsid w:val="004D05A8"/>
    <w:rsid w:val="004E660B"/>
    <w:rsid w:val="004F4B9A"/>
    <w:rsid w:val="004F649C"/>
    <w:rsid w:val="005068BD"/>
    <w:rsid w:val="00507CFF"/>
    <w:rsid w:val="005236C5"/>
    <w:rsid w:val="00537C56"/>
    <w:rsid w:val="00557888"/>
    <w:rsid w:val="00563102"/>
    <w:rsid w:val="00565C54"/>
    <w:rsid w:val="005B269C"/>
    <w:rsid w:val="005E116C"/>
    <w:rsid w:val="005E4B62"/>
    <w:rsid w:val="005F2B69"/>
    <w:rsid w:val="005F5604"/>
    <w:rsid w:val="006006DE"/>
    <w:rsid w:val="00603B1C"/>
    <w:rsid w:val="00664ED1"/>
    <w:rsid w:val="00672168"/>
    <w:rsid w:val="006744E1"/>
    <w:rsid w:val="00674830"/>
    <w:rsid w:val="00675E52"/>
    <w:rsid w:val="006A055A"/>
    <w:rsid w:val="006C70F9"/>
    <w:rsid w:val="006D3F15"/>
    <w:rsid w:val="006D5FDE"/>
    <w:rsid w:val="006E2471"/>
    <w:rsid w:val="007020B5"/>
    <w:rsid w:val="00706438"/>
    <w:rsid w:val="00777A22"/>
    <w:rsid w:val="007B10DC"/>
    <w:rsid w:val="007C336E"/>
    <w:rsid w:val="007D4C0A"/>
    <w:rsid w:val="007E314B"/>
    <w:rsid w:val="00803532"/>
    <w:rsid w:val="00807D07"/>
    <w:rsid w:val="0081571E"/>
    <w:rsid w:val="00815B61"/>
    <w:rsid w:val="00834F67"/>
    <w:rsid w:val="00863041"/>
    <w:rsid w:val="0089045A"/>
    <w:rsid w:val="00891A11"/>
    <w:rsid w:val="008A2559"/>
    <w:rsid w:val="008B3441"/>
    <w:rsid w:val="008B6E51"/>
    <w:rsid w:val="008B73A7"/>
    <w:rsid w:val="008C2964"/>
    <w:rsid w:val="008D157A"/>
    <w:rsid w:val="008D53ED"/>
    <w:rsid w:val="008F66DE"/>
    <w:rsid w:val="00914588"/>
    <w:rsid w:val="00945AC5"/>
    <w:rsid w:val="00973A99"/>
    <w:rsid w:val="00982839"/>
    <w:rsid w:val="00995EDB"/>
    <w:rsid w:val="009B46A2"/>
    <w:rsid w:val="009B5355"/>
    <w:rsid w:val="009B71D9"/>
    <w:rsid w:val="009C54F1"/>
    <w:rsid w:val="00A6504C"/>
    <w:rsid w:val="00A772C1"/>
    <w:rsid w:val="00A80184"/>
    <w:rsid w:val="00A95FC1"/>
    <w:rsid w:val="00AD3A31"/>
    <w:rsid w:val="00AD6899"/>
    <w:rsid w:val="00B01143"/>
    <w:rsid w:val="00B069A3"/>
    <w:rsid w:val="00B456BF"/>
    <w:rsid w:val="00B5639E"/>
    <w:rsid w:val="00B57C7D"/>
    <w:rsid w:val="00B620B4"/>
    <w:rsid w:val="00B700F4"/>
    <w:rsid w:val="00B70D51"/>
    <w:rsid w:val="00B73653"/>
    <w:rsid w:val="00B8072D"/>
    <w:rsid w:val="00BC361A"/>
    <w:rsid w:val="00BC3755"/>
    <w:rsid w:val="00BC5B41"/>
    <w:rsid w:val="00BD2DAF"/>
    <w:rsid w:val="00BD4E69"/>
    <w:rsid w:val="00C024A2"/>
    <w:rsid w:val="00C0587D"/>
    <w:rsid w:val="00C201B8"/>
    <w:rsid w:val="00C261F0"/>
    <w:rsid w:val="00C56E69"/>
    <w:rsid w:val="00C6218F"/>
    <w:rsid w:val="00C96062"/>
    <w:rsid w:val="00CB4C63"/>
    <w:rsid w:val="00CC1E11"/>
    <w:rsid w:val="00CF554A"/>
    <w:rsid w:val="00D02C0B"/>
    <w:rsid w:val="00D15061"/>
    <w:rsid w:val="00D4388C"/>
    <w:rsid w:val="00D47DAE"/>
    <w:rsid w:val="00D7691B"/>
    <w:rsid w:val="00D84A96"/>
    <w:rsid w:val="00D95D81"/>
    <w:rsid w:val="00D979B4"/>
    <w:rsid w:val="00DA0F51"/>
    <w:rsid w:val="00DA4DF6"/>
    <w:rsid w:val="00DA5BCE"/>
    <w:rsid w:val="00DC6008"/>
    <w:rsid w:val="00E01F49"/>
    <w:rsid w:val="00E30C4E"/>
    <w:rsid w:val="00E367FE"/>
    <w:rsid w:val="00ED046F"/>
    <w:rsid w:val="00ED497C"/>
    <w:rsid w:val="00F0059D"/>
    <w:rsid w:val="00F544C9"/>
    <w:rsid w:val="00F664CC"/>
    <w:rsid w:val="00F73D6F"/>
    <w:rsid w:val="00F74F30"/>
    <w:rsid w:val="00F81315"/>
    <w:rsid w:val="00F85D4D"/>
    <w:rsid w:val="00FB0692"/>
    <w:rsid w:val="00FC69F6"/>
    <w:rsid w:val="00FD41F8"/>
    <w:rsid w:val="00FD521E"/>
    <w:rsid w:val="00FE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CF2CC"/>
  <w15:docId w15:val="{BCA15582-FEC0-4EF8-9C0F-DEC924C8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F544C9"/>
    <w:pPr>
      <w:ind w:left="720"/>
      <w:contextualSpacing/>
    </w:pPr>
  </w:style>
  <w:style w:type="character" w:styleId="Strong">
    <w:name w:val="Strong"/>
    <w:basedOn w:val="DefaultParagraphFont"/>
    <w:uiPriority w:val="22"/>
    <w:qFormat/>
    <w:rsid w:val="00557888"/>
    <w:rPr>
      <w:b/>
      <w:bCs/>
    </w:rPr>
  </w:style>
  <w:style w:type="paragraph" w:styleId="NormalWeb">
    <w:name w:val="Normal (Web)"/>
    <w:basedOn w:val="Normal"/>
    <w:uiPriority w:val="99"/>
    <w:unhideWhenUsed/>
    <w:rsid w:val="00557888"/>
    <w:pPr>
      <w:spacing w:before="100" w:beforeAutospacing="1" w:after="100" w:afterAutospacing="1"/>
    </w:pPr>
    <w:rPr>
      <w:rFonts w:ascii="Times" w:eastAsiaTheme="minorHAnsi" w:hAnsi="Times"/>
    </w:rPr>
  </w:style>
  <w:style w:type="character" w:styleId="Emphasis">
    <w:name w:val="Emphasis"/>
    <w:basedOn w:val="DefaultParagraphFont"/>
    <w:uiPriority w:val="20"/>
    <w:qFormat/>
    <w:rsid w:val="00565C54"/>
    <w:rPr>
      <w:i/>
      <w:iCs/>
    </w:rPr>
  </w:style>
  <w:style w:type="character" w:styleId="CommentReference">
    <w:name w:val="annotation reference"/>
    <w:basedOn w:val="DefaultParagraphFont"/>
    <w:uiPriority w:val="99"/>
    <w:semiHidden/>
    <w:unhideWhenUsed/>
    <w:rsid w:val="00B456BF"/>
    <w:rPr>
      <w:sz w:val="16"/>
      <w:szCs w:val="16"/>
    </w:rPr>
  </w:style>
  <w:style w:type="paragraph" w:styleId="CommentText">
    <w:name w:val="annotation text"/>
    <w:basedOn w:val="Normal"/>
    <w:link w:val="CommentTextChar"/>
    <w:uiPriority w:val="99"/>
    <w:semiHidden/>
    <w:unhideWhenUsed/>
    <w:rsid w:val="00B456BF"/>
  </w:style>
  <w:style w:type="character" w:customStyle="1" w:styleId="CommentTextChar">
    <w:name w:val="Comment Text Char"/>
    <w:basedOn w:val="DefaultParagraphFont"/>
    <w:link w:val="CommentText"/>
    <w:uiPriority w:val="99"/>
    <w:semiHidden/>
    <w:rsid w:val="00B456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6BF"/>
    <w:rPr>
      <w:b/>
      <w:bCs/>
    </w:rPr>
  </w:style>
  <w:style w:type="character" w:customStyle="1" w:styleId="CommentSubjectChar">
    <w:name w:val="Comment Subject Char"/>
    <w:basedOn w:val="CommentTextChar"/>
    <w:link w:val="CommentSubject"/>
    <w:uiPriority w:val="99"/>
    <w:semiHidden/>
    <w:rsid w:val="00B456BF"/>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A055A"/>
    <w:rPr>
      <w:color w:val="605E5C"/>
      <w:shd w:val="clear" w:color="auto" w:fill="E1DFDD"/>
    </w:rPr>
  </w:style>
  <w:style w:type="paragraph" w:styleId="Revision">
    <w:name w:val="Revision"/>
    <w:hidden/>
    <w:uiPriority w:val="99"/>
    <w:semiHidden/>
    <w:rsid w:val="0014423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ll-provider-bulletin-289-masshealth-coverage-and-reimbursement-policy-for-services-related-to/download" TargetMode="External"/><Relationship Id="rId18" Type="http://schemas.openxmlformats.org/officeDocument/2006/relationships/hyperlink" Target="https://services.aap.org/en/pages/2019-novel-coronavirus-covid-19-infection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ass.gov/masshealth-provider-bulletins" TargetMode="External"/><Relationship Id="rId7" Type="http://schemas.openxmlformats.org/officeDocument/2006/relationships/endnotes" Target="endnotes.xml"/><Relationship Id="rId12" Type="http://schemas.openxmlformats.org/officeDocument/2006/relationships/hyperlink" Target="https://www.mass.gov/doc/all-provider-bulletin-291-masshealth-coverage-and-reimbursement-policy-for-services-related-0/download" TargetMode="External"/><Relationship Id="rId17" Type="http://schemas.openxmlformats.org/officeDocument/2006/relationships/hyperlink" Target="https://www.mass.gov/executive-orders/no-591-declaration-of-a-state-of-emergency-to-respond-to-covid-19" TargetMode="External"/><Relationship Id="rId25"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https://www.mass.gov/doc/all-provider-bulletin-291-masshealth-coverage-and-reimbursement-policy-for-services-related-0/download" TargetMode="External"/><Relationship Id="rId20" Type="http://schemas.openxmlformats.org/officeDocument/2006/relationships/hyperlink" Target="https://www.cdc.gov/coronavirus/2019-ncov/hcp/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289-masshealth-coverage-and-reimbursement-policy-for-services-related-to/download" TargetMode="External"/><Relationship Id="rId24" Type="http://schemas.openxmlformats.org/officeDocument/2006/relationships/hyperlink" Target="tel:1-800-497-4648" TargetMode="External"/><Relationship Id="rId5" Type="http://schemas.openxmlformats.org/officeDocument/2006/relationships/webSettings" Target="webSettings.xml"/><Relationship Id="rId15" Type="http://schemas.openxmlformats.org/officeDocument/2006/relationships/hyperlink" Target="https://www.mass.gov/doc/all-provider-bulletin-289-masshealth-coverage-and-reimbursement-policy-for-services-related-to/download" TargetMode="External"/><Relationship Id="rId23" Type="http://schemas.openxmlformats.org/officeDocument/2006/relationships/hyperlink" Target="mailto:support@masshealthltss.co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mass.gov/resource/information-on-the-outbreak-of-coronavirus-disease-2019-covid-19"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all-provider-bulletin-291-masshealth-coverage-and-reimbursement-policy-for-services-related-0/download" TargetMode="External"/><Relationship Id="rId22" Type="http://schemas.openxmlformats.org/officeDocument/2006/relationships/hyperlink" Target="mailto:join-masshealth-provider-pubs@listserv.state.ma.u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BDDC-B5DA-4EC3-8C84-5467C9D2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9</TotalTime>
  <Pages>9</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Crystal</dc:creator>
  <cp:lastModifiedBy>Bernadette Bentley</cp:lastModifiedBy>
  <cp:revision>3</cp:revision>
  <cp:lastPrinted>2020-05-12T19:21:00Z</cp:lastPrinted>
  <dcterms:created xsi:type="dcterms:W3CDTF">2020-05-12T19:18:00Z</dcterms:created>
  <dcterms:modified xsi:type="dcterms:W3CDTF">2020-05-12T19:26:00Z</dcterms:modified>
</cp:coreProperties>
</file>