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31AB"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2454308E" wp14:editId="4CD780A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75298CF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72AC72F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C57B7C"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76479823" w:rsidR="00F664CC" w:rsidRPr="005B27F1" w:rsidRDefault="007C371F" w:rsidP="005B27F1">
      <w:pPr>
        <w:pStyle w:val="Heading1"/>
      </w:pPr>
      <w:r>
        <w:t>All Provider</w:t>
      </w:r>
      <w:r w:rsidR="00F664CC" w:rsidRPr="005B27F1">
        <w:t xml:space="preserve"> Bulletin </w:t>
      </w:r>
      <w:r w:rsidR="00D75A72">
        <w:t>318</w:t>
      </w:r>
    </w:p>
    <w:p w14:paraId="4F33B7C5" w14:textId="09C8FB0E" w:rsidR="00F664CC" w:rsidRPr="00150BCC" w:rsidRDefault="007C371F" w:rsidP="00150BCC">
      <w:pPr>
        <w:pStyle w:val="BullsHeading"/>
      </w:pPr>
      <w:r>
        <w:t>June 2021</w:t>
      </w:r>
    </w:p>
    <w:p w14:paraId="0E1DCE1F" w14:textId="77777777" w:rsidR="00F664CC" w:rsidRDefault="00F664CC" w:rsidP="00E27CD8"/>
    <w:p w14:paraId="28792EAA"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60416505" w:rsidR="00F664CC" w:rsidRPr="00F664CC" w:rsidRDefault="00F664CC" w:rsidP="00E27CD8">
      <w:r w:rsidRPr="00F664CC">
        <w:rPr>
          <w:b/>
        </w:rPr>
        <w:t>TO</w:t>
      </w:r>
      <w:r w:rsidRPr="00F664CC">
        <w:t>:</w:t>
      </w:r>
      <w:r>
        <w:tab/>
      </w:r>
      <w:r w:rsidR="007C371F">
        <w:t>All Providers</w:t>
      </w:r>
      <w:r w:rsidRPr="00F664CC">
        <w:t xml:space="preserve"> Participating in MassHealth</w:t>
      </w:r>
    </w:p>
    <w:p w14:paraId="36385E61" w14:textId="47CD6315" w:rsidR="00F664CC" w:rsidRPr="00F664CC" w:rsidRDefault="00F664CC" w:rsidP="00E27CD8">
      <w:r w:rsidRPr="00F664CC">
        <w:rPr>
          <w:b/>
        </w:rPr>
        <w:t>FROM</w:t>
      </w:r>
      <w:r w:rsidRPr="00F664CC">
        <w:t>:</w:t>
      </w:r>
      <w:r>
        <w:tab/>
      </w:r>
      <w:r w:rsidR="00AA6085">
        <w:t>Daniel Tsai, Assistant Secretary for MassHealth</w:t>
      </w:r>
      <w:r w:rsidR="00D75A72">
        <w:t xml:space="preserve"> </w:t>
      </w:r>
      <w:r w:rsidR="00457386">
        <w:t>[signature of Daniel Tsai]</w:t>
      </w:r>
    </w:p>
    <w:p w14:paraId="2B897D17" w14:textId="7F5BCE1E" w:rsidR="00F664CC" w:rsidRPr="00F664CC" w:rsidRDefault="00F664CC" w:rsidP="007C371F">
      <w:pPr>
        <w:pStyle w:val="SubjectLine"/>
        <w:ind w:left="1440" w:hanging="1080"/>
      </w:pPr>
      <w:r w:rsidRPr="00F664CC">
        <w:t>RE:</w:t>
      </w:r>
      <w:r w:rsidR="00BD2DAF">
        <w:tab/>
      </w:r>
      <w:r w:rsidR="007C371F" w:rsidRPr="007C371F">
        <w:t xml:space="preserve">Update </w:t>
      </w:r>
      <w:r w:rsidR="00A22E51">
        <w:t>a</w:t>
      </w:r>
      <w:r w:rsidR="00A41FAF">
        <w:t>bout</w:t>
      </w:r>
      <w:r w:rsidR="00A41FAF" w:rsidRPr="007C371F">
        <w:t xml:space="preserve"> </w:t>
      </w:r>
      <w:r w:rsidR="007C371F" w:rsidRPr="007C371F">
        <w:t>Monoclonal Antibody Treatment for Coronavirus Disease 2019 (COVID-19)</w:t>
      </w:r>
    </w:p>
    <w:p w14:paraId="5490AAA1" w14:textId="6BA46728" w:rsidR="00F664CC" w:rsidRPr="005B27F1" w:rsidRDefault="007C371F" w:rsidP="00E27CD8">
      <w:pPr>
        <w:pStyle w:val="Heading2"/>
      </w:pPr>
      <w:r>
        <w:t>Background</w:t>
      </w:r>
      <w:r w:rsidR="001554E7" w:rsidRPr="005B27F1">
        <w:t xml:space="preserve"> </w:t>
      </w:r>
    </w:p>
    <w:p w14:paraId="60CBD888" w14:textId="744AA007" w:rsidR="007C371F" w:rsidRPr="007C371F" w:rsidRDefault="007C371F" w:rsidP="00C16DEF">
      <w:r w:rsidRPr="007C371F">
        <w:t xml:space="preserve">This bulletin, which supplements and updates </w:t>
      </w:r>
      <w:hyperlink r:id="rId11" w:history="1">
        <w:r w:rsidRPr="00C16DEF">
          <w:rPr>
            <w:rStyle w:val="Hyperlink"/>
          </w:rPr>
          <w:t>All Provider Bulletins 304</w:t>
        </w:r>
      </w:hyperlink>
      <w:r w:rsidRPr="007C371F">
        <w:t xml:space="preserve"> and </w:t>
      </w:r>
      <w:hyperlink r:id="rId12" w:history="1">
        <w:r w:rsidRPr="00C16DEF">
          <w:rPr>
            <w:rStyle w:val="Hyperlink"/>
          </w:rPr>
          <w:t>312</w:t>
        </w:r>
      </w:hyperlink>
      <w:r w:rsidRPr="007C371F">
        <w:t xml:space="preserve">, provides an update to the payment </w:t>
      </w:r>
      <w:r w:rsidR="00AC4059">
        <w:t>provisions</w:t>
      </w:r>
      <w:r w:rsidRPr="007C371F">
        <w:t xml:space="preserve"> for monoclonal antibody treatment for COVID-19</w:t>
      </w:r>
      <w:r w:rsidR="00AC4059">
        <w:t xml:space="preserve"> described in those bulletins</w:t>
      </w:r>
      <w:r w:rsidR="00377CC1">
        <w:t>.</w:t>
      </w:r>
      <w:r w:rsidRPr="007C371F">
        <w:t xml:space="preserve"> </w:t>
      </w:r>
      <w:r w:rsidR="00377CC1">
        <w:t>It also</w:t>
      </w:r>
      <w:r w:rsidRPr="007C371F">
        <w:t xml:space="preserve"> </w:t>
      </w:r>
      <w:r w:rsidR="00091F75" w:rsidRPr="007C371F">
        <w:t>not</w:t>
      </w:r>
      <w:r w:rsidR="00091F75">
        <w:t>es</w:t>
      </w:r>
      <w:r w:rsidR="00091F75" w:rsidRPr="007C371F">
        <w:t xml:space="preserve"> </w:t>
      </w:r>
      <w:r w:rsidRPr="007C371F">
        <w:t>that</w:t>
      </w:r>
      <w:r w:rsidR="00377CC1" w:rsidRPr="00377CC1">
        <w:t xml:space="preserve"> </w:t>
      </w:r>
      <w:r w:rsidR="00952C44">
        <w:t xml:space="preserve">the </w:t>
      </w:r>
      <w:r w:rsidR="00952C44" w:rsidRPr="007C371F">
        <w:t xml:space="preserve">U.S. Food and Drug Administration (FDA) </w:t>
      </w:r>
      <w:r w:rsidR="00952C44">
        <w:t xml:space="preserve">withdrew </w:t>
      </w:r>
      <w:r w:rsidR="00377CC1" w:rsidRPr="007C371F">
        <w:t xml:space="preserve">emergency use authorization </w:t>
      </w:r>
      <w:r w:rsidR="00952C44">
        <w:t xml:space="preserve">for </w:t>
      </w:r>
      <w:r w:rsidRPr="007C371F">
        <w:t xml:space="preserve">a previously approved monoclonal antibody treatment </w:t>
      </w:r>
      <w:r w:rsidR="00FB6098">
        <w:t>that</w:t>
      </w:r>
      <w:r w:rsidR="00746A64" w:rsidRPr="007C371F">
        <w:t xml:space="preserve"> </w:t>
      </w:r>
      <w:r w:rsidRPr="007C371F">
        <w:t>is no longer a covered s</w:t>
      </w:r>
      <w:r w:rsidR="00DE4A19">
        <w:t xml:space="preserve">ervice for MassHealth members. </w:t>
      </w:r>
      <w:r w:rsidR="00952C44">
        <w:t xml:space="preserve">Finally, the FDA granted emergency use authorization for monoclonal </w:t>
      </w:r>
      <w:r w:rsidR="00952C44" w:rsidRPr="007C371F">
        <w:t>antibody therapy sotrovimab</w:t>
      </w:r>
      <w:r w:rsidR="00952C44">
        <w:t xml:space="preserve"> e</w:t>
      </w:r>
      <w:r w:rsidR="00952C44" w:rsidRPr="007C371F">
        <w:t>ffective May 26, 2021</w:t>
      </w:r>
      <w:r w:rsidR="00952C44">
        <w:t xml:space="preserve">, and MassHealth will cover this service.  </w:t>
      </w:r>
    </w:p>
    <w:p w14:paraId="073EB81F" w14:textId="77777777" w:rsidR="007C371F" w:rsidRPr="007C371F" w:rsidRDefault="007C371F" w:rsidP="007C371F">
      <w:pPr>
        <w:spacing w:after="120" w:afterAutospacing="0"/>
      </w:pPr>
      <w:r w:rsidRPr="007C371F">
        <w:t>This bulletin applies to members enrolled in MassHealth fee-for-service, the Primary Care Clinician (PCC) Plan, or a Primary Care Accountable Care Organization (ACO). Information about coverage through MassHealth Managed Care Entities (MCEs) and the Program for All-inclusive Care for the Elderly (PACE) will be included in a forthcoming MCE bulletin.</w:t>
      </w:r>
    </w:p>
    <w:p w14:paraId="7EBE688B" w14:textId="48C3EF97" w:rsidR="00F664CC" w:rsidRPr="005B27F1" w:rsidRDefault="007C371F" w:rsidP="007C371F">
      <w:pPr>
        <w:pStyle w:val="Heading2"/>
      </w:pPr>
      <w:r w:rsidRPr="007C371F">
        <w:t>Update</w:t>
      </w:r>
      <w:r w:rsidR="00AC4059">
        <w:t>d</w:t>
      </w:r>
      <w:r w:rsidRPr="007C371F">
        <w:t xml:space="preserve"> Payment for Administration of Monoclonal Antibody Products</w:t>
      </w:r>
      <w:r w:rsidR="00F60574">
        <w:tab/>
      </w:r>
    </w:p>
    <w:p w14:paraId="1F9176B5" w14:textId="017A2E04" w:rsidR="007C371F" w:rsidRPr="007C371F" w:rsidRDefault="007C371F" w:rsidP="007C371F">
      <w:r w:rsidRPr="007C371F">
        <w:t xml:space="preserve">Effective for dates of service on or after May 6, 2021, providers enrolled in the MassHealth acute outpatient hospital (AOH), community health center (CHC), and physician programs may bill and receive payment for </w:t>
      </w:r>
      <w:r w:rsidR="00746A64">
        <w:t>administering</w:t>
      </w:r>
      <w:r w:rsidRPr="007C371F">
        <w:t xml:space="preserve"> monoclonal antibody products </w:t>
      </w:r>
      <w:r w:rsidR="00377CC1">
        <w:t>used</w:t>
      </w:r>
      <w:r w:rsidRPr="007C371F">
        <w:t xml:space="preserve"> </w:t>
      </w:r>
      <w:r w:rsidR="00377CC1">
        <w:t xml:space="preserve">to </w:t>
      </w:r>
      <w:r w:rsidRPr="007C371F">
        <w:t>treat COVID-19</w:t>
      </w:r>
      <w:r w:rsidR="005C5695">
        <w:t xml:space="preserve"> as described in the table below</w:t>
      </w:r>
      <w:r w:rsidRPr="007C371F">
        <w:t>. These rates</w:t>
      </w:r>
      <w:r w:rsidR="00AC4059">
        <w:t>, which are consistent with Medicare,</w:t>
      </w:r>
      <w:r w:rsidRPr="007C371F">
        <w:t xml:space="preserve"> will be formally established through amendments to 101 CMR 446</w:t>
      </w:r>
      <w:r w:rsidR="00394A1F">
        <w:t>.00</w:t>
      </w:r>
      <w:r w:rsidRPr="007C371F">
        <w:t xml:space="preserve">: </w:t>
      </w:r>
      <w:r w:rsidRPr="007C371F">
        <w:rPr>
          <w:i/>
        </w:rPr>
        <w:t xml:space="preserve">COVID-19 Payment Rates </w:t>
      </w:r>
      <w:r w:rsidR="00394A1F">
        <w:rPr>
          <w:i/>
        </w:rPr>
        <w:t>f</w:t>
      </w:r>
      <w:r w:rsidRPr="007C371F">
        <w:rPr>
          <w:i/>
        </w:rPr>
        <w:t>or Certain Community Health Care Providers</w:t>
      </w:r>
      <w:r w:rsidRPr="007C371F">
        <w:t>.</w:t>
      </w:r>
    </w:p>
    <w:tbl>
      <w:tblPr>
        <w:tblStyle w:val="TableGrid"/>
        <w:tblW w:w="9270" w:type="dxa"/>
        <w:tblInd w:w="648" w:type="dxa"/>
        <w:tblLayout w:type="fixed"/>
        <w:tblLook w:val="04A0" w:firstRow="1" w:lastRow="0" w:firstColumn="1" w:lastColumn="0" w:noHBand="0" w:noVBand="1"/>
      </w:tblPr>
      <w:tblGrid>
        <w:gridCol w:w="1530"/>
        <w:gridCol w:w="1710"/>
        <w:gridCol w:w="6030"/>
      </w:tblGrid>
      <w:tr w:rsidR="007C371F" w:rsidRPr="0004148A" w14:paraId="507C4590" w14:textId="77777777" w:rsidTr="00C16DEF">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3D7B7411" w14:textId="77777777" w:rsidR="007C371F" w:rsidRPr="0004148A" w:rsidRDefault="007C371F" w:rsidP="00A205B7">
            <w:pPr>
              <w:tabs>
                <w:tab w:val="left" w:pos="900"/>
              </w:tabs>
              <w:jc w:val="center"/>
              <w:rPr>
                <w:b/>
                <w:bCs/>
                <w:sz w:val="22"/>
                <w:szCs w:val="22"/>
              </w:rPr>
            </w:pPr>
            <w:r w:rsidRPr="0004148A">
              <w:rPr>
                <w:b/>
                <w:bCs/>
                <w:sz w:val="22"/>
                <w:szCs w:val="22"/>
              </w:rPr>
              <w:t>Code</w:t>
            </w:r>
          </w:p>
        </w:tc>
        <w:tc>
          <w:tcPr>
            <w:tcW w:w="1710" w:type="dxa"/>
            <w:tcBorders>
              <w:top w:val="single" w:sz="4" w:space="0" w:color="auto"/>
              <w:left w:val="single" w:sz="4" w:space="0" w:color="auto"/>
              <w:bottom w:val="single" w:sz="4" w:space="0" w:color="auto"/>
              <w:right w:val="single" w:sz="4" w:space="0" w:color="auto"/>
            </w:tcBorders>
          </w:tcPr>
          <w:p w14:paraId="44208E70" w14:textId="77777777" w:rsidR="007C371F" w:rsidRPr="0004148A" w:rsidRDefault="007C371F" w:rsidP="00A205B7">
            <w:pPr>
              <w:jc w:val="center"/>
              <w:rPr>
                <w:b/>
                <w:bCs/>
                <w:sz w:val="22"/>
                <w:szCs w:val="22"/>
              </w:rPr>
            </w:pPr>
            <w:r w:rsidRPr="0004148A">
              <w:rPr>
                <w:b/>
                <w:bCs/>
                <w:sz w:val="22"/>
                <w:szCs w:val="22"/>
              </w:rPr>
              <w:t>Allowable Fee</w:t>
            </w:r>
          </w:p>
        </w:tc>
        <w:tc>
          <w:tcPr>
            <w:tcW w:w="6030" w:type="dxa"/>
            <w:tcBorders>
              <w:top w:val="single" w:sz="4" w:space="0" w:color="auto"/>
              <w:left w:val="single" w:sz="4" w:space="0" w:color="auto"/>
              <w:bottom w:val="single" w:sz="4" w:space="0" w:color="auto"/>
              <w:right w:val="single" w:sz="4" w:space="0" w:color="auto"/>
            </w:tcBorders>
            <w:hideMark/>
          </w:tcPr>
          <w:p w14:paraId="3005257F" w14:textId="77777777" w:rsidR="007C371F" w:rsidRPr="0004148A" w:rsidRDefault="007C371F" w:rsidP="00A205B7">
            <w:pPr>
              <w:jc w:val="center"/>
              <w:rPr>
                <w:b/>
                <w:bCs/>
                <w:sz w:val="22"/>
                <w:szCs w:val="22"/>
              </w:rPr>
            </w:pPr>
            <w:r w:rsidRPr="0004148A">
              <w:rPr>
                <w:b/>
                <w:bCs/>
                <w:sz w:val="22"/>
                <w:szCs w:val="22"/>
              </w:rPr>
              <w:t>Description of Code</w:t>
            </w:r>
          </w:p>
        </w:tc>
      </w:tr>
      <w:tr w:rsidR="007C371F" w:rsidRPr="004D3336" w14:paraId="05000BD4" w14:textId="77777777" w:rsidTr="00C16DEF">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4A8589A4" w14:textId="77777777" w:rsidR="007C371F" w:rsidRPr="004D3336" w:rsidRDefault="007C371F" w:rsidP="00A205B7">
            <w:pPr>
              <w:ind w:left="0"/>
              <w:rPr>
                <w:sz w:val="22"/>
                <w:szCs w:val="22"/>
              </w:rPr>
            </w:pPr>
            <w:r w:rsidRPr="004D3336">
              <w:rPr>
                <w:sz w:val="22"/>
                <w:szCs w:val="22"/>
              </w:rPr>
              <w:t>Q0243 SL</w:t>
            </w:r>
          </w:p>
        </w:tc>
        <w:tc>
          <w:tcPr>
            <w:tcW w:w="1710" w:type="dxa"/>
            <w:tcBorders>
              <w:top w:val="single" w:sz="4" w:space="0" w:color="auto"/>
              <w:left w:val="single" w:sz="4" w:space="0" w:color="auto"/>
              <w:bottom w:val="single" w:sz="4" w:space="0" w:color="auto"/>
              <w:right w:val="single" w:sz="4" w:space="0" w:color="auto"/>
            </w:tcBorders>
            <w:vAlign w:val="center"/>
          </w:tcPr>
          <w:p w14:paraId="7FFE3ABB" w14:textId="77777777" w:rsidR="007C371F" w:rsidRPr="00E67EAB" w:rsidRDefault="007C371F" w:rsidP="00E21FFC">
            <w:pPr>
              <w:ind w:left="0"/>
              <w:jc w:val="center"/>
              <w:rPr>
                <w:sz w:val="22"/>
                <w:szCs w:val="22"/>
              </w:rPr>
            </w:pPr>
            <w:r w:rsidRPr="00E67EAB">
              <w:rPr>
                <w:sz w:val="22"/>
                <w:szCs w:val="22"/>
              </w:rPr>
              <w:t>$0.00</w:t>
            </w:r>
          </w:p>
        </w:tc>
        <w:tc>
          <w:tcPr>
            <w:tcW w:w="6030" w:type="dxa"/>
            <w:tcBorders>
              <w:top w:val="single" w:sz="4" w:space="0" w:color="auto"/>
              <w:left w:val="single" w:sz="4" w:space="0" w:color="auto"/>
              <w:bottom w:val="single" w:sz="4" w:space="0" w:color="auto"/>
              <w:right w:val="single" w:sz="4" w:space="0" w:color="auto"/>
            </w:tcBorders>
            <w:vAlign w:val="center"/>
          </w:tcPr>
          <w:p w14:paraId="57201630" w14:textId="77777777" w:rsidR="007C371F" w:rsidRPr="004D3336" w:rsidRDefault="007C371F" w:rsidP="00A205B7">
            <w:pPr>
              <w:ind w:left="0"/>
              <w:rPr>
                <w:sz w:val="22"/>
                <w:szCs w:val="22"/>
              </w:rPr>
            </w:pPr>
            <w:r w:rsidRPr="004D3336">
              <w:rPr>
                <w:sz w:val="22"/>
                <w:szCs w:val="22"/>
              </w:rPr>
              <w:t>Injection, casirivimab and imdevimab, 2400 mg</w:t>
            </w:r>
          </w:p>
        </w:tc>
      </w:tr>
      <w:tr w:rsidR="007C371F" w:rsidRPr="004D3336" w14:paraId="0ED6ED15" w14:textId="77777777" w:rsidTr="00C16DEF">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6DD27611" w14:textId="77777777" w:rsidR="007C371F" w:rsidRPr="004D3336" w:rsidRDefault="007C371F" w:rsidP="00A205B7">
            <w:pPr>
              <w:ind w:left="0"/>
              <w:rPr>
                <w:sz w:val="22"/>
                <w:szCs w:val="22"/>
              </w:rPr>
            </w:pPr>
            <w:r w:rsidRPr="004D3336">
              <w:rPr>
                <w:sz w:val="22"/>
                <w:szCs w:val="22"/>
              </w:rPr>
              <w:t>M0243</w:t>
            </w:r>
          </w:p>
        </w:tc>
        <w:tc>
          <w:tcPr>
            <w:tcW w:w="1710" w:type="dxa"/>
            <w:tcBorders>
              <w:top w:val="single" w:sz="4" w:space="0" w:color="auto"/>
              <w:left w:val="single" w:sz="4" w:space="0" w:color="auto"/>
              <w:bottom w:val="single" w:sz="4" w:space="0" w:color="auto"/>
              <w:right w:val="single" w:sz="4" w:space="0" w:color="auto"/>
            </w:tcBorders>
            <w:vAlign w:val="center"/>
          </w:tcPr>
          <w:p w14:paraId="3E0850E7" w14:textId="77777777" w:rsidR="007C371F" w:rsidRPr="00E67EAB" w:rsidRDefault="007C371F" w:rsidP="00E21FFC">
            <w:pPr>
              <w:ind w:left="0"/>
              <w:jc w:val="center"/>
              <w:rPr>
                <w:sz w:val="22"/>
                <w:szCs w:val="22"/>
              </w:rPr>
            </w:pPr>
            <w:r w:rsidRPr="00E67EAB">
              <w:rPr>
                <w:sz w:val="22"/>
                <w:szCs w:val="22"/>
              </w:rPr>
              <w:t>$450</w:t>
            </w:r>
            <w:r>
              <w:rPr>
                <w:sz w:val="22"/>
                <w:szCs w:val="22"/>
              </w:rPr>
              <w:t>.00</w:t>
            </w:r>
          </w:p>
        </w:tc>
        <w:tc>
          <w:tcPr>
            <w:tcW w:w="6030" w:type="dxa"/>
            <w:tcBorders>
              <w:top w:val="single" w:sz="4" w:space="0" w:color="auto"/>
              <w:left w:val="single" w:sz="4" w:space="0" w:color="auto"/>
              <w:bottom w:val="single" w:sz="4" w:space="0" w:color="auto"/>
              <w:right w:val="single" w:sz="4" w:space="0" w:color="auto"/>
            </w:tcBorders>
            <w:vAlign w:val="center"/>
          </w:tcPr>
          <w:p w14:paraId="601488F4" w14:textId="77777777" w:rsidR="007C371F" w:rsidRPr="004D3336" w:rsidRDefault="007C371F" w:rsidP="00A205B7">
            <w:pPr>
              <w:ind w:left="0"/>
              <w:rPr>
                <w:sz w:val="22"/>
                <w:szCs w:val="22"/>
              </w:rPr>
            </w:pPr>
            <w:r w:rsidRPr="004D3336">
              <w:rPr>
                <w:sz w:val="22"/>
                <w:szCs w:val="22"/>
              </w:rPr>
              <w:t>Intravenous infusion, casirivimab and imdevimab includes infusion and post administration monitoring</w:t>
            </w:r>
          </w:p>
        </w:tc>
      </w:tr>
      <w:tr w:rsidR="007C371F" w:rsidRPr="004D3336" w14:paraId="72504A2E" w14:textId="77777777" w:rsidTr="00C16DEF">
        <w:trPr>
          <w:cantSplit/>
          <w:trHeight w:val="152"/>
        </w:trPr>
        <w:tc>
          <w:tcPr>
            <w:tcW w:w="1530" w:type="dxa"/>
            <w:tcBorders>
              <w:top w:val="single" w:sz="4" w:space="0" w:color="auto"/>
              <w:left w:val="single" w:sz="4" w:space="0" w:color="auto"/>
              <w:bottom w:val="single" w:sz="4" w:space="0" w:color="auto"/>
              <w:right w:val="single" w:sz="4" w:space="0" w:color="auto"/>
            </w:tcBorders>
            <w:vAlign w:val="center"/>
          </w:tcPr>
          <w:p w14:paraId="6651FC71" w14:textId="77777777" w:rsidR="007C371F" w:rsidRPr="004D3336" w:rsidRDefault="007C371F" w:rsidP="00A205B7">
            <w:pPr>
              <w:ind w:left="0"/>
              <w:rPr>
                <w:sz w:val="22"/>
                <w:szCs w:val="22"/>
              </w:rPr>
            </w:pPr>
            <w:r w:rsidRPr="00E67EAB">
              <w:rPr>
                <w:sz w:val="22"/>
                <w:szCs w:val="22"/>
              </w:rPr>
              <w:t>M0244</w:t>
            </w:r>
          </w:p>
        </w:tc>
        <w:tc>
          <w:tcPr>
            <w:tcW w:w="1710" w:type="dxa"/>
            <w:tcBorders>
              <w:top w:val="single" w:sz="4" w:space="0" w:color="auto"/>
              <w:left w:val="single" w:sz="4" w:space="0" w:color="auto"/>
              <w:bottom w:val="single" w:sz="4" w:space="0" w:color="auto"/>
              <w:right w:val="single" w:sz="4" w:space="0" w:color="auto"/>
            </w:tcBorders>
            <w:vAlign w:val="center"/>
          </w:tcPr>
          <w:p w14:paraId="724E75A1" w14:textId="77777777" w:rsidR="007C371F" w:rsidRPr="00E67EAB" w:rsidRDefault="007C371F" w:rsidP="00E21FFC">
            <w:pPr>
              <w:ind w:left="0"/>
              <w:jc w:val="center"/>
              <w:rPr>
                <w:sz w:val="22"/>
                <w:szCs w:val="22"/>
              </w:rPr>
            </w:pPr>
            <w:r w:rsidRPr="00E67EAB">
              <w:rPr>
                <w:sz w:val="22"/>
                <w:szCs w:val="22"/>
              </w:rPr>
              <w:t>$750</w:t>
            </w:r>
            <w:r>
              <w:rPr>
                <w:sz w:val="22"/>
                <w:szCs w:val="22"/>
              </w:rPr>
              <w:t>.00</w:t>
            </w:r>
          </w:p>
        </w:tc>
        <w:tc>
          <w:tcPr>
            <w:tcW w:w="6030" w:type="dxa"/>
            <w:tcBorders>
              <w:top w:val="single" w:sz="4" w:space="0" w:color="auto"/>
              <w:left w:val="single" w:sz="4" w:space="0" w:color="auto"/>
              <w:bottom w:val="single" w:sz="4" w:space="0" w:color="auto"/>
              <w:right w:val="single" w:sz="4" w:space="0" w:color="auto"/>
            </w:tcBorders>
            <w:vAlign w:val="center"/>
          </w:tcPr>
          <w:p w14:paraId="4703A7FC" w14:textId="77777777" w:rsidR="007C371F" w:rsidRPr="004D3336" w:rsidRDefault="007C371F" w:rsidP="00A205B7">
            <w:pPr>
              <w:ind w:left="0"/>
              <w:rPr>
                <w:sz w:val="22"/>
                <w:szCs w:val="22"/>
              </w:rPr>
            </w:pPr>
            <w:r w:rsidRPr="00E67EAB">
              <w:rPr>
                <w:sz w:val="22"/>
                <w:szCs w:val="22"/>
              </w:rPr>
              <w:t>Intravenous infusion, casirivimab and imdevimab includes infusion and post administration monitoring in the home or residence</w:t>
            </w:r>
          </w:p>
        </w:tc>
      </w:tr>
    </w:tbl>
    <w:p w14:paraId="5DBA5C5F" w14:textId="77777777" w:rsidR="00C16DEF" w:rsidRDefault="00C16DEF"/>
    <w:tbl>
      <w:tblPr>
        <w:tblStyle w:val="TableGrid"/>
        <w:tblW w:w="9270" w:type="dxa"/>
        <w:tblInd w:w="648" w:type="dxa"/>
        <w:tblLayout w:type="fixed"/>
        <w:tblLook w:val="04A0" w:firstRow="1" w:lastRow="0" w:firstColumn="1" w:lastColumn="0" w:noHBand="0" w:noVBand="1"/>
      </w:tblPr>
      <w:tblGrid>
        <w:gridCol w:w="1530"/>
        <w:gridCol w:w="1710"/>
        <w:gridCol w:w="6030"/>
      </w:tblGrid>
      <w:tr w:rsidR="00C16DEF" w:rsidRPr="0004148A" w14:paraId="39BF6A9F" w14:textId="77777777" w:rsidTr="00C17C56">
        <w:trPr>
          <w:tblHeader/>
        </w:trPr>
        <w:tc>
          <w:tcPr>
            <w:tcW w:w="1530" w:type="dxa"/>
            <w:hideMark/>
          </w:tcPr>
          <w:p w14:paraId="5B10E309" w14:textId="77777777" w:rsidR="00C16DEF" w:rsidRPr="0004148A" w:rsidRDefault="00C16DEF" w:rsidP="00A205B7">
            <w:pPr>
              <w:tabs>
                <w:tab w:val="left" w:pos="900"/>
              </w:tabs>
              <w:jc w:val="center"/>
              <w:rPr>
                <w:b/>
                <w:bCs/>
                <w:sz w:val="22"/>
                <w:szCs w:val="22"/>
              </w:rPr>
            </w:pPr>
            <w:r w:rsidRPr="0004148A">
              <w:rPr>
                <w:b/>
                <w:bCs/>
                <w:sz w:val="22"/>
                <w:szCs w:val="22"/>
              </w:rPr>
              <w:lastRenderedPageBreak/>
              <w:t>Code</w:t>
            </w:r>
          </w:p>
        </w:tc>
        <w:tc>
          <w:tcPr>
            <w:tcW w:w="1710" w:type="dxa"/>
          </w:tcPr>
          <w:p w14:paraId="31E2A4CA" w14:textId="77777777" w:rsidR="00C16DEF" w:rsidRPr="0004148A" w:rsidRDefault="00C16DEF" w:rsidP="00A205B7">
            <w:pPr>
              <w:jc w:val="center"/>
              <w:rPr>
                <w:b/>
                <w:bCs/>
                <w:sz w:val="22"/>
                <w:szCs w:val="22"/>
              </w:rPr>
            </w:pPr>
            <w:r w:rsidRPr="0004148A">
              <w:rPr>
                <w:b/>
                <w:bCs/>
                <w:sz w:val="22"/>
                <w:szCs w:val="22"/>
              </w:rPr>
              <w:t>Allowable Fee</w:t>
            </w:r>
          </w:p>
        </w:tc>
        <w:tc>
          <w:tcPr>
            <w:tcW w:w="6030" w:type="dxa"/>
            <w:hideMark/>
          </w:tcPr>
          <w:p w14:paraId="5ED8AF06" w14:textId="77777777" w:rsidR="00C16DEF" w:rsidRPr="0004148A" w:rsidRDefault="00C16DEF" w:rsidP="00A205B7">
            <w:pPr>
              <w:jc w:val="center"/>
              <w:rPr>
                <w:b/>
                <w:bCs/>
                <w:sz w:val="22"/>
                <w:szCs w:val="22"/>
              </w:rPr>
            </w:pPr>
            <w:r w:rsidRPr="0004148A">
              <w:rPr>
                <w:b/>
                <w:bCs/>
                <w:sz w:val="22"/>
                <w:szCs w:val="22"/>
              </w:rPr>
              <w:t>Description of Code</w:t>
            </w:r>
          </w:p>
        </w:tc>
      </w:tr>
      <w:tr w:rsidR="00C17C56" w:rsidRPr="004D3336" w14:paraId="21C22FF0" w14:textId="77777777" w:rsidTr="00C17C56">
        <w:trPr>
          <w:trHeight w:val="530"/>
        </w:trPr>
        <w:tc>
          <w:tcPr>
            <w:tcW w:w="1530" w:type="dxa"/>
          </w:tcPr>
          <w:p w14:paraId="3FDDD98F" w14:textId="77777777" w:rsidR="00C17C56" w:rsidRPr="004D3336" w:rsidRDefault="00C17C56" w:rsidP="003D0C25">
            <w:pPr>
              <w:ind w:left="0"/>
              <w:rPr>
                <w:sz w:val="22"/>
                <w:szCs w:val="22"/>
              </w:rPr>
            </w:pPr>
            <w:r w:rsidRPr="00E67EAB">
              <w:rPr>
                <w:sz w:val="22"/>
                <w:szCs w:val="22"/>
              </w:rPr>
              <w:t>Q0245 SL</w:t>
            </w:r>
          </w:p>
        </w:tc>
        <w:tc>
          <w:tcPr>
            <w:tcW w:w="1710" w:type="dxa"/>
          </w:tcPr>
          <w:p w14:paraId="3CF00AA8" w14:textId="77777777" w:rsidR="00C17C56" w:rsidRPr="00E67EAB" w:rsidRDefault="00C17C56" w:rsidP="00E21FFC">
            <w:pPr>
              <w:ind w:left="0"/>
              <w:jc w:val="center"/>
              <w:rPr>
                <w:sz w:val="22"/>
                <w:szCs w:val="22"/>
              </w:rPr>
            </w:pPr>
            <w:r w:rsidRPr="00E67EAB">
              <w:rPr>
                <w:sz w:val="22"/>
                <w:szCs w:val="22"/>
              </w:rPr>
              <w:t>$0.00</w:t>
            </w:r>
          </w:p>
        </w:tc>
        <w:tc>
          <w:tcPr>
            <w:tcW w:w="6030" w:type="dxa"/>
          </w:tcPr>
          <w:p w14:paraId="5FD5A25A" w14:textId="77777777" w:rsidR="00C17C56" w:rsidRPr="004D3336" w:rsidRDefault="00C17C56" w:rsidP="003D0C25">
            <w:pPr>
              <w:ind w:left="0"/>
              <w:rPr>
                <w:sz w:val="22"/>
                <w:szCs w:val="22"/>
              </w:rPr>
            </w:pPr>
            <w:r w:rsidRPr="00E67EAB">
              <w:rPr>
                <w:sz w:val="22"/>
                <w:szCs w:val="22"/>
              </w:rPr>
              <w:t>Injection, bamlanivimab and etesevimab, 2100 mg</w:t>
            </w:r>
          </w:p>
        </w:tc>
      </w:tr>
      <w:tr w:rsidR="007C371F" w:rsidRPr="004D3336" w14:paraId="7FBC5DD5" w14:textId="77777777" w:rsidTr="00C17C56">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46B7F269" w14:textId="77777777" w:rsidR="007C371F" w:rsidRPr="004D3336" w:rsidRDefault="007C371F" w:rsidP="00A205B7">
            <w:pPr>
              <w:ind w:left="0"/>
              <w:rPr>
                <w:sz w:val="22"/>
                <w:szCs w:val="22"/>
              </w:rPr>
            </w:pPr>
            <w:r w:rsidRPr="00E67EAB">
              <w:rPr>
                <w:sz w:val="22"/>
                <w:szCs w:val="22"/>
              </w:rPr>
              <w:t>M0245</w:t>
            </w:r>
          </w:p>
        </w:tc>
        <w:tc>
          <w:tcPr>
            <w:tcW w:w="1710" w:type="dxa"/>
            <w:tcBorders>
              <w:top w:val="single" w:sz="4" w:space="0" w:color="auto"/>
              <w:left w:val="single" w:sz="4" w:space="0" w:color="auto"/>
              <w:bottom w:val="single" w:sz="4" w:space="0" w:color="auto"/>
              <w:right w:val="single" w:sz="4" w:space="0" w:color="auto"/>
            </w:tcBorders>
            <w:vAlign w:val="center"/>
          </w:tcPr>
          <w:p w14:paraId="19DB8DA0" w14:textId="77777777" w:rsidR="007C371F" w:rsidRPr="00E67EAB" w:rsidRDefault="007C371F" w:rsidP="00E21FFC">
            <w:pPr>
              <w:ind w:left="0"/>
              <w:jc w:val="center"/>
              <w:rPr>
                <w:sz w:val="22"/>
                <w:szCs w:val="22"/>
              </w:rPr>
            </w:pPr>
            <w:r w:rsidRPr="00E67EAB">
              <w:rPr>
                <w:sz w:val="22"/>
                <w:szCs w:val="22"/>
              </w:rPr>
              <w:t>$450</w:t>
            </w:r>
            <w:r>
              <w:rPr>
                <w:sz w:val="22"/>
                <w:szCs w:val="22"/>
              </w:rPr>
              <w:t>.00</w:t>
            </w:r>
          </w:p>
        </w:tc>
        <w:tc>
          <w:tcPr>
            <w:tcW w:w="6030" w:type="dxa"/>
            <w:tcBorders>
              <w:top w:val="single" w:sz="4" w:space="0" w:color="auto"/>
              <w:left w:val="single" w:sz="4" w:space="0" w:color="auto"/>
              <w:bottom w:val="single" w:sz="4" w:space="0" w:color="auto"/>
              <w:right w:val="single" w:sz="4" w:space="0" w:color="auto"/>
            </w:tcBorders>
            <w:vAlign w:val="center"/>
          </w:tcPr>
          <w:p w14:paraId="16D4E0AF" w14:textId="77777777" w:rsidR="007C371F" w:rsidRPr="004D3336" w:rsidRDefault="007C371F" w:rsidP="00A205B7">
            <w:pPr>
              <w:ind w:left="0"/>
              <w:rPr>
                <w:sz w:val="22"/>
                <w:szCs w:val="22"/>
              </w:rPr>
            </w:pPr>
            <w:r w:rsidRPr="00E67EAB">
              <w:rPr>
                <w:sz w:val="22"/>
                <w:szCs w:val="22"/>
              </w:rPr>
              <w:t>Intravenous infusion, bamlanivimab and etesevimab, includes infusion and post administration monitoring</w:t>
            </w:r>
          </w:p>
        </w:tc>
      </w:tr>
      <w:tr w:rsidR="007C371F" w:rsidRPr="00E67EAB" w14:paraId="58EEC3D6" w14:textId="77777777" w:rsidTr="00C17C56">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7868A06C" w14:textId="77777777" w:rsidR="007C371F" w:rsidRPr="00E67EAB" w:rsidRDefault="007C371F" w:rsidP="00A205B7">
            <w:pPr>
              <w:ind w:left="0"/>
              <w:rPr>
                <w:sz w:val="22"/>
                <w:szCs w:val="22"/>
              </w:rPr>
            </w:pPr>
            <w:r w:rsidRPr="00E67EAB">
              <w:rPr>
                <w:sz w:val="22"/>
                <w:szCs w:val="22"/>
              </w:rPr>
              <w:t>M0246</w:t>
            </w:r>
          </w:p>
        </w:tc>
        <w:tc>
          <w:tcPr>
            <w:tcW w:w="1710" w:type="dxa"/>
            <w:tcBorders>
              <w:top w:val="single" w:sz="4" w:space="0" w:color="auto"/>
              <w:left w:val="single" w:sz="4" w:space="0" w:color="auto"/>
              <w:bottom w:val="single" w:sz="4" w:space="0" w:color="auto"/>
              <w:right w:val="single" w:sz="4" w:space="0" w:color="auto"/>
            </w:tcBorders>
            <w:vAlign w:val="center"/>
          </w:tcPr>
          <w:p w14:paraId="60DF4C96" w14:textId="77777777" w:rsidR="007C371F" w:rsidRPr="00E67EAB" w:rsidRDefault="007C371F" w:rsidP="00E21FFC">
            <w:pPr>
              <w:ind w:left="0"/>
              <w:jc w:val="center"/>
              <w:rPr>
                <w:sz w:val="22"/>
                <w:szCs w:val="22"/>
              </w:rPr>
            </w:pPr>
            <w:r w:rsidRPr="00E67EAB">
              <w:rPr>
                <w:sz w:val="22"/>
                <w:szCs w:val="22"/>
              </w:rPr>
              <w:t>$750</w:t>
            </w:r>
            <w:r>
              <w:rPr>
                <w:sz w:val="22"/>
                <w:szCs w:val="22"/>
              </w:rPr>
              <w:t>.00</w:t>
            </w:r>
          </w:p>
        </w:tc>
        <w:tc>
          <w:tcPr>
            <w:tcW w:w="6030" w:type="dxa"/>
            <w:tcBorders>
              <w:top w:val="single" w:sz="4" w:space="0" w:color="auto"/>
              <w:left w:val="single" w:sz="4" w:space="0" w:color="auto"/>
              <w:bottom w:val="single" w:sz="4" w:space="0" w:color="auto"/>
              <w:right w:val="single" w:sz="4" w:space="0" w:color="auto"/>
            </w:tcBorders>
            <w:vAlign w:val="center"/>
          </w:tcPr>
          <w:p w14:paraId="718A1259" w14:textId="77777777" w:rsidR="007C371F" w:rsidRPr="00E67EAB" w:rsidRDefault="007C371F" w:rsidP="00A205B7">
            <w:pPr>
              <w:ind w:left="0"/>
              <w:rPr>
                <w:sz w:val="22"/>
                <w:szCs w:val="22"/>
              </w:rPr>
            </w:pPr>
            <w:r w:rsidRPr="00E67EAB">
              <w:rPr>
                <w:sz w:val="22"/>
                <w:szCs w:val="22"/>
              </w:rPr>
              <w:t>Intravenous infusion, bamlanivimab and etesevimab, includes infusion and post administration monitoring in the home or residence</w:t>
            </w:r>
          </w:p>
        </w:tc>
      </w:tr>
    </w:tbl>
    <w:p w14:paraId="007D8B26" w14:textId="77777777" w:rsidR="007C371F" w:rsidRDefault="007C371F" w:rsidP="007C371F">
      <w:pPr>
        <w:spacing w:before="0" w:after="240" w:afterAutospacing="0"/>
      </w:pPr>
    </w:p>
    <w:p w14:paraId="2C08BB91" w14:textId="42531A23" w:rsidR="00F664CC" w:rsidRPr="008B6E51" w:rsidRDefault="007C371F" w:rsidP="00DE4A19">
      <w:r w:rsidRPr="007C371F">
        <w:t>The modifier “SL” indicates state-supplied vaccine or antibodies. This modifier is to be applied to codes to identify administration of vaccines or antibodies provided at no cost, whether by the Massachusetts DPH</w:t>
      </w:r>
      <w:r w:rsidR="00A41FAF">
        <w:t>,</w:t>
      </w:r>
      <w:r w:rsidRPr="007C371F">
        <w:t xml:space="preserve"> another federal, state, or local agency</w:t>
      </w:r>
      <w:r w:rsidR="00A41FAF">
        <w:t>,</w:t>
      </w:r>
      <w:r w:rsidRPr="007C371F">
        <w:t xml:space="preserve"> or a manufacturer. If providers receive the antibodies from one of these sources at no cost, </w:t>
      </w:r>
      <w:r w:rsidR="00A41FAF">
        <w:t>they</w:t>
      </w:r>
      <w:r w:rsidR="00A41FAF" w:rsidRPr="007C371F">
        <w:t xml:space="preserve"> </w:t>
      </w:r>
      <w:r w:rsidRPr="007C371F">
        <w:t xml:space="preserve">must bill the code for the antibodies themselves, with modifier SL, and the codes for intravenous infusion of the antibodies. MassHealth will pay $0 for antibodies billed with the modifier SL, and </w:t>
      </w:r>
      <w:r w:rsidR="00F34BE7">
        <w:t xml:space="preserve">will pay </w:t>
      </w:r>
      <w:r w:rsidRPr="007C371F">
        <w:t>the rates listed above for the intravenous infusion of the antibodies.</w:t>
      </w:r>
    </w:p>
    <w:p w14:paraId="09387E2C" w14:textId="77777777" w:rsidR="007C371F" w:rsidRPr="007C371F" w:rsidRDefault="007C371F" w:rsidP="00C16DEF">
      <w:pPr>
        <w:pStyle w:val="Heading2"/>
        <w:spacing w:after="100"/>
        <w:rPr>
          <w:rFonts w:eastAsiaTheme="majorEastAsia"/>
        </w:rPr>
      </w:pPr>
      <w:r w:rsidRPr="007C371F">
        <w:rPr>
          <w:rFonts w:eastAsiaTheme="majorEastAsia"/>
        </w:rPr>
        <w:t xml:space="preserve">Update to Covered Monoclonal Antibody Products </w:t>
      </w:r>
    </w:p>
    <w:p w14:paraId="2EF9AD98" w14:textId="31B5CA7A" w:rsidR="007C371F" w:rsidRPr="007C371F" w:rsidRDefault="007C371F" w:rsidP="00DE4A19">
      <w:r w:rsidRPr="007C371F">
        <w:t xml:space="preserve">On April 16, 2021, the </w:t>
      </w:r>
      <w:r w:rsidR="00952C44">
        <w:t>FDA</w:t>
      </w:r>
      <w:r w:rsidRPr="007C371F">
        <w:t xml:space="preserve"> withdrew </w:t>
      </w:r>
      <w:r w:rsidR="00E36C2A">
        <w:t>e</w:t>
      </w:r>
      <w:r w:rsidRPr="007C371F">
        <w:t xml:space="preserve">mergency </w:t>
      </w:r>
      <w:r w:rsidR="00C17C56">
        <w:t>u</w:t>
      </w:r>
      <w:r w:rsidRPr="007C371F">
        <w:t xml:space="preserve">se </w:t>
      </w:r>
      <w:r w:rsidR="00E36C2A">
        <w:t>a</w:t>
      </w:r>
      <w:r w:rsidRPr="007C371F">
        <w:t xml:space="preserve">uthorization for bamlanivimab alone as treatment for COVID-19.  </w:t>
      </w:r>
      <w:r w:rsidR="00746A64">
        <w:t xml:space="preserve">MassHealth will not pay for </w:t>
      </w:r>
      <w:r w:rsidRPr="007C371F">
        <w:t xml:space="preserve">codes Q0239 SL and M0239 billed for dates of service on or after April 16, 2021.  </w:t>
      </w:r>
    </w:p>
    <w:p w14:paraId="5DC72EBE" w14:textId="1781B284" w:rsidR="00F664CC" w:rsidRDefault="00091F75" w:rsidP="007C371F">
      <w:r>
        <w:t>T</w:t>
      </w:r>
      <w:r w:rsidR="007C371F" w:rsidRPr="007C371F">
        <w:t xml:space="preserve">he FDA granted </w:t>
      </w:r>
      <w:r w:rsidR="00E36C2A">
        <w:t>e</w:t>
      </w:r>
      <w:r w:rsidR="007C371F" w:rsidRPr="007C371F">
        <w:t xml:space="preserve">mergency </w:t>
      </w:r>
      <w:r w:rsidR="00C17C56">
        <w:t>u</w:t>
      </w:r>
      <w:r w:rsidR="007C371F" w:rsidRPr="007C371F">
        <w:t xml:space="preserve">se </w:t>
      </w:r>
      <w:r w:rsidR="00E36C2A">
        <w:t>a</w:t>
      </w:r>
      <w:r w:rsidR="007C371F" w:rsidRPr="007C371F">
        <w:t>uthorization for monoclonal antibody therapy sotrovimab</w:t>
      </w:r>
      <w:r>
        <w:t xml:space="preserve"> e</w:t>
      </w:r>
      <w:r w:rsidRPr="007C371F">
        <w:t>ffective May 26, 2021</w:t>
      </w:r>
      <w:r w:rsidR="00FB09B6">
        <w:t xml:space="preserve">. </w:t>
      </w:r>
      <w:r w:rsidR="007C371F" w:rsidRPr="007C371F">
        <w:t>MassHealth will cover this service, and an</w:t>
      </w:r>
      <w:r w:rsidR="00C17C56">
        <w:t xml:space="preserve">ticipates formally establishing </w:t>
      </w:r>
      <w:r w:rsidR="007C371F" w:rsidRPr="007C371F">
        <w:t>rates consistent with Medicare once Medicare’s rates are available.</w:t>
      </w:r>
    </w:p>
    <w:p w14:paraId="784F3CC3" w14:textId="77777777" w:rsidR="00F664CC" w:rsidRPr="009901A7" w:rsidRDefault="00F664CC" w:rsidP="00E27CD8">
      <w:pPr>
        <w:pStyle w:val="Heading2"/>
      </w:pPr>
      <w:r w:rsidRPr="009901A7">
        <w:t>MassHealth Website</w:t>
      </w:r>
      <w:r w:rsidR="001554E7">
        <w:t xml:space="preserve"> </w:t>
      </w:r>
    </w:p>
    <w:p w14:paraId="12DB03D9" w14:textId="77777777" w:rsidR="00F664CC" w:rsidRPr="009901A7" w:rsidRDefault="00F664CC" w:rsidP="00E27CD8">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14:paraId="772F4ACF" w14:textId="7CFC6EA2" w:rsidR="00F664CC" w:rsidRPr="009901A7" w:rsidRDefault="00C57B7C" w:rsidP="00E27CD8">
      <w:hyperlink r:id="rId14" w:history="1">
        <w:r w:rsidR="006E336C" w:rsidRPr="006E336C">
          <w:rPr>
            <w:rStyle w:val="Hyperlink"/>
          </w:rPr>
          <w:t>S</w:t>
        </w:r>
        <w:r w:rsidR="00F664CC" w:rsidRPr="006E336C">
          <w:rPr>
            <w:rStyle w:val="Hyperlink"/>
          </w:rPr>
          <w:t>ign up</w:t>
        </w:r>
      </w:hyperlink>
      <w:r w:rsidR="00F664CC" w:rsidRPr="009901A7">
        <w:t xml:space="preserve"> to receive email alerts when MassHealth issues new bulletins and transmittal letters.</w:t>
      </w:r>
    </w:p>
    <w:p w14:paraId="6C55E321" w14:textId="77777777" w:rsidR="00F664CC" w:rsidRPr="009901A7" w:rsidRDefault="00F664CC" w:rsidP="00E27CD8">
      <w:pPr>
        <w:pStyle w:val="Heading2"/>
      </w:pPr>
      <w:r w:rsidRPr="009901A7">
        <w:t>Questions</w:t>
      </w:r>
      <w:r w:rsidR="001554E7">
        <w:t xml:space="preserve"> </w:t>
      </w:r>
    </w:p>
    <w:p w14:paraId="3F1A10B5" w14:textId="041607B3" w:rsidR="00D37F2E" w:rsidRDefault="00D37F2E" w:rsidP="00D37F2E">
      <w:pPr>
        <w:pStyle w:val="Heading3"/>
      </w:pPr>
      <w:r>
        <w:t>Long-Term Services and Supports</w:t>
      </w:r>
    </w:p>
    <w:p w14:paraId="65FFC133" w14:textId="77777777" w:rsidR="00D37F2E" w:rsidRDefault="00D37F2E" w:rsidP="00D37F2E">
      <w:pPr>
        <w:pStyle w:val="BodyTextIndent"/>
        <w:spacing w:before="0" w:after="0" w:afterAutospacing="0"/>
        <w:ind w:left="720"/>
      </w:pPr>
      <w:r>
        <w:t>Phone: (844) 368-5184 (toll free)</w:t>
      </w:r>
    </w:p>
    <w:p w14:paraId="1FA3AC61" w14:textId="2DA37B29" w:rsidR="00D37F2E" w:rsidRDefault="00D37F2E" w:rsidP="00D37F2E">
      <w:pPr>
        <w:pStyle w:val="BodyTextIndent"/>
        <w:spacing w:before="0" w:after="0" w:afterAutospacing="0"/>
        <w:ind w:left="720"/>
      </w:pPr>
      <w:r>
        <w:t xml:space="preserve">Email: </w:t>
      </w:r>
      <w:hyperlink r:id="rId15" w:history="1">
        <w:r w:rsidRPr="00BE7971">
          <w:rPr>
            <w:rStyle w:val="Hyperlink"/>
          </w:rPr>
          <w:t>support@masshealthltss.com</w:t>
        </w:r>
      </w:hyperlink>
    </w:p>
    <w:p w14:paraId="6518B976" w14:textId="2EBF76EE" w:rsidR="00D37F2E" w:rsidRDefault="00D37F2E" w:rsidP="00D37F2E">
      <w:pPr>
        <w:pStyle w:val="BodyTextIndent"/>
        <w:spacing w:before="0" w:after="0" w:afterAutospacing="0"/>
        <w:ind w:left="720"/>
      </w:pPr>
      <w:r>
        <w:t xml:space="preserve">Portal: </w:t>
      </w:r>
      <w:hyperlink r:id="rId16" w:history="1">
        <w:r w:rsidRPr="00BE7971">
          <w:rPr>
            <w:rStyle w:val="Hyperlink"/>
          </w:rPr>
          <w:t>MassHealthLTSS.com</w:t>
        </w:r>
      </w:hyperlink>
    </w:p>
    <w:p w14:paraId="69EA073A" w14:textId="77777777" w:rsidR="00457386" w:rsidRDefault="00457386" w:rsidP="00D37F2E">
      <w:pPr>
        <w:pStyle w:val="BodyTextIndent"/>
        <w:spacing w:before="0" w:after="0" w:afterAutospacing="0"/>
        <w:ind w:left="720"/>
      </w:pPr>
    </w:p>
    <w:p w14:paraId="52241D40" w14:textId="77777777" w:rsidR="00457386" w:rsidRDefault="00457386" w:rsidP="00D37F2E">
      <w:pPr>
        <w:pStyle w:val="BodyTextIndent"/>
        <w:spacing w:before="0" w:after="0" w:afterAutospacing="0"/>
        <w:ind w:left="720"/>
      </w:pPr>
    </w:p>
    <w:p w14:paraId="0CEE81D2" w14:textId="77777777" w:rsidR="00BE7971" w:rsidRDefault="00BE7971" w:rsidP="00D37F2E">
      <w:pPr>
        <w:pStyle w:val="BodyTextIndent"/>
        <w:spacing w:before="0" w:after="0" w:afterAutospacing="0"/>
        <w:ind w:left="720"/>
      </w:pPr>
      <w:r>
        <w:lastRenderedPageBreak/>
        <w:t>Mail: MassHealth LTSS</w:t>
      </w:r>
    </w:p>
    <w:p w14:paraId="040EB68B" w14:textId="4865FB55" w:rsidR="00BE7971" w:rsidRDefault="00BE7971" w:rsidP="00BE7971">
      <w:pPr>
        <w:pStyle w:val="BodyTextIndent"/>
        <w:tabs>
          <w:tab w:val="left" w:pos="1350"/>
        </w:tabs>
        <w:spacing w:before="0" w:after="0" w:afterAutospacing="0"/>
        <w:ind w:left="720"/>
      </w:pPr>
      <w:r>
        <w:t xml:space="preserve">           </w:t>
      </w:r>
      <w:r w:rsidR="00D37F2E">
        <w:t>PO Box 159</w:t>
      </w:r>
      <w:r>
        <w:t xml:space="preserve">108 </w:t>
      </w:r>
    </w:p>
    <w:p w14:paraId="008FD4DD" w14:textId="15224F1A" w:rsidR="00D37F2E" w:rsidRDefault="00BE7971" w:rsidP="00BE7971">
      <w:pPr>
        <w:pStyle w:val="BodyTextIndent"/>
        <w:tabs>
          <w:tab w:val="left" w:pos="1350"/>
        </w:tabs>
        <w:spacing w:before="0" w:after="0" w:afterAutospacing="0"/>
        <w:ind w:left="720"/>
      </w:pPr>
      <w:r>
        <w:t xml:space="preserve">       </w:t>
      </w:r>
      <w:r w:rsidR="00457386">
        <w:t xml:space="preserve">    </w:t>
      </w:r>
      <w:r w:rsidR="00D37F2E">
        <w:t>Boston, MA 02215</w:t>
      </w:r>
    </w:p>
    <w:p w14:paraId="28E5D277" w14:textId="77777777" w:rsidR="00D37F2E" w:rsidRDefault="00D37F2E" w:rsidP="00D37F2E">
      <w:pPr>
        <w:pStyle w:val="BodyTextIndent"/>
        <w:spacing w:before="0" w:after="0" w:afterAutospacing="0"/>
        <w:ind w:left="720"/>
      </w:pPr>
      <w:r>
        <w:t>Fax: (888) 832-3006</w:t>
      </w:r>
    </w:p>
    <w:p w14:paraId="13C7F135" w14:textId="77777777" w:rsidR="00D37F2E" w:rsidRDefault="00D37F2E" w:rsidP="00D37F2E">
      <w:pPr>
        <w:pStyle w:val="Heading3"/>
      </w:pPr>
      <w:r>
        <w:t>All Other Provider Types</w:t>
      </w:r>
    </w:p>
    <w:p w14:paraId="787D324A" w14:textId="77777777" w:rsidR="00D37F2E" w:rsidRDefault="00D37F2E" w:rsidP="00D37F2E">
      <w:pPr>
        <w:pStyle w:val="BodyTextIndent"/>
        <w:spacing w:before="0" w:after="0" w:afterAutospacing="0"/>
        <w:ind w:left="720"/>
      </w:pPr>
      <w:r>
        <w:t>Phone: (800) 841-2900; TTY: (800) 497-4648</w:t>
      </w:r>
    </w:p>
    <w:p w14:paraId="75FF33A2" w14:textId="77777777" w:rsidR="00D37F2E" w:rsidRDefault="00D37F2E" w:rsidP="00D37F2E">
      <w:pPr>
        <w:pStyle w:val="BodyTextIndent"/>
        <w:spacing w:before="0" w:after="0" w:afterAutospacing="0"/>
        <w:ind w:left="720"/>
      </w:pPr>
      <w:r>
        <w:t>Email: providersupport@mahealth.net</w:t>
      </w:r>
    </w:p>
    <w:p w14:paraId="5A6CC1EA" w14:textId="77777777" w:rsidR="00D37F2E" w:rsidRPr="00F664CC" w:rsidRDefault="00D37F2E" w:rsidP="00D37F2E">
      <w:pPr>
        <w:pStyle w:val="BodyTextIndent"/>
        <w:spacing w:before="0" w:after="0" w:afterAutospacing="0"/>
        <w:ind w:left="720"/>
      </w:pPr>
      <w:r>
        <w:t>Fax: (617) 988-8974</w:t>
      </w:r>
    </w:p>
    <w:p w14:paraId="195815C9" w14:textId="77777777" w:rsidR="00CC1E11" w:rsidRPr="00F664CC" w:rsidRDefault="00CC1E11" w:rsidP="00E27CD8"/>
    <w:sectPr w:rsidR="00CC1E11" w:rsidRPr="00F664CC" w:rsidSect="0059142C">
      <w:footerReference w:type="default" r:id="rId17"/>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6AC64" w14:textId="77777777" w:rsidR="00C57B7C" w:rsidRDefault="00C57B7C" w:rsidP="00E27CD8">
      <w:r>
        <w:separator/>
      </w:r>
    </w:p>
  </w:endnote>
  <w:endnote w:type="continuationSeparator" w:id="0">
    <w:p w14:paraId="4EB1BF79" w14:textId="77777777" w:rsidR="00C57B7C" w:rsidRDefault="00C57B7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A610" w14:textId="77777777" w:rsidR="00CC1E11" w:rsidRPr="00CC1E11" w:rsidRDefault="00CC1E11" w:rsidP="008B04CE">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0DCD" w14:textId="1E6F3788" w:rsidR="001A0BD4" w:rsidRPr="001A0BD4" w:rsidRDefault="001A0BD4" w:rsidP="001A0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51F31" w14:textId="77777777" w:rsidR="00C57B7C" w:rsidRDefault="00C57B7C" w:rsidP="00E27CD8">
      <w:r>
        <w:separator/>
      </w:r>
    </w:p>
  </w:footnote>
  <w:footnote w:type="continuationSeparator" w:id="0">
    <w:p w14:paraId="646AD4C6" w14:textId="77777777" w:rsidR="00C57B7C" w:rsidRDefault="00C57B7C"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AD204A" w:rsidRPr="00F664CC" w:rsidRDefault="00AD204A" w:rsidP="003E2878">
    <w:pPr>
      <w:pStyle w:val="BullsHeading"/>
      <w:spacing w:before="720"/>
    </w:pPr>
    <w:r w:rsidRPr="00F664CC">
      <w:t>MassHealth</w:t>
    </w:r>
  </w:p>
  <w:p w14:paraId="5A62BA59" w14:textId="5CD5B8D6" w:rsidR="00AD204A" w:rsidRPr="00F664CC" w:rsidRDefault="007C371F" w:rsidP="00AD204A">
    <w:pPr>
      <w:pStyle w:val="BullsHeading"/>
    </w:pPr>
    <w:r>
      <w:t>All Provider</w:t>
    </w:r>
    <w:r w:rsidR="00AD204A" w:rsidRPr="00F664CC">
      <w:t xml:space="preserve"> Bulletin </w:t>
    </w:r>
    <w:r w:rsidR="00D75A72">
      <w:t>318</w:t>
    </w:r>
  </w:p>
  <w:p w14:paraId="1893C03A" w14:textId="221BC057" w:rsidR="00AD204A" w:rsidRDefault="007C371F" w:rsidP="00AD204A">
    <w:pPr>
      <w:pStyle w:val="BullsHeading"/>
    </w:pPr>
    <w:r>
      <w:t>June 2021</w:t>
    </w:r>
  </w:p>
  <w:p w14:paraId="7742270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457386">
      <w:rPr>
        <w:noProof/>
      </w:rPr>
      <w:t>2</w:t>
    </w:r>
    <w:r>
      <w:fldChar w:fldCharType="end"/>
    </w:r>
    <w:r>
      <w:t xml:space="preserve"> of </w:t>
    </w:r>
    <w:r w:rsidR="00A84310">
      <w:rPr>
        <w:noProof/>
      </w:rPr>
      <w:fldChar w:fldCharType="begin"/>
    </w:r>
    <w:r w:rsidR="00A84310">
      <w:rPr>
        <w:noProof/>
      </w:rPr>
      <w:instrText xml:space="preserve"> NUMPAGES  \* Arabic  \* MERGEFORMAT </w:instrText>
    </w:r>
    <w:r w:rsidR="00A84310">
      <w:rPr>
        <w:noProof/>
      </w:rPr>
      <w:fldChar w:fldCharType="separate"/>
    </w:r>
    <w:r w:rsidR="00457386">
      <w:rPr>
        <w:noProof/>
      </w:rPr>
      <w:t>3</w:t>
    </w:r>
    <w:r w:rsidR="00A8431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91F75"/>
    <w:rsid w:val="000A2A78"/>
    <w:rsid w:val="000B3936"/>
    <w:rsid w:val="000D3DB5"/>
    <w:rsid w:val="00112D8D"/>
    <w:rsid w:val="00120B74"/>
    <w:rsid w:val="00150BCC"/>
    <w:rsid w:val="001554E7"/>
    <w:rsid w:val="001634DD"/>
    <w:rsid w:val="001A0BD4"/>
    <w:rsid w:val="00221556"/>
    <w:rsid w:val="0028720F"/>
    <w:rsid w:val="002D39D9"/>
    <w:rsid w:val="002F2993"/>
    <w:rsid w:val="00335956"/>
    <w:rsid w:val="00377CC1"/>
    <w:rsid w:val="00394A1F"/>
    <w:rsid w:val="003A7588"/>
    <w:rsid w:val="003B6479"/>
    <w:rsid w:val="003E105E"/>
    <w:rsid w:val="003E2878"/>
    <w:rsid w:val="00457386"/>
    <w:rsid w:val="004A7718"/>
    <w:rsid w:val="004F4B9A"/>
    <w:rsid w:val="005068BD"/>
    <w:rsid w:val="00507CFF"/>
    <w:rsid w:val="00571DE8"/>
    <w:rsid w:val="00583C46"/>
    <w:rsid w:val="0058634E"/>
    <w:rsid w:val="0059142C"/>
    <w:rsid w:val="005B27F1"/>
    <w:rsid w:val="005C5695"/>
    <w:rsid w:val="005E4B62"/>
    <w:rsid w:val="005F2B69"/>
    <w:rsid w:val="0063443A"/>
    <w:rsid w:val="006941BF"/>
    <w:rsid w:val="00696EA9"/>
    <w:rsid w:val="006C70F9"/>
    <w:rsid w:val="006D3F15"/>
    <w:rsid w:val="006E336C"/>
    <w:rsid w:val="00706438"/>
    <w:rsid w:val="00746A64"/>
    <w:rsid w:val="00777A22"/>
    <w:rsid w:val="00795E06"/>
    <w:rsid w:val="007C371F"/>
    <w:rsid w:val="007F7DBF"/>
    <w:rsid w:val="008201CC"/>
    <w:rsid w:val="00863041"/>
    <w:rsid w:val="008B04CE"/>
    <w:rsid w:val="008B6E51"/>
    <w:rsid w:val="008F4A4F"/>
    <w:rsid w:val="00914588"/>
    <w:rsid w:val="00922F04"/>
    <w:rsid w:val="009256E6"/>
    <w:rsid w:val="0094353B"/>
    <w:rsid w:val="00952C44"/>
    <w:rsid w:val="009811A1"/>
    <w:rsid w:val="00982839"/>
    <w:rsid w:val="00992CED"/>
    <w:rsid w:val="009C0BA4"/>
    <w:rsid w:val="00A22E51"/>
    <w:rsid w:val="00A35E3D"/>
    <w:rsid w:val="00A41FAF"/>
    <w:rsid w:val="00A772C1"/>
    <w:rsid w:val="00A84310"/>
    <w:rsid w:val="00A95FC1"/>
    <w:rsid w:val="00AA6085"/>
    <w:rsid w:val="00AC4059"/>
    <w:rsid w:val="00AD204A"/>
    <w:rsid w:val="00AD6899"/>
    <w:rsid w:val="00B73653"/>
    <w:rsid w:val="00B952B9"/>
    <w:rsid w:val="00BC3755"/>
    <w:rsid w:val="00BD2DAF"/>
    <w:rsid w:val="00BE7971"/>
    <w:rsid w:val="00C024A2"/>
    <w:rsid w:val="00C16DEF"/>
    <w:rsid w:val="00C17C56"/>
    <w:rsid w:val="00C57B7C"/>
    <w:rsid w:val="00CB0A25"/>
    <w:rsid w:val="00CC1E11"/>
    <w:rsid w:val="00CD456D"/>
    <w:rsid w:val="00D251FF"/>
    <w:rsid w:val="00D37F2E"/>
    <w:rsid w:val="00D75A72"/>
    <w:rsid w:val="00DE4A19"/>
    <w:rsid w:val="00E01D80"/>
    <w:rsid w:val="00E21FFC"/>
    <w:rsid w:val="00E27CD8"/>
    <w:rsid w:val="00E34DE6"/>
    <w:rsid w:val="00E36C2A"/>
    <w:rsid w:val="00E443C5"/>
    <w:rsid w:val="00ED497C"/>
    <w:rsid w:val="00F177A5"/>
    <w:rsid w:val="00F34BE7"/>
    <w:rsid w:val="00F5142C"/>
    <w:rsid w:val="00F60574"/>
    <w:rsid w:val="00F664CC"/>
    <w:rsid w:val="00F73D6F"/>
    <w:rsid w:val="00F74F30"/>
    <w:rsid w:val="00FB09B6"/>
    <w:rsid w:val="00FB6098"/>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25F2E"/>
  <w15:docId w15:val="{192D031B-958F-4902-83D4-D7D8681E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table" w:styleId="TableGrid">
    <w:name w:val="Table Grid"/>
    <w:basedOn w:val="TableNormal"/>
    <w:rsid w:val="007C37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AC40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masshealth-provider-bulleti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lists/all-provider-bulletin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C:\Users\PSousa\AppData\Local\Microsoft\Windows\INetCache\Content.Outlook\6920G7AP\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lists/all-provider-bulletins" TargetMode="External"/><Relationship Id="rId5" Type="http://schemas.openxmlformats.org/officeDocument/2006/relationships/footnotes" Target="footnotes.xml"/><Relationship Id="rId15" Type="http://schemas.openxmlformats.org/officeDocument/2006/relationships/hyperlink" Target="file:///C:\Users\PSousa\AppData\Local\Microsoft\Windows\INetCache\Content.Outlook\6920G7AP\support@masshealthltss.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forms/email-notifications-for-masshealth-provider-bulletins-and-transmittal-lett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TotalTime>
  <Pages>3</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Sousa, Pam (EHS)</cp:lastModifiedBy>
  <cp:revision>2</cp:revision>
  <cp:lastPrinted>2021-06-08T16:32:00Z</cp:lastPrinted>
  <dcterms:created xsi:type="dcterms:W3CDTF">2021-06-08T16:49:00Z</dcterms:created>
  <dcterms:modified xsi:type="dcterms:W3CDTF">2021-06-08T16:49:00Z</dcterms:modified>
</cp:coreProperties>
</file>