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8E975" w14:textId="77777777" w:rsidR="00B5744F" w:rsidRDefault="00B5744F" w:rsidP="005842F5">
      <w:pPr>
        <w:pStyle w:val="Header"/>
        <w:spacing w:before="0" w:after="0"/>
        <w:ind w:left="2160"/>
        <w:rPr>
          <w:rFonts w:ascii="Bookman Old Style" w:hAnsi="Bookman Old Style"/>
          <w:b/>
          <w:i/>
        </w:rPr>
      </w:pPr>
    </w:p>
    <w:p w14:paraId="662911F0" w14:textId="7B511829" w:rsidR="00F664CC" w:rsidRPr="009D5513" w:rsidRDefault="00CA4900" w:rsidP="005842F5">
      <w:pPr>
        <w:pStyle w:val="Header"/>
        <w:spacing w:before="0" w:after="0"/>
        <w:ind w:left="2160"/>
        <w:rPr>
          <w:b/>
          <w:i/>
        </w:rPr>
      </w:pPr>
      <w:r w:rsidRPr="009D5513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3AE2B0FF" wp14:editId="25ACF64A">
            <wp:simplePos x="0" y="0"/>
            <wp:positionH relativeFrom="margin">
              <wp:posOffset>-224790</wp:posOffset>
            </wp:positionH>
            <wp:positionV relativeFrom="margin">
              <wp:posOffset>71120</wp:posOffset>
            </wp:positionV>
            <wp:extent cx="1468755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9D551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712B94" wp14:editId="4BA1BD8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1F32" w14:textId="77777777" w:rsidR="00E01D80" w:rsidRPr="009D2D5F" w:rsidRDefault="0028720F" w:rsidP="00070D8A">
                            <w:r w:rsidRPr="009D2D5F">
                              <w:t xml:space="preserve"> </w:t>
                            </w:r>
                          </w:p>
                          <w:p w14:paraId="4DDE7C48" w14:textId="77777777" w:rsidR="00E01D80" w:rsidRDefault="00E01D80" w:rsidP="00070D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712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1A691F32" w14:textId="77777777" w:rsidR="00E01D80" w:rsidRPr="009D2D5F" w:rsidRDefault="0028720F" w:rsidP="00070D8A">
                      <w:r w:rsidRPr="009D2D5F">
                        <w:t xml:space="preserve"> </w:t>
                      </w:r>
                    </w:p>
                    <w:p w14:paraId="4DDE7C48" w14:textId="77777777" w:rsidR="00E01D80" w:rsidRDefault="00E01D80" w:rsidP="00070D8A"/>
                  </w:txbxContent>
                </v:textbox>
              </v:shape>
            </w:pict>
          </mc:Fallback>
        </mc:AlternateContent>
      </w:r>
      <w:r w:rsidR="009D5513">
        <w:rPr>
          <w:rFonts w:ascii="Bookman Old Style" w:hAnsi="Bookman Old Style"/>
          <w:b/>
          <w:i/>
        </w:rPr>
        <w:t>Co</w:t>
      </w:r>
      <w:r w:rsidR="00F664CC" w:rsidRPr="009D5513">
        <w:rPr>
          <w:rFonts w:ascii="Bookman Old Style" w:hAnsi="Bookman Old Style"/>
          <w:b/>
          <w:i/>
        </w:rPr>
        <w:t>mmonwealth of</w:t>
      </w:r>
      <w:r w:rsidR="00F664CC" w:rsidRPr="009D5513">
        <w:rPr>
          <w:b/>
          <w:i/>
        </w:rPr>
        <w:t xml:space="preserve"> </w:t>
      </w:r>
      <w:r w:rsidR="00F664CC" w:rsidRPr="009D5513">
        <w:rPr>
          <w:rFonts w:ascii="Bookman Old Style" w:hAnsi="Bookman Old Style"/>
          <w:b/>
          <w:i/>
        </w:rPr>
        <w:t>Massachusetts</w:t>
      </w:r>
    </w:p>
    <w:p w14:paraId="50A20119" w14:textId="77777777" w:rsidR="00F664CC" w:rsidRPr="009D5513" w:rsidRDefault="00F664CC" w:rsidP="005842F5">
      <w:pPr>
        <w:spacing w:before="0" w:after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9D5513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210FEE9" w14:textId="77777777" w:rsidR="00F664CC" w:rsidRPr="005842F5" w:rsidRDefault="00F664CC" w:rsidP="005842F5">
      <w:pPr>
        <w:spacing w:before="0" w:after="0"/>
        <w:ind w:left="2160"/>
        <w:rPr>
          <w:rFonts w:ascii="Bookman Old Style" w:hAnsi="Bookman Old Style"/>
          <w:b/>
          <w:i/>
        </w:rPr>
      </w:pPr>
      <w:r w:rsidRPr="005842F5">
        <w:rPr>
          <w:rFonts w:ascii="Bookman Old Style" w:hAnsi="Bookman Old Style"/>
          <w:b/>
          <w:i/>
        </w:rPr>
        <w:t>Office of Medicaid</w:t>
      </w:r>
    </w:p>
    <w:p w14:paraId="111020E4" w14:textId="77777777" w:rsidR="006D3F15" w:rsidRPr="005842F5" w:rsidRDefault="00C45995" w:rsidP="00C610A4">
      <w:pPr>
        <w:spacing w:before="0" w:after="0"/>
        <w:ind w:left="2160"/>
        <w:rPr>
          <w:rFonts w:ascii="Bookman Old Style" w:hAnsi="Bookman Old Style"/>
          <w:sz w:val="20"/>
          <w:szCs w:val="20"/>
        </w:rPr>
      </w:pPr>
      <w:hyperlink r:id="rId10" w:tooltip="This link takes you to the MassHealth website homepage." w:history="1">
        <w:r w:rsidR="00B73653" w:rsidRPr="005842F5">
          <w:rPr>
            <w:rStyle w:val="Hyperlink"/>
            <w:rFonts w:ascii="Bookman Old Style" w:hAnsi="Bookman Old Style"/>
            <w:sz w:val="20"/>
            <w:szCs w:val="20"/>
          </w:rPr>
          <w:t>www.mass.gov/masshealth</w:t>
        </w:r>
      </w:hyperlink>
    </w:p>
    <w:p w14:paraId="32CA8234" w14:textId="77777777" w:rsidR="00F664CC" w:rsidRPr="00150BCC" w:rsidRDefault="00F664CC" w:rsidP="00755041">
      <w:pPr>
        <w:pStyle w:val="BullsHeading"/>
        <w:spacing w:before="360"/>
      </w:pPr>
      <w:proofErr w:type="spellStart"/>
      <w:r w:rsidRPr="00150BCC">
        <w:t>MassHealth</w:t>
      </w:r>
      <w:proofErr w:type="spellEnd"/>
    </w:p>
    <w:p w14:paraId="1DF1C149" w14:textId="6E1EFA95" w:rsidR="00F664CC" w:rsidRPr="005B27F1" w:rsidRDefault="00337D8D" w:rsidP="005B27F1">
      <w:pPr>
        <w:pStyle w:val="Heading1"/>
      </w:pPr>
      <w:r>
        <w:t xml:space="preserve">All Provider </w:t>
      </w:r>
      <w:r w:rsidR="00F664CC" w:rsidRPr="005B27F1">
        <w:t xml:space="preserve">Bulletin </w:t>
      </w:r>
      <w:r w:rsidR="00F94E5A">
        <w:t>326</w:t>
      </w:r>
    </w:p>
    <w:p w14:paraId="5E90D06E" w14:textId="17252B30" w:rsidR="00F664CC" w:rsidRPr="00150BCC" w:rsidRDefault="00307A53" w:rsidP="00150BCC">
      <w:pPr>
        <w:pStyle w:val="BullsHeading"/>
      </w:pPr>
      <w:r>
        <w:t>September</w:t>
      </w:r>
      <w:r w:rsidR="00F36D45">
        <w:t xml:space="preserve"> </w:t>
      </w:r>
      <w:r w:rsidR="00337D8D">
        <w:t>2021</w:t>
      </w:r>
    </w:p>
    <w:p w14:paraId="747851DE" w14:textId="77777777" w:rsidR="00755041" w:rsidRDefault="00755041" w:rsidP="00755041">
      <w:pPr>
        <w:spacing w:before="0" w:after="0"/>
        <w:rPr>
          <w:b/>
        </w:rPr>
      </w:pPr>
    </w:p>
    <w:p w14:paraId="7498EDAA" w14:textId="4333E3FD" w:rsidR="00F664CC" w:rsidRPr="00F664CC" w:rsidRDefault="00F664CC" w:rsidP="000D5917">
      <w:pPr>
        <w:spacing w:before="240" w:after="100" w:afterAutospacing="1"/>
      </w:pPr>
      <w:r w:rsidRPr="00F664CC">
        <w:rPr>
          <w:b/>
        </w:rPr>
        <w:t>TO</w:t>
      </w:r>
      <w:r w:rsidRPr="00F664CC">
        <w:t>:</w:t>
      </w:r>
      <w:r>
        <w:tab/>
      </w:r>
      <w:r w:rsidR="00070D8A" w:rsidRPr="00CA4900">
        <w:t xml:space="preserve">All </w:t>
      </w:r>
      <w:r w:rsidRPr="00CA4900">
        <w:t>Provider</w:t>
      </w:r>
      <w:r w:rsidR="00070D8A" w:rsidRPr="00CA4900">
        <w:t>s</w:t>
      </w:r>
      <w:r w:rsidRPr="00CA4900">
        <w:t xml:space="preserve"> Participating </w:t>
      </w:r>
      <w:r w:rsidRPr="00F664CC">
        <w:t xml:space="preserve">in </w:t>
      </w:r>
      <w:proofErr w:type="spellStart"/>
      <w:r w:rsidRPr="00F664CC">
        <w:t>MassHealth</w:t>
      </w:r>
      <w:proofErr w:type="spellEnd"/>
    </w:p>
    <w:p w14:paraId="29E28D91" w14:textId="519F4E08" w:rsidR="00F664CC" w:rsidRPr="00F664CC" w:rsidRDefault="00F664CC" w:rsidP="00357A3C">
      <w:pPr>
        <w:spacing w:after="100" w:afterAutospacing="1"/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331407">
        <w:t>Amanda Cassel Kraft</w:t>
      </w:r>
      <w:r w:rsidR="00AA6085">
        <w:t xml:space="preserve">, </w:t>
      </w:r>
      <w:r w:rsidR="00331407">
        <w:t xml:space="preserve">Acting </w:t>
      </w:r>
      <w:r w:rsidR="00AA6085">
        <w:t xml:space="preserve">Assistant Secretary for </w:t>
      </w:r>
      <w:proofErr w:type="spellStart"/>
      <w:r w:rsidR="00AA6085">
        <w:t>MassHealth</w:t>
      </w:r>
      <w:proofErr w:type="spellEnd"/>
      <w:r w:rsidR="00296391">
        <w:t xml:space="preserve"> </w:t>
      </w:r>
      <w:r w:rsidR="00C45995">
        <w:t>[signature of Amanda Cassel Kraft]</w:t>
      </w:r>
      <w:bookmarkStart w:id="0" w:name="_GoBack"/>
      <w:bookmarkEnd w:id="0"/>
    </w:p>
    <w:p w14:paraId="735DC26C" w14:textId="2E100797" w:rsidR="00F664CC" w:rsidRDefault="00F664CC" w:rsidP="00067D84">
      <w:pPr>
        <w:pStyle w:val="SubjectLine"/>
        <w:spacing w:after="120"/>
        <w:ind w:left="1440" w:hanging="1080"/>
      </w:pPr>
      <w:r w:rsidRPr="00F664CC">
        <w:t>RE:</w:t>
      </w:r>
      <w:r w:rsidR="00BD2DAF">
        <w:tab/>
      </w:r>
      <w:r w:rsidR="00331407">
        <w:t xml:space="preserve">Coverage </w:t>
      </w:r>
      <w:r w:rsidR="00D468C2">
        <w:t>f</w:t>
      </w:r>
      <w:r w:rsidR="00F36D45">
        <w:t xml:space="preserve">or </w:t>
      </w:r>
      <w:r w:rsidR="00F702E4">
        <w:t xml:space="preserve">Monoclonal </w:t>
      </w:r>
      <w:r w:rsidR="00A40A56">
        <w:t>Antibodies</w:t>
      </w:r>
      <w:r w:rsidR="00F702E4">
        <w:t xml:space="preserve"> for Treatment and Post-Exposure Prophylaxis for</w:t>
      </w:r>
      <w:r w:rsidR="00331407">
        <w:rPr>
          <w:rFonts w:ascii="Times New Roman" w:hAnsi="Times New Roman"/>
          <w:sz w:val="24"/>
          <w:szCs w:val="24"/>
        </w:rPr>
        <w:t xml:space="preserve"> </w:t>
      </w:r>
      <w:r w:rsidR="009E3F5C" w:rsidRPr="00CC0FC8">
        <w:t xml:space="preserve">Coronavirus Disease 2019 (COVID-19) </w:t>
      </w:r>
    </w:p>
    <w:p w14:paraId="6A786201" w14:textId="77777777" w:rsidR="00A40A56" w:rsidRPr="00A40A56" w:rsidRDefault="00A40A56" w:rsidP="0007193F">
      <w:pPr>
        <w:pStyle w:val="BodyTextIndent"/>
        <w:spacing w:before="360" w:after="100" w:afterAutospacing="1"/>
        <w:rPr>
          <w:rStyle w:val="Heading2Char"/>
        </w:rPr>
      </w:pPr>
      <w:r w:rsidRPr="00A40A56">
        <w:rPr>
          <w:rStyle w:val="Heading2Char"/>
        </w:rPr>
        <w:t xml:space="preserve">Background </w:t>
      </w:r>
    </w:p>
    <w:p w14:paraId="4695E9B7" w14:textId="548774C5" w:rsidR="00A40A56" w:rsidRPr="00A40A56" w:rsidRDefault="00A40A56" w:rsidP="00331407">
      <w:pPr>
        <w:pStyle w:val="BodyTextIndent"/>
        <w:spacing w:before="0" w:after="240"/>
      </w:pPr>
      <w:r>
        <w:t xml:space="preserve">This bulletin, which supplements and updates </w:t>
      </w:r>
      <w:hyperlink r:id="rId11" w:history="1">
        <w:r w:rsidRPr="005538EC">
          <w:rPr>
            <w:rStyle w:val="Hyperlink"/>
          </w:rPr>
          <w:t>All Provider Bulletins 304, 312</w:t>
        </w:r>
        <w:r w:rsidR="00D468C2" w:rsidRPr="005538EC">
          <w:rPr>
            <w:rStyle w:val="Hyperlink"/>
          </w:rPr>
          <w:t>,</w:t>
        </w:r>
        <w:r w:rsidRPr="005538EC">
          <w:rPr>
            <w:rStyle w:val="Hyperlink"/>
          </w:rPr>
          <w:t xml:space="preserve"> and 318</w:t>
        </w:r>
      </w:hyperlink>
      <w:r>
        <w:t>, update</w:t>
      </w:r>
      <w:r w:rsidR="00D468C2">
        <w:t>s</w:t>
      </w:r>
      <w:r>
        <w:t xml:space="preserve"> the </w:t>
      </w:r>
      <w:r w:rsidR="004938E2">
        <w:t xml:space="preserve">coverage and </w:t>
      </w:r>
      <w:r>
        <w:t>payment provisions for monoclonal antibod</w:t>
      </w:r>
      <w:r w:rsidR="00512FA7">
        <w:t>ies for</w:t>
      </w:r>
      <w:r>
        <w:t xml:space="preserve"> treatment </w:t>
      </w:r>
      <w:r w:rsidR="00512FA7">
        <w:t xml:space="preserve">and post-exposure prophylaxis </w:t>
      </w:r>
      <w:r>
        <w:t>for COVID-19</w:t>
      </w:r>
      <w:r w:rsidR="004938E2">
        <w:t xml:space="preserve">. </w:t>
      </w:r>
      <w:r>
        <w:t>T</w:t>
      </w:r>
      <w:r w:rsidRPr="00331407">
        <w:t>he U.S. Food and Drug Administration (FDA) amended the emergency use authorization (EUA</w:t>
      </w:r>
      <w:r>
        <w:t>) for monoclonal antibody REGEN-COV</w:t>
      </w:r>
      <w:r w:rsidRPr="00A40A56">
        <w:rPr>
          <w:vertAlign w:val="superscript"/>
        </w:rPr>
        <w:t>TM</w:t>
      </w:r>
      <w:r>
        <w:t xml:space="preserve"> (</w:t>
      </w:r>
      <w:proofErr w:type="spellStart"/>
      <w:r>
        <w:t>casirivimab</w:t>
      </w:r>
      <w:proofErr w:type="spellEnd"/>
      <w:r>
        <w:t xml:space="preserve"> and </w:t>
      </w:r>
      <w:proofErr w:type="spellStart"/>
      <w:r>
        <w:t>imdevimab</w:t>
      </w:r>
      <w:proofErr w:type="spellEnd"/>
      <w:r>
        <w:t xml:space="preserve">) to cover post-exposure prophylaxis for individuals who meet certain listed requirements. </w:t>
      </w:r>
      <w:proofErr w:type="spellStart"/>
      <w:r>
        <w:t>MassHealth</w:t>
      </w:r>
      <w:proofErr w:type="spellEnd"/>
      <w:r>
        <w:t xml:space="preserve"> will cover post-exposure prophy</w:t>
      </w:r>
      <w:r w:rsidR="005520A5">
        <w:t xml:space="preserve">laxis consistent with the EUA. </w:t>
      </w:r>
      <w:proofErr w:type="spellStart"/>
      <w:r>
        <w:t>MassHealth</w:t>
      </w:r>
      <w:proofErr w:type="spellEnd"/>
      <w:r>
        <w:t xml:space="preserve"> will add coverage for new codes for repeat dosing for </w:t>
      </w:r>
      <w:proofErr w:type="spellStart"/>
      <w:r w:rsidR="00512FA7" w:rsidRPr="00307A53">
        <w:t>casirivimab</w:t>
      </w:r>
      <w:proofErr w:type="spellEnd"/>
      <w:r w:rsidR="00512FA7" w:rsidRPr="00307A53">
        <w:t xml:space="preserve"> and </w:t>
      </w:r>
      <w:proofErr w:type="spellStart"/>
      <w:r w:rsidR="00512FA7" w:rsidRPr="00307A53">
        <w:t>imdevimab</w:t>
      </w:r>
      <w:proofErr w:type="spellEnd"/>
      <w:r w:rsidR="004938E2">
        <w:t xml:space="preserve"> for post-exposure prophylaxis</w:t>
      </w:r>
      <w:r>
        <w:t xml:space="preserve">, as well as update existing code descriptions to reflect that </w:t>
      </w:r>
      <w:proofErr w:type="spellStart"/>
      <w:r w:rsidR="004938E2" w:rsidRPr="00307A53">
        <w:t>casirivimab</w:t>
      </w:r>
      <w:proofErr w:type="spellEnd"/>
      <w:r w:rsidR="004938E2" w:rsidRPr="00307A53">
        <w:t xml:space="preserve"> and </w:t>
      </w:r>
      <w:proofErr w:type="spellStart"/>
      <w:r w:rsidR="004938E2" w:rsidRPr="00307A53">
        <w:t>imdevimab</w:t>
      </w:r>
      <w:proofErr w:type="spellEnd"/>
      <w:r w:rsidR="004938E2">
        <w:t xml:space="preserve"> </w:t>
      </w:r>
      <w:r>
        <w:t xml:space="preserve">may also be administered via subcutaneous injection.  </w:t>
      </w:r>
    </w:p>
    <w:p w14:paraId="64B23C99" w14:textId="67EF0950" w:rsidR="00A40A56" w:rsidRDefault="00A40A56" w:rsidP="00331407">
      <w:pPr>
        <w:pStyle w:val="BodyTextIndent"/>
        <w:spacing w:before="0" w:after="240"/>
      </w:pPr>
      <w:r>
        <w:t xml:space="preserve">This bulletin applies to members enrolled in </w:t>
      </w:r>
      <w:proofErr w:type="spellStart"/>
      <w:r>
        <w:t>MassHealth</w:t>
      </w:r>
      <w:proofErr w:type="spellEnd"/>
      <w:r>
        <w:t xml:space="preserve"> fee-for-service, the Primary Care Clinician (PCC) Plan, or a Primary Care Accountable Care Organization (ACO). Information about coverage through </w:t>
      </w:r>
      <w:proofErr w:type="spellStart"/>
      <w:r>
        <w:t>MassHealth</w:t>
      </w:r>
      <w:proofErr w:type="spellEnd"/>
      <w:r>
        <w:t xml:space="preserve"> Managed Care Entities (MCEs) and the Program for All-inclusive Care for the Elderly (PACE) will be included in a forthcoming MCE bulletin.</w:t>
      </w:r>
    </w:p>
    <w:p w14:paraId="58453B72" w14:textId="24F94B5D" w:rsidR="00A40A56" w:rsidRPr="00A40A56" w:rsidRDefault="00A40A56" w:rsidP="0007193F">
      <w:pPr>
        <w:pStyle w:val="BodyTextIndent"/>
        <w:spacing w:before="360" w:after="100" w:afterAutospacing="1"/>
        <w:rPr>
          <w:rStyle w:val="Heading2Char"/>
        </w:rPr>
      </w:pPr>
      <w:r w:rsidRPr="00A40A56">
        <w:rPr>
          <w:rStyle w:val="Heading2Char"/>
        </w:rPr>
        <w:t xml:space="preserve">Post-Exposure Prophylaxis </w:t>
      </w:r>
    </w:p>
    <w:p w14:paraId="5780580D" w14:textId="38FEBAA0" w:rsidR="00A40A56" w:rsidRDefault="00307A53" w:rsidP="00331407">
      <w:pPr>
        <w:pStyle w:val="BodyTextIndent"/>
        <w:spacing w:before="0" w:after="240"/>
      </w:pPr>
      <w:r>
        <w:t xml:space="preserve">Consistent with the EUA, </w:t>
      </w:r>
      <w:proofErr w:type="spellStart"/>
      <w:r w:rsidR="00A40A56">
        <w:t>MassHealth</w:t>
      </w:r>
      <w:proofErr w:type="spellEnd"/>
      <w:r w:rsidR="00A40A56">
        <w:t xml:space="preserve"> cover</w:t>
      </w:r>
      <w:r w:rsidR="00C15403">
        <w:t>s</w:t>
      </w:r>
      <w:r w:rsidR="00A40A56">
        <w:t xml:space="preserve"> the </w:t>
      </w:r>
      <w:r w:rsidR="00886F09">
        <w:t>administration</w:t>
      </w:r>
      <w:r w:rsidR="00A40A56">
        <w:t xml:space="preserve"> of </w:t>
      </w:r>
      <w:proofErr w:type="spellStart"/>
      <w:r w:rsidR="00512FA7" w:rsidRPr="00307A53">
        <w:t>casirivimab</w:t>
      </w:r>
      <w:proofErr w:type="spellEnd"/>
      <w:r w:rsidR="00512FA7" w:rsidRPr="00307A53">
        <w:t xml:space="preserve"> and </w:t>
      </w:r>
      <w:proofErr w:type="spellStart"/>
      <w:r w:rsidR="00512FA7" w:rsidRPr="00307A53">
        <w:t>imdevimab</w:t>
      </w:r>
      <w:proofErr w:type="spellEnd"/>
      <w:r w:rsidR="00512FA7" w:rsidRPr="00307A53">
        <w:t xml:space="preserve"> </w:t>
      </w:r>
      <w:r>
        <w:t>by eligible providers</w:t>
      </w:r>
      <w:r w:rsidR="00A40A56">
        <w:t xml:space="preserve"> for post-exposure prophylaxis of COVID-19 in individuals who are at high risk for progression to severe COVID-19, including hospitalization or death, and:</w:t>
      </w:r>
    </w:p>
    <w:p w14:paraId="70D19288" w14:textId="6B979516" w:rsidR="00A40A56" w:rsidRDefault="00D468C2" w:rsidP="0066603B">
      <w:pPr>
        <w:pStyle w:val="BodyTextIndent"/>
        <w:numPr>
          <w:ilvl w:val="0"/>
          <w:numId w:val="12"/>
        </w:numPr>
        <w:spacing w:before="0" w:after="0"/>
      </w:pPr>
      <w:r>
        <w:t xml:space="preserve">are </w:t>
      </w:r>
      <w:r w:rsidR="00A40A56">
        <w:t>not fully vaccinated</w:t>
      </w:r>
      <w:r w:rsidR="005520A5">
        <w:t>,</w:t>
      </w:r>
      <w:r w:rsidR="00A40A56">
        <w:t xml:space="preserve"> or who are not expected to mount an adequate immune response to complete SARS-CoV-2 vaccination (for example, individuals with immunocompromising conditions</w:t>
      </w:r>
      <w:r w:rsidR="005538EC">
        <w:t>,</w:t>
      </w:r>
      <w:r w:rsidR="00A40A56">
        <w:t xml:space="preserve"> including those taking immunosuppressive medications)</w:t>
      </w:r>
      <w:r>
        <w:t>;</w:t>
      </w:r>
      <w:r w:rsidR="00A40A56">
        <w:t xml:space="preserve"> and</w:t>
      </w:r>
    </w:p>
    <w:p w14:paraId="418D24E5" w14:textId="0079426F" w:rsidR="008303C5" w:rsidRDefault="00A40A56" w:rsidP="0066603B">
      <w:pPr>
        <w:pStyle w:val="BodyTextIndent"/>
        <w:numPr>
          <w:ilvl w:val="0"/>
          <w:numId w:val="12"/>
        </w:numPr>
        <w:spacing w:before="0" w:after="0"/>
      </w:pPr>
      <w:r>
        <w:t>have been exposed to an individual infected with SARS-CoV-2 consistent with close contact criteria per Centers for Disease Control and Prevention (CDC)</w:t>
      </w:r>
      <w:r w:rsidR="00C15403">
        <w:t xml:space="preserve"> guidance</w:t>
      </w:r>
      <w:r w:rsidR="00D468C2">
        <w:t>;</w:t>
      </w:r>
      <w:r>
        <w:t xml:space="preserve"> </w:t>
      </w:r>
      <w:r w:rsidRPr="00A40A56">
        <w:rPr>
          <w:b/>
        </w:rPr>
        <w:t xml:space="preserve">or </w:t>
      </w:r>
    </w:p>
    <w:p w14:paraId="57D62437" w14:textId="770326D6" w:rsidR="0007193F" w:rsidRDefault="00A40A56" w:rsidP="0066603B">
      <w:pPr>
        <w:pStyle w:val="BodyTextIndent"/>
        <w:numPr>
          <w:ilvl w:val="0"/>
          <w:numId w:val="12"/>
        </w:numPr>
        <w:spacing w:before="0" w:after="0"/>
      </w:pPr>
      <w:proofErr w:type="gramStart"/>
      <w:r>
        <w:t>who</w:t>
      </w:r>
      <w:proofErr w:type="gramEnd"/>
      <w:r>
        <w:t xml:space="preserve"> are at high risk of exposure to an individual infected with SARS-CoV-2 because of occurrence of SARS-CoV-2 infection in other individuals in the same institutional setting (for example, nursing homes</w:t>
      </w:r>
      <w:r w:rsidR="005538EC">
        <w:t xml:space="preserve"> or</w:t>
      </w:r>
      <w:r>
        <w:t xml:space="preserve"> prisons)</w:t>
      </w:r>
      <w:r w:rsidR="00307A53">
        <w:t>.</w:t>
      </w:r>
      <w:r w:rsidR="0007193F">
        <w:br w:type="page"/>
      </w:r>
    </w:p>
    <w:p w14:paraId="6B56B412" w14:textId="57FDF49D" w:rsidR="00307A53" w:rsidRPr="00307A53" w:rsidRDefault="00307A53" w:rsidP="005520A5">
      <w:pPr>
        <w:pStyle w:val="BodyTextIndent"/>
        <w:spacing w:before="0" w:after="240"/>
      </w:pPr>
      <w:r w:rsidRPr="00307A53">
        <w:lastRenderedPageBreak/>
        <w:t xml:space="preserve">For patients who meet the criteria for repeat dosing, the authorized dosage </w:t>
      </w:r>
      <w:r w:rsidR="00886F09">
        <w:t xml:space="preserve">under the EUA </w:t>
      </w:r>
      <w:r w:rsidRPr="00307A53">
        <w:t xml:space="preserve">is an initial dose of 1200 mg, followed by subsequent repeat dosing of 600 mg once every 4 weeks for the duration of ongoing exposure. Providers and suppliers administering </w:t>
      </w:r>
      <w:proofErr w:type="spellStart"/>
      <w:r w:rsidRPr="00307A53">
        <w:t>casirivimab</w:t>
      </w:r>
      <w:proofErr w:type="spellEnd"/>
      <w:r w:rsidRPr="00307A53">
        <w:t xml:space="preserve"> and </w:t>
      </w:r>
      <w:proofErr w:type="spellStart"/>
      <w:r w:rsidRPr="00307A53">
        <w:t>imdevimab</w:t>
      </w:r>
      <w:proofErr w:type="spellEnd"/>
      <w:r w:rsidRPr="00307A53">
        <w:t xml:space="preserve"> for post-exposure </w:t>
      </w:r>
      <w:r>
        <w:t>prophylaxis</w:t>
      </w:r>
      <w:r w:rsidRPr="00307A53">
        <w:t xml:space="preserve"> should use </w:t>
      </w:r>
      <w:r w:rsidR="00C15403">
        <w:t xml:space="preserve">codes </w:t>
      </w:r>
      <w:r w:rsidRPr="00307A53">
        <w:t xml:space="preserve">M0243 or M0244 for administering the first dose, and </w:t>
      </w:r>
      <w:r w:rsidR="00C15403">
        <w:t xml:space="preserve">codes </w:t>
      </w:r>
      <w:r w:rsidRPr="00307A53">
        <w:t>M0240 or M0241 for administering subsequent repeat doses.</w:t>
      </w:r>
      <w:r>
        <w:t xml:space="preserve"> Descriptions and rates for these codes are included below.  </w:t>
      </w:r>
    </w:p>
    <w:p w14:paraId="097FBC83" w14:textId="76C88692" w:rsidR="00331407" w:rsidRPr="004D4C95" w:rsidRDefault="004D4C95" w:rsidP="005520A5">
      <w:pPr>
        <w:pStyle w:val="BodyTextIndent"/>
        <w:spacing w:before="360" w:after="100" w:afterAutospacing="1"/>
        <w:rPr>
          <w:rStyle w:val="Heading2Char"/>
        </w:rPr>
      </w:pPr>
      <w:proofErr w:type="spellStart"/>
      <w:r>
        <w:rPr>
          <w:rStyle w:val="Heading2Char"/>
        </w:rPr>
        <w:t>MassHealth</w:t>
      </w:r>
      <w:proofErr w:type="spellEnd"/>
      <w:r>
        <w:rPr>
          <w:rStyle w:val="Heading2Char"/>
        </w:rPr>
        <w:t xml:space="preserve"> </w:t>
      </w:r>
      <w:r w:rsidR="00331407">
        <w:rPr>
          <w:rStyle w:val="Heading2Char"/>
        </w:rPr>
        <w:t>Coverage</w:t>
      </w:r>
      <w:r w:rsidR="00F36D45">
        <w:rPr>
          <w:rStyle w:val="Heading2Char"/>
        </w:rPr>
        <w:t xml:space="preserve"> </w:t>
      </w:r>
      <w:r w:rsidR="00797B20">
        <w:rPr>
          <w:rStyle w:val="Heading2Char"/>
        </w:rPr>
        <w:t>and Rate</w:t>
      </w:r>
      <w:r w:rsidR="008303C5">
        <w:rPr>
          <w:rStyle w:val="Heading2Char"/>
        </w:rPr>
        <w:t>s</w:t>
      </w:r>
      <w:r w:rsidR="00797B20">
        <w:rPr>
          <w:rStyle w:val="Heading2Char"/>
        </w:rPr>
        <w:t xml:space="preserve"> </w:t>
      </w:r>
    </w:p>
    <w:p w14:paraId="0AE1001A" w14:textId="100EF2CA" w:rsidR="00A40A56" w:rsidRPr="0082348D" w:rsidRDefault="00A40A56" w:rsidP="005520A5">
      <w:pPr>
        <w:shd w:val="clear" w:color="auto" w:fill="FFFFFF"/>
        <w:spacing w:before="0" w:after="240"/>
        <w:rPr>
          <w:rFonts w:ascii="Times New Roman" w:hAnsi="Times New Roman"/>
          <w:sz w:val="24"/>
          <w:szCs w:val="24"/>
        </w:rPr>
      </w:pPr>
      <w:r>
        <w:t xml:space="preserve">Effective for dates of service on or after </w:t>
      </w:r>
      <w:r w:rsidR="00307A53">
        <w:t>July 30, 2021</w:t>
      </w:r>
      <w:r>
        <w:t xml:space="preserve">, providers enrolled in the </w:t>
      </w:r>
      <w:proofErr w:type="spellStart"/>
      <w:r>
        <w:t>MassHealth</w:t>
      </w:r>
      <w:proofErr w:type="spellEnd"/>
      <w:r>
        <w:t xml:space="preserve"> acute outpatient hospital (AOH), </w:t>
      </w:r>
      <w:proofErr w:type="gramStart"/>
      <w:r>
        <w:t>community</w:t>
      </w:r>
      <w:proofErr w:type="gramEnd"/>
      <w:r>
        <w:t xml:space="preserve"> health center (CHC), and physician programs may bill and receive payment for administering </w:t>
      </w:r>
      <w:proofErr w:type="spellStart"/>
      <w:r w:rsidR="00307A53" w:rsidRPr="008303C5">
        <w:t>casirivimab</w:t>
      </w:r>
      <w:proofErr w:type="spellEnd"/>
      <w:r w:rsidR="00307A53" w:rsidRPr="008303C5">
        <w:t xml:space="preserve"> and </w:t>
      </w:r>
      <w:proofErr w:type="spellStart"/>
      <w:r w:rsidR="00307A53" w:rsidRPr="008303C5">
        <w:t>imdevimab</w:t>
      </w:r>
      <w:proofErr w:type="spellEnd"/>
      <w:r w:rsidR="00307A53">
        <w:t xml:space="preserve"> </w:t>
      </w:r>
      <w:r>
        <w:t xml:space="preserve">as described in the table below. These rates, which are consistent with Medicare, will be formally established through </w:t>
      </w:r>
      <w:r w:rsidR="00307A53">
        <w:t xml:space="preserve">administrative bulletins or </w:t>
      </w:r>
      <w:r>
        <w:t xml:space="preserve">amendments to 101 CMR 446.00: </w:t>
      </w:r>
      <w:r w:rsidRPr="008303C5">
        <w:rPr>
          <w:i/>
        </w:rPr>
        <w:t>COVID-19</w:t>
      </w:r>
      <w:r>
        <w:t xml:space="preserve"> </w:t>
      </w:r>
      <w:r w:rsidRPr="00307A53">
        <w:rPr>
          <w:i/>
        </w:rPr>
        <w:t>Payment Rates for Certain Community Health Care Providers</w:t>
      </w:r>
      <w:r>
        <w:t>.</w:t>
      </w:r>
    </w:p>
    <w:tbl>
      <w:tblPr>
        <w:tblStyle w:val="TableGrid"/>
        <w:tblW w:w="0" w:type="auto"/>
        <w:tblInd w:w="445" w:type="dxa"/>
        <w:tblBorders>
          <w:bottom w:val="single" w:sz="6" w:space="0" w:color="auto"/>
        </w:tblBorders>
        <w:tblLook w:val="04A0" w:firstRow="1" w:lastRow="0" w:firstColumn="1" w:lastColumn="0" w:noHBand="0" w:noVBand="1"/>
        <w:tblCaption w:val="Added Codes, Rates, Descriptions and Effective Dates"/>
        <w:tblDescription w:val="This table provides information about added codes, rates, descriptions and effective dates."/>
      </w:tblPr>
      <w:tblGrid>
        <w:gridCol w:w="1150"/>
        <w:gridCol w:w="1355"/>
        <w:gridCol w:w="5553"/>
        <w:gridCol w:w="1793"/>
      </w:tblGrid>
      <w:tr w:rsidR="004938E2" w:rsidRPr="005520A5" w14:paraId="2127F3EE" w14:textId="77777777" w:rsidTr="00550CCD">
        <w:trPr>
          <w:cantSplit/>
          <w:trHeight w:val="629"/>
          <w:tblHeader/>
        </w:trPr>
        <w:tc>
          <w:tcPr>
            <w:tcW w:w="910" w:type="dxa"/>
            <w:vAlign w:val="center"/>
          </w:tcPr>
          <w:p w14:paraId="74CDAB20" w14:textId="77777777" w:rsidR="00A40A56" w:rsidRPr="005520A5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b/>
                <w:sz w:val="22"/>
                <w:szCs w:val="22"/>
              </w:rPr>
            </w:pPr>
            <w:r w:rsidRPr="005520A5">
              <w:rPr>
                <w:b/>
                <w:sz w:val="22"/>
                <w:szCs w:val="22"/>
              </w:rPr>
              <w:t>Code</w:t>
            </w:r>
          </w:p>
        </w:tc>
        <w:tc>
          <w:tcPr>
            <w:tcW w:w="1356" w:type="dxa"/>
            <w:vAlign w:val="center"/>
          </w:tcPr>
          <w:p w14:paraId="112AE7FC" w14:textId="77777777" w:rsidR="00A40A56" w:rsidRPr="005520A5" w:rsidRDefault="00A40A56" w:rsidP="008303C5">
            <w:pPr>
              <w:shd w:val="clear" w:color="auto" w:fill="FFFFFF"/>
              <w:spacing w:before="150" w:line="312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5520A5">
              <w:rPr>
                <w:b/>
                <w:sz w:val="22"/>
                <w:szCs w:val="22"/>
              </w:rPr>
              <w:t>Rate</w:t>
            </w:r>
          </w:p>
        </w:tc>
        <w:tc>
          <w:tcPr>
            <w:tcW w:w="5564" w:type="dxa"/>
            <w:vAlign w:val="center"/>
          </w:tcPr>
          <w:p w14:paraId="36125DAD" w14:textId="77777777" w:rsidR="00A40A56" w:rsidRPr="005520A5" w:rsidRDefault="00A40A56" w:rsidP="0070086C">
            <w:pPr>
              <w:shd w:val="clear" w:color="auto" w:fill="FFFFFF"/>
              <w:spacing w:before="150" w:line="312" w:lineRule="atLeast"/>
              <w:jc w:val="center"/>
              <w:rPr>
                <w:b/>
                <w:sz w:val="22"/>
                <w:szCs w:val="22"/>
              </w:rPr>
            </w:pPr>
            <w:r w:rsidRPr="005520A5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795" w:type="dxa"/>
          </w:tcPr>
          <w:p w14:paraId="79A09959" w14:textId="79C1C735" w:rsidR="00A40A56" w:rsidRPr="005520A5" w:rsidRDefault="00A40A56" w:rsidP="008303C5">
            <w:pPr>
              <w:shd w:val="clear" w:color="auto" w:fill="FFFFFF"/>
              <w:spacing w:before="150" w:line="312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5520A5">
              <w:rPr>
                <w:b/>
                <w:sz w:val="22"/>
                <w:szCs w:val="22"/>
              </w:rPr>
              <w:t xml:space="preserve">Effective </w:t>
            </w:r>
            <w:r w:rsidR="005538EC" w:rsidRPr="005520A5">
              <w:rPr>
                <w:b/>
                <w:sz w:val="22"/>
                <w:szCs w:val="22"/>
              </w:rPr>
              <w:t xml:space="preserve">for </w:t>
            </w:r>
            <w:r w:rsidRPr="005520A5">
              <w:rPr>
                <w:b/>
                <w:sz w:val="22"/>
                <w:szCs w:val="22"/>
              </w:rPr>
              <w:t>Dates of Service On or After</w:t>
            </w:r>
          </w:p>
        </w:tc>
      </w:tr>
      <w:tr w:rsidR="004938E2" w:rsidRPr="004C1151" w14:paraId="73C89B98" w14:textId="77777777" w:rsidTr="00550CCD">
        <w:trPr>
          <w:cantSplit/>
        </w:trPr>
        <w:tc>
          <w:tcPr>
            <w:tcW w:w="910" w:type="dxa"/>
          </w:tcPr>
          <w:p w14:paraId="14C5AA09" w14:textId="492093C6" w:rsidR="00A40A56" w:rsidRPr="00C72E3D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1823">
              <w:rPr>
                <w:rFonts w:ascii="Times New Roman" w:hAnsi="Times New Roman"/>
                <w:sz w:val="24"/>
                <w:szCs w:val="24"/>
              </w:rPr>
              <w:t>Q0240</w:t>
            </w:r>
            <w:r w:rsidR="00D1410F"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1356" w:type="dxa"/>
          </w:tcPr>
          <w:p w14:paraId="7E18D410" w14:textId="77777777" w:rsidR="00A40A56" w:rsidRPr="00C72E3D" w:rsidRDefault="00A40A56" w:rsidP="008303C5">
            <w:pPr>
              <w:shd w:val="clear" w:color="auto" w:fill="FFFFFF"/>
              <w:spacing w:before="150" w:line="312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E3D">
              <w:rPr>
                <w:rFonts w:ascii="Times New Roman" w:hAnsi="Times New Roman"/>
                <w:sz w:val="24"/>
                <w:szCs w:val="24"/>
              </w:rPr>
              <w:t>$</w:t>
            </w: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5564" w:type="dxa"/>
          </w:tcPr>
          <w:p w14:paraId="198C5DE1" w14:textId="77777777" w:rsidR="00A40A56" w:rsidRPr="008303C5" w:rsidRDefault="00A40A56" w:rsidP="0070086C">
            <w:pPr>
              <w:shd w:val="clear" w:color="auto" w:fill="FFFFFF"/>
              <w:spacing w:before="150" w:line="312" w:lineRule="atLeast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 xml:space="preserve">Injection, </w:t>
            </w:r>
            <w:proofErr w:type="spellStart"/>
            <w:r w:rsidRPr="008303C5">
              <w:rPr>
                <w:sz w:val="22"/>
                <w:szCs w:val="22"/>
              </w:rPr>
              <w:t>casirivimab</w:t>
            </w:r>
            <w:proofErr w:type="spellEnd"/>
            <w:r w:rsidRPr="008303C5">
              <w:rPr>
                <w:sz w:val="22"/>
                <w:szCs w:val="22"/>
              </w:rPr>
              <w:t xml:space="preserve"> and </w:t>
            </w:r>
            <w:proofErr w:type="spellStart"/>
            <w:r w:rsidRPr="008303C5">
              <w:rPr>
                <w:sz w:val="22"/>
                <w:szCs w:val="22"/>
              </w:rPr>
              <w:t>imdevimab</w:t>
            </w:r>
            <w:proofErr w:type="spellEnd"/>
            <w:r w:rsidRPr="008303C5">
              <w:rPr>
                <w:sz w:val="22"/>
                <w:szCs w:val="22"/>
              </w:rPr>
              <w:t>, 600 mg</w:t>
            </w:r>
          </w:p>
        </w:tc>
        <w:tc>
          <w:tcPr>
            <w:tcW w:w="1795" w:type="dxa"/>
          </w:tcPr>
          <w:p w14:paraId="38FA4227" w14:textId="77777777" w:rsidR="00A40A56" w:rsidRPr="001C4926" w:rsidRDefault="00A40A56" w:rsidP="008303C5">
            <w:pPr>
              <w:shd w:val="clear" w:color="auto" w:fill="FFFFFF"/>
              <w:spacing w:before="150" w:line="312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92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492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C4926">
              <w:rPr>
                <w:rFonts w:ascii="Times New Roman" w:hAnsi="Times New Roman"/>
                <w:sz w:val="24"/>
                <w:szCs w:val="24"/>
              </w:rPr>
              <w:t>/2021</w:t>
            </w:r>
          </w:p>
        </w:tc>
      </w:tr>
      <w:tr w:rsidR="004938E2" w:rsidRPr="004C1151" w14:paraId="59EB0862" w14:textId="77777777" w:rsidTr="00550CCD">
        <w:trPr>
          <w:cantSplit/>
        </w:trPr>
        <w:tc>
          <w:tcPr>
            <w:tcW w:w="910" w:type="dxa"/>
          </w:tcPr>
          <w:p w14:paraId="720616B8" w14:textId="77777777" w:rsidR="00A40A56" w:rsidRPr="00FE1823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1823">
              <w:rPr>
                <w:rFonts w:ascii="Times New Roman" w:hAnsi="Times New Roman"/>
                <w:sz w:val="24"/>
                <w:szCs w:val="24"/>
              </w:rPr>
              <w:t>M0240</w:t>
            </w:r>
          </w:p>
        </w:tc>
        <w:tc>
          <w:tcPr>
            <w:tcW w:w="1356" w:type="dxa"/>
          </w:tcPr>
          <w:p w14:paraId="6EA27E76" w14:textId="77777777" w:rsidR="00A40A56" w:rsidRPr="00C72E3D" w:rsidRDefault="00A40A56" w:rsidP="008303C5">
            <w:pPr>
              <w:shd w:val="clear" w:color="auto" w:fill="FFFFFF"/>
              <w:spacing w:before="150" w:line="312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$450.00</w:t>
            </w:r>
          </w:p>
        </w:tc>
        <w:tc>
          <w:tcPr>
            <w:tcW w:w="5564" w:type="dxa"/>
          </w:tcPr>
          <w:p w14:paraId="6ADA6B2D" w14:textId="77777777" w:rsidR="00A40A56" w:rsidRPr="008303C5" w:rsidRDefault="00A40A56" w:rsidP="0070086C">
            <w:pPr>
              <w:shd w:val="clear" w:color="auto" w:fill="FFFFFF"/>
              <w:spacing w:before="150" w:line="312" w:lineRule="atLeast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 xml:space="preserve">Intravenous infusion or subcutaneous injection, </w:t>
            </w:r>
            <w:proofErr w:type="spellStart"/>
            <w:r w:rsidRPr="008303C5">
              <w:rPr>
                <w:sz w:val="22"/>
                <w:szCs w:val="22"/>
              </w:rPr>
              <w:t>casirivimab</w:t>
            </w:r>
            <w:proofErr w:type="spellEnd"/>
            <w:r w:rsidRPr="008303C5">
              <w:rPr>
                <w:sz w:val="22"/>
                <w:szCs w:val="22"/>
              </w:rPr>
              <w:t xml:space="preserve"> and </w:t>
            </w:r>
            <w:proofErr w:type="spellStart"/>
            <w:r w:rsidRPr="008303C5">
              <w:rPr>
                <w:sz w:val="22"/>
                <w:szCs w:val="22"/>
              </w:rPr>
              <w:t>imdevimab</w:t>
            </w:r>
            <w:proofErr w:type="spellEnd"/>
            <w:r w:rsidRPr="008303C5">
              <w:rPr>
                <w:sz w:val="22"/>
                <w:szCs w:val="22"/>
              </w:rPr>
              <w:t xml:space="preserve"> includes infusion or injection, and post administration monitoring, subsequent repeat doses</w:t>
            </w:r>
          </w:p>
        </w:tc>
        <w:tc>
          <w:tcPr>
            <w:tcW w:w="1795" w:type="dxa"/>
          </w:tcPr>
          <w:p w14:paraId="584E965B" w14:textId="77777777" w:rsidR="00A40A56" w:rsidRPr="001C4926" w:rsidRDefault="00A40A56" w:rsidP="008303C5">
            <w:pPr>
              <w:shd w:val="clear" w:color="auto" w:fill="FFFFFF"/>
              <w:spacing w:before="150" w:line="312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92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492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C4926">
              <w:rPr>
                <w:rFonts w:ascii="Times New Roman" w:hAnsi="Times New Roman"/>
                <w:sz w:val="24"/>
                <w:szCs w:val="24"/>
              </w:rPr>
              <w:t>/2021</w:t>
            </w:r>
          </w:p>
        </w:tc>
      </w:tr>
      <w:tr w:rsidR="004938E2" w:rsidRPr="004C1151" w14:paraId="02622F19" w14:textId="77777777" w:rsidTr="00550CCD">
        <w:trPr>
          <w:cantSplit/>
        </w:trPr>
        <w:tc>
          <w:tcPr>
            <w:tcW w:w="910" w:type="dxa"/>
          </w:tcPr>
          <w:p w14:paraId="28AD83F3" w14:textId="77777777" w:rsidR="00A40A56" w:rsidRPr="00FE1823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1823">
              <w:rPr>
                <w:rFonts w:ascii="Times New Roman" w:hAnsi="Times New Roman"/>
                <w:sz w:val="24"/>
                <w:szCs w:val="24"/>
              </w:rPr>
              <w:t>M0241</w:t>
            </w:r>
          </w:p>
        </w:tc>
        <w:tc>
          <w:tcPr>
            <w:tcW w:w="1356" w:type="dxa"/>
          </w:tcPr>
          <w:p w14:paraId="23ABCDC8" w14:textId="77777777" w:rsidR="00A40A56" w:rsidRPr="00C72E3D" w:rsidRDefault="00A40A56" w:rsidP="008303C5">
            <w:pPr>
              <w:shd w:val="clear" w:color="auto" w:fill="FFFFFF"/>
              <w:spacing w:before="150" w:line="312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$750.00</w:t>
            </w:r>
          </w:p>
        </w:tc>
        <w:tc>
          <w:tcPr>
            <w:tcW w:w="5564" w:type="dxa"/>
          </w:tcPr>
          <w:p w14:paraId="11023698" w14:textId="3DB3FA0C" w:rsidR="00A40A56" w:rsidRPr="008303C5" w:rsidRDefault="00A40A56" w:rsidP="0070410F">
            <w:pPr>
              <w:shd w:val="clear" w:color="auto" w:fill="FFFFFF"/>
              <w:spacing w:before="150" w:line="312" w:lineRule="atLeast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 xml:space="preserve">Intravenous infusion or subcutaneous injection, </w:t>
            </w:r>
            <w:proofErr w:type="spellStart"/>
            <w:r w:rsidRPr="008303C5">
              <w:rPr>
                <w:sz w:val="22"/>
                <w:szCs w:val="22"/>
              </w:rPr>
              <w:t>casirivimab</w:t>
            </w:r>
            <w:proofErr w:type="spellEnd"/>
            <w:r w:rsidRPr="008303C5">
              <w:rPr>
                <w:sz w:val="22"/>
                <w:szCs w:val="22"/>
              </w:rPr>
              <w:t xml:space="preserve"> and </w:t>
            </w:r>
            <w:proofErr w:type="spellStart"/>
            <w:r w:rsidRPr="008303C5">
              <w:rPr>
                <w:sz w:val="22"/>
                <w:szCs w:val="22"/>
              </w:rPr>
              <w:t>imdevimab</w:t>
            </w:r>
            <w:proofErr w:type="spellEnd"/>
            <w:r w:rsidRPr="008303C5">
              <w:rPr>
                <w:sz w:val="22"/>
                <w:szCs w:val="22"/>
              </w:rPr>
              <w:t xml:space="preserve"> includes infusion or injection, and post administration monitoring in the home or residence, this includes a beneficiary's home that has been made provider-based to the hospital during the </w:t>
            </w:r>
            <w:r w:rsidR="0070410F">
              <w:rPr>
                <w:sz w:val="22"/>
                <w:szCs w:val="22"/>
              </w:rPr>
              <w:t>COVID</w:t>
            </w:r>
            <w:r w:rsidRPr="008303C5">
              <w:rPr>
                <w:sz w:val="22"/>
                <w:szCs w:val="22"/>
              </w:rPr>
              <w:t>-19 public health emergency, subsequent repeat doses</w:t>
            </w:r>
          </w:p>
        </w:tc>
        <w:tc>
          <w:tcPr>
            <w:tcW w:w="1795" w:type="dxa"/>
          </w:tcPr>
          <w:p w14:paraId="1CF51CE5" w14:textId="77777777" w:rsidR="00A40A56" w:rsidRPr="001C4926" w:rsidRDefault="00A40A56" w:rsidP="008303C5">
            <w:pPr>
              <w:shd w:val="clear" w:color="auto" w:fill="FFFFFF"/>
              <w:spacing w:before="150" w:line="312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92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492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C4926">
              <w:rPr>
                <w:rFonts w:ascii="Times New Roman" w:hAnsi="Times New Roman"/>
                <w:sz w:val="24"/>
                <w:szCs w:val="24"/>
              </w:rPr>
              <w:t>/2021</w:t>
            </w:r>
          </w:p>
        </w:tc>
      </w:tr>
    </w:tbl>
    <w:p w14:paraId="734A9992" w14:textId="77777777" w:rsidR="008303C5" w:rsidRDefault="008303C5" w:rsidP="00A40A56">
      <w:pPr>
        <w:shd w:val="clear" w:color="auto" w:fill="FFFFFF"/>
        <w:spacing w:before="150" w:line="312" w:lineRule="atLeast"/>
      </w:pPr>
      <w:r>
        <w:br w:type="page"/>
      </w:r>
    </w:p>
    <w:p w14:paraId="0BB58483" w14:textId="3EB18695" w:rsidR="00A40A56" w:rsidRPr="008303C5" w:rsidRDefault="00A40A56" w:rsidP="00E6059C">
      <w:pPr>
        <w:shd w:val="clear" w:color="auto" w:fill="FFFFFF"/>
        <w:spacing w:before="240" w:after="100" w:afterAutospacing="1"/>
      </w:pPr>
      <w:r w:rsidRPr="006E4507">
        <w:lastRenderedPageBreak/>
        <w:t xml:space="preserve">In addition, EOHHS is updating the descriptions for the following codes </w:t>
      </w:r>
      <w:r w:rsidR="006E4507" w:rsidRPr="006E4507">
        <w:t>to match the current</w:t>
      </w:r>
      <w:r w:rsidR="006E4507" w:rsidRPr="00115241">
        <w:t xml:space="preserve"> </w:t>
      </w:r>
      <w:r w:rsidR="006E4507" w:rsidRPr="00CE2E80">
        <w:t>Healthcare Common Procedure Coding System (HCPCS) code descriptions</w:t>
      </w:r>
      <w:r w:rsidR="006E4507" w:rsidRPr="006E4507">
        <w:t xml:space="preserve"> </w:t>
      </w:r>
      <w:r w:rsidRPr="006E4507">
        <w:t>reflect</w:t>
      </w:r>
      <w:r w:rsidR="006E4507" w:rsidRPr="006E4507">
        <w:t>ing</w:t>
      </w:r>
      <w:r w:rsidRPr="006E4507">
        <w:t xml:space="preserve"> that </w:t>
      </w:r>
      <w:proofErr w:type="spellStart"/>
      <w:r w:rsidR="00D42CE7" w:rsidRPr="006E4507">
        <w:t>casirivimab</w:t>
      </w:r>
      <w:proofErr w:type="spellEnd"/>
      <w:r w:rsidR="00D42CE7" w:rsidRPr="006E4507">
        <w:t xml:space="preserve"> and </w:t>
      </w:r>
      <w:proofErr w:type="spellStart"/>
      <w:r w:rsidR="00D42CE7" w:rsidRPr="006E4507">
        <w:t>imdevimab</w:t>
      </w:r>
      <w:proofErr w:type="spellEnd"/>
      <w:r w:rsidR="00D42CE7" w:rsidRPr="006E4507">
        <w:t xml:space="preserve"> may be administered through a </w:t>
      </w:r>
      <w:r w:rsidRPr="006E4507">
        <w:t xml:space="preserve">subcutaneous injection </w:t>
      </w:r>
      <w:r w:rsidR="005751D0" w:rsidRPr="006E4507">
        <w:t>as well as intravenous infusion</w:t>
      </w:r>
      <w:r w:rsidR="004938E2" w:rsidRPr="006E4507">
        <w:t>.  Rates are not changing</w:t>
      </w:r>
      <w:r w:rsidR="008303C5" w:rsidRPr="006E4507">
        <w:t>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27"/>
        <w:gridCol w:w="1350"/>
        <w:gridCol w:w="5670"/>
        <w:gridCol w:w="1705"/>
      </w:tblGrid>
      <w:tr w:rsidR="004938E2" w:rsidRPr="008303C5" w14:paraId="1DDB122A" w14:textId="77777777" w:rsidTr="00771853">
        <w:trPr>
          <w:cantSplit/>
          <w:trHeight w:val="576"/>
          <w:tblHeader/>
        </w:trPr>
        <w:tc>
          <w:tcPr>
            <w:tcW w:w="900" w:type="dxa"/>
            <w:vAlign w:val="center"/>
          </w:tcPr>
          <w:p w14:paraId="4DA9526F" w14:textId="77777777" w:rsidR="00A40A56" w:rsidRPr="008303C5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b/>
                <w:sz w:val="22"/>
                <w:szCs w:val="22"/>
              </w:rPr>
            </w:pPr>
            <w:r w:rsidRPr="008303C5">
              <w:rPr>
                <w:b/>
                <w:sz w:val="22"/>
                <w:szCs w:val="22"/>
              </w:rPr>
              <w:t>Code</w:t>
            </w:r>
          </w:p>
        </w:tc>
        <w:tc>
          <w:tcPr>
            <w:tcW w:w="1350" w:type="dxa"/>
            <w:vAlign w:val="center"/>
          </w:tcPr>
          <w:p w14:paraId="73CC49AC" w14:textId="77777777" w:rsidR="00A40A56" w:rsidRPr="008303C5" w:rsidRDefault="00A40A56" w:rsidP="005538EC">
            <w:pPr>
              <w:shd w:val="clear" w:color="auto" w:fill="FFFFFF"/>
              <w:spacing w:before="150" w:line="312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8303C5">
              <w:rPr>
                <w:b/>
                <w:sz w:val="22"/>
                <w:szCs w:val="22"/>
              </w:rPr>
              <w:t>Rate</w:t>
            </w:r>
          </w:p>
        </w:tc>
        <w:tc>
          <w:tcPr>
            <w:tcW w:w="5670" w:type="dxa"/>
            <w:vAlign w:val="center"/>
          </w:tcPr>
          <w:p w14:paraId="7F3348D6" w14:textId="77777777" w:rsidR="00A40A56" w:rsidRPr="008303C5" w:rsidRDefault="00A40A56" w:rsidP="0070086C">
            <w:pPr>
              <w:shd w:val="clear" w:color="auto" w:fill="FFFFFF"/>
              <w:spacing w:before="150" w:line="312" w:lineRule="atLeast"/>
              <w:jc w:val="center"/>
              <w:rPr>
                <w:b/>
                <w:sz w:val="22"/>
                <w:szCs w:val="22"/>
              </w:rPr>
            </w:pPr>
            <w:r w:rsidRPr="008303C5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705" w:type="dxa"/>
          </w:tcPr>
          <w:p w14:paraId="6D7E3599" w14:textId="1A04332B" w:rsidR="00A40A56" w:rsidRPr="008303C5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b/>
                <w:sz w:val="22"/>
                <w:szCs w:val="22"/>
              </w:rPr>
            </w:pPr>
            <w:r w:rsidRPr="008303C5">
              <w:rPr>
                <w:b/>
                <w:sz w:val="22"/>
                <w:szCs w:val="22"/>
              </w:rPr>
              <w:t xml:space="preserve">Effective </w:t>
            </w:r>
            <w:r w:rsidR="005538EC">
              <w:rPr>
                <w:b/>
                <w:sz w:val="22"/>
                <w:szCs w:val="22"/>
              </w:rPr>
              <w:t xml:space="preserve">for </w:t>
            </w:r>
            <w:r w:rsidRPr="008303C5">
              <w:rPr>
                <w:b/>
                <w:sz w:val="22"/>
                <w:szCs w:val="22"/>
              </w:rPr>
              <w:t>Dates of Service On or After</w:t>
            </w:r>
          </w:p>
        </w:tc>
      </w:tr>
      <w:tr w:rsidR="004938E2" w:rsidRPr="001C4926" w14:paraId="4B48E232" w14:textId="77777777" w:rsidTr="00771853">
        <w:trPr>
          <w:cantSplit/>
          <w:trHeight w:val="1152"/>
        </w:trPr>
        <w:tc>
          <w:tcPr>
            <w:tcW w:w="900" w:type="dxa"/>
          </w:tcPr>
          <w:p w14:paraId="7854982A" w14:textId="77777777" w:rsidR="00A40A56" w:rsidRPr="008303C5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>M0243</w:t>
            </w:r>
          </w:p>
        </w:tc>
        <w:tc>
          <w:tcPr>
            <w:tcW w:w="1350" w:type="dxa"/>
          </w:tcPr>
          <w:p w14:paraId="605E8B53" w14:textId="77777777" w:rsidR="00A40A56" w:rsidRPr="008303C5" w:rsidRDefault="00A40A56" w:rsidP="005538EC">
            <w:pPr>
              <w:shd w:val="clear" w:color="auto" w:fill="FFFFFF"/>
              <w:spacing w:before="150" w:line="312" w:lineRule="atLeast"/>
              <w:ind w:left="0"/>
              <w:jc w:val="center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>$450.00</w:t>
            </w:r>
          </w:p>
        </w:tc>
        <w:tc>
          <w:tcPr>
            <w:tcW w:w="5670" w:type="dxa"/>
          </w:tcPr>
          <w:p w14:paraId="2613E9F6" w14:textId="77777777" w:rsidR="00A40A56" w:rsidRPr="008303C5" w:rsidRDefault="00A40A56" w:rsidP="0070086C">
            <w:pPr>
              <w:shd w:val="clear" w:color="auto" w:fill="FFFFFF"/>
              <w:spacing w:before="150" w:line="312" w:lineRule="atLeast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 xml:space="preserve">Intravenous infusion or subcutaneous injection, </w:t>
            </w:r>
            <w:proofErr w:type="spellStart"/>
            <w:r w:rsidRPr="008303C5">
              <w:rPr>
                <w:sz w:val="22"/>
                <w:szCs w:val="22"/>
              </w:rPr>
              <w:t>casirivimab</w:t>
            </w:r>
            <w:proofErr w:type="spellEnd"/>
            <w:r w:rsidRPr="008303C5">
              <w:rPr>
                <w:sz w:val="22"/>
                <w:szCs w:val="22"/>
              </w:rPr>
              <w:t xml:space="preserve"> and </w:t>
            </w:r>
            <w:proofErr w:type="spellStart"/>
            <w:r w:rsidRPr="008303C5">
              <w:rPr>
                <w:sz w:val="22"/>
                <w:szCs w:val="22"/>
              </w:rPr>
              <w:t>imdevimab</w:t>
            </w:r>
            <w:proofErr w:type="spellEnd"/>
            <w:r w:rsidRPr="008303C5">
              <w:rPr>
                <w:sz w:val="22"/>
                <w:szCs w:val="22"/>
              </w:rPr>
              <w:t xml:space="preserve"> includes infusion or injection, and post administration monitoring</w:t>
            </w:r>
          </w:p>
        </w:tc>
        <w:tc>
          <w:tcPr>
            <w:tcW w:w="1705" w:type="dxa"/>
          </w:tcPr>
          <w:p w14:paraId="6503510A" w14:textId="77777777" w:rsidR="00A40A56" w:rsidRPr="008303C5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>05/06/2021</w:t>
            </w:r>
          </w:p>
        </w:tc>
      </w:tr>
      <w:tr w:rsidR="004938E2" w:rsidRPr="001C4926" w14:paraId="448D0226" w14:textId="77777777" w:rsidTr="00771853">
        <w:trPr>
          <w:cantSplit/>
          <w:trHeight w:val="2304"/>
        </w:trPr>
        <w:tc>
          <w:tcPr>
            <w:tcW w:w="900" w:type="dxa"/>
          </w:tcPr>
          <w:p w14:paraId="461A71C7" w14:textId="77777777" w:rsidR="00A40A56" w:rsidRPr="008303C5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>M0244</w:t>
            </w:r>
          </w:p>
        </w:tc>
        <w:tc>
          <w:tcPr>
            <w:tcW w:w="1350" w:type="dxa"/>
          </w:tcPr>
          <w:p w14:paraId="7F8BC26B" w14:textId="77777777" w:rsidR="00A40A56" w:rsidRPr="008303C5" w:rsidRDefault="00A40A56" w:rsidP="005538EC">
            <w:pPr>
              <w:shd w:val="clear" w:color="auto" w:fill="FFFFFF"/>
              <w:spacing w:before="150" w:line="312" w:lineRule="atLeast"/>
              <w:ind w:left="0"/>
              <w:jc w:val="center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>$750.00</w:t>
            </w:r>
          </w:p>
        </w:tc>
        <w:tc>
          <w:tcPr>
            <w:tcW w:w="5670" w:type="dxa"/>
          </w:tcPr>
          <w:p w14:paraId="2FAE8EFD" w14:textId="64DC6BA7" w:rsidR="00A40A56" w:rsidRPr="008303C5" w:rsidRDefault="00A40A56" w:rsidP="0070410F">
            <w:pPr>
              <w:shd w:val="clear" w:color="auto" w:fill="FFFFFF"/>
              <w:spacing w:before="150" w:line="312" w:lineRule="atLeast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 xml:space="preserve">Intravenous infusion or subcutaneous injection, </w:t>
            </w:r>
            <w:proofErr w:type="spellStart"/>
            <w:r w:rsidRPr="008303C5">
              <w:rPr>
                <w:sz w:val="22"/>
                <w:szCs w:val="22"/>
              </w:rPr>
              <w:t>casirivimab</w:t>
            </w:r>
            <w:proofErr w:type="spellEnd"/>
            <w:r w:rsidRPr="008303C5">
              <w:rPr>
                <w:sz w:val="22"/>
                <w:szCs w:val="22"/>
              </w:rPr>
              <w:t xml:space="preserve"> and </w:t>
            </w:r>
            <w:proofErr w:type="spellStart"/>
            <w:r w:rsidRPr="008303C5">
              <w:rPr>
                <w:sz w:val="22"/>
                <w:szCs w:val="22"/>
              </w:rPr>
              <w:t>imdevimab</w:t>
            </w:r>
            <w:proofErr w:type="spellEnd"/>
            <w:r w:rsidRPr="008303C5">
              <w:rPr>
                <w:sz w:val="22"/>
                <w:szCs w:val="22"/>
              </w:rPr>
              <w:t xml:space="preserve"> includes infusion or injection, and post administration monitoring in the home or residence; this includes a beneficiary’s home that has been made provider-based to the hospital during the</w:t>
            </w:r>
            <w:r w:rsidR="0070410F">
              <w:rPr>
                <w:sz w:val="22"/>
                <w:szCs w:val="22"/>
              </w:rPr>
              <w:t>COVID</w:t>
            </w:r>
            <w:r w:rsidRPr="008303C5">
              <w:rPr>
                <w:sz w:val="22"/>
                <w:szCs w:val="22"/>
              </w:rPr>
              <w:t>-19 public health emergency</w:t>
            </w:r>
          </w:p>
        </w:tc>
        <w:tc>
          <w:tcPr>
            <w:tcW w:w="1705" w:type="dxa"/>
          </w:tcPr>
          <w:p w14:paraId="56B04D29" w14:textId="77777777" w:rsidR="00A40A56" w:rsidRPr="008303C5" w:rsidRDefault="00A40A56" w:rsidP="004938E2">
            <w:pPr>
              <w:shd w:val="clear" w:color="auto" w:fill="FFFFFF"/>
              <w:spacing w:before="150" w:line="312" w:lineRule="atLeast"/>
              <w:ind w:left="0"/>
              <w:rPr>
                <w:sz w:val="22"/>
                <w:szCs w:val="22"/>
              </w:rPr>
            </w:pPr>
            <w:r w:rsidRPr="008303C5">
              <w:rPr>
                <w:sz w:val="22"/>
                <w:szCs w:val="22"/>
              </w:rPr>
              <w:t>05/06/2021</w:t>
            </w:r>
          </w:p>
        </w:tc>
      </w:tr>
    </w:tbl>
    <w:p w14:paraId="4DD10830" w14:textId="620CAB4D" w:rsidR="00797B20" w:rsidRPr="00797B20" w:rsidRDefault="00797B20" w:rsidP="0007193F">
      <w:pPr>
        <w:pStyle w:val="BodyTextIndent"/>
        <w:spacing w:before="360" w:after="100" w:afterAutospacing="1"/>
        <w:rPr>
          <w:rStyle w:val="Heading2Char"/>
        </w:rPr>
      </w:pPr>
      <w:proofErr w:type="spellStart"/>
      <w:r w:rsidRPr="00797B20">
        <w:rPr>
          <w:rStyle w:val="Heading2Char"/>
        </w:rPr>
        <w:t>MassHealth</w:t>
      </w:r>
      <w:proofErr w:type="spellEnd"/>
      <w:r w:rsidRPr="00797B20">
        <w:rPr>
          <w:rStyle w:val="Heading2Char"/>
        </w:rPr>
        <w:t xml:space="preserve"> Website</w:t>
      </w:r>
    </w:p>
    <w:p w14:paraId="599CD62B" w14:textId="07D91AD7" w:rsidR="00755041" w:rsidRPr="009901A7" w:rsidRDefault="00331407" w:rsidP="00755041">
      <w:r>
        <w:t>T</w:t>
      </w:r>
      <w:r w:rsidR="00755041" w:rsidRPr="009901A7">
        <w:t>his bulletin is available</w:t>
      </w:r>
      <w:r w:rsidR="00755041">
        <w:t xml:space="preserve"> o</w:t>
      </w:r>
      <w:r w:rsidR="00755041" w:rsidRPr="009901A7">
        <w:t xml:space="preserve">n the </w:t>
      </w:r>
      <w:hyperlink r:id="rId12" w:history="1">
        <w:proofErr w:type="spellStart"/>
        <w:r w:rsidR="00755041" w:rsidRPr="008B6E51">
          <w:rPr>
            <w:rStyle w:val="Hyperlink"/>
          </w:rPr>
          <w:t>MassHealth</w:t>
        </w:r>
        <w:proofErr w:type="spellEnd"/>
        <w:r w:rsidR="00755041" w:rsidRPr="008B6E51">
          <w:rPr>
            <w:rStyle w:val="Hyperlink"/>
          </w:rPr>
          <w:t xml:space="preserve"> Provider Bulletins</w:t>
        </w:r>
      </w:hyperlink>
      <w:r w:rsidR="00755041">
        <w:t xml:space="preserve"> </w:t>
      </w:r>
      <w:r w:rsidR="00755041" w:rsidRPr="009901A7">
        <w:t>web</w:t>
      </w:r>
      <w:r w:rsidR="00755041">
        <w:t xml:space="preserve"> page.</w:t>
      </w:r>
    </w:p>
    <w:p w14:paraId="08146571" w14:textId="77777777" w:rsidR="008B347E" w:rsidRDefault="00C45995" w:rsidP="008B347E">
      <w:hyperlink r:id="rId13" w:history="1">
        <w:r w:rsidR="008B347E" w:rsidRPr="006E336C">
          <w:rPr>
            <w:rStyle w:val="Hyperlink"/>
          </w:rPr>
          <w:t>Sign up</w:t>
        </w:r>
      </w:hyperlink>
      <w:r w:rsidR="008B347E" w:rsidRPr="009901A7">
        <w:t xml:space="preserve"> to receive email alerts when </w:t>
      </w:r>
      <w:proofErr w:type="spellStart"/>
      <w:r w:rsidR="008B347E" w:rsidRPr="009901A7">
        <w:t>MassHealth</w:t>
      </w:r>
      <w:proofErr w:type="spellEnd"/>
      <w:r w:rsidR="008B347E" w:rsidRPr="009901A7">
        <w:t xml:space="preserve"> issues new bulletins and transmittal letters.</w:t>
      </w:r>
    </w:p>
    <w:p w14:paraId="236DC889" w14:textId="77777777" w:rsidR="0007193F" w:rsidRDefault="0007193F" w:rsidP="0007193F">
      <w:pPr>
        <w:pStyle w:val="Heading2"/>
        <w:spacing w:after="100" w:afterAutospacing="1"/>
      </w:pPr>
      <w:r w:rsidRPr="009901A7">
        <w:t>Questions</w:t>
      </w:r>
      <w:r>
        <w:t xml:space="preserve"> </w:t>
      </w:r>
    </w:p>
    <w:p w14:paraId="45B2E711" w14:textId="77777777" w:rsidR="0007193F" w:rsidRDefault="0007193F" w:rsidP="0007193F">
      <w:pPr>
        <w:pStyle w:val="Heading3"/>
        <w:spacing w:before="240"/>
      </w:pPr>
      <w:r>
        <w:t>Dental Services</w:t>
      </w:r>
    </w:p>
    <w:p w14:paraId="7B5752F6" w14:textId="77777777" w:rsidR="0007193F" w:rsidRDefault="0007193F" w:rsidP="0007193F">
      <w:pPr>
        <w:pStyle w:val="BodyTextIndent"/>
        <w:spacing w:before="0" w:after="0"/>
        <w:ind w:left="720"/>
      </w:pPr>
      <w:r>
        <w:t>Phone: (800) 207-5019; TTY: (800) 466-7566</w:t>
      </w:r>
    </w:p>
    <w:p w14:paraId="601694C3" w14:textId="77777777" w:rsidR="0007193F" w:rsidRDefault="0007193F" w:rsidP="0007193F">
      <w:pPr>
        <w:pStyle w:val="Heading3"/>
        <w:spacing w:before="240"/>
      </w:pPr>
      <w:r>
        <w:t>Long-Term Services and Supports</w:t>
      </w:r>
    </w:p>
    <w:p w14:paraId="5D55DE2C" w14:textId="77777777" w:rsidR="0007193F" w:rsidRDefault="0007193F" w:rsidP="0007193F">
      <w:pPr>
        <w:pStyle w:val="BodyTextIndent"/>
        <w:spacing w:before="0" w:after="0"/>
        <w:ind w:left="720"/>
      </w:pPr>
      <w:r>
        <w:t>Phone: (844) 368-5184 (toll free)</w:t>
      </w:r>
    </w:p>
    <w:p w14:paraId="423915F3" w14:textId="77777777" w:rsidR="0007193F" w:rsidRDefault="0007193F" w:rsidP="0007193F">
      <w:pPr>
        <w:pStyle w:val="BodyTextIndent"/>
        <w:spacing w:before="0" w:after="0"/>
        <w:ind w:left="720"/>
      </w:pPr>
      <w:r>
        <w:t>Email: support@masshealthltss.com</w:t>
      </w:r>
    </w:p>
    <w:p w14:paraId="230BEE8F" w14:textId="77777777" w:rsidR="0007193F" w:rsidRDefault="0007193F" w:rsidP="0007193F">
      <w:pPr>
        <w:pStyle w:val="BodyTextIndent"/>
        <w:spacing w:before="0" w:after="0"/>
        <w:ind w:left="720"/>
      </w:pPr>
      <w:r>
        <w:t>Portal: MassHealthLTSS.com</w:t>
      </w:r>
    </w:p>
    <w:p w14:paraId="1BCBB147" w14:textId="77777777" w:rsidR="0007193F" w:rsidRDefault="0007193F" w:rsidP="0007193F">
      <w:pPr>
        <w:pStyle w:val="BodyTextIndent"/>
        <w:spacing w:before="0" w:after="0"/>
        <w:ind w:left="720"/>
      </w:pPr>
      <w:r>
        <w:t xml:space="preserve">Mail: </w:t>
      </w:r>
      <w:proofErr w:type="spellStart"/>
      <w:r>
        <w:t>MassHealth</w:t>
      </w:r>
      <w:proofErr w:type="spellEnd"/>
      <w:r>
        <w:t xml:space="preserve"> LTSS, PO Box 159108, Boston, MA 02215</w:t>
      </w:r>
    </w:p>
    <w:p w14:paraId="705CB5A6" w14:textId="77777777" w:rsidR="0007193F" w:rsidRDefault="0007193F" w:rsidP="0007193F">
      <w:pPr>
        <w:pStyle w:val="BodyTextIndent"/>
        <w:spacing w:before="0" w:after="0"/>
        <w:ind w:left="720"/>
      </w:pPr>
      <w:r>
        <w:t>Fax: (888) 832-3006</w:t>
      </w:r>
    </w:p>
    <w:p w14:paraId="2FB19EBC" w14:textId="77777777" w:rsidR="0007193F" w:rsidRDefault="0007193F" w:rsidP="0007193F">
      <w:pPr>
        <w:pStyle w:val="Heading3"/>
        <w:spacing w:before="240"/>
      </w:pPr>
      <w:r>
        <w:t>All Other Provider Types</w:t>
      </w:r>
    </w:p>
    <w:p w14:paraId="4C236EAF" w14:textId="77777777" w:rsidR="0007193F" w:rsidRDefault="0007193F" w:rsidP="0007193F">
      <w:pPr>
        <w:pStyle w:val="BodyTextIndent"/>
        <w:spacing w:before="0" w:after="0"/>
        <w:ind w:left="720"/>
      </w:pPr>
      <w:r>
        <w:t>Phone: (800) 841-2900; TTY: (800) 497-4648</w:t>
      </w:r>
    </w:p>
    <w:p w14:paraId="065A07FE" w14:textId="77777777" w:rsidR="0007193F" w:rsidRDefault="0007193F" w:rsidP="0007193F">
      <w:pPr>
        <w:pStyle w:val="BodyTextIndent"/>
        <w:spacing w:before="0" w:after="0"/>
        <w:ind w:left="720"/>
      </w:pPr>
      <w:r>
        <w:t>Email: providersupport@mahealth.net</w:t>
      </w:r>
    </w:p>
    <w:p w14:paraId="46F15BA3" w14:textId="77777777" w:rsidR="0007193F" w:rsidRPr="00F664CC" w:rsidRDefault="0007193F" w:rsidP="0007193F">
      <w:pPr>
        <w:pStyle w:val="BodyTextIndent"/>
        <w:spacing w:before="0" w:after="0"/>
        <w:ind w:left="720"/>
      </w:pPr>
      <w:r>
        <w:t>Fax: (617) 988-8974</w:t>
      </w:r>
    </w:p>
    <w:p w14:paraId="1767A146" w14:textId="3455572E" w:rsidR="00C610A4" w:rsidRDefault="00C610A4" w:rsidP="00CE2E80">
      <w:pPr>
        <w:pStyle w:val="Heading2"/>
        <w:ind w:left="0"/>
        <w:sectPr w:rsidR="00C610A4" w:rsidSect="00C610A4">
          <w:headerReference w:type="default" r:id="rId14"/>
          <w:type w:val="continuous"/>
          <w:pgSz w:w="12240" w:h="15840" w:code="1"/>
          <w:pgMar w:top="576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99145A4" w14:textId="5DEFA839" w:rsidR="00C610A4" w:rsidRPr="00C610A4" w:rsidRDefault="00C610A4" w:rsidP="0007193F">
      <w:pPr>
        <w:tabs>
          <w:tab w:val="left" w:pos="6510"/>
        </w:tabs>
        <w:ind w:left="0"/>
      </w:pPr>
    </w:p>
    <w:sectPr w:rsidR="00C610A4" w:rsidRPr="00C610A4" w:rsidSect="00C610A4">
      <w:headerReference w:type="first" r:id="rId15"/>
      <w:footerReference w:type="first" r:id="rId16"/>
      <w:type w:val="continuous"/>
      <w:pgSz w:w="12240" w:h="15840" w:code="1"/>
      <w:pgMar w:top="576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D6936" w14:textId="77777777" w:rsidR="00864BE5" w:rsidRDefault="00864BE5" w:rsidP="00070D8A">
      <w:r>
        <w:separator/>
      </w:r>
    </w:p>
  </w:endnote>
  <w:endnote w:type="continuationSeparator" w:id="0">
    <w:p w14:paraId="3EAD8CFF" w14:textId="77777777" w:rsidR="00864BE5" w:rsidRDefault="00864BE5" w:rsidP="0007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36DF" w14:textId="77777777" w:rsidR="00C610A4" w:rsidRPr="00CC1E11" w:rsidRDefault="00C610A4" w:rsidP="00C610A4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</w:t>
      </w:r>
      <w:proofErr w:type="spellStart"/>
      <w:r w:rsidRPr="00CC1E11">
        <w:rPr>
          <w:rStyle w:val="Hyperlink"/>
          <w:rFonts w:ascii="Bookman Old Style" w:hAnsi="Bookman Old Style"/>
          <w:b/>
          <w:i/>
        </w:rPr>
        <w:t>MassHealth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6ADE1" w14:textId="77777777" w:rsidR="00864BE5" w:rsidRDefault="00864BE5" w:rsidP="00070D8A">
      <w:r>
        <w:separator/>
      </w:r>
    </w:p>
  </w:footnote>
  <w:footnote w:type="continuationSeparator" w:id="0">
    <w:p w14:paraId="70561BE0" w14:textId="77777777" w:rsidR="00864BE5" w:rsidRDefault="00864BE5" w:rsidP="00070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A0210" w14:textId="77777777" w:rsidR="00A55FA6" w:rsidRPr="00F664CC" w:rsidRDefault="00A55FA6" w:rsidP="00A55FA6">
    <w:pPr>
      <w:pStyle w:val="BullsHeading"/>
      <w:spacing w:before="720"/>
    </w:pPr>
    <w:proofErr w:type="spellStart"/>
    <w:r w:rsidRPr="00F664CC">
      <w:t>MassHealth</w:t>
    </w:r>
    <w:proofErr w:type="spellEnd"/>
  </w:p>
  <w:p w14:paraId="7FDE2003" w14:textId="6583F9A6" w:rsidR="00A55FA6" w:rsidRPr="00F664CC" w:rsidRDefault="00A55FA6" w:rsidP="00A55FA6">
    <w:pPr>
      <w:pStyle w:val="BullsHeading"/>
    </w:pPr>
    <w:r>
      <w:t xml:space="preserve">All Provider Bulletin </w:t>
    </w:r>
    <w:r w:rsidR="00F94E5A">
      <w:t>326</w:t>
    </w:r>
  </w:p>
  <w:p w14:paraId="077F2222" w14:textId="6ED558D5" w:rsidR="00A55FA6" w:rsidRDefault="00307A53" w:rsidP="00A55FA6">
    <w:pPr>
      <w:pStyle w:val="BullsHeading"/>
    </w:pPr>
    <w:r>
      <w:t>September 2021</w:t>
    </w:r>
  </w:p>
  <w:p w14:paraId="334D1C63" w14:textId="77777777" w:rsidR="00A55FA6" w:rsidRDefault="00A55FA6" w:rsidP="00A55FA6">
    <w:pPr>
      <w:pStyle w:val="BullsHeading"/>
      <w:spacing w:after="12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45995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C45995">
        <w:rPr>
          <w:noProof/>
        </w:rPr>
        <w:t>3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A9BBC" w14:textId="77777777" w:rsidR="00C610A4" w:rsidRPr="00F664CC" w:rsidRDefault="00C610A4" w:rsidP="00C610A4">
    <w:pPr>
      <w:pStyle w:val="BullsHeading"/>
      <w:spacing w:before="720"/>
    </w:pPr>
    <w:proofErr w:type="spellStart"/>
    <w:r w:rsidRPr="00F664CC">
      <w:t>MassHealth</w:t>
    </w:r>
    <w:proofErr w:type="spellEnd"/>
  </w:p>
  <w:p w14:paraId="3BF552D0" w14:textId="2C818519" w:rsidR="00C610A4" w:rsidRPr="00F664CC" w:rsidRDefault="00C610A4" w:rsidP="00C610A4">
    <w:pPr>
      <w:pStyle w:val="BullsHeading"/>
    </w:pPr>
    <w:r>
      <w:t>All Provider Bulletin</w:t>
    </w:r>
    <w:r w:rsidR="00F36D45">
      <w:t xml:space="preserve"> XX</w:t>
    </w:r>
  </w:p>
  <w:p w14:paraId="4D76D565" w14:textId="76609038" w:rsidR="00C610A4" w:rsidRDefault="004B6962" w:rsidP="00C610A4">
    <w:pPr>
      <w:pStyle w:val="BullsHeading"/>
    </w:pPr>
    <w:r>
      <w:t>September</w:t>
    </w:r>
    <w:r w:rsidR="00F36D45">
      <w:t xml:space="preserve"> </w:t>
    </w:r>
    <w:r w:rsidR="00C610A4">
      <w:t>2021</w:t>
    </w:r>
  </w:p>
  <w:p w14:paraId="62E569BE" w14:textId="1F6D23A6" w:rsidR="00C610A4" w:rsidRDefault="00C610A4" w:rsidP="00C610A4">
    <w:pPr>
      <w:pStyle w:val="BullsHeading"/>
      <w:spacing w:after="120"/>
      <w:rPr>
        <w:noProof/>
      </w:rPr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E2E80">
      <w:rPr>
        <w:noProof/>
      </w:rPr>
      <w:t>4</w:t>
    </w:r>
    <w:r>
      <w:fldChar w:fldCharType="end"/>
    </w:r>
    <w:r>
      <w:t xml:space="preserve"> of </w:t>
    </w:r>
    <w:r w:rsidR="00C45995">
      <w:fldChar w:fldCharType="begin"/>
    </w:r>
    <w:r w:rsidR="00C45995">
      <w:instrText xml:space="preserve"> NUMPAGES  \* Arabic  \* MERGEFORMAT </w:instrText>
    </w:r>
    <w:r w:rsidR="00C45995">
      <w:fldChar w:fldCharType="separate"/>
    </w:r>
    <w:r w:rsidR="00357A3C">
      <w:rPr>
        <w:noProof/>
      </w:rPr>
      <w:t>3</w:t>
    </w:r>
    <w:r w:rsidR="00C45995">
      <w:rPr>
        <w:noProof/>
      </w:rPr>
      <w:fldChar w:fldCharType="end"/>
    </w:r>
  </w:p>
  <w:p w14:paraId="38FD4D2E" w14:textId="77777777" w:rsidR="00C610A4" w:rsidRDefault="00C610A4" w:rsidP="00C610A4">
    <w:pPr>
      <w:pStyle w:val="BullsHeading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23E79"/>
    <w:multiLevelType w:val="hybridMultilevel"/>
    <w:tmpl w:val="C4D49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CC037E"/>
    <w:multiLevelType w:val="hybridMultilevel"/>
    <w:tmpl w:val="74D0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 Hoitink">
    <w15:presenceInfo w15:providerId="Windows Live" w15:userId="acc9af97463148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76A"/>
    <w:rsid w:val="00002A9C"/>
    <w:rsid w:val="000049D1"/>
    <w:rsid w:val="00054745"/>
    <w:rsid w:val="000619DE"/>
    <w:rsid w:val="000678E9"/>
    <w:rsid w:val="00067D84"/>
    <w:rsid w:val="00070D8A"/>
    <w:rsid w:val="0007193F"/>
    <w:rsid w:val="000A3CDE"/>
    <w:rsid w:val="000A5467"/>
    <w:rsid w:val="000C0997"/>
    <w:rsid w:val="000C2504"/>
    <w:rsid w:val="000D3DB5"/>
    <w:rsid w:val="000D5917"/>
    <w:rsid w:val="000E1E7D"/>
    <w:rsid w:val="0011012E"/>
    <w:rsid w:val="00115241"/>
    <w:rsid w:val="00150BCC"/>
    <w:rsid w:val="00153824"/>
    <w:rsid w:val="001554E7"/>
    <w:rsid w:val="001634DD"/>
    <w:rsid w:val="001A233E"/>
    <w:rsid w:val="002048E5"/>
    <w:rsid w:val="00221556"/>
    <w:rsid w:val="002344BD"/>
    <w:rsid w:val="00277054"/>
    <w:rsid w:val="0028720F"/>
    <w:rsid w:val="00296391"/>
    <w:rsid w:val="002B2420"/>
    <w:rsid w:val="002D39D9"/>
    <w:rsid w:val="002E50B5"/>
    <w:rsid w:val="002F2993"/>
    <w:rsid w:val="002F4031"/>
    <w:rsid w:val="00307A53"/>
    <w:rsid w:val="0031642C"/>
    <w:rsid w:val="00331407"/>
    <w:rsid w:val="00337D8D"/>
    <w:rsid w:val="00357A3C"/>
    <w:rsid w:val="00391F03"/>
    <w:rsid w:val="003A1E14"/>
    <w:rsid w:val="003A7588"/>
    <w:rsid w:val="003B01E0"/>
    <w:rsid w:val="003B0260"/>
    <w:rsid w:val="003E2878"/>
    <w:rsid w:val="003E30E6"/>
    <w:rsid w:val="00412113"/>
    <w:rsid w:val="00424033"/>
    <w:rsid w:val="00433A03"/>
    <w:rsid w:val="00492F2E"/>
    <w:rsid w:val="004938E2"/>
    <w:rsid w:val="004A1A49"/>
    <w:rsid w:val="004A7718"/>
    <w:rsid w:val="004B6962"/>
    <w:rsid w:val="004D4C95"/>
    <w:rsid w:val="004E0359"/>
    <w:rsid w:val="004F4B9A"/>
    <w:rsid w:val="005068BD"/>
    <w:rsid w:val="00507CFF"/>
    <w:rsid w:val="00512FA7"/>
    <w:rsid w:val="00514D9E"/>
    <w:rsid w:val="00524521"/>
    <w:rsid w:val="00526FA1"/>
    <w:rsid w:val="00530C62"/>
    <w:rsid w:val="005341E0"/>
    <w:rsid w:val="00541F8F"/>
    <w:rsid w:val="00550CCD"/>
    <w:rsid w:val="005520A5"/>
    <w:rsid w:val="005538EC"/>
    <w:rsid w:val="00571F24"/>
    <w:rsid w:val="005751D0"/>
    <w:rsid w:val="00582B77"/>
    <w:rsid w:val="005842F5"/>
    <w:rsid w:val="0058634E"/>
    <w:rsid w:val="0059142C"/>
    <w:rsid w:val="00597528"/>
    <w:rsid w:val="005B27F1"/>
    <w:rsid w:val="005D15FC"/>
    <w:rsid w:val="005E4B62"/>
    <w:rsid w:val="005E5943"/>
    <w:rsid w:val="005F16FB"/>
    <w:rsid w:val="005F2B69"/>
    <w:rsid w:val="00617730"/>
    <w:rsid w:val="00632682"/>
    <w:rsid w:val="0066603B"/>
    <w:rsid w:val="00676B5E"/>
    <w:rsid w:val="006778E1"/>
    <w:rsid w:val="006941BF"/>
    <w:rsid w:val="00696EA9"/>
    <w:rsid w:val="006C70F9"/>
    <w:rsid w:val="006D3F15"/>
    <w:rsid w:val="006E4507"/>
    <w:rsid w:val="006E7BB3"/>
    <w:rsid w:val="0070049A"/>
    <w:rsid w:val="0070410F"/>
    <w:rsid w:val="00706438"/>
    <w:rsid w:val="007103C6"/>
    <w:rsid w:val="00714A02"/>
    <w:rsid w:val="00726C22"/>
    <w:rsid w:val="00730385"/>
    <w:rsid w:val="00732135"/>
    <w:rsid w:val="007357F6"/>
    <w:rsid w:val="00755041"/>
    <w:rsid w:val="00771853"/>
    <w:rsid w:val="00776783"/>
    <w:rsid w:val="00777A22"/>
    <w:rsid w:val="00795E06"/>
    <w:rsid w:val="00797B20"/>
    <w:rsid w:val="007B2920"/>
    <w:rsid w:val="007B3CC5"/>
    <w:rsid w:val="007C770B"/>
    <w:rsid w:val="007D0C28"/>
    <w:rsid w:val="007E2736"/>
    <w:rsid w:val="007F7DBF"/>
    <w:rsid w:val="0080549F"/>
    <w:rsid w:val="008201CC"/>
    <w:rsid w:val="008303C5"/>
    <w:rsid w:val="00834071"/>
    <w:rsid w:val="00862B1F"/>
    <w:rsid w:val="00863041"/>
    <w:rsid w:val="00864BE5"/>
    <w:rsid w:val="00886F09"/>
    <w:rsid w:val="008939CF"/>
    <w:rsid w:val="008A7018"/>
    <w:rsid w:val="008B347E"/>
    <w:rsid w:val="008B6E51"/>
    <w:rsid w:val="008D14AA"/>
    <w:rsid w:val="008E5E4C"/>
    <w:rsid w:val="008F589E"/>
    <w:rsid w:val="00905096"/>
    <w:rsid w:val="00914588"/>
    <w:rsid w:val="00922F04"/>
    <w:rsid w:val="00955FDF"/>
    <w:rsid w:val="0097358E"/>
    <w:rsid w:val="00973FBF"/>
    <w:rsid w:val="009811A1"/>
    <w:rsid w:val="00982839"/>
    <w:rsid w:val="009851F7"/>
    <w:rsid w:val="009A7A1A"/>
    <w:rsid w:val="009B7D7A"/>
    <w:rsid w:val="009D5513"/>
    <w:rsid w:val="009E3F5C"/>
    <w:rsid w:val="009E635B"/>
    <w:rsid w:val="009F6328"/>
    <w:rsid w:val="00A06A0C"/>
    <w:rsid w:val="00A40A56"/>
    <w:rsid w:val="00A521D6"/>
    <w:rsid w:val="00A55FA6"/>
    <w:rsid w:val="00A60C5A"/>
    <w:rsid w:val="00A772C1"/>
    <w:rsid w:val="00A95FC1"/>
    <w:rsid w:val="00AA6085"/>
    <w:rsid w:val="00AC0812"/>
    <w:rsid w:val="00AD204A"/>
    <w:rsid w:val="00AD6899"/>
    <w:rsid w:val="00B130E7"/>
    <w:rsid w:val="00B365B2"/>
    <w:rsid w:val="00B5744F"/>
    <w:rsid w:val="00B73653"/>
    <w:rsid w:val="00B80DC5"/>
    <w:rsid w:val="00B86784"/>
    <w:rsid w:val="00BC001A"/>
    <w:rsid w:val="00BC3755"/>
    <w:rsid w:val="00BD2DAF"/>
    <w:rsid w:val="00C024A2"/>
    <w:rsid w:val="00C13713"/>
    <w:rsid w:val="00C15403"/>
    <w:rsid w:val="00C45995"/>
    <w:rsid w:val="00C610A4"/>
    <w:rsid w:val="00CA4900"/>
    <w:rsid w:val="00CB6AE9"/>
    <w:rsid w:val="00CB758B"/>
    <w:rsid w:val="00CC100A"/>
    <w:rsid w:val="00CC1E11"/>
    <w:rsid w:val="00CC5E12"/>
    <w:rsid w:val="00CD456D"/>
    <w:rsid w:val="00CE2E80"/>
    <w:rsid w:val="00D007F5"/>
    <w:rsid w:val="00D11934"/>
    <w:rsid w:val="00D1410F"/>
    <w:rsid w:val="00D313B9"/>
    <w:rsid w:val="00D37F2E"/>
    <w:rsid w:val="00D42CE7"/>
    <w:rsid w:val="00D46309"/>
    <w:rsid w:val="00D468C2"/>
    <w:rsid w:val="00DD41E2"/>
    <w:rsid w:val="00E01D80"/>
    <w:rsid w:val="00E27CD8"/>
    <w:rsid w:val="00E40E24"/>
    <w:rsid w:val="00E52A57"/>
    <w:rsid w:val="00E6059C"/>
    <w:rsid w:val="00E63FCC"/>
    <w:rsid w:val="00E75C1B"/>
    <w:rsid w:val="00E9500D"/>
    <w:rsid w:val="00EA05F6"/>
    <w:rsid w:val="00EC7229"/>
    <w:rsid w:val="00ED497C"/>
    <w:rsid w:val="00F050D7"/>
    <w:rsid w:val="00F23FAE"/>
    <w:rsid w:val="00F36D45"/>
    <w:rsid w:val="00F40953"/>
    <w:rsid w:val="00F60574"/>
    <w:rsid w:val="00F664CC"/>
    <w:rsid w:val="00F702E4"/>
    <w:rsid w:val="00F73D6F"/>
    <w:rsid w:val="00F74F30"/>
    <w:rsid w:val="00F85460"/>
    <w:rsid w:val="00F94E5A"/>
    <w:rsid w:val="00FA096D"/>
    <w:rsid w:val="00FD1424"/>
    <w:rsid w:val="00FD5108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E783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8A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070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A03"/>
    <w:pPr>
      <w:spacing w:before="0" w:after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A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A"/>
    <w:pPr>
      <w:spacing w:before="120" w:after="120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A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FC"/>
    <w:pPr>
      <w:ind w:left="720"/>
      <w:contextualSpacing/>
    </w:pPr>
  </w:style>
  <w:style w:type="character" w:customStyle="1" w:styleId="italic">
    <w:name w:val="italic"/>
    <w:basedOn w:val="DefaultParagraphFont"/>
    <w:rsid w:val="006E4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8A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070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A03"/>
    <w:pPr>
      <w:spacing w:before="0" w:after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A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A"/>
    <w:pPr>
      <w:spacing w:before="120" w:after="120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A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FC"/>
    <w:pPr>
      <w:ind w:left="720"/>
      <w:contextualSpacing/>
    </w:pPr>
  </w:style>
  <w:style w:type="character" w:customStyle="1" w:styleId="italic">
    <w:name w:val="italic"/>
    <w:basedOn w:val="DefaultParagraphFont"/>
    <w:rsid w:val="006E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lists/all-provider-bulletin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F442-969F-4754-A747-3891EC22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104</TotalTime>
  <Pages>3</Pages>
  <Words>776</Words>
  <Characters>5291</Characters>
  <Application>Microsoft Office Word</Application>
  <DocSecurity>0</DocSecurity>
  <Lines>135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Administrator</cp:lastModifiedBy>
  <cp:revision>13</cp:revision>
  <cp:lastPrinted>2021-09-24T12:39:00Z</cp:lastPrinted>
  <dcterms:created xsi:type="dcterms:W3CDTF">2021-09-16T13:14:00Z</dcterms:created>
  <dcterms:modified xsi:type="dcterms:W3CDTF">2021-09-24T12:46:00Z</dcterms:modified>
</cp:coreProperties>
</file>