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E975" w14:textId="717104C8" w:rsidR="00B5744F" w:rsidRDefault="00B5744F" w:rsidP="005842F5">
      <w:pPr>
        <w:pStyle w:val="Header"/>
        <w:spacing w:before="0" w:after="0"/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</w:p>
    <w:p w14:paraId="662911F0" w14:textId="43F90C76" w:rsidR="00F664CC" w:rsidRPr="009D5513" w:rsidRDefault="00CA4900" w:rsidP="005842F5">
      <w:pPr>
        <w:pStyle w:val="Header"/>
        <w:spacing w:before="0" w:after="0"/>
        <w:ind w:left="2160"/>
        <w:rPr>
          <w:b/>
          <w:i/>
        </w:rPr>
      </w:pPr>
      <w:r w:rsidRPr="009D5513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3AE2B0FF" wp14:editId="25ACF64A">
            <wp:simplePos x="0" y="0"/>
            <wp:positionH relativeFrom="margin">
              <wp:posOffset>-224790</wp:posOffset>
            </wp:positionH>
            <wp:positionV relativeFrom="margin">
              <wp:posOffset>71120</wp:posOffset>
            </wp:positionV>
            <wp:extent cx="1468755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513">
        <w:rPr>
          <w:rFonts w:ascii="Bookman Old Style" w:hAnsi="Bookman Old Style"/>
          <w:b/>
          <w:i/>
        </w:rPr>
        <w:t>Co</w:t>
      </w:r>
      <w:r w:rsidR="00F664CC" w:rsidRPr="009D5513">
        <w:rPr>
          <w:rFonts w:ascii="Bookman Old Style" w:hAnsi="Bookman Old Style"/>
          <w:b/>
          <w:i/>
        </w:rPr>
        <w:t>mmonwealth of</w:t>
      </w:r>
      <w:r w:rsidR="00F664CC" w:rsidRPr="009D5513">
        <w:rPr>
          <w:b/>
          <w:i/>
        </w:rPr>
        <w:t xml:space="preserve"> </w:t>
      </w:r>
      <w:r w:rsidR="00F664CC" w:rsidRPr="009D5513">
        <w:rPr>
          <w:rFonts w:ascii="Bookman Old Style" w:hAnsi="Bookman Old Style"/>
          <w:b/>
          <w:i/>
        </w:rPr>
        <w:t>Massachusetts</w:t>
      </w:r>
    </w:p>
    <w:p w14:paraId="50A20119" w14:textId="77777777" w:rsidR="00F664CC" w:rsidRPr="009D5513" w:rsidRDefault="00F664CC" w:rsidP="005842F5">
      <w:pPr>
        <w:spacing w:before="0" w:after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9D5513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210FEE9" w14:textId="77777777" w:rsidR="00F664CC" w:rsidRPr="005842F5" w:rsidRDefault="00F664CC" w:rsidP="005842F5">
      <w:pPr>
        <w:spacing w:before="0" w:after="0"/>
        <w:ind w:left="2160"/>
        <w:rPr>
          <w:rFonts w:ascii="Bookman Old Style" w:hAnsi="Bookman Old Style"/>
          <w:b/>
          <w:i/>
        </w:rPr>
      </w:pPr>
      <w:r w:rsidRPr="005842F5">
        <w:rPr>
          <w:rFonts w:ascii="Bookman Old Style" w:hAnsi="Bookman Old Style"/>
          <w:b/>
          <w:i/>
        </w:rPr>
        <w:t>Office of Medicaid</w:t>
      </w:r>
    </w:p>
    <w:p w14:paraId="111020E4" w14:textId="77777777" w:rsidR="006D3F15" w:rsidRPr="005842F5" w:rsidRDefault="00A74F02" w:rsidP="00C610A4">
      <w:pPr>
        <w:spacing w:before="0" w:after="0"/>
        <w:ind w:left="2160"/>
        <w:rPr>
          <w:rFonts w:ascii="Bookman Old Style" w:hAnsi="Bookman Old Style"/>
          <w:sz w:val="20"/>
          <w:szCs w:val="20"/>
        </w:rPr>
      </w:pPr>
      <w:hyperlink r:id="rId10" w:tooltip="This link takes you to the MassHealth website homepage." w:history="1">
        <w:r w:rsidR="00B73653" w:rsidRPr="005842F5">
          <w:rPr>
            <w:rStyle w:val="Hyperlink"/>
            <w:rFonts w:ascii="Bookman Old Style" w:hAnsi="Bookman Old Style"/>
            <w:sz w:val="20"/>
            <w:szCs w:val="20"/>
          </w:rPr>
          <w:t>www.mass.gov/masshealth</w:t>
        </w:r>
      </w:hyperlink>
    </w:p>
    <w:p w14:paraId="32CA8234" w14:textId="77777777" w:rsidR="00F664CC" w:rsidRPr="00150BCC" w:rsidRDefault="00F664CC" w:rsidP="00755041">
      <w:pPr>
        <w:pStyle w:val="BullsHeading"/>
        <w:spacing w:before="360"/>
      </w:pPr>
      <w:r w:rsidRPr="00150BCC">
        <w:t>MassHealth</w:t>
      </w:r>
    </w:p>
    <w:p w14:paraId="1DF1C149" w14:textId="640E4E84" w:rsidR="00F664CC" w:rsidRPr="005B27F1" w:rsidRDefault="00337D8D" w:rsidP="005B27F1">
      <w:pPr>
        <w:pStyle w:val="Heading1"/>
      </w:pPr>
      <w:r>
        <w:t xml:space="preserve">All Provider </w:t>
      </w:r>
      <w:r w:rsidR="00F664CC" w:rsidRPr="005B27F1">
        <w:t xml:space="preserve">Bulletin </w:t>
      </w:r>
      <w:r w:rsidR="002B357D">
        <w:t>3</w:t>
      </w:r>
      <w:r w:rsidR="003E58D6">
        <w:t>30</w:t>
      </w:r>
    </w:p>
    <w:p w14:paraId="5E90D06E" w14:textId="4BA37495" w:rsidR="00F664CC" w:rsidRPr="00150BCC" w:rsidRDefault="003D3E9B" w:rsidP="00150BCC">
      <w:pPr>
        <w:pStyle w:val="BullsHeading"/>
      </w:pPr>
      <w:r>
        <w:t>November</w:t>
      </w:r>
      <w:r w:rsidR="00F36D45">
        <w:t xml:space="preserve"> </w:t>
      </w:r>
      <w:r w:rsidR="00337D8D">
        <w:t>2021</w:t>
      </w:r>
    </w:p>
    <w:p w14:paraId="747851DE" w14:textId="77777777" w:rsidR="00755041" w:rsidRDefault="00755041" w:rsidP="00755041">
      <w:pPr>
        <w:spacing w:before="0" w:after="0"/>
        <w:rPr>
          <w:b/>
        </w:rPr>
      </w:pPr>
    </w:p>
    <w:p w14:paraId="7498EDAA" w14:textId="3A9080E9" w:rsidR="00F664CC" w:rsidRPr="00F664CC" w:rsidRDefault="00706B3E" w:rsidP="000D5917">
      <w:pPr>
        <w:spacing w:before="240" w:after="100" w:afterAutospacing="1"/>
      </w:pPr>
      <w:r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D1906FE" wp14:editId="745285D9">
            <wp:simplePos x="0" y="0"/>
            <wp:positionH relativeFrom="column">
              <wp:posOffset>4716780</wp:posOffset>
            </wp:positionH>
            <wp:positionV relativeFrom="paragraph">
              <wp:posOffset>305435</wp:posOffset>
            </wp:positionV>
            <wp:extent cx="1943100" cy="548640"/>
            <wp:effectExtent l="0" t="0" r="0" b="3810"/>
            <wp:wrapNone/>
            <wp:docPr id="1" name="Picture 1" descr="C:\Users\JGambarini\Desktop\Cassel Kraft, Amanda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mbarini\Desktop\Cassel Kraft, Amanda signa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F664CC">
        <w:rPr>
          <w:b/>
        </w:rPr>
        <w:t>TO</w:t>
      </w:r>
      <w:r w:rsidR="00F664CC" w:rsidRPr="00F664CC">
        <w:t>:</w:t>
      </w:r>
      <w:r w:rsidR="00F664CC">
        <w:tab/>
      </w:r>
      <w:r w:rsidR="00070D8A" w:rsidRPr="00CA4900">
        <w:t xml:space="preserve">All </w:t>
      </w:r>
      <w:r w:rsidR="00F664CC" w:rsidRPr="00CA4900">
        <w:t>Provider</w:t>
      </w:r>
      <w:r w:rsidR="00070D8A" w:rsidRPr="00CA4900">
        <w:t>s</w:t>
      </w:r>
      <w:r w:rsidR="00F664CC" w:rsidRPr="00CA4900">
        <w:t xml:space="preserve"> Participating </w:t>
      </w:r>
      <w:r w:rsidR="00F664CC" w:rsidRPr="00F664CC">
        <w:t>in MassHealth</w:t>
      </w:r>
    </w:p>
    <w:p w14:paraId="29E28D91" w14:textId="4A83BA57" w:rsidR="00F664CC" w:rsidRPr="00F664CC" w:rsidRDefault="00F664CC" w:rsidP="00226D26">
      <w:pPr>
        <w:spacing w:after="100" w:afterAutospacing="1"/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331407">
        <w:t>Amanda Cassel Kraft</w:t>
      </w:r>
      <w:r w:rsidR="00AA6085">
        <w:t>, Assistant Secretary for MassHealth</w:t>
      </w:r>
    </w:p>
    <w:p w14:paraId="7F662FB1" w14:textId="5B214578" w:rsidR="005C3C46" w:rsidRPr="00081461" w:rsidRDefault="00F664CC" w:rsidP="005C3C46">
      <w:pPr>
        <w:spacing w:before="100" w:beforeAutospacing="1" w:after="100" w:afterAutospacing="1"/>
        <w:rPr>
          <w:b/>
        </w:rPr>
      </w:pPr>
      <w:r w:rsidRPr="00F664CC">
        <w:t>RE:</w:t>
      </w:r>
      <w:r w:rsidR="00BD2DAF">
        <w:tab/>
      </w:r>
      <w:r w:rsidR="005C3C46" w:rsidRPr="00081461">
        <w:rPr>
          <w:b/>
        </w:rPr>
        <w:t>MassHealth Coverage for Coronavirus Dis</w:t>
      </w:r>
      <w:r w:rsidR="005C3C46">
        <w:rPr>
          <w:b/>
        </w:rPr>
        <w:t xml:space="preserve">ease 2019 (COVID-19) Vaccines, </w:t>
      </w:r>
      <w:r w:rsidR="005C3C46">
        <w:rPr>
          <w:b/>
        </w:rPr>
        <w:tab/>
      </w:r>
      <w:r w:rsidR="005C3C46">
        <w:rPr>
          <w:b/>
        </w:rPr>
        <w:tab/>
      </w:r>
      <w:r w:rsidR="005C3C46">
        <w:rPr>
          <w:b/>
        </w:rPr>
        <w:tab/>
        <w:t>i</w:t>
      </w:r>
      <w:r w:rsidR="005C3C46" w:rsidRPr="00081461">
        <w:rPr>
          <w:b/>
        </w:rPr>
        <w:t>ncluding Pediatric Vaccines, and Monoclonal Antibodies</w:t>
      </w:r>
    </w:p>
    <w:p w14:paraId="28E9FBF0" w14:textId="77777777" w:rsidR="006778E1" w:rsidRDefault="006778E1" w:rsidP="006778E1">
      <w:pPr>
        <w:pStyle w:val="Heading2"/>
        <w:spacing w:before="120" w:after="0"/>
      </w:pPr>
    </w:p>
    <w:p w14:paraId="097FBC83" w14:textId="1853F81F" w:rsidR="00331407" w:rsidRPr="004D4C95" w:rsidRDefault="00A10F0C" w:rsidP="00166C54">
      <w:pPr>
        <w:pStyle w:val="BodyTextIndent"/>
        <w:spacing w:before="0" w:after="100" w:afterAutospacing="1"/>
        <w:rPr>
          <w:rStyle w:val="Heading2Char"/>
        </w:rPr>
      </w:pPr>
      <w:r>
        <w:rPr>
          <w:rStyle w:val="Heading2Char"/>
        </w:rPr>
        <w:t>Background</w:t>
      </w:r>
    </w:p>
    <w:p w14:paraId="3739F08F" w14:textId="6AB3836B" w:rsidR="004402CB" w:rsidRPr="00830569" w:rsidRDefault="004402CB" w:rsidP="00CD66C7">
      <w:pPr>
        <w:spacing w:after="0"/>
      </w:pPr>
      <w:r w:rsidRPr="00830569">
        <w:t xml:space="preserve">On </w:t>
      </w:r>
      <w:r w:rsidR="00F21893">
        <w:t xml:space="preserve">October </w:t>
      </w:r>
      <w:r w:rsidRPr="00830569">
        <w:t>29, 2021, the U.S. Food and Drug Administration (FDA) amended the emergency use authorization (EUA) for the Pfizer-</w:t>
      </w:r>
      <w:proofErr w:type="spellStart"/>
      <w:r w:rsidRPr="00830569">
        <w:t>BioNTech</w:t>
      </w:r>
      <w:proofErr w:type="spellEnd"/>
      <w:r w:rsidRPr="00830569">
        <w:t xml:space="preserve"> COVID-19 vaccine </w:t>
      </w:r>
      <w:r w:rsidRPr="00830569">
        <w:rPr>
          <w:rStyle w:val="Strong"/>
          <w:rFonts w:eastAsiaTheme="majorEastAsia" w:cs="Helvetica"/>
          <w:b w:val="0"/>
          <w:color w:val="2D2926"/>
        </w:rPr>
        <w:t>to include children 5 through 11 years of age.</w:t>
      </w:r>
      <w:r w:rsidRPr="00830569">
        <w:t xml:space="preserve"> </w:t>
      </w:r>
    </w:p>
    <w:p w14:paraId="519C997F" w14:textId="119DB34D" w:rsidR="004402CB" w:rsidRPr="00830569" w:rsidRDefault="004402CB" w:rsidP="00CD66C7">
      <w:pPr>
        <w:spacing w:after="0"/>
      </w:pPr>
      <w:r w:rsidRPr="00830569">
        <w:t>MassHealth will cover administration of the Pfizer-</w:t>
      </w:r>
      <w:proofErr w:type="spellStart"/>
      <w:r w:rsidRPr="00830569">
        <w:t>BioNTech</w:t>
      </w:r>
      <w:proofErr w:type="spellEnd"/>
      <w:r w:rsidRPr="00830569">
        <w:t xml:space="preserve"> COVID-19 vaccine to children 5 through 11 year years of age consistent with the EUA. MassHealth expects </w:t>
      </w:r>
      <w:r w:rsidR="00DE158B">
        <w:t>to</w:t>
      </w:r>
      <w:r w:rsidRPr="00830569">
        <w:t xml:space="preserve"> pay $45.87 for the administration of Pfizer-</w:t>
      </w:r>
      <w:proofErr w:type="spellStart"/>
      <w:r w:rsidRPr="00830569">
        <w:t>BioNTech</w:t>
      </w:r>
      <w:proofErr w:type="spellEnd"/>
      <w:r w:rsidRPr="00830569">
        <w:t xml:space="preserve"> COVID-19 pediatric vaccine doses, the same rate it pays for the administration of all other doses of COVID-19 vaccine.  </w:t>
      </w:r>
    </w:p>
    <w:p w14:paraId="14E47DC0" w14:textId="69F447F8" w:rsidR="00C3277C" w:rsidRPr="00830569" w:rsidRDefault="00A10F0C" w:rsidP="00CD66C7">
      <w:pPr>
        <w:spacing w:after="0"/>
      </w:pPr>
      <w:r w:rsidRPr="00830569">
        <w:t>This bulletin also provides consolidated list</w:t>
      </w:r>
      <w:r w:rsidR="00DE7FC0">
        <w:t xml:space="preserve">s </w:t>
      </w:r>
      <w:r w:rsidRPr="00830569">
        <w:t>of codes</w:t>
      </w:r>
      <w:r w:rsidR="00DE7FC0">
        <w:t xml:space="preserve">, </w:t>
      </w:r>
      <w:r w:rsidRPr="00830569">
        <w:t>rates</w:t>
      </w:r>
      <w:r w:rsidR="00DE7FC0">
        <w:t>, and effective dates</w:t>
      </w:r>
      <w:r w:rsidRPr="00830569">
        <w:t xml:space="preserve"> for COVID-19 </w:t>
      </w:r>
      <w:r w:rsidR="00DE7FC0">
        <w:t>v</w:t>
      </w:r>
      <w:r w:rsidRPr="00830569">
        <w:t xml:space="preserve">accines and </w:t>
      </w:r>
      <w:r w:rsidR="00DE7FC0">
        <w:t>m</w:t>
      </w:r>
      <w:r w:rsidRPr="00830569">
        <w:t>onoclonal</w:t>
      </w:r>
      <w:r w:rsidR="00DE7FC0">
        <w:t xml:space="preserve"> a</w:t>
      </w:r>
      <w:r w:rsidRPr="00830569">
        <w:t xml:space="preserve">ntibodies, supplementing and updating </w:t>
      </w:r>
      <w:hyperlink r:id="rId12" w:history="1">
        <w:r w:rsidRPr="00F21893">
          <w:rPr>
            <w:rStyle w:val="Hyperlink"/>
          </w:rPr>
          <w:t>All Provider Bulletins</w:t>
        </w:r>
      </w:hyperlink>
      <w:r w:rsidRPr="00830569">
        <w:t xml:space="preserve"> 304, 307, 312, 313, 317, 318, 322, 3</w:t>
      </w:r>
      <w:r w:rsidR="000A3A4A" w:rsidRPr="00830569">
        <w:t>26</w:t>
      </w:r>
      <w:r w:rsidR="004E1FA3">
        <w:t>, and 328</w:t>
      </w:r>
      <w:r w:rsidR="000A3A4A" w:rsidRPr="00830569">
        <w:t xml:space="preserve">.  </w:t>
      </w:r>
      <w:r w:rsidR="00F36D45" w:rsidRPr="00830569">
        <w:t xml:space="preserve">Rates and billing codes </w:t>
      </w:r>
      <w:r w:rsidRPr="00830569">
        <w:t xml:space="preserve">are or </w:t>
      </w:r>
      <w:r w:rsidR="00F36D45" w:rsidRPr="00830569">
        <w:t xml:space="preserve">will be established through an administrative bulletin or the promulgation of regulations by the Executive Office of Health and </w:t>
      </w:r>
      <w:proofErr w:type="gramStart"/>
      <w:r w:rsidR="00F36D45" w:rsidRPr="00830569">
        <w:t>Human Services</w:t>
      </w:r>
      <w:r w:rsidR="00BA77DF">
        <w:t>, as appropriate</w:t>
      </w:r>
      <w:r w:rsidR="00F36D45" w:rsidRPr="00830569">
        <w:t>.</w:t>
      </w:r>
      <w:proofErr w:type="gramEnd"/>
      <w:r w:rsidR="00F36D45" w:rsidRPr="00830569">
        <w:t xml:space="preserve">  </w:t>
      </w:r>
    </w:p>
    <w:p w14:paraId="0B44C0FD" w14:textId="61FEC537" w:rsidR="00070D8A" w:rsidRPr="00830569" w:rsidRDefault="00070D8A" w:rsidP="00797B20">
      <w:pPr>
        <w:spacing w:after="240"/>
      </w:pPr>
      <w:r w:rsidRPr="00830569">
        <w:t xml:space="preserve">This bulletin applies to members enrolled in MassHealth fee-for-service, the Primary Care Clinician (PCC) Plan, or a </w:t>
      </w:r>
      <w:r w:rsidR="003E30E6" w:rsidRPr="00830569">
        <w:t>p</w:t>
      </w:r>
      <w:r w:rsidRPr="00830569">
        <w:t xml:space="preserve">rimary </w:t>
      </w:r>
      <w:r w:rsidR="003E30E6" w:rsidRPr="00830569">
        <w:t>c</w:t>
      </w:r>
      <w:r w:rsidRPr="00830569">
        <w:t xml:space="preserve">are </w:t>
      </w:r>
      <w:r w:rsidR="003E30E6" w:rsidRPr="00830569">
        <w:t>a</w:t>
      </w:r>
      <w:r w:rsidRPr="00830569">
        <w:t xml:space="preserve">ccountable </w:t>
      </w:r>
      <w:r w:rsidR="003E30E6" w:rsidRPr="00830569">
        <w:t>c</w:t>
      </w:r>
      <w:r w:rsidRPr="00830569">
        <w:t xml:space="preserve">are </w:t>
      </w:r>
      <w:r w:rsidR="003E30E6" w:rsidRPr="00830569">
        <w:t>o</w:t>
      </w:r>
      <w:r w:rsidRPr="00830569">
        <w:t xml:space="preserve">rganization (ACO). Information about coverage through MassHealth </w:t>
      </w:r>
      <w:r w:rsidR="003E30E6" w:rsidRPr="00830569">
        <w:t>m</w:t>
      </w:r>
      <w:r w:rsidRPr="00830569">
        <w:t xml:space="preserve">anaged </w:t>
      </w:r>
      <w:r w:rsidR="0097358E" w:rsidRPr="00830569">
        <w:t>c</w:t>
      </w:r>
      <w:r w:rsidRPr="00830569">
        <w:t xml:space="preserve">are </w:t>
      </w:r>
      <w:r w:rsidR="0097358E" w:rsidRPr="00830569">
        <w:t>e</w:t>
      </w:r>
      <w:r w:rsidRPr="00830569">
        <w:t>ntities (MCEs) and the Program for All-inclusive Care for the Elderly (PACE) will be included in a forthcoming MCE bulletin.</w:t>
      </w:r>
    </w:p>
    <w:p w14:paraId="05E0C55F" w14:textId="611EB823" w:rsidR="00A10F0C" w:rsidRPr="00E66549" w:rsidRDefault="00E66549" w:rsidP="00E66549">
      <w:pPr>
        <w:pStyle w:val="BodyTextIndent"/>
        <w:spacing w:before="0" w:after="240"/>
        <w:rPr>
          <w:rStyle w:val="Heading2Char"/>
        </w:rPr>
      </w:pPr>
      <w:r w:rsidRPr="00E66549">
        <w:rPr>
          <w:rStyle w:val="Heading2Char"/>
        </w:rPr>
        <w:t xml:space="preserve">Rate and Coverage for COVID-19 </w:t>
      </w:r>
      <w:r w:rsidR="000A3A4A" w:rsidRPr="00E66549">
        <w:rPr>
          <w:rStyle w:val="Heading2Char"/>
        </w:rPr>
        <w:t>Vaccine</w:t>
      </w:r>
      <w:r>
        <w:rPr>
          <w:rStyle w:val="Heading2Char"/>
        </w:rPr>
        <w:t xml:space="preserve"> Administration</w:t>
      </w:r>
    </w:p>
    <w:p w14:paraId="5EBA729C" w14:textId="1E8A2678" w:rsidR="00DE158B" w:rsidRDefault="000A3A4A" w:rsidP="004402CB">
      <w:pPr>
        <w:spacing w:after="240"/>
      </w:pPr>
      <w:r>
        <w:t xml:space="preserve">Effective for dates of service as specifically listed </w:t>
      </w:r>
      <w:proofErr w:type="gramStart"/>
      <w:r>
        <w:t>below,</w:t>
      </w:r>
      <w:proofErr w:type="gramEnd"/>
      <w:r>
        <w:t xml:space="preserve"> eligible providers may bill and </w:t>
      </w:r>
      <w:r w:rsidR="004402CB">
        <w:t>receive</w:t>
      </w:r>
      <w:r>
        <w:t xml:space="preserve"> payment for vaccine administration at the rates identified below</w:t>
      </w:r>
      <w:r w:rsidR="00DF2DB7">
        <w:t>.  COVID-19 vaccines and vaccine administration services are a covered service for MassHealth Limited members effective for dates of service beginning March 11, 2021.  Providers should continue to bill</w:t>
      </w:r>
      <w:r w:rsidR="00B21300">
        <w:t>:</w:t>
      </w:r>
      <w:r w:rsidR="00DF2DB7">
        <w:t xml:space="preserve"> </w:t>
      </w:r>
    </w:p>
    <w:p w14:paraId="6DE016D6" w14:textId="77777777" w:rsidR="00DE158B" w:rsidRDefault="00DF2DB7" w:rsidP="00A766F7">
      <w:pPr>
        <w:pStyle w:val="ListParagraph"/>
        <w:numPr>
          <w:ilvl w:val="0"/>
          <w:numId w:val="12"/>
        </w:numPr>
        <w:spacing w:after="240"/>
      </w:pPr>
      <w:r>
        <w:t xml:space="preserve">the federal COVID-19 Uninsured Program portal for COVID-19 vaccine administration services rendered to MassHealth Limited members for dates of service prior to March 11, 2021, and </w:t>
      </w:r>
    </w:p>
    <w:p w14:paraId="06E02475" w14:textId="6323401B" w:rsidR="000A3A4A" w:rsidRDefault="00DF2DB7" w:rsidP="00A766F7">
      <w:pPr>
        <w:pStyle w:val="ListParagraph"/>
        <w:numPr>
          <w:ilvl w:val="0"/>
          <w:numId w:val="12"/>
        </w:numPr>
        <w:spacing w:after="240"/>
      </w:pPr>
      <w:proofErr w:type="gramStart"/>
      <w:r>
        <w:t>the</w:t>
      </w:r>
      <w:proofErr w:type="gramEnd"/>
      <w:r>
        <w:t xml:space="preserve"> federal COVID-19 Uninsured Program portal for vaccine administration services rendered to all other uninsured patients, including Health Safety Net patients without other coverage</w:t>
      </w:r>
      <w:r w:rsidR="004E1FA3">
        <w:t>.</w:t>
      </w:r>
    </w:p>
    <w:p w14:paraId="3A3DB463" w14:textId="36706085" w:rsidR="004E1FA3" w:rsidRDefault="004E1FA3" w:rsidP="004402CB">
      <w:pPr>
        <w:spacing w:after="240"/>
      </w:pPr>
      <w:r>
        <w:t xml:space="preserve">Please note, notwithstanding </w:t>
      </w:r>
      <w:hyperlink r:id="rId13" w:history="1">
        <w:r w:rsidR="0004575C">
          <w:rPr>
            <w:rStyle w:val="Hyperlink"/>
          </w:rPr>
          <w:t xml:space="preserve">All </w:t>
        </w:r>
        <w:r w:rsidRPr="00543A5F">
          <w:rPr>
            <w:rStyle w:val="Hyperlink"/>
          </w:rPr>
          <w:t>Provider Bulletin 328</w:t>
        </w:r>
      </w:hyperlink>
      <w:r>
        <w:t xml:space="preserve">, that Janssen </w:t>
      </w:r>
      <w:r w:rsidR="00FE1FCB">
        <w:t xml:space="preserve">COVID-19 </w:t>
      </w:r>
      <w:r>
        <w:t xml:space="preserve">booster </w:t>
      </w:r>
      <w:r w:rsidR="00FE1FCB">
        <w:t xml:space="preserve">doses </w:t>
      </w:r>
      <w:r>
        <w:t xml:space="preserve">should be billed using code 0034A.  </w:t>
      </w:r>
    </w:p>
    <w:tbl>
      <w:tblPr>
        <w:tblW w:w="10170" w:type="dxa"/>
        <w:tblInd w:w="240" w:type="dxa"/>
        <w:tblBorders>
          <w:top w:val="single" w:sz="6" w:space="0" w:color="5B616B"/>
          <w:left w:val="single" w:sz="6" w:space="0" w:color="5B616B"/>
          <w:bottom w:val="single" w:sz="6" w:space="0" w:color="5B616B"/>
          <w:right w:val="single" w:sz="6" w:space="0" w:color="5B616B"/>
          <w:insideH w:val="single" w:sz="6" w:space="0" w:color="5B616B"/>
          <w:insideV w:val="single" w:sz="6" w:space="0" w:color="5B616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790"/>
        <w:gridCol w:w="1800"/>
        <w:gridCol w:w="1980"/>
        <w:gridCol w:w="2250"/>
      </w:tblGrid>
      <w:tr w:rsidR="00E66549" w:rsidRPr="005F7B04" w14:paraId="058678DB" w14:textId="77777777" w:rsidTr="0041286E">
        <w:trPr>
          <w:trHeight w:val="474"/>
          <w:tblHeader/>
        </w:trPr>
        <w:tc>
          <w:tcPr>
            <w:tcW w:w="1350" w:type="dxa"/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6E1428F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Code</w:t>
            </w:r>
          </w:p>
        </w:tc>
        <w:tc>
          <w:tcPr>
            <w:tcW w:w="2790" w:type="dxa"/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C3277D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1800" w:type="dxa"/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BCEC174" w14:textId="12A61D8D" w:rsidR="00E66549" w:rsidRPr="00D55F76" w:rsidRDefault="00E66549" w:rsidP="0051283B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Rate for dates of service on or after </w:t>
            </w:r>
            <w:r w:rsidR="00DE158B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t>April 1, 2021</w:t>
            </w:r>
          </w:p>
        </w:tc>
        <w:tc>
          <w:tcPr>
            <w:tcW w:w="1980" w:type="dxa"/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5E026DB" w14:textId="77777777" w:rsidR="00E66549" w:rsidRPr="00E66549" w:rsidRDefault="00E66549" w:rsidP="0051283B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Rates for dates of service </w:t>
            </w:r>
          </w:p>
          <w:p w14:paraId="533F5D60" w14:textId="2A1750C6" w:rsidR="00E66549" w:rsidRPr="00D55F76" w:rsidRDefault="00E66549" w:rsidP="0051283B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55F76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through </w:t>
            </w:r>
            <w:r w:rsidR="00DE158B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 w:rsidRPr="00E66549">
              <w:rPr>
                <w:rFonts w:ascii="Arial" w:hAnsi="Arial" w:cs="Arial"/>
                <w:b/>
                <w:bCs/>
                <w:sz w:val="19"/>
                <w:szCs w:val="19"/>
              </w:rPr>
              <w:t>March 30, 2021</w:t>
            </w:r>
          </w:p>
        </w:tc>
        <w:tc>
          <w:tcPr>
            <w:tcW w:w="2250" w:type="dxa"/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EE0018" w14:textId="6CE1A307" w:rsidR="00E66549" w:rsidRPr="00D55F76" w:rsidRDefault="00B21300" w:rsidP="0051283B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Code e</w:t>
            </w:r>
            <w:r w:rsidR="00E66549" w:rsidRPr="00D55F76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ffective </w:t>
            </w:r>
            <w:r w:rsidR="00E66549" w:rsidRPr="00E66549">
              <w:rPr>
                <w:rFonts w:ascii="Arial" w:hAnsi="Arial" w:cs="Arial"/>
                <w:b/>
                <w:bCs/>
                <w:sz w:val="19"/>
                <w:szCs w:val="19"/>
              </w:rPr>
              <w:t>for dates of service</w:t>
            </w:r>
          </w:p>
        </w:tc>
      </w:tr>
      <w:tr w:rsidR="00E66549" w:rsidRPr="005F7B04" w14:paraId="4E22752F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2D71EC3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91300 SL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C3D0F7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Pfizer-</w:t>
            </w: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BioNTech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34816D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9560970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  <w:r w:rsidRPr="005C3C46">
              <w:rPr>
                <w:rFonts w:ascii="Arial" w:hAnsi="Arial" w:cs="Arial"/>
                <w:color w:val="000000"/>
                <w:sz w:val="19"/>
                <w:szCs w:val="19"/>
                <w:vertAlign w:val="superscript"/>
              </w:rPr>
              <w:t>[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4B4FB89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12/11/2020 – TBD</w:t>
            </w:r>
          </w:p>
        </w:tc>
      </w:tr>
      <w:tr w:rsidR="00E66549" w:rsidRPr="005F7B04" w14:paraId="38A002BB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AF671AE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0001A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73DF5F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Pfizer-</w:t>
            </w: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BioNTech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First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4D4470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473927" w14:textId="27382361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sz w:val="19"/>
                <w:szCs w:val="19"/>
              </w:rPr>
              <w:t>$33.88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9687D68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12/11/2020 – TBD</w:t>
            </w:r>
          </w:p>
        </w:tc>
      </w:tr>
      <w:tr w:rsidR="00E66549" w:rsidRPr="005F7B04" w14:paraId="4E05393A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9594D3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0002A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E7B5B24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Pfizer-</w:t>
            </w: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BioNTech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Second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642A8C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C13F17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sz w:val="19"/>
                <w:szCs w:val="19"/>
              </w:rPr>
              <w:t>$56.78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DFD2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12/11/2020 – TBD</w:t>
            </w:r>
          </w:p>
        </w:tc>
      </w:tr>
      <w:tr w:rsidR="00E66549" w:rsidRPr="005F7B04" w14:paraId="0B9341E1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971362B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0003A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737F02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Pfizer-</w:t>
            </w: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BioNTech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Third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803FA07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B9BC8CA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272DCF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08/12/2021 – TBD</w:t>
            </w:r>
          </w:p>
        </w:tc>
      </w:tr>
      <w:tr w:rsidR="00E66549" w:rsidRPr="005F7B04" w14:paraId="208EB52C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5301ED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0004A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A7D9983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Pfizer-</w:t>
            </w: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BioNTech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Booster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F76F89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22A96D4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6E8EB1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09/22/2021 – TBD</w:t>
            </w:r>
          </w:p>
        </w:tc>
      </w:tr>
      <w:tr w:rsidR="00E66549" w:rsidRPr="005F7B04" w14:paraId="63B5DFCA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DC91E72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91301 SL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7A1BD80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EFB949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A3DA9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604DD97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12/18/2020 – TBD</w:t>
            </w:r>
          </w:p>
        </w:tc>
      </w:tr>
      <w:tr w:rsidR="00E66549" w:rsidRPr="005F7B04" w14:paraId="66733E8C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5744D6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0011A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F8BAA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First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21C9A1D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E512C64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$33.88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B20DAB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12/18/2020 – TBD</w:t>
            </w:r>
          </w:p>
        </w:tc>
      </w:tr>
      <w:tr w:rsidR="00E66549" w:rsidRPr="005F7B04" w14:paraId="30905193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E33772B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0012A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76FA58E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Second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12F1905" w14:textId="1C98A57B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6DFA5E4" w14:textId="2FB20001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$56.78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EBE3D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12/18/2020 – TBD</w:t>
            </w:r>
          </w:p>
        </w:tc>
      </w:tr>
      <w:tr w:rsidR="00E66549" w:rsidRPr="005F7B04" w14:paraId="0A0855BD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963D29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0013A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DB50FAF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Administration – Third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627727B" w14:textId="3344026D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25FC49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F05512E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08/12/2021 – TBD</w:t>
            </w:r>
          </w:p>
        </w:tc>
      </w:tr>
      <w:tr w:rsidR="00E66549" w:rsidRPr="005F7B04" w14:paraId="0FBCB285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CCDE93B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91303 SL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27977C5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Janssen Covid-19 Vaccine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8F47372" w14:textId="5AB6EFF1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4FD9CB5" w14:textId="371FD8A1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719061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02/27/2021 – TBD</w:t>
            </w:r>
          </w:p>
        </w:tc>
      </w:tr>
      <w:tr w:rsidR="00E66549" w:rsidRPr="005F7B04" w14:paraId="2362FBF1" w14:textId="77777777" w:rsidTr="0041286E">
        <w:trPr>
          <w:trHeight w:val="762"/>
        </w:trPr>
        <w:tc>
          <w:tcPr>
            <w:tcW w:w="1350" w:type="dxa"/>
            <w:tcBorders>
              <w:bottom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1948E8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0031A</w:t>
            </w:r>
          </w:p>
        </w:tc>
        <w:tc>
          <w:tcPr>
            <w:tcW w:w="2790" w:type="dxa"/>
            <w:tcBorders>
              <w:bottom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60ED166" w14:textId="69F4AA00" w:rsidR="00E66549" w:rsidRPr="005C3C46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Janssen Covid-19 Vaccine Administration - First Do</w:t>
            </w:r>
            <w:r w:rsidR="00DF2DB7" w:rsidRPr="005C3C4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se</w:t>
            </w:r>
          </w:p>
        </w:tc>
        <w:tc>
          <w:tcPr>
            <w:tcW w:w="1800" w:type="dxa"/>
            <w:tcBorders>
              <w:bottom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84016F" w14:textId="531DDBA6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tcBorders>
              <w:bottom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37CED4" w14:textId="5010CEF5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$56.78</w:t>
            </w:r>
          </w:p>
        </w:tc>
        <w:tc>
          <w:tcPr>
            <w:tcW w:w="2250" w:type="dxa"/>
            <w:tcBorders>
              <w:bottom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80643C6" w14:textId="77777777" w:rsidR="00E66549" w:rsidRPr="005C3C46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</w:rPr>
              <w:t>02/27/2021 – TBD</w:t>
            </w:r>
          </w:p>
        </w:tc>
      </w:tr>
      <w:tr w:rsidR="003231B0" w:rsidRPr="005F7B04" w14:paraId="0316ADEE" w14:textId="77777777" w:rsidTr="0041286E">
        <w:trPr>
          <w:trHeight w:val="762"/>
        </w:trPr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F13F391" w14:textId="3482B4D3" w:rsidR="003231B0" w:rsidRPr="005F7B04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0034A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B73E0B0" w14:textId="344470E5" w:rsidR="003231B0" w:rsidRPr="005C3C46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C3C4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Janssen Covid-19 Vaccine Administration -  Booster</w:t>
            </w:r>
            <w:r w:rsidRPr="005C3C4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vertAlign w:val="superscript"/>
              </w:rPr>
              <w:t>[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77F7FB4" w14:textId="7D966809" w:rsidR="003231B0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152E5F9" w14:textId="18011BDB" w:rsidR="003231B0" w:rsidRPr="005F7B04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44D432B" w14:textId="12737699" w:rsidR="003231B0" w:rsidRPr="005F7B04" w:rsidRDefault="003231B0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10/20/2021 – TBD</w:t>
            </w:r>
          </w:p>
        </w:tc>
      </w:tr>
      <w:tr w:rsidR="00E66549" w:rsidRPr="005F7B04" w14:paraId="390458C2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681BE7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>91306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SL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0032E1B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(Low Dose)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50C9CB2" w14:textId="5BC6576D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FE43F2A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2581AAD" w14:textId="77777777" w:rsidR="00E66549" w:rsidRPr="005F7B04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7B04">
              <w:rPr>
                <w:rFonts w:ascii="Arial" w:hAnsi="Arial" w:cs="Arial"/>
                <w:color w:val="000000"/>
                <w:sz w:val="19"/>
                <w:szCs w:val="19"/>
              </w:rPr>
              <w:t>10/20/2021 – TBD</w:t>
            </w:r>
          </w:p>
        </w:tc>
      </w:tr>
      <w:tr w:rsidR="00E66549" w:rsidRPr="005F7B04" w14:paraId="746BB6DA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CDD254" w14:textId="77777777" w:rsidR="00E66549" w:rsidRPr="004402CB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0064A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0AE823" w14:textId="77777777" w:rsidR="00E66549" w:rsidRPr="004402CB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Moderna</w:t>
            </w:r>
            <w:proofErr w:type="spellEnd"/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 xml:space="preserve"> Covid-19 Vaccine (Low Dose) Administration - Booster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A7857DD" w14:textId="6314E09D" w:rsidR="00E66549" w:rsidRPr="004402CB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5CF8842" w14:textId="77777777" w:rsidR="00E66549" w:rsidRPr="004402CB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5AB370C" w14:textId="77777777" w:rsidR="00E66549" w:rsidRPr="004402CB" w:rsidRDefault="00E66549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10/20/2021 – TBD</w:t>
            </w:r>
          </w:p>
        </w:tc>
      </w:tr>
      <w:tr w:rsidR="004402CB" w:rsidRPr="005F7B04" w14:paraId="7D942773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085C515" w14:textId="32B7237E" w:rsidR="004402CB" w:rsidRPr="004402CB" w:rsidRDefault="004402CB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91307 SL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6E6A958" w14:textId="1BE90F9B" w:rsidR="004402CB" w:rsidRPr="004402CB" w:rsidRDefault="004402CB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Pfizer-</w:t>
            </w:r>
            <w:proofErr w:type="spellStart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BioNTech</w:t>
            </w:r>
            <w:proofErr w:type="spellEnd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Covid-19 Pediatric Vaccine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9FB7267" w14:textId="546218FD" w:rsidR="004402CB" w:rsidRPr="004402CB" w:rsidRDefault="004402CB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E60C6A9" w14:textId="54F8B577" w:rsidR="004402CB" w:rsidRPr="004402CB" w:rsidRDefault="004402CB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1B23B28" w14:textId="53B117DA" w:rsidR="004402CB" w:rsidRPr="004402CB" w:rsidRDefault="004402CB" w:rsidP="00E66549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10/29/2021 – TBD</w:t>
            </w:r>
          </w:p>
        </w:tc>
      </w:tr>
      <w:tr w:rsidR="004402CB" w:rsidRPr="005F7B04" w14:paraId="5FA77EBD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D10ADB4" w14:textId="1DEAF618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0071A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3E4A2DE" w14:textId="71304BD9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Pfizer-</w:t>
            </w:r>
            <w:proofErr w:type="spellStart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BioNTech</w:t>
            </w:r>
            <w:proofErr w:type="spellEnd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Covid-19 Pediatric Vaccine - Administration - First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548D546" w14:textId="53DCD3A1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62AA1DE" w14:textId="48721CC4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C908768" w14:textId="5CC67659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10/29/2021 – TBD</w:t>
            </w:r>
          </w:p>
        </w:tc>
      </w:tr>
      <w:tr w:rsidR="004402CB" w:rsidRPr="005F7B04" w14:paraId="59A9C7DD" w14:textId="77777777" w:rsidTr="0041286E">
        <w:tc>
          <w:tcPr>
            <w:tcW w:w="13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2DBFAAD" w14:textId="17C6AD7A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0072A</w:t>
            </w:r>
          </w:p>
        </w:tc>
        <w:tc>
          <w:tcPr>
            <w:tcW w:w="2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C2CB503" w14:textId="361889F5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Pfizer-</w:t>
            </w:r>
            <w:proofErr w:type="spellStart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BioNTech</w:t>
            </w:r>
            <w:proofErr w:type="spellEnd"/>
            <w:r w:rsidRPr="004402C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Covid-19 Pediatric Vaccine - Administration - Second dose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A28F8B9" w14:textId="743BE930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$45.87</w:t>
            </w:r>
          </w:p>
        </w:tc>
        <w:tc>
          <w:tcPr>
            <w:tcW w:w="198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0DAB9BC" w14:textId="44B72ACB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</w:t>
            </w:r>
          </w:p>
        </w:tc>
        <w:tc>
          <w:tcPr>
            <w:tcW w:w="225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21423B0" w14:textId="41F18E41" w:rsidR="004402CB" w:rsidRPr="004402CB" w:rsidRDefault="004402CB" w:rsidP="004402CB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402CB">
              <w:rPr>
                <w:rFonts w:ascii="Arial" w:hAnsi="Arial" w:cs="Arial"/>
                <w:color w:val="000000"/>
                <w:sz w:val="19"/>
                <w:szCs w:val="19"/>
              </w:rPr>
              <w:t>10/29/2021 – TBD</w:t>
            </w:r>
          </w:p>
        </w:tc>
      </w:tr>
    </w:tbl>
    <w:p w14:paraId="6352ADD2" w14:textId="77777777" w:rsidR="00E66549" w:rsidRDefault="00E66549" w:rsidP="00E66549"/>
    <w:p w14:paraId="7D55BC19" w14:textId="3C62309B" w:rsidR="00A10F0C" w:rsidRPr="00E66549" w:rsidRDefault="000A3A4A" w:rsidP="00166C54">
      <w:pPr>
        <w:pStyle w:val="BodyTextIndent"/>
        <w:spacing w:before="0" w:after="100" w:afterAutospacing="1"/>
        <w:rPr>
          <w:rStyle w:val="Heading2Char"/>
        </w:rPr>
      </w:pPr>
      <w:r w:rsidRPr="00E66549">
        <w:rPr>
          <w:rStyle w:val="Heading2Char"/>
        </w:rPr>
        <w:t>Monoclonal</w:t>
      </w:r>
      <w:r w:rsidR="00A10F0C" w:rsidRPr="00E66549">
        <w:rPr>
          <w:rStyle w:val="Heading2Char"/>
        </w:rPr>
        <w:t xml:space="preserve"> Antibodies</w:t>
      </w:r>
    </w:p>
    <w:p w14:paraId="499E5B9B" w14:textId="42F08FF5" w:rsidR="00A10F0C" w:rsidRDefault="00A10F0C" w:rsidP="00797B20">
      <w:pPr>
        <w:spacing w:after="240"/>
      </w:pPr>
      <w:r>
        <w:t>Effective for dates of service as specifically listed below, providers enrolled in the MassHealth</w:t>
      </w:r>
      <w:r w:rsidR="003E7EAC">
        <w:t xml:space="preserve"> acute outpatient hospital</w:t>
      </w:r>
      <w:r>
        <w:t>, community health center, and physician programs may bill and receive payment for the administration of monoclonal antibodies at the rates identified below</w:t>
      </w:r>
      <w:r w:rsidR="00B34456">
        <w:t>.</w:t>
      </w:r>
    </w:p>
    <w:tbl>
      <w:tblPr>
        <w:tblW w:w="10260" w:type="dxa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2757"/>
        <w:gridCol w:w="2129"/>
        <w:gridCol w:w="1741"/>
        <w:gridCol w:w="2250"/>
      </w:tblGrid>
      <w:tr w:rsidR="00E66549" w:rsidRPr="00D55F76" w14:paraId="40A38BC9" w14:textId="77777777" w:rsidTr="00E66549">
        <w:trPr>
          <w:trHeight w:val="1221"/>
          <w:tblHeader/>
        </w:trPr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6F83172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Code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A8D9BBD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Description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59C536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Rate for dates of service on or after </w:t>
            </w:r>
            <w:r w:rsidRPr="00D55F7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05/6/2021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938D45D" w14:textId="77777777" w:rsidR="00A10F0C" w:rsidRPr="000A3A4A" w:rsidRDefault="00A10F0C" w:rsidP="00A10F0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Rates for dates of servi</w:t>
            </w:r>
            <w:r w:rsidRPr="000A3A4A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ce </w:t>
            </w:r>
          </w:p>
          <w:p w14:paraId="3437B8DF" w14:textId="77777777" w:rsidR="00A10F0C" w:rsidRPr="00D55F76" w:rsidRDefault="00A10F0C" w:rsidP="00A10F0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 xml:space="preserve"> through 05/5/2021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8BC089E" w14:textId="32F9D614" w:rsidR="00A10F0C" w:rsidRPr="00D55F76" w:rsidRDefault="00B21300" w:rsidP="00A10F0C">
            <w:pPr>
              <w:spacing w:before="0" w:after="0"/>
              <w:ind w:left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Code e</w:t>
            </w:r>
            <w:r w:rsidR="00A10F0C" w:rsidRPr="00D55F7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ffective </w:t>
            </w:r>
            <w:r w:rsidR="00A10F0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for dates of service</w:t>
            </w:r>
          </w:p>
        </w:tc>
      </w:tr>
      <w:tr w:rsidR="00A10F0C" w:rsidRPr="00D55F76" w14:paraId="5ABD700D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D36778F" w14:textId="39E29E04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Q0239</w:t>
            </w:r>
            <w:r w:rsidR="0020666A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SL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95851D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bamlanivimab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700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206D0C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Code not active during this time </w:t>
            </w: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period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3043216" w14:textId="35969E73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3024FD6" w14:textId="6754C116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11/10/2020 – 04/16/2021</w:t>
            </w:r>
          </w:p>
        </w:tc>
      </w:tr>
      <w:tr w:rsidR="00A10F0C" w:rsidRPr="00D55F76" w14:paraId="3E7490AA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C2632C3" w14:textId="1920E0FE" w:rsidR="00A10F0C" w:rsidRPr="00D55F76" w:rsidRDefault="00A10F0C" w:rsidP="0020666A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M0239 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0762E97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bamlanivimab-xxxx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includes infusion and post administration monitoring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E64933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D92E433" w14:textId="6E496BCE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$309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.60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49349F" w14:textId="2811AFBA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11/10/2020 – 04/16/2021</w:t>
            </w:r>
          </w:p>
        </w:tc>
      </w:tr>
      <w:tr w:rsidR="00E66549" w:rsidRPr="00D55F76" w14:paraId="52B65269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8DEA43D" w14:textId="3811B599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Q0240</w:t>
            </w:r>
            <w:r w:rsidR="002B0466">
              <w:rPr>
                <w:rFonts w:ascii="Arial" w:hAnsi="Arial" w:cs="Arial"/>
                <w:color w:val="000000"/>
                <w:sz w:val="19"/>
                <w:szCs w:val="19"/>
              </w:rPr>
              <w:t xml:space="preserve"> SL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4F651E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600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0E70923" w14:textId="43938204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A566A5D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3B6C4C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07/30/2021 – TBD</w:t>
            </w:r>
          </w:p>
        </w:tc>
      </w:tr>
      <w:tr w:rsidR="00E66549" w:rsidRPr="00D55F76" w14:paraId="301CADE5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78465D4" w14:textId="4D39B50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M0240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434E21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 or subcutaneous 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includes infusion or injection, and post administration monitoring, subsequent repeat doses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193934" w14:textId="21655A38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B46B6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898E15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07/30/2021 – TBD</w:t>
            </w:r>
          </w:p>
        </w:tc>
      </w:tr>
      <w:tr w:rsidR="00E66549" w:rsidRPr="00D55F76" w14:paraId="1D8D0F78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748041B" w14:textId="603BC800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M0241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D25874" w14:textId="11B9A95C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 or subcutaneous 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includes infusion or injection, and post administration monitoring in the home or residence, this includes a beneficiary's home that has been made provider-based to the hospital during the covid-19 public health</w:t>
            </w:r>
            <w:r w:rsidR="006077F7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emergency, subsequent repeat doses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098090C" w14:textId="5FDE9C4C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$750.00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39FDFF7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5FB41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07/30/2021 – TBD</w:t>
            </w:r>
          </w:p>
        </w:tc>
      </w:tr>
      <w:tr w:rsidR="00E66549" w:rsidRPr="00D55F76" w14:paraId="52E9699F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7972B66" w14:textId="7A1EFA2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Q0243</w:t>
            </w:r>
            <w:r w:rsidR="002B046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0A3A4A">
              <w:rPr>
                <w:rFonts w:ascii="Arial" w:hAnsi="Arial" w:cs="Arial"/>
                <w:color w:val="000000"/>
                <w:sz w:val="19"/>
                <w:szCs w:val="19"/>
              </w:rPr>
              <w:t>SL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68BE1D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2400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52166F" w14:textId="7E365850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6336722" w14:textId="1AA2FB13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D084FC7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11/21/2020 – TBD</w:t>
            </w:r>
          </w:p>
        </w:tc>
      </w:tr>
      <w:tr w:rsidR="00E66549" w:rsidRPr="00D55F76" w14:paraId="35EC0857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F85DAEB" w14:textId="6D7F713F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Q0244</w:t>
            </w:r>
            <w:r w:rsidR="002B046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SL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D2C4143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1200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D083A8" w14:textId="07E628D5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$0.00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576F1D" w14:textId="7986DAC5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44E9662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06/03/2021 – TBD</w:t>
            </w:r>
          </w:p>
        </w:tc>
      </w:tr>
      <w:tr w:rsidR="00E66549" w:rsidRPr="00D55F76" w14:paraId="64999422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08CA2C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M0243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B40C848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 or subcutaneous 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includes infusion or injection, and post administration monitoring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F506B3D" w14:textId="3F8DEB2B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2EF162" w14:textId="0E4DB5AE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$309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.60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2EEF77F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11/21/2020 – TBD</w:t>
            </w:r>
          </w:p>
        </w:tc>
      </w:tr>
      <w:tr w:rsidR="00E66549" w:rsidRPr="00D55F76" w14:paraId="5BFC3AA3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2D4C3C0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M0244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7669010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 or subcutaneous 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casirivimab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imdevimab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includes infusion or injection, and post administration monitoring in the home or residence; this includes a beneficiary’s home that has been made provider-based to the hospital during the covid-19 public health emergency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4B1A4A1" w14:textId="776A6220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$750.00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05A722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E97362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05/06/2021 – TBD</w:t>
            </w:r>
          </w:p>
        </w:tc>
      </w:tr>
      <w:tr w:rsidR="00E66549" w:rsidRPr="00D55F76" w14:paraId="1D89E6BE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62565A" w14:textId="1A708AD2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Q0245</w:t>
            </w:r>
            <w:r w:rsidR="002B046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SL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97C46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bamlanivimab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etesevimab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2100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A56EAF4" w14:textId="6DCCED5C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3806152" w14:textId="5EFA5476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$0.00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F222FA0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02/09/2021 – TBD</w:t>
            </w:r>
          </w:p>
        </w:tc>
      </w:tr>
      <w:tr w:rsidR="00E66549" w:rsidRPr="00D55F76" w14:paraId="7B0805E6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E65C3C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M0245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1150223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bamlanivimab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etesevimab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includes infusion and post administration monitoring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FFC5D2" w14:textId="082742C8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54B93F" w14:textId="41882760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$309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.60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5362F4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02/09/2021 – TBD</w:t>
            </w:r>
          </w:p>
        </w:tc>
      </w:tr>
      <w:tr w:rsidR="00E66549" w:rsidRPr="00D55F76" w14:paraId="379DD2C4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D751E5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M0246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86DBC72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bamlanivimab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 and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etesevimab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includes infusion and post administration monitoring in the home or residence; this includes a beneficiary’s home that has been made provider-</w:t>
            </w: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based to the hospital during the covid-19 public health emergency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E33DCD" w14:textId="35D1CE93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$750.00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CC6B9E4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D62031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05/06/2021 – TBD</w:t>
            </w:r>
          </w:p>
        </w:tc>
      </w:tr>
      <w:tr w:rsidR="00E66549" w:rsidRPr="00D55F76" w14:paraId="24FD0394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AB7050" w14:textId="1C6DA6A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Q0247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8006F01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Injection,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sotrovimab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500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3AF26D8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$2394.00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72101F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FE1656F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05/26/2021 – TBD</w:t>
            </w:r>
          </w:p>
        </w:tc>
      </w:tr>
      <w:tr w:rsidR="00E66549" w:rsidRPr="00D55F76" w14:paraId="1613FBB4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97F1DB5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M0247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A37388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sotrovimab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includes infusion and post administration monitoring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5940CE2" w14:textId="13D4D7E3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BF2A31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FC28FCF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05/26/2021 – TBD</w:t>
            </w:r>
          </w:p>
        </w:tc>
      </w:tr>
      <w:tr w:rsidR="00E66549" w:rsidRPr="00D55F76" w14:paraId="1F144402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ABD37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M0248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DCB3CE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</w:t>
            </w:r>
            <w:proofErr w:type="spellStart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sotrovimab</w:t>
            </w:r>
            <w:proofErr w:type="spellEnd"/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, includes infusion and post administration monitoring in the home or residence; this includes a beneficiary’s home that has been made provider-based to the hospital during the covid-19 public health emergency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EEAC06C" w14:textId="3658C0A9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$750.00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E4E03A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D7AE79C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05/26/2021 – TBD</w:t>
            </w:r>
          </w:p>
        </w:tc>
      </w:tr>
      <w:tr w:rsidR="00E66549" w:rsidRPr="00D55F76" w14:paraId="2164909C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781CFC6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Q0249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A0CD0F8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Injection, tocilizumab, for hospitalized adults and pediatric patients (2 years of age and older) with covid-19 who are receiving systemic corticosteroids and require supplemental oxygen, non-invasive or invasive mechanical ventilation, or extracorporeal membrane oxygenation (ECMO) only, 1 mg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B9A577" w14:textId="43B184A8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$6.57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50DAB4F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71D0D0" w14:textId="128CD9EE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06/24/2021 - TB</w:t>
            </w:r>
            <w:r w:rsidR="004402CB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</w:p>
        </w:tc>
      </w:tr>
      <w:tr w:rsidR="00E66549" w:rsidRPr="00D55F76" w14:paraId="155C456C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A0C6A5E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M0249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9596CBE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Intravenous infusion, tocilizumab, for </w:t>
            </w: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hospitalized adults and pediatric patients (2 years of age and older) with covid-19 who are receiving systemic corticosteroids and require supplemental oxygen, non-invasive or invasive mechanical ventilation, or extracorporeal membrane oxygenation (ECMO) only, includes infusion and post administration monitoring, first dose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6AD91A3" w14:textId="6B331171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B8E12C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 xml:space="preserve">Code not active during </w:t>
            </w: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A32F59" w14:textId="202D726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06/24/2021 - TB</w:t>
            </w:r>
            <w:r w:rsidR="004402CB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</w:p>
        </w:tc>
      </w:tr>
      <w:tr w:rsidR="00E66549" w:rsidRPr="00D55F76" w14:paraId="1AB3DC2E" w14:textId="77777777" w:rsidTr="00E66549">
        <w:tc>
          <w:tcPr>
            <w:tcW w:w="1383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FDFFCC8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M0250</w:t>
            </w:r>
          </w:p>
        </w:tc>
        <w:tc>
          <w:tcPr>
            <w:tcW w:w="2757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EF12F25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Intravenous infusion, tocilizumab, for hospitalized adults and pediatric patients (2 years of age and older) with covid-19 who are receiving systemic corticosteroids and require supplemental oxygen, non-invasive or invasive mechanical ventilation, or extracorporeal membrane oxygenation (ECMO) only, includes infusion and post administration monitoring, second dose</w:t>
            </w:r>
          </w:p>
        </w:tc>
        <w:tc>
          <w:tcPr>
            <w:tcW w:w="212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5AA518B" w14:textId="576C73F4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$450.00</w:t>
            </w:r>
          </w:p>
        </w:tc>
        <w:tc>
          <w:tcPr>
            <w:tcW w:w="1741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20716B1" w14:textId="77777777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Code not active during this time period</w:t>
            </w:r>
          </w:p>
        </w:tc>
        <w:tc>
          <w:tcPr>
            <w:tcW w:w="225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FE4BEF" w14:textId="00715D30" w:rsidR="00A10F0C" w:rsidRPr="00D55F76" w:rsidRDefault="00A10F0C" w:rsidP="00A10F0C">
            <w:pPr>
              <w:spacing w:before="0" w:after="0"/>
              <w:ind w:left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5F76">
              <w:rPr>
                <w:rFonts w:ascii="Arial" w:hAnsi="Arial" w:cs="Arial"/>
                <w:color w:val="000000"/>
                <w:sz w:val="19"/>
                <w:szCs w:val="19"/>
              </w:rPr>
              <w:t>06/24/2021 - TB</w:t>
            </w:r>
            <w:r w:rsidR="004402CB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</w:p>
        </w:tc>
      </w:tr>
    </w:tbl>
    <w:p w14:paraId="614B27CE" w14:textId="77777777" w:rsidR="00A10F0C" w:rsidRDefault="00A10F0C" w:rsidP="00A10F0C">
      <w:pPr>
        <w:spacing w:before="0" w:after="0"/>
        <w:ind w:left="0"/>
      </w:pPr>
    </w:p>
    <w:p w14:paraId="08DC90DC" w14:textId="77777777" w:rsidR="003E6B86" w:rsidRDefault="003E6B86" w:rsidP="00A10F0C">
      <w:pPr>
        <w:pStyle w:val="BodyTextIndent"/>
        <w:spacing w:before="0" w:after="0"/>
        <w:ind w:left="0"/>
        <w:rPr>
          <w:rStyle w:val="Heading2Char"/>
        </w:rPr>
        <w:sectPr w:rsidR="003E6B86" w:rsidSect="003E6B86">
          <w:headerReference w:type="default" r:id="rId14"/>
          <w:type w:val="continuous"/>
          <w:pgSz w:w="12240" w:h="15840" w:code="1"/>
          <w:pgMar w:top="576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B82794B" w14:textId="45CDF27D" w:rsidR="0051283B" w:rsidRDefault="0051283B" w:rsidP="00A10F0C">
      <w:pPr>
        <w:pStyle w:val="BodyTextIndent"/>
        <w:spacing w:before="0" w:after="0"/>
        <w:ind w:left="0"/>
        <w:rPr>
          <w:rStyle w:val="Heading2Char"/>
        </w:rPr>
      </w:pPr>
    </w:p>
    <w:p w14:paraId="4DD10830" w14:textId="3D3C7FBD" w:rsidR="00797B20" w:rsidRPr="00797B20" w:rsidRDefault="00797B20" w:rsidP="00ED4EE5">
      <w:pPr>
        <w:pStyle w:val="BodyTextIndent"/>
        <w:spacing w:before="0" w:after="100" w:afterAutospacing="1"/>
        <w:rPr>
          <w:rStyle w:val="Heading2Char"/>
        </w:rPr>
      </w:pPr>
      <w:r w:rsidRPr="00797B20">
        <w:rPr>
          <w:rStyle w:val="Heading2Char"/>
        </w:rPr>
        <w:t>MassHealth Website</w:t>
      </w:r>
    </w:p>
    <w:p w14:paraId="599CD62B" w14:textId="07D91AD7" w:rsidR="00755041" w:rsidRPr="009901A7" w:rsidRDefault="00331407" w:rsidP="00755041">
      <w:r>
        <w:t>T</w:t>
      </w:r>
      <w:r w:rsidR="00755041" w:rsidRPr="009901A7">
        <w:t>his bulletin is available</w:t>
      </w:r>
      <w:r w:rsidR="00755041">
        <w:t xml:space="preserve"> o</w:t>
      </w:r>
      <w:r w:rsidR="00755041" w:rsidRPr="009901A7">
        <w:t xml:space="preserve">n the </w:t>
      </w:r>
      <w:hyperlink r:id="rId15" w:history="1">
        <w:r w:rsidR="00755041" w:rsidRPr="008B6E51">
          <w:rPr>
            <w:rStyle w:val="Hyperlink"/>
          </w:rPr>
          <w:t>MassHealth Provider Bulletins</w:t>
        </w:r>
      </w:hyperlink>
      <w:r w:rsidR="00755041">
        <w:t xml:space="preserve"> </w:t>
      </w:r>
      <w:r w:rsidR="00755041" w:rsidRPr="009901A7">
        <w:t>web</w:t>
      </w:r>
      <w:r w:rsidR="00755041">
        <w:t xml:space="preserve"> page.</w:t>
      </w:r>
    </w:p>
    <w:p w14:paraId="7B52F67D" w14:textId="77777777" w:rsidR="00226D26" w:rsidRPr="009901A7" w:rsidRDefault="00A74F02" w:rsidP="00226D26">
      <w:hyperlink r:id="rId16" w:history="1">
        <w:r w:rsidR="00226D26" w:rsidRPr="006E336C">
          <w:rPr>
            <w:rStyle w:val="Hyperlink"/>
          </w:rPr>
          <w:t>Sign up</w:t>
        </w:r>
      </w:hyperlink>
      <w:r w:rsidR="00226D26" w:rsidRPr="009901A7">
        <w:t xml:space="preserve"> to receive email alerts when MassHealth issues new bulletins and transmittal letters.</w:t>
      </w:r>
    </w:p>
    <w:p w14:paraId="30A00B8A" w14:textId="77777777" w:rsidR="003E6B86" w:rsidRDefault="003E6B86">
      <w:pPr>
        <w:spacing w:before="0" w:after="20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2BC13D23" w14:textId="21CF814C" w:rsidR="00E97129" w:rsidRDefault="00E97129" w:rsidP="00ED4EE5">
      <w:pPr>
        <w:pStyle w:val="Heading2"/>
        <w:spacing w:after="100" w:afterAutospacing="1"/>
      </w:pPr>
      <w:r>
        <w:lastRenderedPageBreak/>
        <w:t xml:space="preserve">Questions </w:t>
      </w:r>
    </w:p>
    <w:p w14:paraId="2F532C0D" w14:textId="77777777" w:rsidR="00E97129" w:rsidRDefault="00E97129" w:rsidP="00E97129">
      <w:pPr>
        <w:pStyle w:val="Heading3"/>
      </w:pPr>
      <w:r>
        <w:t>Dental Services</w:t>
      </w:r>
    </w:p>
    <w:p w14:paraId="24CDBB60" w14:textId="77777777" w:rsidR="00E97129" w:rsidRDefault="00E97129" w:rsidP="00E97129">
      <w:pPr>
        <w:pStyle w:val="BodyTextIndent"/>
        <w:spacing w:before="0" w:after="0"/>
        <w:ind w:left="720"/>
      </w:pPr>
      <w:r>
        <w:t>Phone: (800) 207-5019; TTY: (800) 466-7566</w:t>
      </w:r>
    </w:p>
    <w:p w14:paraId="039A24C0" w14:textId="77777777" w:rsidR="00E97129" w:rsidRDefault="00E97129" w:rsidP="00E97129">
      <w:pPr>
        <w:pStyle w:val="Heading3"/>
      </w:pPr>
      <w:r>
        <w:t>Long-Term Services and Supports</w:t>
      </w:r>
    </w:p>
    <w:p w14:paraId="4B80892E" w14:textId="77777777" w:rsidR="00E97129" w:rsidRDefault="00E97129" w:rsidP="00E97129">
      <w:pPr>
        <w:pStyle w:val="BodyTextIndent"/>
        <w:spacing w:before="0" w:after="0"/>
        <w:ind w:left="720"/>
      </w:pPr>
      <w:r>
        <w:t>Phone: (844) 368-5184 (toll free)</w:t>
      </w:r>
    </w:p>
    <w:p w14:paraId="1D1B82BA" w14:textId="77777777" w:rsidR="00E97129" w:rsidRDefault="00E97129" w:rsidP="00E97129">
      <w:pPr>
        <w:pStyle w:val="BodyTextIndent"/>
        <w:spacing w:before="0" w:after="0"/>
        <w:ind w:left="720"/>
      </w:pPr>
      <w:r>
        <w:t>Email: support@masshealthltss.com</w:t>
      </w:r>
    </w:p>
    <w:p w14:paraId="4372EB51" w14:textId="77777777" w:rsidR="00E97129" w:rsidRDefault="00E97129" w:rsidP="00E97129">
      <w:pPr>
        <w:pStyle w:val="BodyTextIndent"/>
        <w:spacing w:before="0" w:after="0"/>
        <w:ind w:left="720"/>
      </w:pPr>
      <w:r>
        <w:t>Portal: MassHealthLTSS.com</w:t>
      </w:r>
    </w:p>
    <w:p w14:paraId="2ABA62C9" w14:textId="77777777" w:rsidR="00E97129" w:rsidRDefault="00E97129" w:rsidP="00E97129">
      <w:pPr>
        <w:pStyle w:val="BodyTextIndent"/>
        <w:spacing w:before="0" w:after="0"/>
        <w:ind w:left="720"/>
      </w:pPr>
      <w:r>
        <w:t>Mail: MassHealth LTSS, PO Box 159108, Boston, MA 02215</w:t>
      </w:r>
    </w:p>
    <w:p w14:paraId="4B6C8320" w14:textId="77777777" w:rsidR="00E97129" w:rsidRDefault="00E97129" w:rsidP="00E97129">
      <w:pPr>
        <w:pStyle w:val="BodyTextIndent"/>
        <w:spacing w:before="0" w:after="0"/>
        <w:ind w:left="720"/>
      </w:pPr>
      <w:r>
        <w:t>Fax: (888) 832-3006</w:t>
      </w:r>
    </w:p>
    <w:p w14:paraId="1CEF2EC1" w14:textId="77777777" w:rsidR="00E97129" w:rsidRDefault="00E97129" w:rsidP="00E97129">
      <w:pPr>
        <w:pStyle w:val="Heading3"/>
      </w:pPr>
      <w:r>
        <w:t>All Other Provider Types</w:t>
      </w:r>
    </w:p>
    <w:p w14:paraId="5955A5FE" w14:textId="77777777" w:rsidR="003E6B86" w:rsidRDefault="00E97129" w:rsidP="00E97129">
      <w:pPr>
        <w:pStyle w:val="BodyTextIndent"/>
        <w:spacing w:before="0" w:after="0"/>
        <w:ind w:left="720"/>
      </w:pPr>
      <w:r>
        <w:t>Phone: (800) 841-2900; TTY: (800) 497-4648</w:t>
      </w:r>
    </w:p>
    <w:p w14:paraId="48C22F51" w14:textId="5B294555" w:rsidR="00E97129" w:rsidRDefault="00E97129" w:rsidP="00E97129">
      <w:pPr>
        <w:pStyle w:val="BodyTextIndent"/>
        <w:spacing w:before="0" w:after="0"/>
        <w:ind w:left="720"/>
      </w:pPr>
      <w:r>
        <w:t xml:space="preserve">Email: </w:t>
      </w:r>
      <w:hyperlink r:id="rId17" w:history="1">
        <w:r>
          <w:rPr>
            <w:rStyle w:val="Hyperlink"/>
          </w:rPr>
          <w:t>providersupport@mahealth.net</w:t>
        </w:r>
      </w:hyperlink>
    </w:p>
    <w:p w14:paraId="5C9E0CD1" w14:textId="77777777" w:rsidR="00E97129" w:rsidRDefault="00E97129" w:rsidP="00E97129">
      <w:pPr>
        <w:pStyle w:val="BodyTextIndent"/>
        <w:spacing w:before="0" w:after="0"/>
        <w:ind w:left="720"/>
      </w:pPr>
      <w:r>
        <w:t>Fax: (617) 988-8974</w:t>
      </w:r>
    </w:p>
    <w:p w14:paraId="365E9853" w14:textId="77777777" w:rsidR="00E97129" w:rsidRDefault="00E97129" w:rsidP="00E97129"/>
    <w:sectPr w:rsidR="00E97129" w:rsidSect="003E6B86">
      <w:footerReference w:type="default" r:id="rId18"/>
      <w:type w:val="continuous"/>
      <w:pgSz w:w="12240" w:h="15840" w:code="1"/>
      <w:pgMar w:top="576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25FD4" w14:textId="77777777" w:rsidR="002525D6" w:rsidRDefault="002525D6" w:rsidP="00070D8A">
      <w:r>
        <w:separator/>
      </w:r>
    </w:p>
  </w:endnote>
  <w:endnote w:type="continuationSeparator" w:id="0">
    <w:p w14:paraId="2578D837" w14:textId="77777777" w:rsidR="002525D6" w:rsidRDefault="002525D6" w:rsidP="0007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DA14" w14:textId="0F44ADD0" w:rsidR="003E6B86" w:rsidRDefault="003E6B86" w:rsidP="003E6B86"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CD1FC" w14:textId="77777777" w:rsidR="002525D6" w:rsidRDefault="002525D6" w:rsidP="00070D8A">
      <w:r>
        <w:separator/>
      </w:r>
    </w:p>
  </w:footnote>
  <w:footnote w:type="continuationSeparator" w:id="0">
    <w:p w14:paraId="483C8E8D" w14:textId="77777777" w:rsidR="002525D6" w:rsidRDefault="002525D6" w:rsidP="0007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2E8C" w14:textId="77777777" w:rsidR="003E6B86" w:rsidRPr="00F664CC" w:rsidRDefault="003E6B86" w:rsidP="003E6B86">
    <w:pPr>
      <w:pStyle w:val="BullsHeading"/>
      <w:spacing w:before="720"/>
    </w:pPr>
    <w:r w:rsidRPr="00F664CC">
      <w:t>MassHealth</w:t>
    </w:r>
  </w:p>
  <w:p w14:paraId="0FBDAE5E" w14:textId="70B8CF68" w:rsidR="003E6B86" w:rsidRPr="00F664CC" w:rsidRDefault="003E6B86" w:rsidP="003E6B86">
    <w:pPr>
      <w:pStyle w:val="BullsHeading"/>
    </w:pPr>
    <w:r>
      <w:t xml:space="preserve">All Provider Bulletin </w:t>
    </w:r>
    <w:r w:rsidR="003E58D6">
      <w:t>330</w:t>
    </w:r>
  </w:p>
  <w:p w14:paraId="7AD70936" w14:textId="3B06D027" w:rsidR="003E6B86" w:rsidRDefault="003E6B86" w:rsidP="003E6B86">
    <w:pPr>
      <w:pStyle w:val="BullsHeading"/>
    </w:pPr>
    <w:r>
      <w:t>November 2021</w:t>
    </w:r>
  </w:p>
  <w:p w14:paraId="26895E3F" w14:textId="77777777" w:rsidR="003E6B86" w:rsidRDefault="003E6B86" w:rsidP="003E6B86">
    <w:pPr>
      <w:pStyle w:val="BullsHeading"/>
      <w:spacing w:after="12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74F02">
      <w:rPr>
        <w:noProof/>
      </w:rPr>
      <w:t>8</w:t>
    </w:r>
    <w:r>
      <w:fldChar w:fldCharType="end"/>
    </w:r>
    <w:r>
      <w:t xml:space="preserve"> of </w:t>
    </w:r>
    <w:r w:rsidR="00A74F02">
      <w:fldChar w:fldCharType="begin"/>
    </w:r>
    <w:r w:rsidR="00A74F02">
      <w:instrText xml:space="preserve"> NUMPAGES  \* Arabic  \* MERGEFORMAT </w:instrText>
    </w:r>
    <w:r w:rsidR="00A74F02">
      <w:fldChar w:fldCharType="separate"/>
    </w:r>
    <w:r w:rsidR="00A74F02">
      <w:rPr>
        <w:noProof/>
      </w:rPr>
      <w:t>8</w:t>
    </w:r>
    <w:r w:rsidR="00A74F02">
      <w:rPr>
        <w:noProof/>
      </w:rPr>
      <w:fldChar w:fldCharType="end"/>
    </w:r>
  </w:p>
  <w:p w14:paraId="7E05D76F" w14:textId="77777777" w:rsidR="003E6B86" w:rsidRDefault="003E6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821A70"/>
    <w:multiLevelType w:val="hybridMultilevel"/>
    <w:tmpl w:val="04F0D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76A"/>
    <w:rsid w:val="00002A9C"/>
    <w:rsid w:val="000049D1"/>
    <w:rsid w:val="00015BA8"/>
    <w:rsid w:val="00026B97"/>
    <w:rsid w:val="0004575C"/>
    <w:rsid w:val="00054745"/>
    <w:rsid w:val="00057DD2"/>
    <w:rsid w:val="000619DE"/>
    <w:rsid w:val="000678E9"/>
    <w:rsid w:val="00067D84"/>
    <w:rsid w:val="00070D8A"/>
    <w:rsid w:val="000A3A4A"/>
    <w:rsid w:val="000A3CDE"/>
    <w:rsid w:val="000A5467"/>
    <w:rsid w:val="000C0997"/>
    <w:rsid w:val="000C2504"/>
    <w:rsid w:val="000D3DB5"/>
    <w:rsid w:val="000D5917"/>
    <w:rsid w:val="000E1E7D"/>
    <w:rsid w:val="0011012E"/>
    <w:rsid w:val="0012187B"/>
    <w:rsid w:val="00150BCC"/>
    <w:rsid w:val="00153824"/>
    <w:rsid w:val="001554E7"/>
    <w:rsid w:val="001634DD"/>
    <w:rsid w:val="00166C54"/>
    <w:rsid w:val="001A0D22"/>
    <w:rsid w:val="001A233E"/>
    <w:rsid w:val="001E5380"/>
    <w:rsid w:val="001E6D3A"/>
    <w:rsid w:val="002021F6"/>
    <w:rsid w:val="002048E5"/>
    <w:rsid w:val="0020666A"/>
    <w:rsid w:val="002147A7"/>
    <w:rsid w:val="00221556"/>
    <w:rsid w:val="00226D26"/>
    <w:rsid w:val="00230BA0"/>
    <w:rsid w:val="002344BD"/>
    <w:rsid w:val="00237E25"/>
    <w:rsid w:val="002525D6"/>
    <w:rsid w:val="00265CF7"/>
    <w:rsid w:val="00277054"/>
    <w:rsid w:val="0028720F"/>
    <w:rsid w:val="00296391"/>
    <w:rsid w:val="002B0466"/>
    <w:rsid w:val="002B357D"/>
    <w:rsid w:val="002D39D9"/>
    <w:rsid w:val="002E27BC"/>
    <w:rsid w:val="002E50B5"/>
    <w:rsid w:val="002F2993"/>
    <w:rsid w:val="002F4031"/>
    <w:rsid w:val="0031642C"/>
    <w:rsid w:val="003231B0"/>
    <w:rsid w:val="00331407"/>
    <w:rsid w:val="00337D8D"/>
    <w:rsid w:val="00384297"/>
    <w:rsid w:val="003A1E14"/>
    <w:rsid w:val="003A7588"/>
    <w:rsid w:val="003B01E0"/>
    <w:rsid w:val="003B0260"/>
    <w:rsid w:val="003D3E9B"/>
    <w:rsid w:val="003E200A"/>
    <w:rsid w:val="003E2878"/>
    <w:rsid w:val="003E28A2"/>
    <w:rsid w:val="003E30E6"/>
    <w:rsid w:val="003E58D6"/>
    <w:rsid w:val="003E6B86"/>
    <w:rsid w:val="003E7EAC"/>
    <w:rsid w:val="00412113"/>
    <w:rsid w:val="0041286E"/>
    <w:rsid w:val="00424033"/>
    <w:rsid w:val="00433A03"/>
    <w:rsid w:val="004402CB"/>
    <w:rsid w:val="00444984"/>
    <w:rsid w:val="0048661A"/>
    <w:rsid w:val="00492F2E"/>
    <w:rsid w:val="004A1A49"/>
    <w:rsid w:val="004A7718"/>
    <w:rsid w:val="004D4C95"/>
    <w:rsid w:val="004E0359"/>
    <w:rsid w:val="004E1FA3"/>
    <w:rsid w:val="004F4B9A"/>
    <w:rsid w:val="005068BD"/>
    <w:rsid w:val="00507CFF"/>
    <w:rsid w:val="0051283B"/>
    <w:rsid w:val="005147E4"/>
    <w:rsid w:val="00514D9E"/>
    <w:rsid w:val="00524521"/>
    <w:rsid w:val="00526FA1"/>
    <w:rsid w:val="00530C62"/>
    <w:rsid w:val="005341E0"/>
    <w:rsid w:val="00541F8F"/>
    <w:rsid w:val="00543A5F"/>
    <w:rsid w:val="005749C6"/>
    <w:rsid w:val="00582B77"/>
    <w:rsid w:val="005842F5"/>
    <w:rsid w:val="0058634E"/>
    <w:rsid w:val="0059142C"/>
    <w:rsid w:val="00597528"/>
    <w:rsid w:val="005B27F1"/>
    <w:rsid w:val="005C3C46"/>
    <w:rsid w:val="005D15FC"/>
    <w:rsid w:val="005E4B62"/>
    <w:rsid w:val="005E5943"/>
    <w:rsid w:val="005F16FB"/>
    <w:rsid w:val="005F2B69"/>
    <w:rsid w:val="006077F7"/>
    <w:rsid w:val="00617730"/>
    <w:rsid w:val="00632682"/>
    <w:rsid w:val="0065537F"/>
    <w:rsid w:val="00676B5E"/>
    <w:rsid w:val="006778E1"/>
    <w:rsid w:val="006941BF"/>
    <w:rsid w:val="00696EA9"/>
    <w:rsid w:val="006C05A2"/>
    <w:rsid w:val="006C70F9"/>
    <w:rsid w:val="006D3F15"/>
    <w:rsid w:val="006D68AF"/>
    <w:rsid w:val="006E7BB3"/>
    <w:rsid w:val="006F78FE"/>
    <w:rsid w:val="0070049A"/>
    <w:rsid w:val="00706438"/>
    <w:rsid w:val="00706B3E"/>
    <w:rsid w:val="007103C6"/>
    <w:rsid w:val="00714A02"/>
    <w:rsid w:val="00726C22"/>
    <w:rsid w:val="0072731D"/>
    <w:rsid w:val="00730385"/>
    <w:rsid w:val="00732135"/>
    <w:rsid w:val="007357F6"/>
    <w:rsid w:val="00755041"/>
    <w:rsid w:val="00777A22"/>
    <w:rsid w:val="00795E06"/>
    <w:rsid w:val="00797B20"/>
    <w:rsid w:val="007A2078"/>
    <w:rsid w:val="007B2920"/>
    <w:rsid w:val="007B3CC5"/>
    <w:rsid w:val="007C770B"/>
    <w:rsid w:val="007D0C28"/>
    <w:rsid w:val="007E2736"/>
    <w:rsid w:val="007F7DBF"/>
    <w:rsid w:val="0080549F"/>
    <w:rsid w:val="008201CC"/>
    <w:rsid w:val="00830569"/>
    <w:rsid w:val="00862B1F"/>
    <w:rsid w:val="00863041"/>
    <w:rsid w:val="008939CF"/>
    <w:rsid w:val="008A7018"/>
    <w:rsid w:val="008B6E51"/>
    <w:rsid w:val="008D14AA"/>
    <w:rsid w:val="008D4FB1"/>
    <w:rsid w:val="008E5E4C"/>
    <w:rsid w:val="008F589E"/>
    <w:rsid w:val="008F6773"/>
    <w:rsid w:val="00905096"/>
    <w:rsid w:val="00914588"/>
    <w:rsid w:val="00922F04"/>
    <w:rsid w:val="0097358E"/>
    <w:rsid w:val="00973FBF"/>
    <w:rsid w:val="009811A1"/>
    <w:rsid w:val="00982839"/>
    <w:rsid w:val="009851F7"/>
    <w:rsid w:val="009A1429"/>
    <w:rsid w:val="009A7A1A"/>
    <w:rsid w:val="009B00B3"/>
    <w:rsid w:val="009D5513"/>
    <w:rsid w:val="009E3F5C"/>
    <w:rsid w:val="009E635B"/>
    <w:rsid w:val="009F6328"/>
    <w:rsid w:val="00A06A0C"/>
    <w:rsid w:val="00A10F0C"/>
    <w:rsid w:val="00A521D6"/>
    <w:rsid w:val="00A53FEA"/>
    <w:rsid w:val="00A55FA6"/>
    <w:rsid w:val="00A74F02"/>
    <w:rsid w:val="00A766F7"/>
    <w:rsid w:val="00A772C1"/>
    <w:rsid w:val="00A95FC1"/>
    <w:rsid w:val="00AA6085"/>
    <w:rsid w:val="00AC0812"/>
    <w:rsid w:val="00AC49A5"/>
    <w:rsid w:val="00AD204A"/>
    <w:rsid w:val="00AD6899"/>
    <w:rsid w:val="00AE42E7"/>
    <w:rsid w:val="00B130E7"/>
    <w:rsid w:val="00B21300"/>
    <w:rsid w:val="00B321B5"/>
    <w:rsid w:val="00B34456"/>
    <w:rsid w:val="00B5744F"/>
    <w:rsid w:val="00B62E42"/>
    <w:rsid w:val="00B73653"/>
    <w:rsid w:val="00B80DC5"/>
    <w:rsid w:val="00B86784"/>
    <w:rsid w:val="00BA77DF"/>
    <w:rsid w:val="00BC001A"/>
    <w:rsid w:val="00BC3755"/>
    <w:rsid w:val="00BD2DAF"/>
    <w:rsid w:val="00BF755E"/>
    <w:rsid w:val="00C024A2"/>
    <w:rsid w:val="00C13713"/>
    <w:rsid w:val="00C3277C"/>
    <w:rsid w:val="00C50B16"/>
    <w:rsid w:val="00C610A4"/>
    <w:rsid w:val="00CA4900"/>
    <w:rsid w:val="00CA60B7"/>
    <w:rsid w:val="00CB4268"/>
    <w:rsid w:val="00CB4691"/>
    <w:rsid w:val="00CB6AE9"/>
    <w:rsid w:val="00CB758B"/>
    <w:rsid w:val="00CC100A"/>
    <w:rsid w:val="00CC1E11"/>
    <w:rsid w:val="00CD456D"/>
    <w:rsid w:val="00CD66C7"/>
    <w:rsid w:val="00D0006E"/>
    <w:rsid w:val="00D313B9"/>
    <w:rsid w:val="00D37F2E"/>
    <w:rsid w:val="00D46309"/>
    <w:rsid w:val="00D60D3A"/>
    <w:rsid w:val="00DA4AD6"/>
    <w:rsid w:val="00DD41E2"/>
    <w:rsid w:val="00DE158B"/>
    <w:rsid w:val="00DE7FC0"/>
    <w:rsid w:val="00DF2DB7"/>
    <w:rsid w:val="00E01D80"/>
    <w:rsid w:val="00E27CD8"/>
    <w:rsid w:val="00E32DF5"/>
    <w:rsid w:val="00E40E24"/>
    <w:rsid w:val="00E4576B"/>
    <w:rsid w:val="00E52A57"/>
    <w:rsid w:val="00E5613A"/>
    <w:rsid w:val="00E63FCC"/>
    <w:rsid w:val="00E66549"/>
    <w:rsid w:val="00E75C1B"/>
    <w:rsid w:val="00E9500D"/>
    <w:rsid w:val="00E97129"/>
    <w:rsid w:val="00EA05F6"/>
    <w:rsid w:val="00EC30EE"/>
    <w:rsid w:val="00EC7229"/>
    <w:rsid w:val="00ED497C"/>
    <w:rsid w:val="00ED4EE5"/>
    <w:rsid w:val="00F050D7"/>
    <w:rsid w:val="00F21893"/>
    <w:rsid w:val="00F23FAE"/>
    <w:rsid w:val="00F36D45"/>
    <w:rsid w:val="00F37520"/>
    <w:rsid w:val="00F60574"/>
    <w:rsid w:val="00F664CC"/>
    <w:rsid w:val="00F73D6F"/>
    <w:rsid w:val="00F74F30"/>
    <w:rsid w:val="00F85460"/>
    <w:rsid w:val="00F9709D"/>
    <w:rsid w:val="00FA096D"/>
    <w:rsid w:val="00FC7FF7"/>
    <w:rsid w:val="00FD1424"/>
    <w:rsid w:val="00FD5108"/>
    <w:rsid w:val="00FD521E"/>
    <w:rsid w:val="00FD5E79"/>
    <w:rsid w:val="00FE1FCB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783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02C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89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B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8A"/>
    <w:pPr>
      <w:spacing w:before="120" w:after="120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070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3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3A03"/>
    <w:pPr>
      <w:spacing w:before="0" w:after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A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A"/>
    <w:pPr>
      <w:spacing w:before="120" w:after="120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A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5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02C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89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all-provider-bulletin-328-coverage-for-booster-doses-of-coronavirus-disease-2019-covid-19-vaccines-0/downloa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hyperlink" Target="file:///C:\Users\THoitink\Downloads\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2C2D-EB84-4251-A7E0-8AC8BB05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8</Pages>
  <Words>1326</Words>
  <Characters>9034</Characters>
  <Application>Microsoft Office Word</Application>
  <DocSecurity>4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2021-11-17T19:56:00Z</cp:lastPrinted>
  <dcterms:created xsi:type="dcterms:W3CDTF">2021-11-17T20:28:00Z</dcterms:created>
  <dcterms:modified xsi:type="dcterms:W3CDTF">2021-11-17T20:28:00Z</dcterms:modified>
</cp:coreProperties>
</file>