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631AB" w14:textId="68C0D21F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488973" wp14:editId="70CDDAE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F4FC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084AEEF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315F4FC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084AEEF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6EF13E" wp14:editId="5C6E9351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089">
        <w:rPr>
          <w:rFonts w:ascii="Bookman Old Style" w:hAnsi="Bookman Old Style"/>
          <w:b/>
          <w:i/>
          <w:noProof/>
          <w:sz w:val="20"/>
          <w:szCs w:val="20"/>
        </w:rPr>
        <w:t>C</w:t>
      </w:r>
      <w:proofErr w:type="spellStart"/>
      <w:r w:rsidR="00F664CC" w:rsidRPr="00E27CD8">
        <w:rPr>
          <w:rFonts w:ascii="Bookman Old Style" w:hAnsi="Bookman Old Style"/>
          <w:b/>
          <w:i/>
          <w:sz w:val="20"/>
          <w:szCs w:val="20"/>
        </w:rPr>
        <w:t>ommonwealth</w:t>
      </w:r>
      <w:proofErr w:type="spellEnd"/>
      <w:r w:rsidR="00F664CC" w:rsidRPr="00E27CD8">
        <w:rPr>
          <w:rFonts w:ascii="Bookman Old Style" w:hAnsi="Bookman Old Style"/>
          <w:b/>
          <w:i/>
          <w:sz w:val="20"/>
          <w:szCs w:val="20"/>
        </w:rPr>
        <w:t xml:space="preserve"> of Massachusetts</w:t>
      </w:r>
    </w:p>
    <w:p w14:paraId="72AC72F1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CC27146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2A806FA9" w14:textId="77777777" w:rsidR="006D3F15" w:rsidRPr="00777A22" w:rsidRDefault="00E318DD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1C486915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20F4176F" w14:textId="0F44411E" w:rsidR="00F664CC" w:rsidRPr="005B27F1" w:rsidRDefault="00B65EDB" w:rsidP="005B27F1">
      <w:pPr>
        <w:pStyle w:val="Heading1"/>
      </w:pPr>
      <w:r>
        <w:t>All Provider</w:t>
      </w:r>
      <w:r w:rsidR="00F664CC" w:rsidRPr="005B27F1">
        <w:t xml:space="preserve"> Bulletin </w:t>
      </w:r>
      <w:r w:rsidR="00C3104B">
        <w:t>337</w:t>
      </w:r>
    </w:p>
    <w:p w14:paraId="4F33B7C5" w14:textId="7CBF5677" w:rsidR="00F664CC" w:rsidRPr="00150BCC" w:rsidRDefault="00D86B62" w:rsidP="00BB39F4">
      <w:pPr>
        <w:pStyle w:val="BullsHeading"/>
        <w:spacing w:after="120"/>
      </w:pPr>
      <w:r>
        <w:t xml:space="preserve">January </w:t>
      </w:r>
      <w:r w:rsidR="00B65EDB">
        <w:t>202</w:t>
      </w:r>
      <w:r>
        <w:t>2</w:t>
      </w:r>
    </w:p>
    <w:p w14:paraId="28792EAA" w14:textId="33F9E094" w:rsidR="00F664CC" w:rsidRDefault="00F664CC" w:rsidP="00BB39F4">
      <w:pPr>
        <w:spacing w:before="0" w:after="0" w:afterAutospacing="0"/>
        <w:ind w:left="0"/>
      </w:pPr>
    </w:p>
    <w:p w14:paraId="4E0C5339" w14:textId="77777777" w:rsidR="00BB39F4" w:rsidRPr="00BB39F4" w:rsidRDefault="00BB39F4" w:rsidP="00BB39F4">
      <w:pPr>
        <w:ind w:left="0"/>
        <w:rPr>
          <w:sz w:val="18"/>
        </w:rPr>
        <w:sectPr w:rsidR="00BB39F4" w:rsidRPr="00BB39F4" w:rsidSect="0059142C">
          <w:headerReference w:type="default" r:id="rId11"/>
          <w:footerReference w:type="default" r:id="rId12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BFFFA76" w14:textId="29EB5D71"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B65EDB">
        <w:t xml:space="preserve">All Providers </w:t>
      </w:r>
      <w:r w:rsidRPr="00F664CC">
        <w:t>Participating in MassHealth</w:t>
      </w:r>
    </w:p>
    <w:p w14:paraId="36385E61" w14:textId="0A13952F" w:rsidR="00F664CC" w:rsidRPr="00F664CC" w:rsidRDefault="00F664CC" w:rsidP="00BB39F4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1611A7">
        <w:t>Amanda Cassel Kraft</w:t>
      </w:r>
      <w:r w:rsidR="00AA6085">
        <w:t xml:space="preserve">, Assistant Secretary for </w:t>
      </w:r>
      <w:proofErr w:type="gramStart"/>
      <w:r w:rsidR="00AA6085">
        <w:t>MassHealth</w:t>
      </w:r>
      <w:r w:rsidR="00BB39F4">
        <w:t xml:space="preserve"> </w:t>
      </w:r>
      <w:r w:rsidR="00E87CE8">
        <w:t xml:space="preserve"> </w:t>
      </w:r>
      <w:r w:rsidR="00730EC1">
        <w:t>[</w:t>
      </w:r>
      <w:proofErr w:type="gramEnd"/>
      <w:r w:rsidR="00730EC1">
        <w:t>Signatu</w:t>
      </w:r>
      <w:r w:rsidR="001F5B9D">
        <w:t>re</w:t>
      </w:r>
      <w:bookmarkStart w:id="0" w:name="_GoBack"/>
      <w:bookmarkEnd w:id="0"/>
      <w:r w:rsidR="00730EC1">
        <w:t xml:space="preserve"> of Amanda Cassel Kraft]</w:t>
      </w:r>
    </w:p>
    <w:p w14:paraId="2B897D17" w14:textId="2C580BF7" w:rsidR="00F664CC" w:rsidRPr="00B65EDB" w:rsidRDefault="00F664CC" w:rsidP="00B65EDB">
      <w:pPr>
        <w:ind w:left="1440" w:hanging="1080"/>
        <w:rPr>
          <w:b/>
        </w:rPr>
      </w:pPr>
      <w:r w:rsidRPr="00B07378">
        <w:rPr>
          <w:b/>
          <w:bCs/>
        </w:rPr>
        <w:t>RE:</w:t>
      </w:r>
      <w:r w:rsidR="00BD2DAF">
        <w:tab/>
      </w:r>
      <w:r w:rsidR="00B65EDB" w:rsidRPr="00B65EDB">
        <w:rPr>
          <w:b/>
          <w:bCs/>
        </w:rPr>
        <w:t xml:space="preserve">MassHealth Pharmacy Coverage of Over-the-Counter </w:t>
      </w:r>
      <w:r w:rsidR="005D071C">
        <w:rPr>
          <w:b/>
          <w:bCs/>
        </w:rPr>
        <w:t>Diagnostic</w:t>
      </w:r>
      <w:r w:rsidR="00B65EDB" w:rsidRPr="00B65EDB">
        <w:rPr>
          <w:b/>
          <w:bCs/>
        </w:rPr>
        <w:t xml:space="preserve"> Antigen </w:t>
      </w:r>
      <w:r w:rsidR="005D071C">
        <w:rPr>
          <w:b/>
          <w:bCs/>
        </w:rPr>
        <w:t>Tes</w:t>
      </w:r>
      <w:r w:rsidR="00B65EDB" w:rsidRPr="00B65EDB">
        <w:rPr>
          <w:b/>
          <w:bCs/>
        </w:rPr>
        <w:t>ts</w:t>
      </w:r>
      <w:r w:rsidR="005D071C">
        <w:rPr>
          <w:b/>
          <w:bCs/>
        </w:rPr>
        <w:t xml:space="preserve"> for SARS-CoV-2</w:t>
      </w:r>
    </w:p>
    <w:p w14:paraId="56969E17" w14:textId="77777777" w:rsidR="005D071C" w:rsidRDefault="005D071C" w:rsidP="005D071C">
      <w:pPr>
        <w:pStyle w:val="Heading2"/>
      </w:pPr>
      <w:r>
        <w:t>Background</w:t>
      </w:r>
    </w:p>
    <w:p w14:paraId="6B3BC0CE" w14:textId="77777777" w:rsidR="005D071C" w:rsidRPr="005D071C" w:rsidRDefault="005D071C" w:rsidP="005D071C">
      <w:pPr>
        <w:spacing w:before="240"/>
        <w:rPr>
          <w:rFonts w:cs="Calibri"/>
        </w:rPr>
      </w:pPr>
      <w:r w:rsidRPr="005D071C">
        <w:rPr>
          <w:rFonts w:cs="Calibri"/>
        </w:rPr>
        <w:t xml:space="preserve">Testing is vitally important to help reduce the spread of COVID-19 and to quickly diagnose COVID-19 so that it can be effectively treated.  Over-the-Counter (OTC) diagnostic SARS-CoV-2 antigen tests for home use are convenient, efficient and accurate in rapidly detecting the presence of certain proteins on the surface of the virus that causes COVID-19. </w:t>
      </w:r>
    </w:p>
    <w:p w14:paraId="6E60809D" w14:textId="5338EA8D" w:rsidR="005D071C" w:rsidRPr="005D071C" w:rsidRDefault="005D071C" w:rsidP="005D071C">
      <w:pPr>
        <w:spacing w:before="240"/>
        <w:rPr>
          <w:rFonts w:cs="Calibri"/>
        </w:rPr>
      </w:pPr>
      <w:r w:rsidRPr="005D071C">
        <w:rPr>
          <w:rFonts w:cs="Calibri"/>
        </w:rPr>
        <w:t>On January 1</w:t>
      </w:r>
      <w:r w:rsidR="000A6823">
        <w:rPr>
          <w:rFonts w:cs="Calibri"/>
        </w:rPr>
        <w:t>4</w:t>
      </w:r>
      <w:r w:rsidRPr="005D071C">
        <w:rPr>
          <w:rFonts w:cs="Calibri"/>
        </w:rPr>
        <w:t xml:space="preserve">, 2022, the Massachusetts Department of Public Health (DPH) issued a standing order authorizing licensed pharmacists to dispense OTC diagnostic SARS-CoV-2 antigen tests (“at-home antigen self-test kits”) to any individual.  This standing order authorizes licensed pharmacists to treat the standing order as a prescription for any such test.   </w:t>
      </w:r>
    </w:p>
    <w:p w14:paraId="4BE8BE10" w14:textId="77777777" w:rsidR="005D071C" w:rsidRDefault="005D071C" w:rsidP="005D071C">
      <w:pPr>
        <w:pStyle w:val="Heading2"/>
        <w:rPr>
          <w:rFonts w:cs="Calibri"/>
          <w:b w:val="0"/>
          <w:color w:val="auto"/>
          <w:sz w:val="22"/>
          <w:szCs w:val="22"/>
        </w:rPr>
      </w:pPr>
      <w:r w:rsidRPr="005D071C">
        <w:rPr>
          <w:rFonts w:cs="Calibri"/>
          <w:b w:val="0"/>
          <w:color w:val="auto"/>
          <w:sz w:val="22"/>
          <w:szCs w:val="22"/>
        </w:rPr>
        <w:t>Accordingly, MassHealth is issuing this bulletin to establish coverage for up to eight such at-home antigen self-test kits</w:t>
      </w:r>
      <w:r w:rsidRPr="005D071C" w:rsidDel="00A9354C">
        <w:rPr>
          <w:rFonts w:cs="Calibri"/>
          <w:b w:val="0"/>
          <w:color w:val="auto"/>
          <w:sz w:val="22"/>
          <w:szCs w:val="22"/>
        </w:rPr>
        <w:t xml:space="preserve"> </w:t>
      </w:r>
      <w:r w:rsidRPr="005D071C">
        <w:rPr>
          <w:rFonts w:cs="Calibri"/>
          <w:b w:val="0"/>
          <w:color w:val="auto"/>
          <w:sz w:val="22"/>
          <w:szCs w:val="22"/>
        </w:rPr>
        <w:t xml:space="preserve">per member per month without prior authorization. </w:t>
      </w:r>
    </w:p>
    <w:p w14:paraId="48CFD53A" w14:textId="396DD312" w:rsidR="005D071C" w:rsidRPr="005D071C" w:rsidRDefault="005D071C" w:rsidP="005D071C">
      <w:pPr>
        <w:pStyle w:val="Heading2"/>
        <w:rPr>
          <w:b w:val="0"/>
          <w:color w:val="auto"/>
          <w:sz w:val="22"/>
          <w:szCs w:val="22"/>
        </w:rPr>
      </w:pPr>
      <w:r w:rsidRPr="005D071C">
        <w:rPr>
          <w:rFonts w:cs="Calibri"/>
          <w:b w:val="0"/>
          <w:color w:val="auto"/>
          <w:sz w:val="22"/>
          <w:szCs w:val="22"/>
        </w:rPr>
        <w:t>This bulletin applies to members enrolled in MassHealth fee-for-service, the Primary Care Clinician Plan and Primary Care Accountable Care Organizations, as well as Health Safety Net patients and Children’s Medical Security Plan members.</w:t>
      </w:r>
      <w:r w:rsidRPr="005D071C">
        <w:rPr>
          <w:b w:val="0"/>
          <w:color w:val="auto"/>
          <w:sz w:val="22"/>
          <w:szCs w:val="22"/>
        </w:rPr>
        <w:t xml:space="preserve"> Information about coverage through other MassHealth Managed Care Entities (MCEs) and the Program of All-inclusive Care for the Elderly is provided in MCE </w:t>
      </w:r>
      <w:r>
        <w:rPr>
          <w:b w:val="0"/>
          <w:color w:val="auto"/>
          <w:sz w:val="22"/>
          <w:szCs w:val="22"/>
        </w:rPr>
        <w:t>B</w:t>
      </w:r>
      <w:r w:rsidRPr="005D071C">
        <w:rPr>
          <w:b w:val="0"/>
          <w:color w:val="auto"/>
          <w:sz w:val="22"/>
          <w:szCs w:val="22"/>
        </w:rPr>
        <w:t xml:space="preserve">ulletin </w:t>
      </w:r>
      <w:r w:rsidR="00C3104B">
        <w:rPr>
          <w:b w:val="0"/>
          <w:color w:val="auto"/>
          <w:sz w:val="22"/>
          <w:szCs w:val="22"/>
        </w:rPr>
        <w:t>80</w:t>
      </w:r>
      <w:r w:rsidRPr="005D071C">
        <w:rPr>
          <w:b w:val="0"/>
          <w:color w:val="auto"/>
          <w:sz w:val="22"/>
          <w:szCs w:val="22"/>
        </w:rPr>
        <w:t>.</w:t>
      </w:r>
    </w:p>
    <w:p w14:paraId="5490AAA1" w14:textId="6331BF2F" w:rsidR="00F664CC" w:rsidRPr="005B27F1" w:rsidRDefault="00B65EDB" w:rsidP="00E27CD8">
      <w:pPr>
        <w:pStyle w:val="Heading2"/>
      </w:pPr>
      <w:r>
        <w:t xml:space="preserve">MassHealth Pharmacy Coverage of </w:t>
      </w:r>
      <w:r w:rsidR="0075014D">
        <w:t>At-Home Antigen</w:t>
      </w:r>
      <w:r>
        <w:t xml:space="preserve"> Test</w:t>
      </w:r>
      <w:r w:rsidR="0075014D">
        <w:t xml:space="preserve"> Kit</w:t>
      </w:r>
      <w:r>
        <w:t>s</w:t>
      </w:r>
      <w:r w:rsidR="001554E7" w:rsidRPr="005B27F1">
        <w:t xml:space="preserve"> </w:t>
      </w:r>
    </w:p>
    <w:p w14:paraId="2708A9D2" w14:textId="2B801DBE" w:rsidR="00B65EDB" w:rsidRPr="00B65EDB" w:rsidRDefault="00B65EDB" w:rsidP="001608FF">
      <w:pPr>
        <w:spacing w:after="120" w:afterAutospacing="0"/>
        <w:rPr>
          <w:rFonts w:cs="Calibri"/>
        </w:rPr>
      </w:pPr>
      <w:r w:rsidRPr="00B65EDB">
        <w:rPr>
          <w:rFonts w:cs="Calibri"/>
        </w:rPr>
        <w:t xml:space="preserve">Effective </w:t>
      </w:r>
      <w:r w:rsidR="0015227A">
        <w:rPr>
          <w:rFonts w:cs="Calibri"/>
        </w:rPr>
        <w:t>January 1</w:t>
      </w:r>
      <w:r w:rsidR="00977491">
        <w:rPr>
          <w:rFonts w:cs="Calibri"/>
        </w:rPr>
        <w:t>4</w:t>
      </w:r>
      <w:r w:rsidRPr="00B65EDB">
        <w:rPr>
          <w:rFonts w:cs="Calibri"/>
        </w:rPr>
        <w:t>, 202</w:t>
      </w:r>
      <w:r w:rsidR="0015227A">
        <w:rPr>
          <w:rFonts w:cs="Calibri"/>
        </w:rPr>
        <w:t>2</w:t>
      </w:r>
      <w:r w:rsidR="0075014D">
        <w:rPr>
          <w:rFonts w:cs="Calibri"/>
        </w:rPr>
        <w:t>, the following</w:t>
      </w:r>
      <w:r w:rsidRPr="00B65EDB">
        <w:rPr>
          <w:rFonts w:cs="Calibri"/>
        </w:rPr>
        <w:t xml:space="preserve"> at-home antigen self-test kits have been added to the MassHealth Non-Drug Product List and will be covered through the MassHealth pharmacy benefit. </w:t>
      </w:r>
    </w:p>
    <w:p w14:paraId="1267A0E1" w14:textId="77777777" w:rsidR="00B65EDB" w:rsidRPr="00B65EDB" w:rsidRDefault="00B65EDB" w:rsidP="00B65EDB">
      <w:pPr>
        <w:numPr>
          <w:ilvl w:val="0"/>
          <w:numId w:val="11"/>
        </w:numPr>
        <w:autoSpaceDE w:val="0"/>
        <w:autoSpaceDN w:val="0"/>
        <w:adjustRightInd w:val="0"/>
        <w:spacing w:before="0" w:after="0" w:afterAutospacing="0" w:line="276" w:lineRule="auto"/>
        <w:ind w:left="900"/>
        <w:rPr>
          <w:rFonts w:cs="Arial"/>
        </w:rPr>
      </w:pPr>
      <w:r w:rsidRPr="00B65EDB">
        <w:rPr>
          <w:rFonts w:cs="Arial"/>
        </w:rPr>
        <w:t>BinaxNOW</w:t>
      </w:r>
    </w:p>
    <w:p w14:paraId="2C938512" w14:textId="01D53708" w:rsidR="00B65EDB" w:rsidRDefault="00B65EDB" w:rsidP="00B65EDB">
      <w:pPr>
        <w:numPr>
          <w:ilvl w:val="0"/>
          <w:numId w:val="11"/>
        </w:numPr>
        <w:autoSpaceDE w:val="0"/>
        <w:autoSpaceDN w:val="0"/>
        <w:adjustRightInd w:val="0"/>
        <w:spacing w:before="0" w:after="0" w:afterAutospacing="0" w:line="276" w:lineRule="auto"/>
        <w:ind w:left="900"/>
        <w:rPr>
          <w:rFonts w:cs="Arial"/>
        </w:rPr>
      </w:pPr>
      <w:proofErr w:type="spellStart"/>
      <w:r w:rsidRPr="00B65EDB">
        <w:rPr>
          <w:rFonts w:cs="Arial"/>
        </w:rPr>
        <w:t>FlowFlex</w:t>
      </w:r>
      <w:proofErr w:type="spellEnd"/>
    </w:p>
    <w:p w14:paraId="2C45EDC6" w14:textId="77777777" w:rsidR="00022E88" w:rsidRDefault="00022E88" w:rsidP="00022E88">
      <w:pPr>
        <w:numPr>
          <w:ilvl w:val="0"/>
          <w:numId w:val="11"/>
        </w:numPr>
        <w:autoSpaceDE w:val="0"/>
        <w:autoSpaceDN w:val="0"/>
        <w:adjustRightInd w:val="0"/>
        <w:spacing w:before="0" w:after="0" w:afterAutospacing="0" w:line="276" w:lineRule="auto"/>
        <w:ind w:left="900"/>
        <w:rPr>
          <w:rFonts w:cs="Arial"/>
        </w:rPr>
      </w:pPr>
      <w:proofErr w:type="spellStart"/>
      <w:r>
        <w:rPr>
          <w:rFonts w:cs="Arial"/>
        </w:rPr>
        <w:t>IHealth</w:t>
      </w:r>
      <w:proofErr w:type="spellEnd"/>
    </w:p>
    <w:p w14:paraId="11BF95C8" w14:textId="77777777" w:rsidR="00022E88" w:rsidRPr="00B65EDB" w:rsidRDefault="00022E88" w:rsidP="00022E88">
      <w:pPr>
        <w:numPr>
          <w:ilvl w:val="0"/>
          <w:numId w:val="11"/>
        </w:numPr>
        <w:autoSpaceDE w:val="0"/>
        <w:autoSpaceDN w:val="0"/>
        <w:adjustRightInd w:val="0"/>
        <w:spacing w:before="0" w:after="0" w:afterAutospacing="0" w:line="276" w:lineRule="auto"/>
        <w:ind w:left="900"/>
        <w:rPr>
          <w:rFonts w:cs="Arial"/>
        </w:rPr>
      </w:pPr>
      <w:proofErr w:type="spellStart"/>
      <w:r>
        <w:rPr>
          <w:rFonts w:cs="Arial"/>
        </w:rPr>
        <w:t>Inteliswab</w:t>
      </w:r>
      <w:proofErr w:type="spellEnd"/>
    </w:p>
    <w:p w14:paraId="3264D942" w14:textId="4EDC05B5" w:rsidR="00B65EDB" w:rsidRDefault="00B65EDB" w:rsidP="00B65EDB">
      <w:pPr>
        <w:numPr>
          <w:ilvl w:val="0"/>
          <w:numId w:val="11"/>
        </w:numPr>
        <w:autoSpaceDE w:val="0"/>
        <w:autoSpaceDN w:val="0"/>
        <w:adjustRightInd w:val="0"/>
        <w:spacing w:before="0" w:after="0" w:afterAutospacing="0" w:line="276" w:lineRule="auto"/>
        <w:ind w:left="900"/>
        <w:rPr>
          <w:rFonts w:cs="Arial"/>
        </w:rPr>
      </w:pPr>
      <w:proofErr w:type="spellStart"/>
      <w:r w:rsidRPr="00B65EDB">
        <w:rPr>
          <w:rFonts w:cs="Arial"/>
        </w:rPr>
        <w:t>QuickVue</w:t>
      </w:r>
      <w:proofErr w:type="spellEnd"/>
      <w:r w:rsidRPr="00B65EDB">
        <w:rPr>
          <w:rFonts w:cs="Arial"/>
        </w:rPr>
        <w:t xml:space="preserve"> At-home</w:t>
      </w:r>
    </w:p>
    <w:p w14:paraId="76F1DD55" w14:textId="22D583EF" w:rsidR="00E9748A" w:rsidRDefault="00D75D81" w:rsidP="00B65EDB">
      <w:pPr>
        <w:spacing w:before="240"/>
        <w:rPr>
          <w:rFonts w:ascii="Arial" w:hAnsi="Arial" w:cs="Calibri"/>
        </w:rPr>
      </w:pPr>
      <w:r w:rsidRPr="00D75D81">
        <w:rPr>
          <w:rFonts w:cs="Calibri"/>
        </w:rPr>
        <w:t>Test kits will be covered without prior authorization within the quantity limit of eight test</w:t>
      </w:r>
      <w:r w:rsidR="00170328">
        <w:rPr>
          <w:rFonts w:cs="Calibri"/>
        </w:rPr>
        <w:t xml:space="preserve"> kit</w:t>
      </w:r>
      <w:r w:rsidRPr="00D75D81">
        <w:rPr>
          <w:rFonts w:cs="Calibri"/>
        </w:rPr>
        <w:t xml:space="preserve">s per member per month. Note that test kits may be packaged individually or with multiple test kits in one package; the limit without prior authorization is eight test kits per member per month, </w:t>
      </w:r>
      <w:r w:rsidRPr="00D75D81">
        <w:rPr>
          <w:rFonts w:cs="Calibri"/>
        </w:rPr>
        <w:lastRenderedPageBreak/>
        <w:t>regardless of how they are packaged (e.g., four packages containing two test kits or eight packages containing one test kit will be covered without prior authorization)</w:t>
      </w:r>
      <w:r w:rsidR="00B65EDB" w:rsidRPr="00B65EDB">
        <w:rPr>
          <w:rFonts w:cs="Calibri"/>
        </w:rPr>
        <w:t xml:space="preserve">. </w:t>
      </w:r>
      <w:r w:rsidR="00B65EDB" w:rsidRPr="00E9748A">
        <w:rPr>
          <w:rFonts w:cs="Calibri"/>
        </w:rPr>
        <w:t xml:space="preserve"> </w:t>
      </w:r>
    </w:p>
    <w:p w14:paraId="61EF8B05" w14:textId="0D1138DD" w:rsidR="00B65EDB" w:rsidRPr="00B65EDB" w:rsidRDefault="00D75D81" w:rsidP="00F4757A">
      <w:pPr>
        <w:spacing w:before="240"/>
        <w:rPr>
          <w:rFonts w:cs="Calibri"/>
        </w:rPr>
      </w:pPr>
      <w:r w:rsidRPr="00D75D81">
        <w:rPr>
          <w:rFonts w:cs="Calibri"/>
        </w:rPr>
        <w:t xml:space="preserve">Coverage of additional test kits exceeding the quantity limit described above will require prior authorization.  Such requests will be reviewed by MassHealth on a case-by-case basis. </w:t>
      </w:r>
      <w:bookmarkStart w:id="1" w:name="_Hlk91847189"/>
      <w:r w:rsidR="0075014D">
        <w:rPr>
          <w:rFonts w:cs="Calibri"/>
        </w:rPr>
        <w:t>As noted above, DPH</w:t>
      </w:r>
      <w:r w:rsidR="00587B05" w:rsidRPr="00587B05">
        <w:rPr>
          <w:rFonts w:cs="Calibri"/>
        </w:rPr>
        <w:t xml:space="preserve"> has issued a </w:t>
      </w:r>
      <w:r w:rsidR="00B65EDB" w:rsidRPr="00B65EDB">
        <w:rPr>
          <w:rFonts w:cs="Calibri"/>
        </w:rPr>
        <w:t xml:space="preserve">statewide standing order that allows </w:t>
      </w:r>
      <w:r w:rsidR="00587B05">
        <w:rPr>
          <w:rFonts w:cs="Calibri"/>
        </w:rPr>
        <w:t>licensed pharmaci</w:t>
      </w:r>
      <w:r w:rsidR="00744330">
        <w:rPr>
          <w:rFonts w:cs="Calibri"/>
        </w:rPr>
        <w:t>st</w:t>
      </w:r>
      <w:r w:rsidR="00587B05">
        <w:rPr>
          <w:rFonts w:cs="Calibri"/>
        </w:rPr>
        <w:t xml:space="preserve">s to dispense </w:t>
      </w:r>
      <w:r w:rsidRPr="00B65EDB">
        <w:rPr>
          <w:rFonts w:cs="Calibri"/>
        </w:rPr>
        <w:t>at-home antigen self-</w:t>
      </w:r>
      <w:r w:rsidR="00587B05">
        <w:rPr>
          <w:rFonts w:cs="Calibri"/>
        </w:rPr>
        <w:t>test</w:t>
      </w:r>
      <w:r w:rsidR="00B07378">
        <w:rPr>
          <w:rFonts w:cs="Calibri"/>
        </w:rPr>
        <w:t xml:space="preserve"> kit</w:t>
      </w:r>
      <w:r w:rsidR="00587B05">
        <w:rPr>
          <w:rFonts w:cs="Calibri"/>
        </w:rPr>
        <w:t>s to any individual, and to treat that standing order</w:t>
      </w:r>
      <w:r w:rsidR="00587B05" w:rsidRPr="00587B05">
        <w:rPr>
          <w:rFonts w:cs="Calibri"/>
        </w:rPr>
        <w:t xml:space="preserve"> as a prescription for any such test</w:t>
      </w:r>
      <w:r w:rsidR="00B07378">
        <w:rPr>
          <w:rFonts w:cs="Calibri"/>
        </w:rPr>
        <w:t xml:space="preserve"> kit</w:t>
      </w:r>
      <w:r w:rsidR="00587B05">
        <w:rPr>
          <w:rFonts w:cs="Calibri"/>
        </w:rPr>
        <w:t xml:space="preserve">. </w:t>
      </w:r>
      <w:r w:rsidR="00587B05" w:rsidRPr="00587B05">
        <w:rPr>
          <w:rFonts w:cs="Calibri"/>
        </w:rPr>
        <w:t xml:space="preserve"> </w:t>
      </w:r>
      <w:bookmarkEnd w:id="1"/>
      <w:r w:rsidR="00B65EDB" w:rsidRPr="00B65EDB">
        <w:t xml:space="preserve">Accordingly, </w:t>
      </w:r>
      <w:r w:rsidR="00721C23">
        <w:t>an</w:t>
      </w:r>
      <w:r w:rsidR="00B65EDB" w:rsidRPr="00B65EDB">
        <w:t xml:space="preserve"> individual prescription is </w:t>
      </w:r>
      <w:r w:rsidR="00721C23">
        <w:t xml:space="preserve">not </w:t>
      </w:r>
      <w:r w:rsidR="00B65EDB" w:rsidRPr="00B65EDB">
        <w:t>required</w:t>
      </w:r>
      <w:r w:rsidR="00721C23">
        <w:t xml:space="preserve"> for any such test kit</w:t>
      </w:r>
      <w:r w:rsidR="00B65EDB" w:rsidRPr="00B65EDB">
        <w:t>.</w:t>
      </w:r>
      <w:r w:rsidR="008B19BF">
        <w:rPr>
          <w:rFonts w:cs="Calibri"/>
        </w:rPr>
        <w:t xml:space="preserve">  </w:t>
      </w:r>
    </w:p>
    <w:p w14:paraId="0C2021D9" w14:textId="68BF2C15" w:rsidR="00170328" w:rsidRDefault="00B65EDB">
      <w:r w:rsidRPr="00B65EDB">
        <w:rPr>
          <w:rFonts w:cs="Calibri"/>
        </w:rPr>
        <w:t>Pharmacies will be paid the lower of the rates listed below or the Usual and Customary Charge submitted</w:t>
      </w:r>
      <w:r w:rsidR="00AF191C">
        <w:rPr>
          <w:rFonts w:cs="Calibri"/>
        </w:rPr>
        <w:t xml:space="preserve"> for covered </w:t>
      </w:r>
      <w:r w:rsidR="00AF191C" w:rsidRPr="00B65EDB">
        <w:rPr>
          <w:rFonts w:cs="Calibri"/>
        </w:rPr>
        <w:t>at-home antigen self-test kits</w:t>
      </w:r>
      <w:r w:rsidRPr="00B65EDB">
        <w:rPr>
          <w:rFonts w:cs="Calibri"/>
        </w:rPr>
        <w:t xml:space="preserve">.  </w:t>
      </w:r>
      <w:r w:rsidRPr="00B65EDB">
        <w:rPr>
          <w:rFonts w:cs="Arial"/>
          <w:bCs/>
        </w:rPr>
        <w:t>MassHealth expects to codify this rate methodology in forthcoming amendments to Executive Office of Health and Human Services rate regulations.</w:t>
      </w:r>
    </w:p>
    <w:tbl>
      <w:tblPr>
        <w:tblW w:w="7560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2556"/>
        <w:gridCol w:w="3320"/>
      </w:tblGrid>
      <w:tr w:rsidR="00287C6D" w:rsidRPr="00B65EDB" w14:paraId="758AF3C5" w14:textId="77777777" w:rsidTr="00287C6D">
        <w:trPr>
          <w:trHeight w:val="4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3A9D80B" w14:textId="77777777" w:rsidR="00287C6D" w:rsidRPr="00287C6D" w:rsidRDefault="00287C6D" w:rsidP="00287C6D">
            <w:pPr>
              <w:tabs>
                <w:tab w:val="center" w:pos="1608"/>
              </w:tabs>
              <w:rPr>
                <w:b/>
              </w:rPr>
            </w:pPr>
            <w:r w:rsidRPr="00287C6D">
              <w:rPr>
                <w:b/>
              </w:rPr>
              <w:t>Product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5D2016D" w14:textId="77777777" w:rsidR="00287C6D" w:rsidRPr="00287C6D" w:rsidRDefault="00287C6D" w:rsidP="00287C6D">
            <w:pPr>
              <w:rPr>
                <w:b/>
              </w:rPr>
            </w:pPr>
            <w:r w:rsidRPr="00287C6D">
              <w:rPr>
                <w:b/>
              </w:rPr>
              <w:t>Rate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48D8DEF" w14:textId="77777777" w:rsidR="00287C6D" w:rsidRPr="00287C6D" w:rsidRDefault="00287C6D" w:rsidP="00287C6D">
            <w:pPr>
              <w:rPr>
                <w:b/>
              </w:rPr>
            </w:pPr>
            <w:r w:rsidRPr="00287C6D">
              <w:rPr>
                <w:b/>
              </w:rPr>
              <w:t>NDC</w:t>
            </w:r>
          </w:p>
        </w:tc>
      </w:tr>
      <w:tr w:rsidR="00287C6D" w:rsidRPr="00B65EDB" w14:paraId="31EFBCA9" w14:textId="77777777" w:rsidTr="00287C6D">
        <w:trPr>
          <w:trHeight w:val="4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6C69F" w14:textId="77777777" w:rsidR="00287C6D" w:rsidRPr="00287C6D" w:rsidRDefault="00287C6D" w:rsidP="00287C6D">
            <w:pPr>
              <w:tabs>
                <w:tab w:val="center" w:pos="1608"/>
              </w:tabs>
            </w:pPr>
            <w:r w:rsidRPr="002E3E47">
              <w:t>BinaxNOW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EBDEA" w14:textId="77777777" w:rsidR="00287C6D" w:rsidRPr="00287C6D" w:rsidRDefault="00287C6D" w:rsidP="00287C6D">
            <w:r w:rsidRPr="002E3E47">
              <w:t>$24.00 (box of 2)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8B977" w14:textId="77777777" w:rsidR="00287C6D" w:rsidRPr="00287C6D" w:rsidRDefault="00287C6D" w:rsidP="00287C6D">
            <w:r w:rsidRPr="002E3E47">
              <w:t>11877001140</w:t>
            </w:r>
          </w:p>
        </w:tc>
      </w:tr>
      <w:tr w:rsidR="00287C6D" w:rsidRPr="00B65EDB" w14:paraId="06B63B4E" w14:textId="77777777" w:rsidTr="00287C6D">
        <w:trPr>
          <w:trHeight w:val="4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55C3C" w14:textId="77777777" w:rsidR="00287C6D" w:rsidRPr="002E3E47" w:rsidRDefault="00287C6D" w:rsidP="00287C6D">
            <w:pPr>
              <w:tabs>
                <w:tab w:val="center" w:pos="1608"/>
              </w:tabs>
            </w:pPr>
            <w:proofErr w:type="spellStart"/>
            <w:r w:rsidRPr="00142563">
              <w:t>IHealth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05685" w14:textId="77777777" w:rsidR="00287C6D" w:rsidRPr="002E3E47" w:rsidRDefault="00287C6D" w:rsidP="00287C6D">
            <w:r w:rsidRPr="00142563">
              <w:t>$20.00 (box of 2)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3F54C" w14:textId="77777777" w:rsidR="00287C6D" w:rsidRPr="002E3E47" w:rsidRDefault="00287C6D" w:rsidP="00287C6D">
            <w:r w:rsidRPr="00287C6D">
              <w:t>56362000589</w:t>
            </w:r>
          </w:p>
        </w:tc>
      </w:tr>
      <w:tr w:rsidR="00287C6D" w:rsidRPr="00B65EDB" w14:paraId="27BA3A17" w14:textId="77777777" w:rsidTr="00287C6D">
        <w:trPr>
          <w:trHeight w:val="4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DD8E2" w14:textId="77777777" w:rsidR="00287C6D" w:rsidRPr="002E3E47" w:rsidRDefault="00287C6D" w:rsidP="00287C6D">
            <w:pPr>
              <w:tabs>
                <w:tab w:val="center" w:pos="1608"/>
              </w:tabs>
            </w:pPr>
            <w:proofErr w:type="spellStart"/>
            <w:r w:rsidRPr="00142563">
              <w:t>Inteliswab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61CC2" w14:textId="77777777" w:rsidR="00287C6D" w:rsidRPr="002E3E47" w:rsidRDefault="00287C6D" w:rsidP="00287C6D">
            <w:r w:rsidRPr="00142563">
              <w:t>$24.00 (box of 2)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A2355" w14:textId="77777777" w:rsidR="00287C6D" w:rsidRPr="002E3E47" w:rsidRDefault="00287C6D" w:rsidP="00287C6D">
            <w:r w:rsidRPr="00287C6D">
              <w:t>08337000158</w:t>
            </w:r>
          </w:p>
        </w:tc>
      </w:tr>
      <w:tr w:rsidR="00287C6D" w:rsidRPr="00B65EDB" w14:paraId="0F165F3E" w14:textId="77777777" w:rsidTr="00287C6D">
        <w:trPr>
          <w:trHeight w:val="4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33F66" w14:textId="77777777" w:rsidR="00287C6D" w:rsidRPr="00287C6D" w:rsidRDefault="00287C6D" w:rsidP="00287C6D">
            <w:pPr>
              <w:tabs>
                <w:tab w:val="center" w:pos="1608"/>
              </w:tabs>
            </w:pPr>
            <w:proofErr w:type="spellStart"/>
            <w:r w:rsidRPr="002E3E47">
              <w:t>QuickVue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40AFD" w14:textId="77777777" w:rsidR="00287C6D" w:rsidRPr="00287C6D" w:rsidRDefault="00287C6D" w:rsidP="00287C6D">
            <w:r w:rsidRPr="002E3E47">
              <w:t>$24.00 (box of 2)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66B11" w14:textId="77777777" w:rsidR="00287C6D" w:rsidRPr="00287C6D" w:rsidRDefault="00287C6D" w:rsidP="00287C6D">
            <w:r w:rsidRPr="002E3E47">
              <w:t>14613033972</w:t>
            </w:r>
          </w:p>
        </w:tc>
      </w:tr>
      <w:tr w:rsidR="00287C6D" w:rsidRPr="00B65EDB" w14:paraId="7CFA0663" w14:textId="77777777" w:rsidTr="00287C6D">
        <w:trPr>
          <w:trHeight w:val="4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08EEF" w14:textId="77777777" w:rsidR="00287C6D" w:rsidRPr="00287C6D" w:rsidRDefault="00287C6D" w:rsidP="00287C6D">
            <w:pPr>
              <w:tabs>
                <w:tab w:val="center" w:pos="1608"/>
              </w:tabs>
            </w:pPr>
            <w:proofErr w:type="spellStart"/>
            <w:r w:rsidRPr="002E3E47">
              <w:t>FlowFlex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8569D" w14:textId="77777777" w:rsidR="00287C6D" w:rsidRPr="00287C6D" w:rsidRDefault="00287C6D" w:rsidP="00287C6D">
            <w:r w:rsidRPr="002E3E47">
              <w:t>$10.00 (box of 1)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FC58A" w14:textId="77777777" w:rsidR="00287C6D" w:rsidRPr="00287C6D" w:rsidRDefault="00287C6D" w:rsidP="00287C6D">
            <w:r w:rsidRPr="002E3E47">
              <w:t>82607066026</w:t>
            </w:r>
          </w:p>
        </w:tc>
      </w:tr>
      <w:tr w:rsidR="00287C6D" w:rsidRPr="00B65EDB" w14:paraId="505E3D79" w14:textId="77777777" w:rsidTr="00287C6D">
        <w:trPr>
          <w:trHeight w:val="4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3FA34" w14:textId="77777777" w:rsidR="00287C6D" w:rsidRPr="00287C6D" w:rsidRDefault="00287C6D" w:rsidP="00287C6D">
            <w:pPr>
              <w:tabs>
                <w:tab w:val="center" w:pos="1608"/>
              </w:tabs>
            </w:pPr>
            <w:proofErr w:type="spellStart"/>
            <w:r w:rsidRPr="00287C6D">
              <w:t>FlowFlex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2687E" w14:textId="77777777" w:rsidR="00287C6D" w:rsidRPr="00287C6D" w:rsidRDefault="00287C6D" w:rsidP="00287C6D">
            <w:r w:rsidRPr="00B65EDB">
              <w:t>$20.00 (box of 2)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F8E2E" w14:textId="77777777" w:rsidR="00287C6D" w:rsidRPr="00287C6D" w:rsidRDefault="00287C6D" w:rsidP="00287C6D">
            <w:r w:rsidRPr="00B65EDB">
              <w:t>82607066027</w:t>
            </w:r>
          </w:p>
        </w:tc>
      </w:tr>
    </w:tbl>
    <w:p w14:paraId="277C83BC" w14:textId="090B0B82" w:rsidR="00374DDF" w:rsidRPr="00142563" w:rsidRDefault="00374DDF" w:rsidP="00BD2339">
      <w:pPr>
        <w:spacing w:before="360"/>
        <w:rPr>
          <w:rFonts w:cs="Calibri"/>
        </w:rPr>
      </w:pPr>
      <w:r w:rsidRPr="00142563">
        <w:rPr>
          <w:rFonts w:cs="Calibri"/>
        </w:rPr>
        <w:t xml:space="preserve">MassHealth anticipates adding additional </w:t>
      </w:r>
      <w:r w:rsidR="0075014D">
        <w:rPr>
          <w:rFonts w:cs="Calibri"/>
        </w:rPr>
        <w:t xml:space="preserve">at-home antigen </w:t>
      </w:r>
      <w:r w:rsidRPr="00142563">
        <w:rPr>
          <w:rFonts w:cs="Calibri"/>
        </w:rPr>
        <w:t xml:space="preserve">self-test kits to the MassHealth Non-Drug Product List.  Please continue to monitor for additions.  </w:t>
      </w:r>
    </w:p>
    <w:p w14:paraId="784F3CC3" w14:textId="649989F0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12DB03D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3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772F4ACF" w14:textId="7CFC6EA2" w:rsidR="00F664CC" w:rsidRPr="009901A7" w:rsidRDefault="00E318DD" w:rsidP="00E27CD8">
      <w:hyperlink r:id="rId14" w:history="1">
        <w:r w:rsidR="006E336C" w:rsidRPr="006E336C">
          <w:rPr>
            <w:rStyle w:val="Hyperlink"/>
          </w:rPr>
          <w:t>S</w:t>
        </w:r>
        <w:r w:rsidR="00F664CC" w:rsidRPr="006E336C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6C55E321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35F7539D" w14:textId="77777777" w:rsidR="00D37F2E" w:rsidRDefault="00D37F2E" w:rsidP="00D37F2E">
      <w:pPr>
        <w:pStyle w:val="Heading3"/>
      </w:pPr>
      <w:r>
        <w:t>Dental Services</w:t>
      </w:r>
    </w:p>
    <w:p w14:paraId="6C4F73CB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Phone: (800) 207-5019; TTY: (800) 466-7566</w:t>
      </w:r>
    </w:p>
    <w:p w14:paraId="289D118C" w14:textId="77777777" w:rsidR="00811568" w:rsidRDefault="00811568" w:rsidP="00D37F2E">
      <w:pPr>
        <w:pStyle w:val="Heading3"/>
      </w:pPr>
    </w:p>
    <w:p w14:paraId="3F1A10B5" w14:textId="77777777" w:rsidR="00D37F2E" w:rsidRDefault="00D37F2E" w:rsidP="00D37F2E">
      <w:pPr>
        <w:pStyle w:val="Heading3"/>
      </w:pPr>
      <w:r>
        <w:t>Long-Term Services and Supports</w:t>
      </w:r>
    </w:p>
    <w:p w14:paraId="65FFC133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Phone: (844) 368-5184 (toll free)</w:t>
      </w:r>
    </w:p>
    <w:p w14:paraId="1FA3AC61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Email: support@masshealthltss.com</w:t>
      </w:r>
    </w:p>
    <w:p w14:paraId="6518B976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Portal: MassHealthLTSS.com</w:t>
      </w:r>
    </w:p>
    <w:p w14:paraId="008FD4DD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Mail: MassHealth LTSS, PO Box 159108, Boston, MA 02215</w:t>
      </w:r>
    </w:p>
    <w:p w14:paraId="28E5D277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Fax: (888) 832-3006</w:t>
      </w:r>
    </w:p>
    <w:p w14:paraId="13C7F135" w14:textId="77777777" w:rsidR="00D37F2E" w:rsidRDefault="00D37F2E" w:rsidP="00D37F2E">
      <w:pPr>
        <w:pStyle w:val="Heading3"/>
      </w:pPr>
      <w:r>
        <w:t>All Other Provider Types</w:t>
      </w:r>
    </w:p>
    <w:p w14:paraId="787D324A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Phone: (800) 841-2900; TTY: (800) 497-4648</w:t>
      </w:r>
    </w:p>
    <w:p w14:paraId="75FF33A2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Email: providersupport@mahealth.net</w:t>
      </w:r>
    </w:p>
    <w:p w14:paraId="5A6CC1EA" w14:textId="77777777" w:rsidR="00D37F2E" w:rsidRPr="00F664CC" w:rsidRDefault="00D37F2E" w:rsidP="00D37F2E">
      <w:pPr>
        <w:pStyle w:val="BodyTextIndent"/>
        <w:spacing w:before="0" w:after="0" w:afterAutospacing="0"/>
        <w:ind w:left="720"/>
      </w:pPr>
      <w:r>
        <w:t>Fax: (617) 988-8974</w:t>
      </w:r>
    </w:p>
    <w:p w14:paraId="195815C9" w14:textId="77777777" w:rsidR="00CC1E11" w:rsidRPr="00F664CC" w:rsidRDefault="00CC1E11" w:rsidP="00E27CD8"/>
    <w:sectPr w:rsidR="00CC1E11" w:rsidRPr="00F664CC" w:rsidSect="0059142C">
      <w:footerReference w:type="default" r:id="rId15"/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7CD80" w14:textId="77777777" w:rsidR="00E318DD" w:rsidRDefault="00E318DD" w:rsidP="00E27CD8">
      <w:r>
        <w:separator/>
      </w:r>
    </w:p>
  </w:endnote>
  <w:endnote w:type="continuationSeparator" w:id="0">
    <w:p w14:paraId="334B826C" w14:textId="77777777" w:rsidR="00E318DD" w:rsidRDefault="00E318DD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AA610" w14:textId="77777777" w:rsidR="00CC1E11" w:rsidRPr="00CC1E11" w:rsidRDefault="00CC1E11" w:rsidP="008B04CE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B4B75" w14:textId="7B7DEA93" w:rsidR="00811568" w:rsidRPr="00811568" w:rsidRDefault="00811568" w:rsidP="00811568">
    <w:pPr>
      <w:jc w:val="right"/>
      <w:rPr>
        <w:rFonts w:ascii="Bookman Old Style" w:hAnsi="Bookman Old Style"/>
        <w:i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64C7E" w14:textId="77777777" w:rsidR="00E318DD" w:rsidRDefault="00E318DD" w:rsidP="00E27CD8">
      <w:r>
        <w:separator/>
      </w:r>
    </w:p>
  </w:footnote>
  <w:footnote w:type="continuationSeparator" w:id="0">
    <w:p w14:paraId="6BE22455" w14:textId="77777777" w:rsidR="00E318DD" w:rsidRDefault="00E318DD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CDBF8" w14:textId="77777777" w:rsidR="00142563" w:rsidRDefault="00142563" w:rsidP="00142563">
    <w:pPr>
      <w:pStyle w:val="BullsHeading"/>
      <w:spacing w:before="600" w:line="240" w:lineRule="auto"/>
    </w:pPr>
  </w:p>
  <w:p w14:paraId="7BB142F5" w14:textId="77777777" w:rsidR="00AD204A" w:rsidRPr="00F664CC" w:rsidRDefault="00AD204A" w:rsidP="00142563">
    <w:pPr>
      <w:pStyle w:val="BullsHeading"/>
      <w:spacing w:before="120" w:line="240" w:lineRule="auto"/>
    </w:pPr>
    <w:r w:rsidRPr="00F664CC">
      <w:t>MassHealth</w:t>
    </w:r>
  </w:p>
  <w:p w14:paraId="5A62BA59" w14:textId="7A0936F3" w:rsidR="00AD204A" w:rsidRPr="00F664CC" w:rsidRDefault="00B65EDB" w:rsidP="00AD204A">
    <w:pPr>
      <w:pStyle w:val="BullsHeading"/>
    </w:pPr>
    <w:r>
      <w:t xml:space="preserve">All Provider Bulletin </w:t>
    </w:r>
    <w:r w:rsidR="00C3104B">
      <w:t>337</w:t>
    </w:r>
  </w:p>
  <w:p w14:paraId="1893C03A" w14:textId="6055EFE4" w:rsidR="00AD204A" w:rsidRDefault="00142563" w:rsidP="00AD204A">
    <w:pPr>
      <w:pStyle w:val="BullsHeading"/>
    </w:pPr>
    <w:r>
      <w:t>January 2022</w:t>
    </w:r>
  </w:p>
  <w:p w14:paraId="77422704" w14:textId="7DCAAE3B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730EC1">
      <w:rPr>
        <w:noProof/>
      </w:rPr>
      <w:t>2</w:t>
    </w:r>
    <w:r>
      <w:fldChar w:fldCharType="end"/>
    </w:r>
    <w:r>
      <w:t xml:space="preserve"> of </w:t>
    </w:r>
    <w:r w:rsidR="00811568"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F5748"/>
    <w:multiLevelType w:val="hybridMultilevel"/>
    <w:tmpl w:val="925AF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im Hoitink">
    <w15:presenceInfo w15:providerId="Windows Live" w15:userId="acc9af97463148dd"/>
  </w15:person>
  <w15:person w15:author="Vangel, Vic (EHS)">
    <w15:presenceInfo w15:providerId="AD" w15:userId="S::vic.vangel@mass.gov::c16b62f5-f3ce-47ca-9462-9e2fd6e4d8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22E88"/>
    <w:rsid w:val="000A6823"/>
    <w:rsid w:val="000B05C6"/>
    <w:rsid w:val="000D3DB5"/>
    <w:rsid w:val="00140460"/>
    <w:rsid w:val="00142563"/>
    <w:rsid w:val="00150BCC"/>
    <w:rsid w:val="0015227A"/>
    <w:rsid w:val="001554E7"/>
    <w:rsid w:val="001608FF"/>
    <w:rsid w:val="001611A7"/>
    <w:rsid w:val="001634DD"/>
    <w:rsid w:val="00170328"/>
    <w:rsid w:val="001F5B9D"/>
    <w:rsid w:val="00221556"/>
    <w:rsid w:val="002501CF"/>
    <w:rsid w:val="0026605E"/>
    <w:rsid w:val="0028720F"/>
    <w:rsid w:val="00287C6D"/>
    <w:rsid w:val="00293B06"/>
    <w:rsid w:val="002D39D9"/>
    <w:rsid w:val="002E3E47"/>
    <w:rsid w:val="002F2993"/>
    <w:rsid w:val="002F3E5E"/>
    <w:rsid w:val="002F4C6A"/>
    <w:rsid w:val="00301FD1"/>
    <w:rsid w:val="00374DDF"/>
    <w:rsid w:val="003A7588"/>
    <w:rsid w:val="003E2878"/>
    <w:rsid w:val="004135C3"/>
    <w:rsid w:val="0043202E"/>
    <w:rsid w:val="004A7718"/>
    <w:rsid w:val="004C4089"/>
    <w:rsid w:val="004F4B9A"/>
    <w:rsid w:val="005068BD"/>
    <w:rsid w:val="00507CFF"/>
    <w:rsid w:val="00555C0F"/>
    <w:rsid w:val="0058634E"/>
    <w:rsid w:val="00587B05"/>
    <w:rsid w:val="0059142C"/>
    <w:rsid w:val="005914D0"/>
    <w:rsid w:val="005B27F1"/>
    <w:rsid w:val="005B5A85"/>
    <w:rsid w:val="005D071C"/>
    <w:rsid w:val="005D2B66"/>
    <w:rsid w:val="005E4B62"/>
    <w:rsid w:val="005F2B69"/>
    <w:rsid w:val="006941BF"/>
    <w:rsid w:val="00696EA9"/>
    <w:rsid w:val="006C70F9"/>
    <w:rsid w:val="006C714C"/>
    <w:rsid w:val="006D28F9"/>
    <w:rsid w:val="006D3F15"/>
    <w:rsid w:val="006E336C"/>
    <w:rsid w:val="00702872"/>
    <w:rsid w:val="00706438"/>
    <w:rsid w:val="00721C23"/>
    <w:rsid w:val="00730EC1"/>
    <w:rsid w:val="00744330"/>
    <w:rsid w:val="0075014D"/>
    <w:rsid w:val="0076009E"/>
    <w:rsid w:val="00777A22"/>
    <w:rsid w:val="00795E06"/>
    <w:rsid w:val="007F7DBF"/>
    <w:rsid w:val="00811568"/>
    <w:rsid w:val="008201CC"/>
    <w:rsid w:val="00825800"/>
    <w:rsid w:val="00863041"/>
    <w:rsid w:val="008B04CE"/>
    <w:rsid w:val="008B19BF"/>
    <w:rsid w:val="008B6E51"/>
    <w:rsid w:val="008D06AA"/>
    <w:rsid w:val="008D60BB"/>
    <w:rsid w:val="00914588"/>
    <w:rsid w:val="00920C2F"/>
    <w:rsid w:val="00922F04"/>
    <w:rsid w:val="00933EE1"/>
    <w:rsid w:val="00936CC5"/>
    <w:rsid w:val="00977491"/>
    <w:rsid w:val="009811A1"/>
    <w:rsid w:val="00982839"/>
    <w:rsid w:val="009B3434"/>
    <w:rsid w:val="009C0DB2"/>
    <w:rsid w:val="009C68EC"/>
    <w:rsid w:val="009F365E"/>
    <w:rsid w:val="009F3B5F"/>
    <w:rsid w:val="00A37681"/>
    <w:rsid w:val="00A772C1"/>
    <w:rsid w:val="00A95FC1"/>
    <w:rsid w:val="00AA6085"/>
    <w:rsid w:val="00AD204A"/>
    <w:rsid w:val="00AD6899"/>
    <w:rsid w:val="00AF0317"/>
    <w:rsid w:val="00AF191C"/>
    <w:rsid w:val="00B07378"/>
    <w:rsid w:val="00B65EDB"/>
    <w:rsid w:val="00B73653"/>
    <w:rsid w:val="00B779A6"/>
    <w:rsid w:val="00BB39F4"/>
    <w:rsid w:val="00BB7256"/>
    <w:rsid w:val="00BC3755"/>
    <w:rsid w:val="00BD2339"/>
    <w:rsid w:val="00BD2DAF"/>
    <w:rsid w:val="00C024A2"/>
    <w:rsid w:val="00C3104B"/>
    <w:rsid w:val="00C75881"/>
    <w:rsid w:val="00C81B56"/>
    <w:rsid w:val="00C8234C"/>
    <w:rsid w:val="00C8716E"/>
    <w:rsid w:val="00C975AF"/>
    <w:rsid w:val="00CC1E11"/>
    <w:rsid w:val="00CD456D"/>
    <w:rsid w:val="00D251FF"/>
    <w:rsid w:val="00D37F2E"/>
    <w:rsid w:val="00D75D81"/>
    <w:rsid w:val="00D86B62"/>
    <w:rsid w:val="00DD3293"/>
    <w:rsid w:val="00E01D80"/>
    <w:rsid w:val="00E27CD8"/>
    <w:rsid w:val="00E318DD"/>
    <w:rsid w:val="00E34DE6"/>
    <w:rsid w:val="00E42DB4"/>
    <w:rsid w:val="00E443C5"/>
    <w:rsid w:val="00E87CE8"/>
    <w:rsid w:val="00E9748A"/>
    <w:rsid w:val="00EC20A0"/>
    <w:rsid w:val="00ED497C"/>
    <w:rsid w:val="00F4757A"/>
    <w:rsid w:val="00F5262E"/>
    <w:rsid w:val="00F60574"/>
    <w:rsid w:val="00F664CC"/>
    <w:rsid w:val="00F73D6F"/>
    <w:rsid w:val="00F74F30"/>
    <w:rsid w:val="00F95B8A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125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B65E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E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EDB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62E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227A"/>
    <w:pPr>
      <w:spacing w:after="0" w:line="240" w:lineRule="auto"/>
    </w:pPr>
    <w:rPr>
      <w:rFonts w:ascii="Georgia" w:eastAsia="Times New Roman" w:hAnsi="Georg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B65E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E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EDB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62E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227A"/>
    <w:pPr>
      <w:spacing w:after="0" w:line="240" w:lineRule="auto"/>
    </w:pPr>
    <w:rPr>
      <w:rFonts w:ascii="Georgia" w:eastAsia="Times New Roman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ss.gov/masshealth-provider-bulletin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mass.gov/masshealth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mass.gov/forms/email-notifications-for-masshealth-provider-bulletins-and-transmittal-lette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D1FE7-5ACC-47D6-A893-AEF2776A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Peter Lee</cp:lastModifiedBy>
  <cp:revision>2</cp:revision>
  <cp:lastPrinted>2022-01-05T22:40:00Z</cp:lastPrinted>
  <dcterms:created xsi:type="dcterms:W3CDTF">2022-01-14T20:58:00Z</dcterms:created>
  <dcterms:modified xsi:type="dcterms:W3CDTF">2022-01-14T20:58:00Z</dcterms:modified>
</cp:coreProperties>
</file>