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31AB" w14:textId="426CDAB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1A6527"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proofErr w:type="spellStart"/>
      <w:r w:rsidRPr="00150BCC">
        <w:t>MassHealth</w:t>
      </w:r>
      <w:proofErr w:type="spellEnd"/>
    </w:p>
    <w:p w14:paraId="20F4176F" w14:textId="26F420EC" w:rsidR="00F664CC" w:rsidRPr="005B27F1" w:rsidRDefault="00874C51" w:rsidP="005B27F1">
      <w:pPr>
        <w:pStyle w:val="Heading1"/>
      </w:pPr>
      <w:r>
        <w:t xml:space="preserve">All </w:t>
      </w:r>
      <w:r w:rsidR="00E908C3">
        <w:t>Provider Bulletin 341</w:t>
      </w:r>
    </w:p>
    <w:p w14:paraId="4F33B7C5" w14:textId="72C2940A" w:rsidR="00F664CC" w:rsidRPr="00150BCC" w:rsidRDefault="00874C51" w:rsidP="00150BCC">
      <w:pPr>
        <w:pStyle w:val="BullsHeading"/>
      </w:pPr>
      <w:r>
        <w:t>March 2022</w:t>
      </w:r>
    </w:p>
    <w:p w14:paraId="0E1DCE1F" w14:textId="77777777" w:rsidR="00F664CC" w:rsidRDefault="00F664CC" w:rsidP="00E27CD8"/>
    <w:p w14:paraId="28792EAA"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48CF80CE" w:rsidR="00F664CC" w:rsidRPr="00F664CC" w:rsidRDefault="00F664CC" w:rsidP="00E27CD8">
      <w:r w:rsidRPr="00F664CC">
        <w:rPr>
          <w:b/>
        </w:rPr>
        <w:t>TO</w:t>
      </w:r>
      <w:r w:rsidRPr="00F664CC">
        <w:t>:</w:t>
      </w:r>
      <w:r>
        <w:tab/>
      </w:r>
      <w:r w:rsidR="00874C51">
        <w:t xml:space="preserve">All </w:t>
      </w:r>
      <w:r w:rsidRPr="00F664CC">
        <w:t>Provider</w:t>
      </w:r>
      <w:r w:rsidR="00874C51">
        <w:t>s</w:t>
      </w:r>
      <w:r w:rsidRPr="00F664CC">
        <w:t xml:space="preserve"> Participating in </w:t>
      </w:r>
      <w:proofErr w:type="spellStart"/>
      <w:r w:rsidRPr="00F664CC">
        <w:t>MassHealth</w:t>
      </w:r>
      <w:proofErr w:type="spellEnd"/>
    </w:p>
    <w:p w14:paraId="36385E61" w14:textId="5712F35E" w:rsidR="00F664CC" w:rsidRPr="00F664CC" w:rsidRDefault="00F664CC" w:rsidP="008C544A">
      <w:pPr>
        <w:ind w:left="1440" w:hanging="1080"/>
      </w:pPr>
      <w:r w:rsidRPr="00F664CC">
        <w:rPr>
          <w:b/>
        </w:rPr>
        <w:t>FROM</w:t>
      </w:r>
      <w:r w:rsidRPr="00F664CC">
        <w:t>:</w:t>
      </w:r>
      <w:r>
        <w:tab/>
      </w:r>
      <w:r w:rsidR="001611A7">
        <w:t>Amanda Cassel Kraft</w:t>
      </w:r>
      <w:r w:rsidR="00AA6085">
        <w:t xml:space="preserve">, Assistant Secretary for </w:t>
      </w:r>
      <w:proofErr w:type="spellStart"/>
      <w:r w:rsidR="00AA6085">
        <w:t>MassHealth</w:t>
      </w:r>
      <w:proofErr w:type="spellEnd"/>
      <w:r w:rsidR="00345145">
        <w:t xml:space="preserve"> </w:t>
      </w:r>
      <w:r w:rsidR="008C544A">
        <w:t>[signature of Amanda Cassel Kraft]</w:t>
      </w:r>
    </w:p>
    <w:p w14:paraId="2B897D17" w14:textId="17B7E58B" w:rsidR="00F664CC" w:rsidRPr="00F664CC" w:rsidRDefault="00F664CC" w:rsidP="00874C51">
      <w:pPr>
        <w:pStyle w:val="SubjectLine"/>
        <w:spacing w:after="100"/>
        <w:ind w:left="1440" w:hanging="1080"/>
      </w:pPr>
      <w:r w:rsidRPr="00F664CC">
        <w:t>RE:</w:t>
      </w:r>
      <w:r w:rsidR="00BD2DAF">
        <w:tab/>
      </w:r>
      <w:r w:rsidR="003752D1">
        <w:rPr>
          <w:bCs/>
        </w:rPr>
        <w:t>Coverage of and Payment for the Administration of (1)</w:t>
      </w:r>
      <w:r w:rsidR="003752D1">
        <w:t xml:space="preserve"> </w:t>
      </w:r>
      <w:proofErr w:type="spellStart"/>
      <w:r w:rsidR="003752D1">
        <w:rPr>
          <w:bCs/>
        </w:rPr>
        <w:t>Tixagevimab</w:t>
      </w:r>
      <w:proofErr w:type="spellEnd"/>
      <w:r w:rsidR="003752D1">
        <w:rPr>
          <w:bCs/>
        </w:rPr>
        <w:t xml:space="preserve"> Co-Packaged with </w:t>
      </w:r>
      <w:proofErr w:type="spellStart"/>
      <w:r w:rsidR="003752D1">
        <w:rPr>
          <w:bCs/>
        </w:rPr>
        <w:t>Cilgavimab</w:t>
      </w:r>
      <w:proofErr w:type="spellEnd"/>
      <w:r w:rsidR="003752D1">
        <w:rPr>
          <w:bCs/>
        </w:rPr>
        <w:t xml:space="preserve">, and (2) </w:t>
      </w:r>
      <w:proofErr w:type="spellStart"/>
      <w:r w:rsidR="003752D1">
        <w:rPr>
          <w:color w:val="000000"/>
        </w:rPr>
        <w:t>Bebtelovimab</w:t>
      </w:r>
      <w:proofErr w:type="spellEnd"/>
    </w:p>
    <w:p w14:paraId="5490AAA1" w14:textId="6EF61F3E" w:rsidR="00F664CC" w:rsidRPr="005B27F1" w:rsidRDefault="00874C51" w:rsidP="00E27CD8">
      <w:pPr>
        <w:pStyle w:val="Heading2"/>
      </w:pPr>
      <w:r>
        <w:t>Background</w:t>
      </w:r>
    </w:p>
    <w:p w14:paraId="0C8D5CD7" w14:textId="024A9BF2" w:rsidR="00874C51" w:rsidRPr="001A5CB4" w:rsidRDefault="00874C51" w:rsidP="00874C51">
      <w:r w:rsidRPr="001A5CB4">
        <w:t xml:space="preserve">On December 8, 2021, the U.S. Food and Drug Administration (FDA) granted emergency use authorization (EUA) for </w:t>
      </w:r>
      <w:proofErr w:type="spellStart"/>
      <w:r w:rsidRPr="001A5CB4">
        <w:t>Evusheld</w:t>
      </w:r>
      <w:proofErr w:type="spellEnd"/>
      <w:r w:rsidRPr="001A5CB4">
        <w:t xml:space="preserve"> (</w:t>
      </w:r>
      <w:proofErr w:type="spellStart"/>
      <w:r w:rsidR="006A478E">
        <w:t>t</w:t>
      </w:r>
      <w:r w:rsidRPr="001A5CB4">
        <w:t>ixagevimab</w:t>
      </w:r>
      <w:proofErr w:type="spellEnd"/>
      <w:r w:rsidRPr="001A5CB4">
        <w:t xml:space="preserve"> co-packaged with </w:t>
      </w:r>
      <w:proofErr w:type="spellStart"/>
      <w:r w:rsidR="006A478E">
        <w:t>c</w:t>
      </w:r>
      <w:r w:rsidRPr="001A5CB4">
        <w:t>ilgavimab</w:t>
      </w:r>
      <w:proofErr w:type="spellEnd"/>
      <w:r w:rsidRPr="001A5CB4">
        <w:t xml:space="preserve">) for the pre-exposure prophylaxis of </w:t>
      </w:r>
      <w:r>
        <w:t>Coronavirus Disease 2019 (</w:t>
      </w:r>
      <w:r w:rsidRPr="001A5CB4">
        <w:t>COVID-19</w:t>
      </w:r>
      <w:r>
        <w:t>)</w:t>
      </w:r>
      <w:r w:rsidRPr="001A5CB4">
        <w:t xml:space="preserve">. </w:t>
      </w:r>
      <w:proofErr w:type="spellStart"/>
      <w:r w:rsidRPr="001A5CB4">
        <w:t>MassHealth</w:t>
      </w:r>
      <w:proofErr w:type="spellEnd"/>
      <w:r w:rsidRPr="001A5CB4">
        <w:t xml:space="preserve"> announced coverage for this in </w:t>
      </w:r>
      <w:hyperlink r:id="rId11" w:history="1">
        <w:r w:rsidRPr="00874C51">
          <w:rPr>
            <w:rStyle w:val="Hyperlink"/>
          </w:rPr>
          <w:t>All Provider Bullet 336</w:t>
        </w:r>
      </w:hyperlink>
      <w:r w:rsidRPr="00874C51">
        <w:t xml:space="preserve">. </w:t>
      </w:r>
      <w:r w:rsidRPr="001A5CB4">
        <w:t xml:space="preserve">On February 24, 2022, </w:t>
      </w:r>
      <w:r>
        <w:t xml:space="preserve">the </w:t>
      </w:r>
      <w:r w:rsidRPr="001A5CB4">
        <w:t xml:space="preserve">FDA revised the </w:t>
      </w:r>
      <w:r>
        <w:t>EUA</w:t>
      </w:r>
      <w:r w:rsidRPr="001A5CB4">
        <w:t xml:space="preserve"> for</w:t>
      </w:r>
      <w:r>
        <w:t xml:space="preserve"> </w:t>
      </w:r>
      <w:proofErr w:type="spellStart"/>
      <w:r w:rsidR="006A478E">
        <w:t>t</w:t>
      </w:r>
      <w:r w:rsidRPr="001A5CB4">
        <w:t>ixagevimab</w:t>
      </w:r>
      <w:proofErr w:type="spellEnd"/>
      <w:r w:rsidRPr="001A5CB4">
        <w:t xml:space="preserve"> co-packaged with </w:t>
      </w:r>
      <w:proofErr w:type="spellStart"/>
      <w:r w:rsidR="006A478E">
        <w:t>c</w:t>
      </w:r>
      <w:r w:rsidRPr="001A5CB4">
        <w:t>ilgavimab</w:t>
      </w:r>
      <w:proofErr w:type="spellEnd"/>
      <w:r w:rsidRPr="001A5CB4">
        <w:t xml:space="preserve"> to change the initial dose for the authorized use as pre-exposure prophylaxis of COVID-19 in certain adults and pediatric patients. </w:t>
      </w:r>
      <w:proofErr w:type="spellStart"/>
      <w:r w:rsidRPr="001A5CB4">
        <w:t>MassHealth</w:t>
      </w:r>
      <w:proofErr w:type="spellEnd"/>
      <w:r w:rsidRPr="001A5CB4">
        <w:t xml:space="preserve"> will cover </w:t>
      </w:r>
      <w:proofErr w:type="spellStart"/>
      <w:r w:rsidR="006A478E">
        <w:t>t</w:t>
      </w:r>
      <w:r w:rsidRPr="001A5CB4">
        <w:t>ixagevimab</w:t>
      </w:r>
      <w:proofErr w:type="spellEnd"/>
      <w:r w:rsidRPr="001A5CB4">
        <w:t xml:space="preserve"> co-packaged with </w:t>
      </w:r>
      <w:proofErr w:type="spellStart"/>
      <w:r w:rsidR="006A478E">
        <w:t>c</w:t>
      </w:r>
      <w:r w:rsidRPr="001A5CB4">
        <w:t>ilgavimab</w:t>
      </w:r>
      <w:proofErr w:type="spellEnd"/>
      <w:r w:rsidRPr="001A5CB4">
        <w:t xml:space="preserve"> consistent with the EUA.  </w:t>
      </w:r>
    </w:p>
    <w:p w14:paraId="262F642C" w14:textId="034D457F" w:rsidR="00874C51" w:rsidRPr="001A5CB4" w:rsidRDefault="00874C51" w:rsidP="00874C51">
      <w:r w:rsidRPr="001A5CB4">
        <w:t xml:space="preserve">In addition, on February 11, 2022, </w:t>
      </w:r>
      <w:r>
        <w:t xml:space="preserve">the </w:t>
      </w:r>
      <w:r w:rsidRPr="001A5CB4">
        <w:t xml:space="preserve">FDA granted EUA for monoclonal antibody </w:t>
      </w:r>
      <w:proofErr w:type="spellStart"/>
      <w:r w:rsidR="006A478E">
        <w:t>b</w:t>
      </w:r>
      <w:r w:rsidRPr="001A5CB4">
        <w:t>ebtelovimab</w:t>
      </w:r>
      <w:proofErr w:type="spellEnd"/>
      <w:r>
        <w:t xml:space="preserve"> for the treatment of COVID-19</w:t>
      </w:r>
      <w:r w:rsidRPr="001A5CB4">
        <w:t xml:space="preserve">. Through this bulletin, </w:t>
      </w:r>
      <w:proofErr w:type="spellStart"/>
      <w:r w:rsidRPr="001A5CB4">
        <w:t>MassHealth</w:t>
      </w:r>
      <w:proofErr w:type="spellEnd"/>
      <w:r w:rsidRPr="001A5CB4">
        <w:t xml:space="preserve"> will cover this service consistent with the EUA. </w:t>
      </w:r>
    </w:p>
    <w:p w14:paraId="0322AB14" w14:textId="3AB6DB0A" w:rsidR="00874C51" w:rsidRDefault="00874C51" w:rsidP="00874C51">
      <w:pPr>
        <w:spacing w:after="240"/>
      </w:pPr>
      <w:r w:rsidRPr="001A5CB4">
        <w:t xml:space="preserve">This bulletin applies to members enrolled in </w:t>
      </w:r>
      <w:proofErr w:type="spellStart"/>
      <w:r w:rsidRPr="001A5CB4">
        <w:t>MassHealth</w:t>
      </w:r>
      <w:proofErr w:type="spellEnd"/>
      <w:r w:rsidRPr="001A5CB4">
        <w:t xml:space="preserve"> fee-for-service</w:t>
      </w:r>
      <w:r>
        <w:t>, the Primary Care Clinician (PCC) plan</w:t>
      </w:r>
      <w:r w:rsidR="003749C4">
        <w:t>,</w:t>
      </w:r>
      <w:r>
        <w:t xml:space="preserve"> and Primary Care ACOs (PCACOs). </w:t>
      </w:r>
    </w:p>
    <w:p w14:paraId="6409CF7E" w14:textId="5F8E071E" w:rsidR="00874C51" w:rsidRPr="001A5CB4" w:rsidRDefault="00874C51" w:rsidP="00874C51">
      <w:pPr>
        <w:spacing w:after="240"/>
      </w:pPr>
      <w:proofErr w:type="spellStart"/>
      <w:r>
        <w:t>MassHealth</w:t>
      </w:r>
      <w:proofErr w:type="spellEnd"/>
      <w:r>
        <w:t xml:space="preserve"> Accountable Care Partnership Plans (ACPPs), Managed Care Organizations, Senior Care Organizations (SCOs), One Care plans, </w:t>
      </w:r>
      <w:r w:rsidRPr="001A5CB4">
        <w:t>and Program</w:t>
      </w:r>
      <w:r>
        <w:t>s</w:t>
      </w:r>
      <w:r w:rsidRPr="001A5CB4">
        <w:t xml:space="preserve"> of All-inclusive Care for the Elderly (PACE)</w:t>
      </w:r>
      <w:r>
        <w:t xml:space="preserve"> must provide plan-covered services to enrollees in an amount, duration, and scope that is no more restrictive than </w:t>
      </w:r>
      <w:proofErr w:type="spellStart"/>
      <w:r>
        <w:t>MassHealth</w:t>
      </w:r>
      <w:proofErr w:type="spellEnd"/>
      <w:r>
        <w:t xml:space="preserve"> fee-for-service coverage for such services, including as set forth in this bulletin.</w:t>
      </w:r>
    </w:p>
    <w:p w14:paraId="6769FB93" w14:textId="77777777" w:rsidR="00874C51" w:rsidRPr="001A5CB4" w:rsidRDefault="00874C51" w:rsidP="00874C51">
      <w:pPr>
        <w:pStyle w:val="BodyTextIndent"/>
        <w:spacing w:before="0" w:after="240"/>
        <w:rPr>
          <w:rStyle w:val="Heading2Char"/>
          <w:sz w:val="22"/>
          <w:szCs w:val="22"/>
        </w:rPr>
      </w:pPr>
      <w:r w:rsidRPr="001A5CB4">
        <w:rPr>
          <w:rStyle w:val="Heading2Char"/>
          <w:sz w:val="22"/>
          <w:szCs w:val="22"/>
        </w:rPr>
        <w:t xml:space="preserve">Coverage of and Payment for the Administration of </w:t>
      </w:r>
      <w:proofErr w:type="spellStart"/>
      <w:r w:rsidRPr="001A5CB4">
        <w:rPr>
          <w:rStyle w:val="Heading2Char"/>
          <w:sz w:val="22"/>
          <w:szCs w:val="22"/>
        </w:rPr>
        <w:t>Tixagevimab</w:t>
      </w:r>
      <w:proofErr w:type="spellEnd"/>
      <w:r w:rsidRPr="001A5CB4">
        <w:rPr>
          <w:rStyle w:val="Heading2Char"/>
          <w:sz w:val="22"/>
          <w:szCs w:val="22"/>
        </w:rPr>
        <w:t xml:space="preserve"> Co-Packaged with </w:t>
      </w:r>
      <w:proofErr w:type="spellStart"/>
      <w:r w:rsidRPr="001A5CB4">
        <w:rPr>
          <w:rStyle w:val="Heading2Char"/>
          <w:sz w:val="22"/>
          <w:szCs w:val="22"/>
        </w:rPr>
        <w:t>Cilgavimab</w:t>
      </w:r>
      <w:proofErr w:type="spellEnd"/>
      <w:r w:rsidRPr="001A5CB4">
        <w:rPr>
          <w:rStyle w:val="Heading2Char"/>
          <w:sz w:val="22"/>
          <w:szCs w:val="22"/>
        </w:rPr>
        <w:t xml:space="preserve"> for the Pre-Exposure Prophylaxis of COVID-19</w:t>
      </w:r>
    </w:p>
    <w:p w14:paraId="67E52F56" w14:textId="47C7C5B3" w:rsidR="00874C51" w:rsidRPr="001A5CB4" w:rsidRDefault="00874C51" w:rsidP="00915210">
      <w:r w:rsidRPr="001A5CB4">
        <w:t xml:space="preserve">Effective for dates of service on or after December 8, 2021, </w:t>
      </w:r>
      <w:proofErr w:type="spellStart"/>
      <w:r w:rsidRPr="001A5CB4">
        <w:t>MassHealth</w:t>
      </w:r>
      <w:proofErr w:type="spellEnd"/>
      <w:r w:rsidRPr="001A5CB4">
        <w:t xml:space="preserve"> </w:t>
      </w:r>
      <w:r>
        <w:t>covers</w:t>
      </w:r>
      <w:r w:rsidRPr="001A5CB4">
        <w:t xml:space="preserve"> the administration of </w:t>
      </w:r>
      <w:proofErr w:type="spellStart"/>
      <w:r w:rsidR="006A478E">
        <w:t>t</w:t>
      </w:r>
      <w:r w:rsidRPr="001A5CB4">
        <w:t>ixagevimab</w:t>
      </w:r>
      <w:proofErr w:type="spellEnd"/>
      <w:r w:rsidRPr="001A5CB4">
        <w:t xml:space="preserve"> co-packaged with </w:t>
      </w:r>
      <w:proofErr w:type="spellStart"/>
      <w:r w:rsidR="006A478E">
        <w:t>c</w:t>
      </w:r>
      <w:r w:rsidRPr="001A5CB4">
        <w:t>ilgavimab</w:t>
      </w:r>
      <w:proofErr w:type="spellEnd"/>
      <w:r w:rsidRPr="001A5CB4">
        <w:t xml:space="preserve"> by providers enrolled in the </w:t>
      </w:r>
      <w:proofErr w:type="spellStart"/>
      <w:r w:rsidRPr="001A5CB4">
        <w:t>MassHealth</w:t>
      </w:r>
      <w:proofErr w:type="spellEnd"/>
      <w:r w:rsidRPr="001A5CB4">
        <w:t xml:space="preserve"> acute outpatient hospital, community health center, and physician programs for pre-exposure prophylaxis of COVID-19 when the injections are administered in a manner fully compliant with the FDA’s EUA. For additional information, please see the FDA’s </w:t>
      </w:r>
      <w:hyperlink r:id="rId12" w:history="1">
        <w:r w:rsidRPr="001A5CB4">
          <w:rPr>
            <w:rStyle w:val="Hyperlink"/>
            <w:rFonts w:eastAsiaTheme="majorEastAsia"/>
          </w:rPr>
          <w:t>EUA</w:t>
        </w:r>
      </w:hyperlink>
      <w:r w:rsidRPr="001A5CB4">
        <w:t xml:space="preserve"> and its accompanying </w:t>
      </w:r>
      <w:hyperlink r:id="rId13" w:history="1">
        <w:r w:rsidRPr="001A5CB4">
          <w:rPr>
            <w:rStyle w:val="Hyperlink"/>
            <w:rFonts w:eastAsiaTheme="majorEastAsia"/>
          </w:rPr>
          <w:t>Fact Sheet for Healthcare Providers</w:t>
        </w:r>
      </w:hyperlink>
      <w:r w:rsidRPr="001A5CB4">
        <w:t xml:space="preserve">.  </w:t>
      </w:r>
    </w:p>
    <w:p w14:paraId="68814BF3" w14:textId="77777777" w:rsidR="00915210" w:rsidRDefault="00874C51" w:rsidP="00874C51">
      <w:pPr>
        <w:spacing w:after="0"/>
      </w:pPr>
      <w:r w:rsidRPr="001A5CB4">
        <w:t xml:space="preserve">Previously, the authorized </w:t>
      </w:r>
      <w:proofErr w:type="spellStart"/>
      <w:r w:rsidRPr="001A5CB4">
        <w:t>Evusheld</w:t>
      </w:r>
      <w:proofErr w:type="spellEnd"/>
      <w:r w:rsidRPr="001A5CB4">
        <w:t xml:space="preserve"> dosage was 150 mg of </w:t>
      </w:r>
      <w:proofErr w:type="spellStart"/>
      <w:r w:rsidRPr="001A5CB4">
        <w:t>tixagevimab</w:t>
      </w:r>
      <w:proofErr w:type="spellEnd"/>
      <w:r w:rsidRPr="001A5CB4">
        <w:t xml:space="preserve"> and 150 mg of </w:t>
      </w:r>
      <w:proofErr w:type="spellStart"/>
      <w:r w:rsidRPr="001A5CB4">
        <w:t>cilgavimab</w:t>
      </w:r>
      <w:proofErr w:type="spellEnd"/>
      <w:r w:rsidRPr="001A5CB4">
        <w:t xml:space="preserve"> administered as two separate consecutive intramuscular injections, with repeat doses every six </w:t>
      </w:r>
    </w:p>
    <w:p w14:paraId="5E55D686" w14:textId="56C68433" w:rsidR="00874C51" w:rsidRPr="001A5CB4" w:rsidRDefault="00874C51" w:rsidP="00874C51">
      <w:pPr>
        <w:spacing w:after="0"/>
      </w:pPr>
      <w:bookmarkStart w:id="0" w:name="_GoBack"/>
      <w:bookmarkEnd w:id="0"/>
      <w:r w:rsidRPr="001A5CB4">
        <w:lastRenderedPageBreak/>
        <w:t>months while SARS-CoV-2 remains in circulation. With th</w:t>
      </w:r>
      <w:r w:rsidR="005B67E8">
        <w:t>e</w:t>
      </w:r>
      <w:r w:rsidRPr="001A5CB4">
        <w:t xml:space="preserve"> EUA revision</w:t>
      </w:r>
      <w:r w:rsidR="005B67E8">
        <w:t xml:space="preserve"> that occurred on February 24, 2022</w:t>
      </w:r>
      <w:r w:rsidRPr="001A5CB4">
        <w:t xml:space="preserve">, </w:t>
      </w:r>
      <w:r w:rsidR="005B67E8">
        <w:t xml:space="preserve">the </w:t>
      </w:r>
      <w:r w:rsidRPr="001A5CB4">
        <w:t xml:space="preserve">FDA has increased the initial authorized dose to 300 mg of </w:t>
      </w:r>
      <w:proofErr w:type="spellStart"/>
      <w:r w:rsidRPr="00602132">
        <w:t>tixagevimab</w:t>
      </w:r>
      <w:proofErr w:type="spellEnd"/>
      <w:r w:rsidRPr="00602132">
        <w:t xml:space="preserve"> and 300 mg of </w:t>
      </w:r>
      <w:proofErr w:type="spellStart"/>
      <w:r w:rsidRPr="00602132">
        <w:t>cilgavimab</w:t>
      </w:r>
      <w:proofErr w:type="spellEnd"/>
      <w:r w:rsidRPr="00602132">
        <w:t xml:space="preserve">. Patients who have already received the previously authorized dose (150 mg of </w:t>
      </w:r>
      <w:proofErr w:type="spellStart"/>
      <w:r w:rsidRPr="00602132">
        <w:t>tixagevimab</w:t>
      </w:r>
      <w:proofErr w:type="spellEnd"/>
      <w:r w:rsidRPr="00602132">
        <w:t xml:space="preserve"> and 150 mg of </w:t>
      </w:r>
      <w:proofErr w:type="spellStart"/>
      <w:r w:rsidRPr="00602132">
        <w:t>cilgavimab</w:t>
      </w:r>
      <w:proofErr w:type="spellEnd"/>
      <w:r w:rsidRPr="00602132">
        <w:t xml:space="preserve">) should receive an additional dose of 150 mg of </w:t>
      </w:r>
      <w:proofErr w:type="spellStart"/>
      <w:r w:rsidRPr="00602132">
        <w:t>tixagevimab</w:t>
      </w:r>
      <w:proofErr w:type="spellEnd"/>
      <w:r w:rsidRPr="00602132">
        <w:t xml:space="preserve"> and 150 mg of </w:t>
      </w:r>
      <w:proofErr w:type="spellStart"/>
      <w:r w:rsidRPr="00602132">
        <w:t>cilgavimab</w:t>
      </w:r>
      <w:proofErr w:type="spellEnd"/>
      <w:r w:rsidRPr="00602132">
        <w:t xml:space="preserve"> as soon as</w:t>
      </w:r>
      <w:r w:rsidRPr="001A5CB4">
        <w:t xml:space="preserve"> possible to raise their monoclonal antibody levels to those expected for patients receiving the higher dose. </w:t>
      </w:r>
      <w:proofErr w:type="spellStart"/>
      <w:r w:rsidRPr="001A5CB4">
        <w:t>MassHealth</w:t>
      </w:r>
      <w:proofErr w:type="spellEnd"/>
      <w:r w:rsidRPr="001A5CB4">
        <w:t xml:space="preserve"> will </w:t>
      </w:r>
      <w:r>
        <w:t>pay for</w:t>
      </w:r>
      <w:r w:rsidRPr="001A5CB4">
        <w:t xml:space="preserve"> follow-up administration for patients who had previously been administered the lower dosage.</w:t>
      </w:r>
      <w:r w:rsidRPr="001A5CB4">
        <w:rPr>
          <w:color w:val="333333"/>
          <w:shd w:val="clear" w:color="auto" w:fill="FFFFFF"/>
        </w:rPr>
        <w:t xml:space="preserve"> Rates remains consistent with those </w:t>
      </w:r>
      <w:r w:rsidR="00A439C3">
        <w:rPr>
          <w:color w:val="333333"/>
          <w:shd w:val="clear" w:color="auto" w:fill="FFFFFF"/>
        </w:rPr>
        <w:t>described</w:t>
      </w:r>
      <w:r w:rsidRPr="001A5CB4">
        <w:rPr>
          <w:color w:val="333333"/>
          <w:shd w:val="clear" w:color="auto" w:fill="FFFFFF"/>
        </w:rPr>
        <w:t xml:space="preserve"> in </w:t>
      </w:r>
      <w:hyperlink r:id="rId14" w:history="1">
        <w:r w:rsidR="00915210" w:rsidRPr="00874C51">
          <w:rPr>
            <w:rStyle w:val="Hyperlink"/>
          </w:rPr>
          <w:t>All Provider Bullet 336</w:t>
        </w:r>
      </w:hyperlink>
      <w:r w:rsidR="008C7976">
        <w:rPr>
          <w:color w:val="333333"/>
          <w:shd w:val="clear" w:color="auto" w:fill="FFFFFF"/>
        </w:rPr>
        <w:t>.</w:t>
      </w:r>
    </w:p>
    <w:p w14:paraId="1E13BC2E" w14:textId="77777777" w:rsidR="00874C51" w:rsidRPr="001A5CB4" w:rsidRDefault="00874C51" w:rsidP="00874C51">
      <w:pPr>
        <w:pStyle w:val="BodyTextIndent"/>
        <w:spacing w:before="0"/>
        <w:rPr>
          <w:color w:val="000000"/>
        </w:rPr>
      </w:pPr>
      <w:r w:rsidRPr="001A5CB4">
        <w:rPr>
          <w:rStyle w:val="Heading2Char"/>
          <w:sz w:val="22"/>
          <w:szCs w:val="22"/>
        </w:rPr>
        <w:t xml:space="preserve">Coverage of and Payment for the Administration of </w:t>
      </w:r>
      <w:proofErr w:type="spellStart"/>
      <w:r w:rsidRPr="00FA36E6">
        <w:rPr>
          <w:b/>
          <w:bCs/>
          <w:color w:val="1F497D" w:themeColor="text2"/>
        </w:rPr>
        <w:t>Bebtelovimab</w:t>
      </w:r>
      <w:proofErr w:type="spellEnd"/>
    </w:p>
    <w:p w14:paraId="762700F5" w14:textId="55F84369" w:rsidR="00874C51" w:rsidRPr="001A5CB4" w:rsidRDefault="00874C51" w:rsidP="00874C51">
      <w:pPr>
        <w:pStyle w:val="BodyTextIndent"/>
        <w:spacing w:before="0"/>
        <w:rPr>
          <w:bCs/>
        </w:rPr>
      </w:pPr>
      <w:proofErr w:type="spellStart"/>
      <w:r w:rsidRPr="001A5CB4">
        <w:rPr>
          <w:bCs/>
        </w:rPr>
        <w:t>MassHealth</w:t>
      </w:r>
      <w:proofErr w:type="spellEnd"/>
      <w:r w:rsidRPr="001A5CB4">
        <w:rPr>
          <w:bCs/>
        </w:rPr>
        <w:t xml:space="preserve"> will cover the administration of </w:t>
      </w:r>
      <w:proofErr w:type="spellStart"/>
      <w:r w:rsidR="006A478E">
        <w:rPr>
          <w:bCs/>
        </w:rPr>
        <w:t>b</w:t>
      </w:r>
      <w:r w:rsidRPr="001A5CB4">
        <w:rPr>
          <w:bCs/>
        </w:rPr>
        <w:t>ebtelovimab</w:t>
      </w:r>
      <w:proofErr w:type="spellEnd"/>
      <w:r w:rsidRPr="001A5CB4">
        <w:rPr>
          <w:bCs/>
        </w:rPr>
        <w:t xml:space="preserve"> by providers enrolled in the </w:t>
      </w:r>
      <w:proofErr w:type="spellStart"/>
      <w:r w:rsidRPr="001A5CB4">
        <w:rPr>
          <w:bCs/>
        </w:rPr>
        <w:t>MassHealth</w:t>
      </w:r>
      <w:proofErr w:type="spellEnd"/>
      <w:r w:rsidRPr="001A5CB4">
        <w:rPr>
          <w:bCs/>
        </w:rPr>
        <w:t xml:space="preserve"> acute outpatient hospital, community health center, and physician programs when administered in a manner fully compliant with the FDA’s EUA. For additional information, please see the FDA’s </w:t>
      </w:r>
      <w:hyperlink r:id="rId15" w:history="1">
        <w:r w:rsidRPr="001A5CB4">
          <w:rPr>
            <w:rStyle w:val="Hyperlink"/>
            <w:bCs/>
          </w:rPr>
          <w:t>EUA</w:t>
        </w:r>
      </w:hyperlink>
      <w:r w:rsidRPr="001A5CB4">
        <w:rPr>
          <w:bCs/>
        </w:rPr>
        <w:t xml:space="preserve"> and its accompanying </w:t>
      </w:r>
      <w:hyperlink r:id="rId16" w:history="1">
        <w:r w:rsidRPr="004E046F">
          <w:rPr>
            <w:rStyle w:val="Hyperlink"/>
            <w:bCs/>
          </w:rPr>
          <w:t>Fact Sheet for Healthcare Providers</w:t>
        </w:r>
      </w:hyperlink>
      <w:r w:rsidRPr="004E046F">
        <w:rPr>
          <w:bCs/>
        </w:rPr>
        <w:t>.</w:t>
      </w:r>
      <w:r w:rsidRPr="001A5CB4">
        <w:rPr>
          <w:bCs/>
        </w:rPr>
        <w:t xml:space="preserve"> </w:t>
      </w:r>
    </w:p>
    <w:p w14:paraId="515CA573" w14:textId="303EF5C0" w:rsidR="00874C51" w:rsidRPr="00751BB2" w:rsidRDefault="00874C51" w:rsidP="00874C51">
      <w:pPr>
        <w:pStyle w:val="BodyTextIndent"/>
        <w:spacing w:before="0"/>
        <w:rPr>
          <w:bCs/>
        </w:rPr>
      </w:pPr>
      <w:r w:rsidRPr="001A5CB4">
        <w:rPr>
          <w:bCs/>
        </w:rPr>
        <w:t xml:space="preserve">Effective for dates of service on or after February 11, 2022, providers enrolled in the </w:t>
      </w:r>
      <w:proofErr w:type="spellStart"/>
      <w:r w:rsidRPr="001A5CB4">
        <w:rPr>
          <w:bCs/>
        </w:rPr>
        <w:t>MassHealth</w:t>
      </w:r>
      <w:proofErr w:type="spellEnd"/>
      <w:r w:rsidRPr="001A5CB4">
        <w:rPr>
          <w:bCs/>
        </w:rPr>
        <w:t xml:space="preserve"> acute outpatient hospital, community health center, and physician programs may bill and receive payment for the EUA-compliant administration of </w:t>
      </w:r>
      <w:proofErr w:type="spellStart"/>
      <w:r w:rsidR="006A478E">
        <w:rPr>
          <w:bCs/>
        </w:rPr>
        <w:t>b</w:t>
      </w:r>
      <w:r w:rsidRPr="001A5CB4">
        <w:rPr>
          <w:bCs/>
        </w:rPr>
        <w:t>ebtelovimab</w:t>
      </w:r>
      <w:proofErr w:type="spellEnd"/>
      <w:r w:rsidRPr="001A5CB4">
        <w:rPr>
          <w:bCs/>
        </w:rPr>
        <w:t xml:space="preserve">, as described in the table below. </w:t>
      </w:r>
      <w:proofErr w:type="spellStart"/>
      <w:r w:rsidRPr="001A5CB4">
        <w:rPr>
          <w:bCs/>
        </w:rPr>
        <w:t>MassHealth</w:t>
      </w:r>
      <w:proofErr w:type="spellEnd"/>
      <w:r w:rsidRPr="001A5CB4">
        <w:rPr>
          <w:bCs/>
        </w:rPr>
        <w:t xml:space="preserve"> will issue transmittal letters that formally add these codes to the relevant provider manuals. The Executive Office and Health and Human Services (EOHHS) will formally establish these rates, which are consistent with Medicare, through administrative bulletins or amendments to 101 CMR 446.00: </w:t>
      </w:r>
      <w:r w:rsidRPr="004E046F">
        <w:rPr>
          <w:bCs/>
          <w:i/>
          <w:iCs/>
        </w:rPr>
        <w:t>COVID-19 Payment Rates for Certain Community Health Care Providers</w:t>
      </w:r>
      <w:r>
        <w:rPr>
          <w:bCs/>
        </w:rPr>
        <w:t>.</w:t>
      </w:r>
    </w:p>
    <w:tbl>
      <w:tblPr>
        <w:tblStyle w:val="TableGrid"/>
        <w:tblW w:w="0" w:type="auto"/>
        <w:jc w:val="center"/>
        <w:tblBorders>
          <w:bottom w:val="single" w:sz="6" w:space="0" w:color="auto"/>
        </w:tblBorders>
        <w:tblLook w:val="04A0" w:firstRow="1" w:lastRow="0" w:firstColumn="1" w:lastColumn="0" w:noHBand="0" w:noVBand="1"/>
        <w:tblCaption w:val="Payment for administration of Bebtelovimab"/>
      </w:tblPr>
      <w:tblGrid>
        <w:gridCol w:w="1255"/>
        <w:gridCol w:w="1034"/>
        <w:gridCol w:w="5564"/>
        <w:gridCol w:w="1795"/>
      </w:tblGrid>
      <w:tr w:rsidR="00874C51" w:rsidRPr="001A5CB4" w14:paraId="48583AFB" w14:textId="77777777" w:rsidTr="00FA36E6">
        <w:trPr>
          <w:cantSplit/>
          <w:trHeight w:val="1187"/>
          <w:tblHeader/>
          <w:jc w:val="center"/>
        </w:trPr>
        <w:tc>
          <w:tcPr>
            <w:tcW w:w="1255" w:type="dxa"/>
            <w:vAlign w:val="center"/>
          </w:tcPr>
          <w:p w14:paraId="6A43FCB9" w14:textId="77777777" w:rsidR="00874C51" w:rsidRPr="001A5CB4" w:rsidRDefault="00874C51" w:rsidP="00FA36E6">
            <w:pPr>
              <w:shd w:val="clear" w:color="auto" w:fill="FFFFFF"/>
              <w:spacing w:before="150" w:line="312" w:lineRule="atLeast"/>
              <w:ind w:left="0"/>
              <w:rPr>
                <w:b/>
                <w:sz w:val="22"/>
                <w:szCs w:val="22"/>
              </w:rPr>
            </w:pPr>
            <w:r w:rsidRPr="001A5CB4">
              <w:rPr>
                <w:b/>
                <w:sz w:val="22"/>
                <w:szCs w:val="22"/>
              </w:rPr>
              <w:t>Code</w:t>
            </w:r>
          </w:p>
        </w:tc>
        <w:tc>
          <w:tcPr>
            <w:tcW w:w="1011" w:type="dxa"/>
            <w:vAlign w:val="center"/>
          </w:tcPr>
          <w:p w14:paraId="4D433E24" w14:textId="77777777" w:rsidR="00874C51" w:rsidRPr="001A5CB4" w:rsidRDefault="00874C51" w:rsidP="00FA36E6">
            <w:pPr>
              <w:shd w:val="clear" w:color="auto" w:fill="FFFFFF"/>
              <w:spacing w:before="150" w:line="312" w:lineRule="atLeast"/>
              <w:ind w:left="0"/>
              <w:jc w:val="center"/>
              <w:rPr>
                <w:b/>
                <w:sz w:val="22"/>
                <w:szCs w:val="22"/>
              </w:rPr>
            </w:pPr>
            <w:r w:rsidRPr="001A5CB4">
              <w:rPr>
                <w:b/>
                <w:sz w:val="22"/>
                <w:szCs w:val="22"/>
              </w:rPr>
              <w:t>Rate</w:t>
            </w:r>
          </w:p>
        </w:tc>
        <w:tc>
          <w:tcPr>
            <w:tcW w:w="5564" w:type="dxa"/>
            <w:vAlign w:val="center"/>
          </w:tcPr>
          <w:p w14:paraId="27B3CB5D" w14:textId="77777777" w:rsidR="00874C51" w:rsidRPr="001A5CB4" w:rsidRDefault="00874C51" w:rsidP="00FA36E6">
            <w:pPr>
              <w:shd w:val="clear" w:color="auto" w:fill="FFFFFF"/>
              <w:spacing w:before="150" w:line="312" w:lineRule="atLeast"/>
              <w:jc w:val="center"/>
              <w:rPr>
                <w:b/>
                <w:sz w:val="22"/>
                <w:szCs w:val="22"/>
              </w:rPr>
            </w:pPr>
            <w:r w:rsidRPr="001A5CB4">
              <w:rPr>
                <w:b/>
                <w:sz w:val="22"/>
                <w:szCs w:val="22"/>
              </w:rPr>
              <w:t>Description</w:t>
            </w:r>
          </w:p>
        </w:tc>
        <w:tc>
          <w:tcPr>
            <w:tcW w:w="1795" w:type="dxa"/>
          </w:tcPr>
          <w:p w14:paraId="378D71EC" w14:textId="77777777" w:rsidR="00874C51" w:rsidRPr="001A5CB4" w:rsidRDefault="00874C51" w:rsidP="00FA36E6">
            <w:pPr>
              <w:shd w:val="clear" w:color="auto" w:fill="FFFFFF"/>
              <w:spacing w:before="150" w:line="312" w:lineRule="atLeast"/>
              <w:ind w:left="0"/>
              <w:jc w:val="center"/>
              <w:rPr>
                <w:b/>
                <w:sz w:val="22"/>
                <w:szCs w:val="22"/>
              </w:rPr>
            </w:pPr>
            <w:r w:rsidRPr="001A5CB4">
              <w:rPr>
                <w:b/>
                <w:sz w:val="22"/>
                <w:szCs w:val="22"/>
              </w:rPr>
              <w:t xml:space="preserve">Effective for Dates of Service </w:t>
            </w:r>
            <w:proofErr w:type="gramStart"/>
            <w:r w:rsidRPr="001A5CB4">
              <w:rPr>
                <w:b/>
                <w:sz w:val="22"/>
                <w:szCs w:val="22"/>
              </w:rPr>
              <w:t>On</w:t>
            </w:r>
            <w:proofErr w:type="gramEnd"/>
            <w:r w:rsidRPr="001A5CB4">
              <w:rPr>
                <w:b/>
                <w:sz w:val="22"/>
                <w:szCs w:val="22"/>
              </w:rPr>
              <w:t xml:space="preserve"> or After</w:t>
            </w:r>
          </w:p>
        </w:tc>
      </w:tr>
      <w:tr w:rsidR="00874C51" w:rsidRPr="001A5CB4" w14:paraId="537E5AF6" w14:textId="77777777" w:rsidTr="00FA36E6">
        <w:trPr>
          <w:cantSplit/>
          <w:jc w:val="center"/>
        </w:trPr>
        <w:tc>
          <w:tcPr>
            <w:tcW w:w="1255" w:type="dxa"/>
            <w:vAlign w:val="center"/>
          </w:tcPr>
          <w:p w14:paraId="7BDB9DA0" w14:textId="77777777" w:rsidR="00874C51" w:rsidRPr="001A5CB4" w:rsidRDefault="00874C51" w:rsidP="00FA36E6">
            <w:pPr>
              <w:shd w:val="clear" w:color="auto" w:fill="FFFFFF"/>
              <w:spacing w:before="150" w:line="360" w:lineRule="auto"/>
              <w:ind w:left="0"/>
              <w:rPr>
                <w:sz w:val="22"/>
                <w:szCs w:val="22"/>
              </w:rPr>
            </w:pPr>
            <w:r w:rsidRPr="001A5CB4">
              <w:rPr>
                <w:rFonts w:cs="Arial"/>
                <w:color w:val="000000"/>
                <w:sz w:val="22"/>
                <w:szCs w:val="22"/>
                <w:shd w:val="clear" w:color="auto" w:fill="FFFFFF"/>
              </w:rPr>
              <w:t xml:space="preserve">Q0222 </w:t>
            </w:r>
            <w:r w:rsidRPr="001A5CB4">
              <w:rPr>
                <w:sz w:val="22"/>
                <w:szCs w:val="22"/>
              </w:rPr>
              <w:t>SL</w:t>
            </w:r>
          </w:p>
        </w:tc>
        <w:tc>
          <w:tcPr>
            <w:tcW w:w="1011" w:type="dxa"/>
            <w:vAlign w:val="center"/>
          </w:tcPr>
          <w:p w14:paraId="333AF94A" w14:textId="77777777" w:rsidR="00874C51" w:rsidRPr="001A5CB4" w:rsidRDefault="00874C51" w:rsidP="00FA36E6">
            <w:pPr>
              <w:shd w:val="clear" w:color="auto" w:fill="FFFFFF"/>
              <w:spacing w:before="150" w:line="360" w:lineRule="auto"/>
              <w:ind w:left="0"/>
              <w:jc w:val="center"/>
              <w:rPr>
                <w:sz w:val="22"/>
                <w:szCs w:val="22"/>
              </w:rPr>
            </w:pPr>
            <w:r w:rsidRPr="001A5CB4">
              <w:rPr>
                <w:sz w:val="22"/>
                <w:szCs w:val="22"/>
              </w:rPr>
              <w:t>$0.00</w:t>
            </w:r>
          </w:p>
        </w:tc>
        <w:tc>
          <w:tcPr>
            <w:tcW w:w="5564" w:type="dxa"/>
            <w:vAlign w:val="center"/>
          </w:tcPr>
          <w:p w14:paraId="787A5097" w14:textId="77777777" w:rsidR="00874C51" w:rsidRPr="001A5CB4" w:rsidRDefault="00874C51" w:rsidP="00FA36E6">
            <w:pPr>
              <w:shd w:val="clear" w:color="auto" w:fill="FFFFFF"/>
              <w:spacing w:before="150" w:line="360" w:lineRule="auto"/>
              <w:rPr>
                <w:sz w:val="22"/>
                <w:szCs w:val="22"/>
              </w:rPr>
            </w:pPr>
            <w:r w:rsidRPr="001A5CB4">
              <w:rPr>
                <w:rFonts w:cs="Arial"/>
                <w:color w:val="000000"/>
                <w:sz w:val="22"/>
                <w:szCs w:val="22"/>
                <w:shd w:val="clear" w:color="auto" w:fill="FFFFFF"/>
              </w:rPr>
              <w:t xml:space="preserve">Injection, </w:t>
            </w:r>
            <w:proofErr w:type="spellStart"/>
            <w:r w:rsidRPr="001A5CB4">
              <w:rPr>
                <w:rFonts w:cs="Arial"/>
                <w:color w:val="000000"/>
                <w:sz w:val="22"/>
                <w:szCs w:val="22"/>
                <w:shd w:val="clear" w:color="auto" w:fill="FFFFFF"/>
              </w:rPr>
              <w:t>bebtelovimab</w:t>
            </w:r>
            <w:proofErr w:type="spellEnd"/>
            <w:r w:rsidRPr="001A5CB4">
              <w:rPr>
                <w:rFonts w:cs="Arial"/>
                <w:color w:val="000000"/>
                <w:sz w:val="22"/>
                <w:szCs w:val="22"/>
                <w:shd w:val="clear" w:color="auto" w:fill="FFFFFF"/>
              </w:rPr>
              <w:t>, 175 mg</w:t>
            </w:r>
          </w:p>
        </w:tc>
        <w:tc>
          <w:tcPr>
            <w:tcW w:w="1795" w:type="dxa"/>
            <w:vAlign w:val="center"/>
          </w:tcPr>
          <w:p w14:paraId="0772A05A" w14:textId="77777777" w:rsidR="00874C51" w:rsidRPr="001A5CB4" w:rsidRDefault="00874C51" w:rsidP="00FA36E6">
            <w:pPr>
              <w:shd w:val="clear" w:color="auto" w:fill="FFFFFF"/>
              <w:spacing w:before="150" w:line="360" w:lineRule="auto"/>
              <w:ind w:left="0"/>
              <w:jc w:val="center"/>
              <w:rPr>
                <w:sz w:val="22"/>
                <w:szCs w:val="22"/>
              </w:rPr>
            </w:pPr>
            <w:r w:rsidRPr="001A5CB4">
              <w:rPr>
                <w:sz w:val="22"/>
                <w:szCs w:val="22"/>
              </w:rPr>
              <w:t>2/11/2022</w:t>
            </w:r>
          </w:p>
        </w:tc>
      </w:tr>
      <w:tr w:rsidR="00874C51" w:rsidRPr="001A5CB4" w14:paraId="4F9A2044" w14:textId="77777777" w:rsidTr="00FA36E6">
        <w:trPr>
          <w:cantSplit/>
          <w:jc w:val="center"/>
        </w:trPr>
        <w:tc>
          <w:tcPr>
            <w:tcW w:w="1255" w:type="dxa"/>
            <w:vAlign w:val="center"/>
          </w:tcPr>
          <w:p w14:paraId="31746709" w14:textId="77777777" w:rsidR="00874C51" w:rsidRPr="001A5CB4" w:rsidRDefault="00874C51" w:rsidP="00FA36E6">
            <w:pPr>
              <w:shd w:val="clear" w:color="auto" w:fill="FFFFFF"/>
              <w:spacing w:before="150" w:line="360" w:lineRule="auto"/>
              <w:ind w:left="0"/>
              <w:rPr>
                <w:sz w:val="22"/>
                <w:szCs w:val="22"/>
              </w:rPr>
            </w:pPr>
            <w:r w:rsidRPr="001A5CB4">
              <w:rPr>
                <w:rFonts w:cs="Arial"/>
                <w:color w:val="000000"/>
                <w:sz w:val="22"/>
                <w:szCs w:val="22"/>
                <w:shd w:val="clear" w:color="auto" w:fill="FFFFFF"/>
              </w:rPr>
              <w:t>M0222</w:t>
            </w:r>
          </w:p>
        </w:tc>
        <w:tc>
          <w:tcPr>
            <w:tcW w:w="1011" w:type="dxa"/>
            <w:vAlign w:val="center"/>
          </w:tcPr>
          <w:p w14:paraId="59A18BAD" w14:textId="77777777" w:rsidR="00874C51" w:rsidRPr="001A5CB4" w:rsidRDefault="00874C51" w:rsidP="00FA36E6">
            <w:pPr>
              <w:shd w:val="clear" w:color="auto" w:fill="FFFFFF"/>
              <w:spacing w:before="150" w:line="360" w:lineRule="auto"/>
              <w:ind w:left="0"/>
              <w:jc w:val="center"/>
              <w:rPr>
                <w:sz w:val="22"/>
                <w:szCs w:val="22"/>
              </w:rPr>
            </w:pPr>
            <w:r w:rsidRPr="001A5CB4">
              <w:rPr>
                <w:rFonts w:cs="Arial"/>
                <w:color w:val="000000"/>
                <w:sz w:val="22"/>
                <w:szCs w:val="22"/>
                <w:shd w:val="clear" w:color="auto" w:fill="FFFFFF"/>
              </w:rPr>
              <w:t>$350.50</w:t>
            </w:r>
          </w:p>
        </w:tc>
        <w:tc>
          <w:tcPr>
            <w:tcW w:w="5564" w:type="dxa"/>
            <w:vAlign w:val="center"/>
          </w:tcPr>
          <w:p w14:paraId="257849A9" w14:textId="77777777" w:rsidR="00874C51" w:rsidRPr="001A5CB4" w:rsidRDefault="00874C51" w:rsidP="00FA36E6">
            <w:pPr>
              <w:shd w:val="clear" w:color="auto" w:fill="FFFFFF"/>
              <w:spacing w:before="150" w:line="360" w:lineRule="auto"/>
              <w:rPr>
                <w:sz w:val="22"/>
                <w:szCs w:val="22"/>
              </w:rPr>
            </w:pPr>
            <w:r w:rsidRPr="001A5CB4">
              <w:rPr>
                <w:rFonts w:cs="Arial"/>
                <w:color w:val="000000"/>
                <w:sz w:val="22"/>
                <w:szCs w:val="22"/>
                <w:shd w:val="clear" w:color="auto" w:fill="FFFFFF"/>
              </w:rPr>
              <w:t xml:space="preserve">Intravenous injection, </w:t>
            </w:r>
            <w:proofErr w:type="spellStart"/>
            <w:r w:rsidRPr="001A5CB4">
              <w:rPr>
                <w:rFonts w:cs="Arial"/>
                <w:color w:val="000000"/>
                <w:sz w:val="22"/>
                <w:szCs w:val="22"/>
                <w:shd w:val="clear" w:color="auto" w:fill="FFFFFF"/>
              </w:rPr>
              <w:t>bebtelovimab</w:t>
            </w:r>
            <w:proofErr w:type="spellEnd"/>
            <w:r w:rsidRPr="001A5CB4">
              <w:rPr>
                <w:rFonts w:cs="Arial"/>
                <w:color w:val="000000"/>
                <w:sz w:val="22"/>
                <w:szCs w:val="22"/>
                <w:shd w:val="clear" w:color="auto" w:fill="FFFFFF"/>
              </w:rPr>
              <w:t>, includes injection and post administration monitoring</w:t>
            </w:r>
          </w:p>
        </w:tc>
        <w:tc>
          <w:tcPr>
            <w:tcW w:w="1795" w:type="dxa"/>
          </w:tcPr>
          <w:p w14:paraId="12AE9BC2" w14:textId="77777777" w:rsidR="00874C51" w:rsidRPr="001A5CB4" w:rsidRDefault="00874C51" w:rsidP="00FA36E6">
            <w:pPr>
              <w:shd w:val="clear" w:color="auto" w:fill="FFFFFF"/>
              <w:spacing w:before="150" w:line="360" w:lineRule="auto"/>
              <w:ind w:left="0"/>
              <w:jc w:val="center"/>
              <w:rPr>
                <w:sz w:val="22"/>
                <w:szCs w:val="22"/>
              </w:rPr>
            </w:pPr>
            <w:r w:rsidRPr="001A5CB4">
              <w:rPr>
                <w:sz w:val="22"/>
                <w:szCs w:val="22"/>
              </w:rPr>
              <w:t>2/11/2022</w:t>
            </w:r>
          </w:p>
        </w:tc>
      </w:tr>
      <w:tr w:rsidR="00874C51" w:rsidRPr="001A5CB4" w14:paraId="1C8E01EC" w14:textId="77777777" w:rsidTr="00FA36E6">
        <w:trPr>
          <w:cantSplit/>
          <w:jc w:val="center"/>
        </w:trPr>
        <w:tc>
          <w:tcPr>
            <w:tcW w:w="1255" w:type="dxa"/>
            <w:vAlign w:val="center"/>
          </w:tcPr>
          <w:p w14:paraId="66D4B2C8" w14:textId="77777777" w:rsidR="00874C51" w:rsidRPr="001A5CB4" w:rsidRDefault="00874C51" w:rsidP="00FA36E6">
            <w:pPr>
              <w:shd w:val="clear" w:color="auto" w:fill="FFFFFF"/>
              <w:spacing w:before="150" w:line="360" w:lineRule="auto"/>
              <w:ind w:left="0"/>
              <w:rPr>
                <w:sz w:val="22"/>
                <w:szCs w:val="22"/>
              </w:rPr>
            </w:pPr>
            <w:r w:rsidRPr="001A5CB4">
              <w:rPr>
                <w:rFonts w:cs="Arial"/>
                <w:color w:val="000000"/>
                <w:sz w:val="22"/>
                <w:szCs w:val="22"/>
                <w:shd w:val="clear" w:color="auto" w:fill="FFFFFF"/>
              </w:rPr>
              <w:t>M0223</w:t>
            </w:r>
          </w:p>
        </w:tc>
        <w:tc>
          <w:tcPr>
            <w:tcW w:w="1011" w:type="dxa"/>
            <w:vAlign w:val="center"/>
          </w:tcPr>
          <w:p w14:paraId="08DB99F2" w14:textId="77777777" w:rsidR="00874C51" w:rsidRPr="001A5CB4" w:rsidRDefault="00874C51" w:rsidP="00FA36E6">
            <w:pPr>
              <w:shd w:val="clear" w:color="auto" w:fill="FFFFFF"/>
              <w:spacing w:before="150" w:line="360" w:lineRule="auto"/>
              <w:ind w:left="0"/>
              <w:jc w:val="center"/>
              <w:rPr>
                <w:sz w:val="22"/>
                <w:szCs w:val="22"/>
              </w:rPr>
            </w:pPr>
            <w:r w:rsidRPr="001A5CB4">
              <w:rPr>
                <w:rFonts w:cs="Arial"/>
                <w:color w:val="000000"/>
                <w:sz w:val="22"/>
                <w:szCs w:val="22"/>
                <w:shd w:val="clear" w:color="auto" w:fill="FFFFFF"/>
              </w:rPr>
              <w:t>$550.50</w:t>
            </w:r>
          </w:p>
        </w:tc>
        <w:tc>
          <w:tcPr>
            <w:tcW w:w="5564" w:type="dxa"/>
            <w:vAlign w:val="center"/>
          </w:tcPr>
          <w:p w14:paraId="6BAD92FB" w14:textId="77777777" w:rsidR="00874C51" w:rsidRPr="001A5CB4" w:rsidRDefault="00874C51" w:rsidP="00FA36E6">
            <w:pPr>
              <w:shd w:val="clear" w:color="auto" w:fill="FFFFFF"/>
              <w:spacing w:before="150" w:line="360" w:lineRule="auto"/>
              <w:rPr>
                <w:sz w:val="22"/>
                <w:szCs w:val="22"/>
              </w:rPr>
            </w:pPr>
            <w:r w:rsidRPr="001A5CB4">
              <w:rPr>
                <w:rFonts w:cs="Arial"/>
                <w:color w:val="000000"/>
                <w:sz w:val="22"/>
                <w:szCs w:val="22"/>
                <w:shd w:val="clear" w:color="auto" w:fill="FFFFFF"/>
              </w:rPr>
              <w:t xml:space="preserve">Intravenous injection, </w:t>
            </w:r>
            <w:proofErr w:type="spellStart"/>
            <w:r w:rsidRPr="001A5CB4">
              <w:rPr>
                <w:rFonts w:cs="Arial"/>
                <w:color w:val="000000"/>
                <w:sz w:val="22"/>
                <w:szCs w:val="22"/>
                <w:shd w:val="clear" w:color="auto" w:fill="FFFFFF"/>
              </w:rPr>
              <w:t>bebtelovimab</w:t>
            </w:r>
            <w:proofErr w:type="spellEnd"/>
            <w:r w:rsidRPr="001A5CB4">
              <w:rPr>
                <w:rFonts w:cs="Arial"/>
                <w:color w:val="000000"/>
                <w:sz w:val="22"/>
                <w:szCs w:val="22"/>
                <w:shd w:val="clear" w:color="auto" w:fill="FFFFFF"/>
              </w:rPr>
              <w:t>, includes injection and post administration monitoring in the home or residence; this includes a beneficiary’s home that has been made provider-based to the hospital during the covid-19 public health emergency</w:t>
            </w:r>
          </w:p>
        </w:tc>
        <w:tc>
          <w:tcPr>
            <w:tcW w:w="1795" w:type="dxa"/>
          </w:tcPr>
          <w:p w14:paraId="7CEC9E9E" w14:textId="77777777" w:rsidR="00874C51" w:rsidRPr="001A5CB4" w:rsidRDefault="00874C51" w:rsidP="00FA36E6">
            <w:pPr>
              <w:shd w:val="clear" w:color="auto" w:fill="FFFFFF"/>
              <w:spacing w:before="150" w:line="360" w:lineRule="auto"/>
              <w:ind w:left="0"/>
              <w:jc w:val="center"/>
              <w:rPr>
                <w:sz w:val="22"/>
                <w:szCs w:val="22"/>
              </w:rPr>
            </w:pPr>
            <w:r w:rsidRPr="001A5CB4">
              <w:rPr>
                <w:sz w:val="22"/>
                <w:szCs w:val="22"/>
              </w:rPr>
              <w:t>2/11/2022</w:t>
            </w:r>
          </w:p>
        </w:tc>
      </w:tr>
    </w:tbl>
    <w:p w14:paraId="2606FC07" w14:textId="77777777" w:rsidR="00751BB2" w:rsidRDefault="00751BB2" w:rsidP="00E27CD8"/>
    <w:p w14:paraId="784F3CC3" w14:textId="77777777" w:rsidR="00F664CC" w:rsidRPr="009901A7" w:rsidRDefault="00F664CC" w:rsidP="005B67E8">
      <w:pPr>
        <w:pStyle w:val="Heading2"/>
      </w:pPr>
      <w:proofErr w:type="spellStart"/>
      <w:r w:rsidRPr="009901A7">
        <w:lastRenderedPageBreak/>
        <w:t>MassHealth</w:t>
      </w:r>
      <w:proofErr w:type="spellEnd"/>
      <w:r w:rsidRPr="009901A7">
        <w:t xml:space="preserve">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7"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772F4ACF" w14:textId="7CFC6EA2" w:rsidR="00F664CC" w:rsidRPr="009901A7" w:rsidRDefault="001A6527" w:rsidP="00E27CD8">
      <w:hyperlink r:id="rId18" w:history="1">
        <w:r w:rsidR="006E336C" w:rsidRPr="006E336C">
          <w:rPr>
            <w:rStyle w:val="Hyperlink"/>
          </w:rPr>
          <w:t>S</w:t>
        </w:r>
        <w:r w:rsidR="00F664CC" w:rsidRPr="006E336C">
          <w:rPr>
            <w:rStyle w:val="Hyperlink"/>
          </w:rPr>
          <w:t>ign up</w:t>
        </w:r>
      </w:hyperlink>
      <w:r w:rsidR="00F664CC" w:rsidRPr="009901A7">
        <w:t xml:space="preserve"> to receive email alerts when </w:t>
      </w:r>
      <w:proofErr w:type="spellStart"/>
      <w:r w:rsidR="00F664CC" w:rsidRPr="009901A7">
        <w:t>MassHealth</w:t>
      </w:r>
      <w:proofErr w:type="spellEnd"/>
      <w:r w:rsidR="00F664CC" w:rsidRPr="009901A7">
        <w:t xml:space="preserve"> issues new bulletins and transmittal letters.</w:t>
      </w:r>
    </w:p>
    <w:p w14:paraId="6C55E321" w14:textId="77777777" w:rsidR="00F664CC" w:rsidRPr="009901A7" w:rsidRDefault="00F664CC" w:rsidP="00E27CD8">
      <w:pPr>
        <w:pStyle w:val="Heading2"/>
      </w:pPr>
      <w:r w:rsidRPr="009901A7">
        <w:t>Questions</w:t>
      </w:r>
      <w:r w:rsidR="001554E7">
        <w:t xml:space="preserve"> </w:t>
      </w:r>
    </w:p>
    <w:p w14:paraId="35F7539D" w14:textId="77777777" w:rsidR="00D37F2E" w:rsidRDefault="00D37F2E" w:rsidP="00D37F2E">
      <w:pPr>
        <w:pStyle w:val="Heading3"/>
      </w:pPr>
      <w:r>
        <w:t>Dental Services</w:t>
      </w:r>
    </w:p>
    <w:p w14:paraId="6C4F73CB" w14:textId="77777777" w:rsidR="00D37F2E" w:rsidRDefault="00D37F2E" w:rsidP="00D37F2E">
      <w:pPr>
        <w:pStyle w:val="BodyTextIndent"/>
        <w:spacing w:before="0" w:after="0" w:afterAutospacing="0"/>
        <w:ind w:left="720"/>
      </w:pPr>
      <w:r>
        <w:t>Phone: (800) 207-5019; TTY: (800) 466-7566</w:t>
      </w:r>
    </w:p>
    <w:p w14:paraId="3F1A10B5" w14:textId="77777777" w:rsidR="00D37F2E" w:rsidRDefault="00D37F2E" w:rsidP="00D37F2E">
      <w:pPr>
        <w:pStyle w:val="Heading3"/>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67CD2361" w:rsidR="00D37F2E" w:rsidRDefault="00D37F2E" w:rsidP="00D37F2E">
      <w:pPr>
        <w:pStyle w:val="BodyTextIndent"/>
        <w:spacing w:before="0" w:after="0" w:afterAutospacing="0"/>
        <w:ind w:left="720"/>
      </w:pPr>
      <w:r>
        <w:t xml:space="preserve">Email: </w:t>
      </w:r>
      <w:hyperlink r:id="rId19" w:history="1">
        <w:r w:rsidR="00751BB2" w:rsidRPr="00551ECF">
          <w:rPr>
            <w:rStyle w:val="Hyperlink"/>
          </w:rPr>
          <w:t>support@masshealthltss.com</w:t>
        </w:r>
      </w:hyperlink>
      <w:r w:rsidR="00751BB2">
        <w:t xml:space="preserve"> </w:t>
      </w:r>
    </w:p>
    <w:p w14:paraId="6518B976" w14:textId="107DAA48" w:rsidR="00D37F2E" w:rsidRDefault="00D37F2E" w:rsidP="00D37F2E">
      <w:pPr>
        <w:pStyle w:val="BodyTextIndent"/>
        <w:spacing w:before="0" w:after="0" w:afterAutospacing="0"/>
        <w:ind w:left="720"/>
      </w:pPr>
      <w:r>
        <w:t xml:space="preserve">Portal: </w:t>
      </w:r>
      <w:hyperlink r:id="rId20" w:history="1">
        <w:r w:rsidR="00751BB2" w:rsidRPr="00551ECF">
          <w:rPr>
            <w:rStyle w:val="Hyperlink"/>
          </w:rPr>
          <w:t>www.MassHealthLTSS.com</w:t>
        </w:r>
      </w:hyperlink>
      <w:r w:rsidR="00751BB2">
        <w:t xml:space="preserve"> </w:t>
      </w:r>
    </w:p>
    <w:p w14:paraId="008FD4DD" w14:textId="77777777" w:rsidR="00D37F2E" w:rsidRDefault="00D37F2E" w:rsidP="00D37F2E">
      <w:pPr>
        <w:pStyle w:val="BodyTextIndent"/>
        <w:spacing w:before="0" w:after="0" w:afterAutospacing="0"/>
        <w:ind w:left="720"/>
      </w:pPr>
      <w:r>
        <w:t xml:space="preserve">Mail: </w:t>
      </w:r>
      <w:proofErr w:type="spellStart"/>
      <w:r>
        <w:t>MassHealth</w:t>
      </w:r>
      <w:proofErr w:type="spellEnd"/>
      <w:r>
        <w:t xml:space="preserve">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D37F2E">
      <w:pPr>
        <w:pStyle w:val="Heading3"/>
      </w:pPr>
      <w:r>
        <w:t>All Other Provider Types</w:t>
      </w:r>
    </w:p>
    <w:p w14:paraId="787D324A" w14:textId="77777777" w:rsidR="00D37F2E" w:rsidRDefault="00D37F2E" w:rsidP="00D37F2E">
      <w:pPr>
        <w:pStyle w:val="BodyTextIndent"/>
        <w:spacing w:before="0" w:after="0" w:afterAutospacing="0"/>
        <w:ind w:left="720"/>
      </w:pPr>
      <w:r>
        <w:t>Phone: (800) 841-2900; TTY: (800) 497-4648</w:t>
      </w:r>
    </w:p>
    <w:p w14:paraId="75FF33A2" w14:textId="7A020349" w:rsidR="00D37F2E" w:rsidRDefault="00D37F2E" w:rsidP="00D37F2E">
      <w:pPr>
        <w:pStyle w:val="BodyTextIndent"/>
        <w:spacing w:before="0" w:after="0" w:afterAutospacing="0"/>
        <w:ind w:left="720"/>
      </w:pPr>
      <w:r>
        <w:t xml:space="preserve">Email: </w:t>
      </w:r>
      <w:hyperlink r:id="rId21" w:history="1">
        <w:r w:rsidR="00751BB2" w:rsidRPr="00551ECF">
          <w:rPr>
            <w:rStyle w:val="Hyperlink"/>
          </w:rPr>
          <w:t>providersupport@mahealth.net</w:t>
        </w:r>
      </w:hyperlink>
      <w:r w:rsidR="00751BB2">
        <w:t xml:space="preserve"> </w:t>
      </w:r>
    </w:p>
    <w:p w14:paraId="5A6CC1EA" w14:textId="77777777" w:rsidR="00D37F2E" w:rsidRPr="00F664CC" w:rsidRDefault="00D37F2E" w:rsidP="00D37F2E">
      <w:pPr>
        <w:pStyle w:val="BodyTextIndent"/>
        <w:spacing w:before="0" w:after="0" w:afterAutospacing="0"/>
        <w:ind w:left="720"/>
      </w:pPr>
      <w:r>
        <w:t>Fax: (617) 988-8974</w:t>
      </w:r>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F51F8" w14:textId="77777777" w:rsidR="001A6527" w:rsidRDefault="001A6527" w:rsidP="00E27CD8">
      <w:r>
        <w:separator/>
      </w:r>
    </w:p>
  </w:endnote>
  <w:endnote w:type="continuationSeparator" w:id="0">
    <w:p w14:paraId="0C68EEF4" w14:textId="77777777" w:rsidR="001A6527" w:rsidRDefault="001A6527"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AA610" w14:textId="77777777" w:rsidR="00CC1E11" w:rsidRPr="00CC1E11" w:rsidRDefault="00CC1E11" w:rsidP="008B04CE">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0B7D6" w14:textId="77777777" w:rsidR="001A6527" w:rsidRDefault="001A6527" w:rsidP="00E27CD8">
      <w:r>
        <w:separator/>
      </w:r>
    </w:p>
  </w:footnote>
  <w:footnote w:type="continuationSeparator" w:id="0">
    <w:p w14:paraId="561B4266" w14:textId="77777777" w:rsidR="001A6527" w:rsidRDefault="001A6527"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42F5" w14:textId="77777777" w:rsidR="00AD204A" w:rsidRPr="00F664CC" w:rsidRDefault="00AD204A" w:rsidP="003E2878">
    <w:pPr>
      <w:pStyle w:val="BullsHeading"/>
      <w:spacing w:before="720"/>
    </w:pPr>
    <w:proofErr w:type="spellStart"/>
    <w:r w:rsidRPr="00F664CC">
      <w:t>MassHealth</w:t>
    </w:r>
    <w:proofErr w:type="spellEnd"/>
  </w:p>
  <w:p w14:paraId="5A62BA59" w14:textId="128A3108" w:rsidR="00AD204A" w:rsidRPr="00F664CC" w:rsidRDefault="00751BB2" w:rsidP="00AD204A">
    <w:pPr>
      <w:pStyle w:val="BullsHeading"/>
    </w:pPr>
    <w:r>
      <w:t xml:space="preserve">All </w:t>
    </w:r>
    <w:r w:rsidR="00E908C3">
      <w:t>Provider Bulletin 341</w:t>
    </w:r>
  </w:p>
  <w:p w14:paraId="1893C03A" w14:textId="0138C625" w:rsidR="00AD204A" w:rsidRDefault="00751BB2" w:rsidP="00AD204A">
    <w:pPr>
      <w:pStyle w:val="BullsHeading"/>
    </w:pPr>
    <w:r>
      <w:t>March 2022</w:t>
    </w:r>
  </w:p>
  <w:p w14:paraId="77422704" w14:textId="10CA51EA"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253906">
      <w:rPr>
        <w:noProof/>
      </w:rPr>
      <w:t>3</w:t>
    </w:r>
    <w:r>
      <w:fldChar w:fldCharType="end"/>
    </w:r>
    <w:r>
      <w:t xml:space="preserve"> of </w:t>
    </w:r>
    <w:fldSimple w:instr=" NUMPAGES  \* Arabic  \* MERGEFORMAT ">
      <w:r w:rsidR="00253906">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38"/>
    <w:rsid w:val="00002A9C"/>
    <w:rsid w:val="000049D1"/>
    <w:rsid w:val="000D3DB5"/>
    <w:rsid w:val="0011667E"/>
    <w:rsid w:val="00150BCC"/>
    <w:rsid w:val="001554E7"/>
    <w:rsid w:val="001611A7"/>
    <w:rsid w:val="001634DD"/>
    <w:rsid w:val="00183E4C"/>
    <w:rsid w:val="001A6527"/>
    <w:rsid w:val="00221556"/>
    <w:rsid w:val="002501CF"/>
    <w:rsid w:val="00253906"/>
    <w:rsid w:val="00254C96"/>
    <w:rsid w:val="0028720F"/>
    <w:rsid w:val="002B15A0"/>
    <w:rsid w:val="002D39D9"/>
    <w:rsid w:val="002F2993"/>
    <w:rsid w:val="00345145"/>
    <w:rsid w:val="003749C4"/>
    <w:rsid w:val="003752D1"/>
    <w:rsid w:val="003A7588"/>
    <w:rsid w:val="003E2878"/>
    <w:rsid w:val="004A7718"/>
    <w:rsid w:val="004E046F"/>
    <w:rsid w:val="004F4B9A"/>
    <w:rsid w:val="005068BD"/>
    <w:rsid w:val="00507CFF"/>
    <w:rsid w:val="0058634E"/>
    <w:rsid w:val="0059142C"/>
    <w:rsid w:val="005B27F1"/>
    <w:rsid w:val="005B67E8"/>
    <w:rsid w:val="005E4B62"/>
    <w:rsid w:val="005F2B69"/>
    <w:rsid w:val="00602132"/>
    <w:rsid w:val="006941BF"/>
    <w:rsid w:val="00696EA9"/>
    <w:rsid w:val="006A478E"/>
    <w:rsid w:val="006C70F9"/>
    <w:rsid w:val="006D3F15"/>
    <w:rsid w:val="006E336C"/>
    <w:rsid w:val="00706438"/>
    <w:rsid w:val="00751BB2"/>
    <w:rsid w:val="007534CF"/>
    <w:rsid w:val="00777A22"/>
    <w:rsid w:val="00795E06"/>
    <w:rsid w:val="007F7DBF"/>
    <w:rsid w:val="008201CC"/>
    <w:rsid w:val="00863041"/>
    <w:rsid w:val="00874C51"/>
    <w:rsid w:val="008B04CE"/>
    <w:rsid w:val="008B6E51"/>
    <w:rsid w:val="008C544A"/>
    <w:rsid w:val="008C7976"/>
    <w:rsid w:val="008D60BB"/>
    <w:rsid w:val="00914588"/>
    <w:rsid w:val="00915210"/>
    <w:rsid w:val="00922F04"/>
    <w:rsid w:val="009811A1"/>
    <w:rsid w:val="00982839"/>
    <w:rsid w:val="00A3290A"/>
    <w:rsid w:val="00A439C3"/>
    <w:rsid w:val="00A772C1"/>
    <w:rsid w:val="00A95FC1"/>
    <w:rsid w:val="00A97235"/>
    <w:rsid w:val="00AA6085"/>
    <w:rsid w:val="00AD204A"/>
    <w:rsid w:val="00AD6899"/>
    <w:rsid w:val="00B0461B"/>
    <w:rsid w:val="00B0565C"/>
    <w:rsid w:val="00B46BF4"/>
    <w:rsid w:val="00B73653"/>
    <w:rsid w:val="00BC3755"/>
    <w:rsid w:val="00BD2DAF"/>
    <w:rsid w:val="00C024A2"/>
    <w:rsid w:val="00C62840"/>
    <w:rsid w:val="00CA762F"/>
    <w:rsid w:val="00CC1E11"/>
    <w:rsid w:val="00CD456D"/>
    <w:rsid w:val="00D251FF"/>
    <w:rsid w:val="00D37F2E"/>
    <w:rsid w:val="00E01D80"/>
    <w:rsid w:val="00E27CD8"/>
    <w:rsid w:val="00E34DE6"/>
    <w:rsid w:val="00E443C5"/>
    <w:rsid w:val="00E908C3"/>
    <w:rsid w:val="00EB1B7E"/>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rsid w:val="00874C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74C51"/>
    <w:rPr>
      <w:color w:val="605E5C"/>
      <w:shd w:val="clear" w:color="auto" w:fill="E1DFDD"/>
    </w:rPr>
  </w:style>
  <w:style w:type="character" w:styleId="CommentReference">
    <w:name w:val="annotation reference"/>
    <w:basedOn w:val="DefaultParagraphFont"/>
    <w:uiPriority w:val="99"/>
    <w:semiHidden/>
    <w:unhideWhenUsed/>
    <w:rsid w:val="00915210"/>
    <w:rPr>
      <w:sz w:val="16"/>
      <w:szCs w:val="16"/>
    </w:rPr>
  </w:style>
  <w:style w:type="paragraph" w:styleId="CommentText">
    <w:name w:val="annotation text"/>
    <w:basedOn w:val="Normal"/>
    <w:link w:val="CommentTextChar"/>
    <w:uiPriority w:val="99"/>
    <w:semiHidden/>
    <w:unhideWhenUsed/>
    <w:rsid w:val="00915210"/>
    <w:rPr>
      <w:sz w:val="20"/>
      <w:szCs w:val="20"/>
    </w:rPr>
  </w:style>
  <w:style w:type="character" w:customStyle="1" w:styleId="CommentTextChar">
    <w:name w:val="Comment Text Char"/>
    <w:basedOn w:val="DefaultParagraphFont"/>
    <w:link w:val="CommentText"/>
    <w:uiPriority w:val="99"/>
    <w:semiHidden/>
    <w:rsid w:val="00915210"/>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15210"/>
    <w:rPr>
      <w:b/>
      <w:bCs/>
    </w:rPr>
  </w:style>
  <w:style w:type="character" w:customStyle="1" w:styleId="CommentSubjectChar">
    <w:name w:val="Comment Subject Char"/>
    <w:basedOn w:val="CommentTextChar"/>
    <w:link w:val="CommentSubject"/>
    <w:uiPriority w:val="99"/>
    <w:semiHidden/>
    <w:rsid w:val="00915210"/>
    <w:rPr>
      <w:rFonts w:ascii="Georgia" w:eastAsia="Times New Roman" w:hAnsi="Georgia" w:cs="Times New Roman"/>
      <w:b/>
      <w:bCs/>
      <w:sz w:val="20"/>
      <w:szCs w:val="20"/>
    </w:rPr>
  </w:style>
  <w:style w:type="paragraph" w:styleId="Revision">
    <w:name w:val="Revision"/>
    <w:hidden/>
    <w:uiPriority w:val="99"/>
    <w:semiHidden/>
    <w:rsid w:val="006A478E"/>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fda.gov/media/154701/download" TargetMode="External"/><Relationship Id="rId18"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21" Type="http://schemas.openxmlformats.org/officeDocument/2006/relationships/hyperlink" Target="mailto:providersupport@mahealth.net" TargetMode="External"/><Relationship Id="rId7" Type="http://schemas.openxmlformats.org/officeDocument/2006/relationships/image" Target="media/image1.png"/><Relationship Id="rId12" Type="http://schemas.openxmlformats.org/officeDocument/2006/relationships/hyperlink" Target="https://www.fda.gov/media/154704/download" TargetMode="External"/><Relationship Id="rId17"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hyperlink" Target="https://www.fda.gov/media/156152/download" TargetMode="External"/><Relationship Id="rId20"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all-provider-bulletin-336-coverage-of-and-payment-for-the-administration-of-1-tixagevimab-co-packaged-with-cilgavimab-and-2-remdesivir-in-an-outpatient-setting-corrected/download" TargetMode="External"/><Relationship Id="rId5" Type="http://schemas.openxmlformats.org/officeDocument/2006/relationships/footnotes" Target="footnotes.xml"/><Relationship Id="rId15" Type="http://schemas.openxmlformats.org/officeDocument/2006/relationships/hyperlink" Target="https://www.fda.gov/media/156151/download"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support@masshealthlts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all-provider-bulletin-336-coverage-of-and-payment-for-the-administration-of-1-tixagevimab-co-packaged-with-cilgavimab-and-2-remdesivir-in-an-outpatient-setting-corrected/downloa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Bentley, Bernadette M. (EHS)</cp:lastModifiedBy>
  <cp:revision>2</cp:revision>
  <cp:lastPrinted>2022-03-16T13:15:00Z</cp:lastPrinted>
  <dcterms:created xsi:type="dcterms:W3CDTF">2022-03-16T13:22:00Z</dcterms:created>
  <dcterms:modified xsi:type="dcterms:W3CDTF">2022-03-16T13:22:00Z</dcterms:modified>
</cp:coreProperties>
</file>