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631AB" w14:textId="5A151303" w:rsidR="00F664CC" w:rsidRPr="00E27CD8" w:rsidRDefault="0028720F" w:rsidP="009B10B7">
      <w:pPr>
        <w:pStyle w:val="Header"/>
        <w:spacing w:before="0" w:after="0" w:afterAutospacing="0"/>
        <w:ind w:left="2160"/>
      </w:pPr>
      <w:r w:rsidRPr="00E27CD8">
        <w:rPr>
          <w:noProof/>
        </w:rPr>
        <mc:AlternateContent>
          <mc:Choice Requires="wps">
            <w:drawing>
              <wp:anchor distT="0" distB="0" distL="114300" distR="114300" simplePos="0" relativeHeight="251662336" behindDoc="1" locked="0" layoutInCell="1" allowOverlap="1" wp14:anchorId="63488973" wp14:editId="08738E3B">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E27CD8">
        <w:rPr>
          <w:noProof/>
        </w:rPr>
        <w:drawing>
          <wp:anchor distT="0" distB="0" distL="114300" distR="114300" simplePos="0" relativeHeight="251658240" behindDoc="0" locked="0" layoutInCell="1" allowOverlap="1" wp14:anchorId="026EF13E" wp14:editId="184078C9">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t>C</w:t>
      </w:r>
      <w:r w:rsidR="00F664CC" w:rsidRPr="00E27CD8">
        <w:t>ommonwealth of Massachusetts</w:t>
      </w:r>
    </w:p>
    <w:p w14:paraId="72AC72F1" w14:textId="5CC5DF6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4D4D068"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4417C4B8" w:rsidR="006D3F15" w:rsidRPr="00777A22" w:rsidRDefault="0059515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1408C697" w:rsidR="00F664CC" w:rsidRPr="00150BCC" w:rsidRDefault="00F664CC" w:rsidP="0049587B">
      <w:pPr>
        <w:pStyle w:val="BullsHeading"/>
        <w:spacing w:before="480"/>
      </w:pPr>
      <w:r w:rsidRPr="00150BCC">
        <w:t>MassHealth</w:t>
      </w:r>
    </w:p>
    <w:p w14:paraId="20F4176F" w14:textId="0DC1D1DC" w:rsidR="00F664CC" w:rsidRPr="005B27F1" w:rsidRDefault="00366D3C" w:rsidP="005B27F1">
      <w:pPr>
        <w:pStyle w:val="Heading1"/>
      </w:pPr>
      <w:r>
        <w:t xml:space="preserve">All Provider </w:t>
      </w:r>
      <w:r w:rsidR="00F664CC" w:rsidRPr="005B27F1">
        <w:t>Bulletin</w:t>
      </w:r>
      <w:r w:rsidR="009E6BFA">
        <w:t xml:space="preserve"> - </w:t>
      </w:r>
      <w:r w:rsidR="008B4F99">
        <w:t>344</w:t>
      </w:r>
    </w:p>
    <w:p w14:paraId="4F33B7C5" w14:textId="06DE630A" w:rsidR="00F664CC" w:rsidRPr="00150BCC" w:rsidRDefault="00447065" w:rsidP="00150BCC">
      <w:pPr>
        <w:pStyle w:val="BullsHeading"/>
      </w:pPr>
      <w:r>
        <w:t>May</w:t>
      </w:r>
      <w:r w:rsidR="008D2468">
        <w:t xml:space="preserve"> 2022</w:t>
      </w:r>
    </w:p>
    <w:p w14:paraId="0E1DCE1F" w14:textId="5E0E2C92"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43DD759A" w:rsidR="00F664CC" w:rsidRPr="00F664CC" w:rsidRDefault="00F664CC" w:rsidP="00E27CD8">
      <w:r w:rsidRPr="00F664CC">
        <w:rPr>
          <w:b/>
        </w:rPr>
        <w:t>TO</w:t>
      </w:r>
      <w:r w:rsidRPr="00F664CC">
        <w:t>:</w:t>
      </w:r>
      <w:r>
        <w:tab/>
      </w:r>
      <w:r w:rsidR="00366D3C">
        <w:t>All Providers</w:t>
      </w:r>
      <w:r w:rsidRPr="00F664CC">
        <w:t xml:space="preserve"> Participating in MassHealth</w:t>
      </w:r>
    </w:p>
    <w:p w14:paraId="36385E61" w14:textId="50129D49" w:rsidR="00F664CC" w:rsidRPr="00F664CC" w:rsidRDefault="00F664CC" w:rsidP="00BB4E4E">
      <w:pPr>
        <w:ind w:left="1440" w:hanging="1080"/>
      </w:pPr>
      <w:r w:rsidRPr="00F664CC">
        <w:rPr>
          <w:b/>
        </w:rPr>
        <w:t>FROM</w:t>
      </w:r>
      <w:r w:rsidRPr="00F664CC">
        <w:t>:</w:t>
      </w:r>
      <w:r>
        <w:tab/>
      </w:r>
      <w:r w:rsidR="001611A7">
        <w:t>Amanda Cassel Kraft</w:t>
      </w:r>
      <w:r w:rsidR="00AA6085">
        <w:t>, Assistant Secretary for MassHealth</w:t>
      </w:r>
      <w:r w:rsidR="00873D1D">
        <w:t xml:space="preserve"> </w:t>
      </w:r>
      <w:r w:rsidR="008B4F99">
        <w:t>[Signature of Amanda Cassel Kraft]</w:t>
      </w:r>
    </w:p>
    <w:p w14:paraId="2B897D17" w14:textId="7AFEC708" w:rsidR="00F664CC" w:rsidRPr="00F664CC" w:rsidRDefault="00F664CC" w:rsidP="007B591A">
      <w:pPr>
        <w:pStyle w:val="SubjectLine"/>
        <w:spacing w:after="100"/>
        <w:ind w:left="1440" w:hanging="1080"/>
      </w:pPr>
      <w:r w:rsidRPr="00F664CC">
        <w:t>RE:</w:t>
      </w:r>
      <w:r w:rsidR="00BD2DAF">
        <w:tab/>
      </w:r>
      <w:r w:rsidR="004033EB">
        <w:t xml:space="preserve">Update </w:t>
      </w:r>
      <w:r w:rsidR="008D2468">
        <w:t>Concerning</w:t>
      </w:r>
      <w:r w:rsidR="004033EB">
        <w:t xml:space="preserve"> </w:t>
      </w:r>
      <w:r w:rsidR="007B591A">
        <w:rPr>
          <w:bCs/>
        </w:rPr>
        <w:t xml:space="preserve">Coverage of and Payment for </w:t>
      </w:r>
      <w:r w:rsidR="00E833E4">
        <w:rPr>
          <w:bCs/>
        </w:rPr>
        <w:t>the Administration of (</w:t>
      </w:r>
      <w:r w:rsidR="004033EB">
        <w:rPr>
          <w:bCs/>
        </w:rPr>
        <w:t>1</w:t>
      </w:r>
      <w:r w:rsidR="00E833E4">
        <w:rPr>
          <w:bCs/>
        </w:rPr>
        <w:t xml:space="preserve">) </w:t>
      </w:r>
      <w:r w:rsidR="007B591A">
        <w:rPr>
          <w:bCs/>
        </w:rPr>
        <w:t xml:space="preserve">Remdesivir </w:t>
      </w:r>
      <w:r w:rsidR="008B2C5A">
        <w:rPr>
          <w:bCs/>
        </w:rPr>
        <w:t>in an Outpatient Setting</w:t>
      </w:r>
      <w:r w:rsidR="004033EB">
        <w:rPr>
          <w:bCs/>
        </w:rPr>
        <w:t xml:space="preserve"> (2) COVID-19 </w:t>
      </w:r>
      <w:r w:rsidR="006643E1">
        <w:rPr>
          <w:bCs/>
        </w:rPr>
        <w:t>V</w:t>
      </w:r>
      <w:r w:rsidR="004033EB">
        <w:rPr>
          <w:bCs/>
        </w:rPr>
        <w:t>accines</w:t>
      </w:r>
      <w:r w:rsidR="006643E1">
        <w:rPr>
          <w:bCs/>
        </w:rPr>
        <w:t>; and (3) Rapid Antigen Testing for COVID-19 for MassHealth Limited Members</w:t>
      </w:r>
    </w:p>
    <w:p w14:paraId="5490AAA1" w14:textId="42EEC445" w:rsidR="00F664CC" w:rsidRPr="005B27F1" w:rsidRDefault="007466A7" w:rsidP="00E27CD8">
      <w:pPr>
        <w:pStyle w:val="Heading2"/>
      </w:pPr>
      <w:r>
        <w:t>Background</w:t>
      </w:r>
    </w:p>
    <w:p w14:paraId="318F07DC" w14:textId="0F91D99B" w:rsidR="00366D3C" w:rsidRDefault="008D2468" w:rsidP="00366D3C">
      <w:pPr>
        <w:spacing w:after="240"/>
      </w:pPr>
      <w:r>
        <w:t xml:space="preserve">This bulletin supplements </w:t>
      </w:r>
      <w:hyperlink r:id="rId11" w:history="1">
        <w:r w:rsidR="00DE40E1" w:rsidRPr="008D2468">
          <w:rPr>
            <w:rStyle w:val="Hyperlink"/>
          </w:rPr>
          <w:t>All Provider Bulletin 330</w:t>
        </w:r>
      </w:hyperlink>
      <w:r w:rsidR="00DE40E1">
        <w:rPr>
          <w:rStyle w:val="Hyperlink"/>
        </w:rPr>
        <w:t xml:space="preserve">, </w:t>
      </w:r>
      <w:hyperlink r:id="rId12" w:history="1">
        <w:r w:rsidRPr="008D2468">
          <w:rPr>
            <w:rStyle w:val="Hyperlink"/>
          </w:rPr>
          <w:t>All Provider Bulletin 336</w:t>
        </w:r>
      </w:hyperlink>
      <w:r w:rsidR="006643E1">
        <w:rPr>
          <w:rStyle w:val="Hyperlink"/>
        </w:rPr>
        <w:t>,</w:t>
      </w:r>
      <w:r w:rsidR="006643E1">
        <w:t xml:space="preserve"> and </w:t>
      </w:r>
      <w:hyperlink r:id="rId13" w:history="1">
        <w:r w:rsidR="006643E1" w:rsidRPr="006643E1">
          <w:rPr>
            <w:rStyle w:val="Hyperlink"/>
          </w:rPr>
          <w:t>All Provider Bulletin 337</w:t>
        </w:r>
      </w:hyperlink>
      <w:r>
        <w:t xml:space="preserve">. </w:t>
      </w:r>
      <w:r w:rsidR="00DE40E1">
        <w:t xml:space="preserve">All Provider Bulletin 330 describes coverage for COVID-19 vaccines and monoclonal antibody treatment. </w:t>
      </w:r>
      <w:r>
        <w:t xml:space="preserve">All </w:t>
      </w:r>
      <w:r w:rsidR="008B3904">
        <w:t>Pr</w:t>
      </w:r>
      <w:r>
        <w:t xml:space="preserve">ovider </w:t>
      </w:r>
      <w:r w:rsidR="008B3904">
        <w:t>B</w:t>
      </w:r>
      <w:r>
        <w:t xml:space="preserve">ulletin </w:t>
      </w:r>
      <w:r w:rsidR="008B3904">
        <w:t xml:space="preserve">336 </w:t>
      </w:r>
      <w:r>
        <w:t xml:space="preserve">describes coverage for administration of </w:t>
      </w:r>
      <w:r>
        <w:rPr>
          <w:bCs/>
        </w:rPr>
        <w:t xml:space="preserve">Remdesivir in an Outpatient Setting. </w:t>
      </w:r>
      <w:r w:rsidR="006643E1">
        <w:t xml:space="preserve">All Provider Bulletin 337 describes coverage for </w:t>
      </w:r>
      <w:r w:rsidR="00447065">
        <w:t>o</w:t>
      </w:r>
      <w:r w:rsidR="006643E1">
        <w:t>ver-the-</w:t>
      </w:r>
      <w:r w:rsidR="00447065">
        <w:t>c</w:t>
      </w:r>
      <w:r w:rsidR="006643E1">
        <w:t>ounter (OTC) diagnostic SARS-CoV-2 antigen tests for home use.</w:t>
      </w:r>
    </w:p>
    <w:p w14:paraId="03574616" w14:textId="7AD3F432" w:rsidR="008B3904" w:rsidRPr="00830569" w:rsidRDefault="00447065" w:rsidP="00366D3C">
      <w:pPr>
        <w:spacing w:after="240"/>
      </w:pPr>
      <w:r>
        <w:t>T</w:t>
      </w:r>
      <w:r w:rsidR="008B3904">
        <w:t>his bulletin applies to members enrolled in MassHealth fee-for-service, the Primary Care Clinician (PCC) plan, and Primary Care ACOs (PCACOs). MassHealth Accountable Care Partnership Plans (ACPPs), Managed Care Organizations, Senior Care Organizations (SCOs), One Care plans, and Programs of All-inclusive Care for the Elderly (PACE) must provide plan-covered services to enrollees in an amount, duration, and scope that is no more restrictive than MassHealth fee-for-service coverage for such services, including as set forth in this bulletin.</w:t>
      </w:r>
      <w:r>
        <w:t xml:space="preserve"> This bulletin also applies for MassHealth Limited members.</w:t>
      </w:r>
    </w:p>
    <w:p w14:paraId="0A40FAEA" w14:textId="08FF4D81" w:rsidR="00AF6B7F" w:rsidRDefault="00AF6B7F" w:rsidP="00AF6B7F">
      <w:pPr>
        <w:pStyle w:val="BodyTextIndent"/>
        <w:spacing w:before="0"/>
        <w:rPr>
          <w:rStyle w:val="Heading2Char"/>
        </w:rPr>
      </w:pPr>
      <w:r>
        <w:rPr>
          <w:rStyle w:val="Heading2Char"/>
        </w:rPr>
        <w:t>Coverage of and Payment for the Administration of Remdesivir in an Outpatient Setting</w:t>
      </w:r>
    </w:p>
    <w:p w14:paraId="0BA97D85" w14:textId="5628AF63" w:rsidR="00022AC3" w:rsidRDefault="00C265D9" w:rsidP="00022AC3">
      <w:pPr>
        <w:rPr>
          <w:rFonts w:ascii="Calibri" w:hAnsi="Calibri"/>
          <w:color w:val="000000"/>
          <w:sz w:val="24"/>
          <w:szCs w:val="24"/>
        </w:rPr>
      </w:pPr>
      <w:r>
        <w:t>As descr</w:t>
      </w:r>
      <w:r w:rsidR="00AD7FFB">
        <w:t>i</w:t>
      </w:r>
      <w:r>
        <w:t>bed in All-Provider Bulletin 3</w:t>
      </w:r>
      <w:r w:rsidR="008D2468">
        <w:t>3</w:t>
      </w:r>
      <w:r>
        <w:t xml:space="preserve">6, </w:t>
      </w:r>
      <w:r w:rsidR="00AF6B7F">
        <w:t xml:space="preserve">effective for dates of service on or after </w:t>
      </w:r>
      <w:r w:rsidR="00E833E4">
        <w:t xml:space="preserve">December 22, 2021, </w:t>
      </w:r>
      <w:r w:rsidR="00AF6B7F">
        <w:t>MassHealth will reimburse MassHealth-enrolled acute outpatient hospitals</w:t>
      </w:r>
      <w:r w:rsidR="00E833E4">
        <w:t>, community health centers,</w:t>
      </w:r>
      <w:r w:rsidR="00AF6B7F">
        <w:t xml:space="preserve"> and physicians for the administration of Remdesivir </w:t>
      </w:r>
      <w:r w:rsidR="00022AC3" w:rsidRPr="008838B7">
        <w:t>(</w:t>
      </w:r>
      <w:proofErr w:type="spellStart"/>
      <w:r w:rsidR="00022AC3" w:rsidRPr="008838B7">
        <w:t>Veklury</w:t>
      </w:r>
      <w:proofErr w:type="spellEnd"/>
      <w:r w:rsidR="00022AC3" w:rsidRPr="008838B7">
        <w:t>) in an outpatient setting.</w:t>
      </w:r>
      <w:r w:rsidR="00022AC3">
        <w:t xml:space="preserve"> </w:t>
      </w:r>
      <w:r w:rsidR="00022AC3" w:rsidRPr="008838B7">
        <w:t xml:space="preserve">MassHealth will reimburse for Remdesivir administered in accordance with its </w:t>
      </w:r>
      <w:r w:rsidR="00022AC3">
        <w:t>Food and Drug Administration (</w:t>
      </w:r>
      <w:r w:rsidR="00022AC3" w:rsidRPr="00A72902">
        <w:t>FDA</w:t>
      </w:r>
      <w:r w:rsidR="00022AC3">
        <w:t>)</w:t>
      </w:r>
      <w:r w:rsidR="00022AC3" w:rsidRPr="00A72902">
        <w:t xml:space="preserve">-approved </w:t>
      </w:r>
      <w:hyperlink r:id="rId14" w:history="1">
        <w:r w:rsidR="00022AC3" w:rsidRPr="00A72902">
          <w:rPr>
            <w:rStyle w:val="Hyperlink"/>
          </w:rPr>
          <w:t>label</w:t>
        </w:r>
      </w:hyperlink>
      <w:r w:rsidR="00022AC3" w:rsidRPr="00A72902">
        <w:t xml:space="preserve">, </w:t>
      </w:r>
      <w:r w:rsidR="00022AC3" w:rsidRPr="008838B7">
        <w:t xml:space="preserve">as well as any emergency use authorization (EUA) for the period when active such EUA was in effect. </w:t>
      </w:r>
      <w:r w:rsidR="00022AC3" w:rsidRPr="00A72902">
        <w:t>The FDA granted approval on April 25, 2022</w:t>
      </w:r>
      <w:r w:rsidR="00022AC3">
        <w:t xml:space="preserve"> </w:t>
      </w:r>
      <w:r w:rsidR="00022AC3" w:rsidRPr="00A72902">
        <w:t>for the treatment of pediatric patients 28 days of age and older and weighing at least 3 kg who are hospitalized or have mild-to-moderate COVID-19 and are at high risk for progression to severe COVID-19, including hospitalization or death. This approval follows the recent approval for the treatment of non-hospitalized adult and adolescent patients who are hospitalized or at high risk of progression to severe COVID-19.</w:t>
      </w:r>
    </w:p>
    <w:p w14:paraId="79E6A9A9" w14:textId="720FA117" w:rsidR="00022AC3" w:rsidRDefault="00022AC3">
      <w:pPr>
        <w:spacing w:before="0" w:after="200" w:afterAutospacing="0" w:line="276" w:lineRule="auto"/>
        <w:ind w:left="0"/>
      </w:pPr>
      <w:r>
        <w:br w:type="page"/>
      </w:r>
    </w:p>
    <w:p w14:paraId="26E0037C" w14:textId="33845C7C" w:rsidR="009E6BFA" w:rsidRPr="00022AC3" w:rsidRDefault="00022AC3" w:rsidP="00022AC3">
      <w:r w:rsidRPr="001A1E2F">
        <w:lastRenderedPageBreak/>
        <w:t xml:space="preserve">Providers administering Remdesivir pursuant to this bulletin should bill MassHealth using existing HCPCS code J3490 for dates of service before </w:t>
      </w:r>
      <w:r>
        <w:t>April 1</w:t>
      </w:r>
      <w:r w:rsidRPr="001A1E2F">
        <w:t xml:space="preserve">, 2022. Effective for dates of service on or after </w:t>
      </w:r>
      <w:r>
        <w:t>April 1</w:t>
      </w:r>
      <w:r w:rsidRPr="001A1E2F">
        <w:t>, 2022</w:t>
      </w:r>
      <w:r w:rsidR="00B40ACB">
        <w:t>,</w:t>
      </w:r>
      <w:r w:rsidRPr="001A1E2F">
        <w:t xml:space="preserve"> providers should bill using code HCPCS code </w:t>
      </w:r>
      <w:r w:rsidRPr="001A1E2F">
        <w:rPr>
          <w:rFonts w:cs="Arial"/>
          <w:color w:val="000000"/>
          <w:shd w:val="clear" w:color="auto" w:fill="FFFFFF"/>
        </w:rPr>
        <w:t xml:space="preserve">J0248, </w:t>
      </w:r>
      <w:r w:rsidRPr="001A1E2F">
        <w:rPr>
          <w:rFonts w:cs="Helvetica"/>
          <w:color w:val="000000"/>
          <w:shd w:val="clear" w:color="auto" w:fill="FFFFFF"/>
        </w:rPr>
        <w:t xml:space="preserve">Injection, </w:t>
      </w:r>
      <w:proofErr w:type="spellStart"/>
      <w:r w:rsidRPr="001A1E2F">
        <w:rPr>
          <w:rFonts w:cs="Helvetica"/>
          <w:color w:val="000000"/>
          <w:shd w:val="clear" w:color="auto" w:fill="FFFFFF"/>
        </w:rPr>
        <w:t>remdesivir</w:t>
      </w:r>
      <w:proofErr w:type="spellEnd"/>
      <w:r w:rsidRPr="001A1E2F">
        <w:rPr>
          <w:rFonts w:cs="Helvetica"/>
          <w:color w:val="000000"/>
          <w:shd w:val="clear" w:color="auto" w:fill="FFFFFF"/>
        </w:rPr>
        <w:t xml:space="preserve">, 1 </w:t>
      </w:r>
      <w:r w:rsidRPr="001A1E2F">
        <w:rPr>
          <w:rFonts w:cs="Helvetica"/>
          <w:shd w:val="clear" w:color="auto" w:fill="FFFFFF"/>
        </w:rPr>
        <w:t>mg.</w:t>
      </w:r>
      <w:r>
        <w:t xml:space="preserve"> </w:t>
      </w:r>
      <w:r w:rsidR="001A1E2F" w:rsidRPr="001A1E2F">
        <w:rPr>
          <w:rFonts w:cs="Arial"/>
          <w:shd w:val="clear" w:color="auto" w:fill="FFFFFF"/>
        </w:rPr>
        <w:t>Providers should report units to reflect the dosage administered for each patient.</w:t>
      </w:r>
      <w:r w:rsidR="00AD7FFB" w:rsidRPr="001A1E2F">
        <w:rPr>
          <w:rFonts w:cs="Arial"/>
          <w:shd w:val="clear" w:color="auto" w:fill="FFFFFF"/>
        </w:rPr>
        <w:t xml:space="preserve"> </w:t>
      </w:r>
      <w:r w:rsidR="00AD7FFB" w:rsidRPr="001A1E2F">
        <w:t>The Executive Office and Health and Human Services (EOHHS) anticipates paying a</w:t>
      </w:r>
      <w:r w:rsidR="001A1E2F" w:rsidRPr="001A1E2F">
        <w:t xml:space="preserve"> maximum</w:t>
      </w:r>
      <w:r w:rsidR="00AD7FFB" w:rsidRPr="001A1E2F">
        <w:t xml:space="preserve"> price per unit of </w:t>
      </w:r>
      <w:r w:rsidR="00AD7FFB" w:rsidRPr="001A1E2F">
        <w:rPr>
          <w:shd w:val="clear" w:color="auto" w:fill="FFFFFF"/>
        </w:rPr>
        <w:t>$5.51</w:t>
      </w:r>
      <w:r w:rsidR="001A1E2F" w:rsidRPr="001A1E2F">
        <w:rPr>
          <w:rFonts w:cs="Arial"/>
          <w:shd w:val="clear" w:color="auto" w:fill="FFFFFF"/>
        </w:rPr>
        <w:t xml:space="preserve">. </w:t>
      </w:r>
      <w:r w:rsidR="001A1E2F" w:rsidRPr="001A1E2F">
        <w:rPr>
          <w:rFonts w:cs="Helvetica"/>
        </w:rPr>
        <w:t>Standard IV infusion administration reimbursement rates will be applied.</w:t>
      </w:r>
    </w:p>
    <w:p w14:paraId="2107C39D" w14:textId="729B932E" w:rsidR="00AF6B7F" w:rsidRDefault="00AD7FFB" w:rsidP="00AF6B7F">
      <w:pPr>
        <w:spacing w:after="0"/>
      </w:pPr>
      <w:r w:rsidRPr="001A1E2F">
        <w:t>MassHealth will issue transmittal letters that formally add code J0248 to the relevant provider manuals</w:t>
      </w:r>
      <w:r w:rsidR="00304126">
        <w:t xml:space="preserve"> and</w:t>
      </w:r>
      <w:r w:rsidRPr="001A1E2F">
        <w:t xml:space="preserve"> EOHHS will formally </w:t>
      </w:r>
      <w:r w:rsidR="00304126">
        <w:t>codify</w:t>
      </w:r>
      <w:r w:rsidRPr="001A1E2F">
        <w:t xml:space="preserve"> these rates, which are consistent with Medicare</w:t>
      </w:r>
      <w:r w:rsidR="00304126">
        <w:t xml:space="preserve"> rates</w:t>
      </w:r>
      <w:r w:rsidRPr="001A1E2F">
        <w:t xml:space="preserve">, through administrative bulletins or amendments to </w:t>
      </w:r>
      <w:r w:rsidR="00304126">
        <w:t>EOHHS rate regulations, as appropriate</w:t>
      </w:r>
      <w:r w:rsidRPr="001A1E2F">
        <w:t xml:space="preserve">. </w:t>
      </w:r>
      <w:r w:rsidR="00AF6B7F" w:rsidRPr="001A1E2F">
        <w:t xml:space="preserve">MassHealth will pay MassHealth-enrolled acute outpatient hospitals administering Remdesivir pursuant to this </w:t>
      </w:r>
      <w:r w:rsidR="0093309F" w:rsidRPr="001A1E2F">
        <w:t>b</w:t>
      </w:r>
      <w:r w:rsidR="00AF6B7F" w:rsidRPr="001A1E2F">
        <w:t xml:space="preserve">ulletin in accordance with the Rate Year 2022 Acute Hospital Request for Applications and Contract, as amended. </w:t>
      </w:r>
    </w:p>
    <w:p w14:paraId="4A542206" w14:textId="77777777" w:rsidR="004033EB" w:rsidRPr="004033EB" w:rsidRDefault="004033EB" w:rsidP="008D2468">
      <w:pPr>
        <w:pStyle w:val="BodyTextIndent"/>
        <w:keepNext/>
        <w:spacing w:before="0"/>
        <w:rPr>
          <w:rStyle w:val="Heading2Char"/>
        </w:rPr>
      </w:pPr>
      <w:r w:rsidRPr="004033EB">
        <w:rPr>
          <w:rStyle w:val="Heading2Char"/>
        </w:rPr>
        <w:t xml:space="preserve">Rate and Coverage for COVID-19 Vaccine Administration </w:t>
      </w:r>
    </w:p>
    <w:p w14:paraId="5FEC402A" w14:textId="23E451BD" w:rsidR="004033EB" w:rsidRDefault="004033EB" w:rsidP="000112A8">
      <w:pPr>
        <w:spacing w:after="360" w:afterAutospacing="0"/>
      </w:pPr>
      <w:r>
        <w:t xml:space="preserve">Effective for the dates of service on or after </w:t>
      </w:r>
      <w:r w:rsidR="008D2468">
        <w:t>March 29</w:t>
      </w:r>
      <w:r>
        <w:t>, 2022, eligible providers may bill and receive payment for vaccine administration at the rates identified below</w:t>
      </w:r>
      <w:r w:rsidR="00D412D9">
        <w:t xml:space="preserve"> for these new codes</w:t>
      </w:r>
      <w:r>
        <w:t xml:space="preserve">. Rates and billing codes will be formally codified through administrative bulletin or </w:t>
      </w:r>
      <w:r w:rsidR="00304126">
        <w:t xml:space="preserve">amendments to </w:t>
      </w:r>
      <w:r>
        <w:t>EOHHS</w:t>
      </w:r>
      <w:r w:rsidR="00304126">
        <w:t xml:space="preserve"> rate regulations as appropriate</w:t>
      </w:r>
      <w:r w:rsidR="005B2265">
        <w:t>.</w:t>
      </w:r>
    </w:p>
    <w:tbl>
      <w:tblPr>
        <w:tblStyle w:val="TableGrid"/>
        <w:tblW w:w="0" w:type="auto"/>
        <w:jc w:val="center"/>
        <w:tblBorders>
          <w:bottom w:val="single" w:sz="6" w:space="0" w:color="auto"/>
        </w:tblBorders>
        <w:tblLook w:val="04A0" w:firstRow="1" w:lastRow="0" w:firstColumn="1" w:lastColumn="0" w:noHBand="0" w:noVBand="1"/>
      </w:tblPr>
      <w:tblGrid>
        <w:gridCol w:w="1075"/>
        <w:gridCol w:w="1191"/>
        <w:gridCol w:w="5564"/>
        <w:gridCol w:w="1795"/>
      </w:tblGrid>
      <w:tr w:rsidR="004033EB" w:rsidRPr="005520A5" w14:paraId="24CDEFA6" w14:textId="77777777" w:rsidTr="009E6BFA">
        <w:trPr>
          <w:cantSplit/>
          <w:trHeight w:val="1187"/>
          <w:tblHeader/>
          <w:jc w:val="center"/>
        </w:trPr>
        <w:tc>
          <w:tcPr>
            <w:tcW w:w="1075" w:type="dxa"/>
            <w:vAlign w:val="center"/>
          </w:tcPr>
          <w:p w14:paraId="5F433DB3" w14:textId="77777777" w:rsidR="004033EB" w:rsidRPr="005520A5" w:rsidRDefault="004033EB" w:rsidP="003F09C2">
            <w:pPr>
              <w:shd w:val="clear" w:color="auto" w:fill="FFFFFF"/>
              <w:spacing w:before="150" w:line="312" w:lineRule="atLeast"/>
              <w:ind w:left="0"/>
              <w:rPr>
                <w:b/>
                <w:sz w:val="22"/>
                <w:szCs w:val="22"/>
              </w:rPr>
            </w:pPr>
            <w:r w:rsidRPr="005520A5">
              <w:rPr>
                <w:b/>
                <w:sz w:val="22"/>
                <w:szCs w:val="22"/>
              </w:rPr>
              <w:t>Code</w:t>
            </w:r>
          </w:p>
        </w:tc>
        <w:tc>
          <w:tcPr>
            <w:tcW w:w="1191" w:type="dxa"/>
            <w:vAlign w:val="center"/>
          </w:tcPr>
          <w:p w14:paraId="31A2DE42" w14:textId="77777777" w:rsidR="004033EB" w:rsidRPr="008D2468" w:rsidRDefault="004033EB" w:rsidP="003F09C2">
            <w:pPr>
              <w:shd w:val="clear" w:color="auto" w:fill="FFFFFF"/>
              <w:spacing w:before="150" w:line="312" w:lineRule="atLeast"/>
              <w:ind w:left="0"/>
              <w:jc w:val="center"/>
              <w:rPr>
                <w:b/>
                <w:sz w:val="22"/>
                <w:szCs w:val="22"/>
              </w:rPr>
            </w:pPr>
            <w:r w:rsidRPr="008D2468">
              <w:rPr>
                <w:b/>
                <w:sz w:val="22"/>
                <w:szCs w:val="22"/>
              </w:rPr>
              <w:t>Rate</w:t>
            </w:r>
          </w:p>
        </w:tc>
        <w:tc>
          <w:tcPr>
            <w:tcW w:w="5564" w:type="dxa"/>
            <w:vAlign w:val="center"/>
          </w:tcPr>
          <w:p w14:paraId="503568D6" w14:textId="77777777" w:rsidR="004033EB" w:rsidRPr="008D2468" w:rsidRDefault="004033EB" w:rsidP="003F09C2">
            <w:pPr>
              <w:shd w:val="clear" w:color="auto" w:fill="FFFFFF"/>
              <w:spacing w:before="150" w:line="312" w:lineRule="atLeast"/>
              <w:jc w:val="center"/>
              <w:rPr>
                <w:b/>
                <w:sz w:val="22"/>
                <w:szCs w:val="22"/>
              </w:rPr>
            </w:pPr>
            <w:r w:rsidRPr="008D2468">
              <w:rPr>
                <w:b/>
                <w:sz w:val="22"/>
                <w:szCs w:val="22"/>
              </w:rPr>
              <w:t>Description</w:t>
            </w:r>
          </w:p>
        </w:tc>
        <w:tc>
          <w:tcPr>
            <w:tcW w:w="1795" w:type="dxa"/>
            <w:vAlign w:val="center"/>
          </w:tcPr>
          <w:p w14:paraId="2C03B1EF" w14:textId="1367A743" w:rsidR="004033EB" w:rsidRPr="008D2468" w:rsidRDefault="004033EB" w:rsidP="003F09C2">
            <w:pPr>
              <w:shd w:val="clear" w:color="auto" w:fill="FFFFFF"/>
              <w:spacing w:before="150" w:line="312" w:lineRule="atLeast"/>
              <w:ind w:left="0"/>
              <w:jc w:val="center"/>
              <w:rPr>
                <w:b/>
                <w:sz w:val="22"/>
                <w:szCs w:val="22"/>
              </w:rPr>
            </w:pPr>
            <w:r w:rsidRPr="008D2468">
              <w:rPr>
                <w:b/>
                <w:sz w:val="22"/>
                <w:szCs w:val="22"/>
              </w:rPr>
              <w:t xml:space="preserve">Effective for Dates of Service </w:t>
            </w:r>
            <w:r w:rsidR="000112A8" w:rsidRPr="008D2468">
              <w:rPr>
                <w:b/>
                <w:sz w:val="22"/>
                <w:szCs w:val="22"/>
              </w:rPr>
              <w:t>on</w:t>
            </w:r>
            <w:r w:rsidRPr="008D2468">
              <w:rPr>
                <w:b/>
                <w:sz w:val="22"/>
                <w:szCs w:val="22"/>
              </w:rPr>
              <w:t xml:space="preserve"> or After</w:t>
            </w:r>
          </w:p>
        </w:tc>
      </w:tr>
      <w:tr w:rsidR="004033EB" w:rsidRPr="00AF6B7F" w14:paraId="6EB91E65" w14:textId="77777777" w:rsidTr="003F09C2">
        <w:trPr>
          <w:cantSplit/>
          <w:jc w:val="center"/>
        </w:trPr>
        <w:tc>
          <w:tcPr>
            <w:tcW w:w="1075" w:type="dxa"/>
            <w:vAlign w:val="center"/>
          </w:tcPr>
          <w:p w14:paraId="0B6F7445" w14:textId="291F3820" w:rsidR="004033EB" w:rsidRPr="008B3904" w:rsidRDefault="004033EB" w:rsidP="003F09C2">
            <w:pPr>
              <w:shd w:val="clear" w:color="auto" w:fill="FFFFFF"/>
              <w:spacing w:before="150" w:line="360" w:lineRule="auto"/>
              <w:ind w:left="0"/>
              <w:rPr>
                <w:sz w:val="22"/>
                <w:szCs w:val="22"/>
              </w:rPr>
            </w:pPr>
            <w:r w:rsidRPr="008B3904">
              <w:rPr>
                <w:rFonts w:cs="Arial"/>
                <w:color w:val="000000"/>
                <w:sz w:val="22"/>
                <w:szCs w:val="22"/>
                <w:shd w:val="clear" w:color="auto" w:fill="FFFFFF"/>
              </w:rPr>
              <w:t>91309</w:t>
            </w:r>
            <w:r w:rsidRPr="008B3904">
              <w:rPr>
                <w:sz w:val="22"/>
                <w:szCs w:val="22"/>
              </w:rPr>
              <w:t xml:space="preserve"> SL</w:t>
            </w:r>
          </w:p>
        </w:tc>
        <w:tc>
          <w:tcPr>
            <w:tcW w:w="1191" w:type="dxa"/>
            <w:vAlign w:val="center"/>
          </w:tcPr>
          <w:p w14:paraId="4DCC410D" w14:textId="77777777" w:rsidR="004033EB" w:rsidRPr="008B3904" w:rsidRDefault="004033EB" w:rsidP="003F09C2">
            <w:pPr>
              <w:shd w:val="clear" w:color="auto" w:fill="FFFFFF"/>
              <w:spacing w:before="150" w:line="360" w:lineRule="auto"/>
              <w:ind w:left="0"/>
              <w:jc w:val="center"/>
              <w:rPr>
                <w:sz w:val="22"/>
                <w:szCs w:val="22"/>
              </w:rPr>
            </w:pPr>
            <w:r w:rsidRPr="008B3904">
              <w:rPr>
                <w:sz w:val="22"/>
                <w:szCs w:val="22"/>
              </w:rPr>
              <w:t>$0.00</w:t>
            </w:r>
          </w:p>
        </w:tc>
        <w:tc>
          <w:tcPr>
            <w:tcW w:w="5564" w:type="dxa"/>
            <w:vAlign w:val="center"/>
          </w:tcPr>
          <w:p w14:paraId="2FE85C3A" w14:textId="247D348A" w:rsidR="004033EB" w:rsidRPr="008B3904" w:rsidRDefault="004033EB" w:rsidP="003F09C2">
            <w:pPr>
              <w:shd w:val="clear" w:color="auto" w:fill="FFFFFF"/>
              <w:spacing w:before="150" w:line="360" w:lineRule="auto"/>
              <w:rPr>
                <w:sz w:val="22"/>
                <w:szCs w:val="22"/>
              </w:rPr>
            </w:pPr>
            <w:r w:rsidRPr="008B3904">
              <w:rPr>
                <w:rFonts w:cs="Arial"/>
                <w:color w:val="000000"/>
                <w:sz w:val="22"/>
                <w:szCs w:val="22"/>
                <w:shd w:val="clear" w:color="auto" w:fill="FFFFFF"/>
              </w:rPr>
              <w:t>Moderna COVID-19 Vaccine (Blue Cap) 50MCG/0.5ML (Booster)</w:t>
            </w:r>
          </w:p>
        </w:tc>
        <w:tc>
          <w:tcPr>
            <w:tcW w:w="1795" w:type="dxa"/>
            <w:vAlign w:val="center"/>
          </w:tcPr>
          <w:p w14:paraId="0026E202" w14:textId="0C6F7A36" w:rsidR="004033EB" w:rsidRPr="008B3904" w:rsidRDefault="004033EB" w:rsidP="003F09C2">
            <w:pPr>
              <w:shd w:val="clear" w:color="auto" w:fill="FFFFFF"/>
              <w:spacing w:before="150" w:line="360" w:lineRule="auto"/>
              <w:ind w:left="0"/>
              <w:jc w:val="center"/>
              <w:rPr>
                <w:sz w:val="22"/>
                <w:szCs w:val="22"/>
              </w:rPr>
            </w:pPr>
            <w:r w:rsidRPr="008B3904">
              <w:rPr>
                <w:sz w:val="22"/>
                <w:szCs w:val="22"/>
              </w:rPr>
              <w:t>3/29/2022</w:t>
            </w:r>
          </w:p>
        </w:tc>
      </w:tr>
      <w:tr w:rsidR="004033EB" w:rsidRPr="00AF6B7F" w14:paraId="379AC184" w14:textId="77777777" w:rsidTr="003F09C2">
        <w:trPr>
          <w:cantSplit/>
          <w:jc w:val="center"/>
        </w:trPr>
        <w:tc>
          <w:tcPr>
            <w:tcW w:w="1075" w:type="dxa"/>
            <w:vAlign w:val="center"/>
          </w:tcPr>
          <w:p w14:paraId="5325BACE" w14:textId="3345CB1B" w:rsidR="004033EB" w:rsidRPr="008B3904" w:rsidRDefault="008D2468" w:rsidP="003F09C2">
            <w:pPr>
              <w:shd w:val="clear" w:color="auto" w:fill="FFFFFF"/>
              <w:spacing w:before="150" w:line="360" w:lineRule="auto"/>
              <w:ind w:left="0"/>
              <w:rPr>
                <w:sz w:val="22"/>
                <w:szCs w:val="22"/>
              </w:rPr>
            </w:pPr>
            <w:r w:rsidRPr="008B3904">
              <w:rPr>
                <w:rFonts w:cs="Arial"/>
                <w:color w:val="000000"/>
                <w:sz w:val="22"/>
                <w:szCs w:val="22"/>
                <w:shd w:val="clear" w:color="auto" w:fill="FFFFFF"/>
              </w:rPr>
              <w:t>0094A</w:t>
            </w:r>
          </w:p>
        </w:tc>
        <w:tc>
          <w:tcPr>
            <w:tcW w:w="1191" w:type="dxa"/>
            <w:vAlign w:val="center"/>
          </w:tcPr>
          <w:p w14:paraId="697C53BD" w14:textId="35236E38" w:rsidR="004033EB" w:rsidRPr="008B3904" w:rsidRDefault="008D2468" w:rsidP="003F09C2">
            <w:pPr>
              <w:shd w:val="clear" w:color="auto" w:fill="FFFFFF"/>
              <w:spacing w:before="150" w:line="360" w:lineRule="auto"/>
              <w:ind w:left="0"/>
              <w:jc w:val="center"/>
              <w:rPr>
                <w:sz w:val="22"/>
                <w:szCs w:val="22"/>
              </w:rPr>
            </w:pPr>
            <w:r w:rsidRPr="008B3904">
              <w:rPr>
                <w:sz w:val="22"/>
                <w:szCs w:val="22"/>
              </w:rPr>
              <w:t>$45.87</w:t>
            </w:r>
          </w:p>
        </w:tc>
        <w:tc>
          <w:tcPr>
            <w:tcW w:w="5564" w:type="dxa"/>
            <w:vAlign w:val="center"/>
          </w:tcPr>
          <w:p w14:paraId="61A570DF" w14:textId="243C23A9" w:rsidR="004033EB" w:rsidRPr="008B3904" w:rsidRDefault="008D2468" w:rsidP="003F09C2">
            <w:pPr>
              <w:shd w:val="clear" w:color="auto" w:fill="FFFFFF"/>
              <w:spacing w:before="150" w:line="360" w:lineRule="auto"/>
              <w:rPr>
                <w:sz w:val="22"/>
                <w:szCs w:val="22"/>
              </w:rPr>
            </w:pPr>
            <w:r w:rsidRPr="008B3904">
              <w:rPr>
                <w:rFonts w:cs="Arial"/>
                <w:color w:val="000000"/>
                <w:sz w:val="22"/>
                <w:szCs w:val="22"/>
                <w:shd w:val="clear" w:color="auto" w:fill="FFFFFF"/>
              </w:rPr>
              <w:t>Moderna COVID-19 Vaccine (Blue Cap) 50MCG/0.5ML Administration - Booster</w:t>
            </w:r>
          </w:p>
        </w:tc>
        <w:tc>
          <w:tcPr>
            <w:tcW w:w="1795" w:type="dxa"/>
            <w:vAlign w:val="center"/>
          </w:tcPr>
          <w:p w14:paraId="22E7F47A" w14:textId="0FB50A0F" w:rsidR="004033EB" w:rsidRPr="008B3904" w:rsidRDefault="008D2468" w:rsidP="003F09C2">
            <w:pPr>
              <w:shd w:val="clear" w:color="auto" w:fill="FFFFFF"/>
              <w:spacing w:before="150" w:line="360" w:lineRule="auto"/>
              <w:ind w:left="0"/>
              <w:jc w:val="center"/>
              <w:rPr>
                <w:sz w:val="22"/>
                <w:szCs w:val="22"/>
              </w:rPr>
            </w:pPr>
            <w:r w:rsidRPr="008B3904">
              <w:rPr>
                <w:sz w:val="22"/>
                <w:szCs w:val="22"/>
              </w:rPr>
              <w:t>3/29/2022</w:t>
            </w:r>
          </w:p>
        </w:tc>
      </w:tr>
    </w:tbl>
    <w:p w14:paraId="51B6E14A" w14:textId="77777777" w:rsidR="009E6BFA" w:rsidRPr="009E6BFA" w:rsidRDefault="009E6BFA" w:rsidP="009E6BFA">
      <w:pPr>
        <w:pStyle w:val="BodyTextIndent"/>
        <w:keepNext/>
        <w:spacing w:before="0" w:after="0" w:afterAutospacing="0"/>
        <w:rPr>
          <w:rStyle w:val="Heading2Char"/>
          <w:sz w:val="16"/>
          <w:szCs w:val="16"/>
        </w:rPr>
      </w:pPr>
    </w:p>
    <w:p w14:paraId="033D8F99" w14:textId="3E0B4730" w:rsidR="006643E1" w:rsidRPr="006643E1" w:rsidRDefault="006643E1" w:rsidP="009E6BFA">
      <w:pPr>
        <w:pStyle w:val="BodyTextIndent"/>
        <w:keepNext/>
        <w:spacing w:after="0" w:afterAutospacing="0"/>
        <w:rPr>
          <w:rStyle w:val="Heading2Char"/>
        </w:rPr>
      </w:pPr>
      <w:r w:rsidRPr="006643E1">
        <w:rPr>
          <w:rStyle w:val="Heading2Char"/>
        </w:rPr>
        <w:t>MassHealth Pharmacy Coverage of At-Home Antigen Test Kits</w:t>
      </w:r>
      <w:r>
        <w:rPr>
          <w:rStyle w:val="Heading2Char"/>
        </w:rPr>
        <w:t xml:space="preserve"> for MassHealth Limited Members</w:t>
      </w:r>
    </w:p>
    <w:p w14:paraId="4836E737" w14:textId="6B003396" w:rsidR="006643E1" w:rsidRDefault="006643E1" w:rsidP="00AF6B7F">
      <w:pPr>
        <w:spacing w:after="0"/>
      </w:pPr>
      <w:r>
        <w:t>MassHealth All Provider Bulletin 337 described coverage for specified OTC diagnostic SARS-CoV-2 antigen tests</w:t>
      </w:r>
      <w:r w:rsidR="00447065">
        <w:t xml:space="preserve">. </w:t>
      </w:r>
      <w:r>
        <w:t xml:space="preserve">Test kits </w:t>
      </w:r>
      <w:r w:rsidR="001D696A">
        <w:t>are</w:t>
      </w:r>
      <w:r>
        <w:t xml:space="preserve"> covered without prior authorization within the quantity limit of eight test kits per member per month. Note that test kits may be packaged individually or with multiple test kits in one package; the limit without prior authorization is eight test kits per member per month, regardless of how they are packaged (e.g., four packages containing two test kits or eight packages containing one test kit </w:t>
      </w:r>
      <w:r w:rsidR="001D696A">
        <w:t>are</w:t>
      </w:r>
      <w:r>
        <w:t xml:space="preserve"> covered without prior authorization).</w:t>
      </w:r>
      <w:r w:rsidR="00447065">
        <w:t xml:space="preserve"> Coverage of additional test kits exceeding the quantity limit described above require</w:t>
      </w:r>
      <w:r w:rsidR="00B40ACB">
        <w:t>s</w:t>
      </w:r>
      <w:r w:rsidR="00447065">
        <w:t xml:space="preserve"> prior authorization. Such requests </w:t>
      </w:r>
      <w:r w:rsidR="001D696A">
        <w:t>ar</w:t>
      </w:r>
      <w:r w:rsidR="00447065">
        <w:t>e reviewed by MassHealth on a case-by-case basis</w:t>
      </w:r>
    </w:p>
    <w:p w14:paraId="7C8833AD" w14:textId="38FD99EC" w:rsidR="006643E1" w:rsidRPr="001A1E2F" w:rsidRDefault="006643E1" w:rsidP="00AF6B7F">
      <w:pPr>
        <w:spacing w:after="0"/>
      </w:pPr>
      <w:r>
        <w:t xml:space="preserve">This bulletin clarifies that this coverage applies for MassHealth Limited members as well. </w:t>
      </w:r>
    </w:p>
    <w:p w14:paraId="420E6A28" w14:textId="77777777" w:rsidR="009E6BFA" w:rsidRDefault="009E6BFA">
      <w:pPr>
        <w:spacing w:before="0" w:after="200" w:afterAutospacing="0" w:line="276" w:lineRule="auto"/>
        <w:ind w:left="0"/>
        <w:rPr>
          <w:b/>
          <w:color w:val="1F497D" w:themeColor="text2"/>
          <w:sz w:val="24"/>
          <w:szCs w:val="24"/>
        </w:rPr>
      </w:pPr>
      <w:r>
        <w:br w:type="page"/>
      </w:r>
    </w:p>
    <w:p w14:paraId="784F3CC3" w14:textId="7406C05B" w:rsidR="00F664CC" w:rsidRPr="009901A7" w:rsidRDefault="00F664CC" w:rsidP="00E27CD8">
      <w:pPr>
        <w:pStyle w:val="Heading2"/>
      </w:pPr>
      <w:r w:rsidRPr="009901A7">
        <w:lastRenderedPageBreak/>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59515F" w:rsidP="00E27CD8">
      <w:hyperlink r:id="rId16"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5F7539D" w14:textId="77777777" w:rsidR="00D37F2E" w:rsidRDefault="00D37F2E" w:rsidP="00D37F2E">
      <w:pPr>
        <w:pStyle w:val="Heading3"/>
      </w:pPr>
      <w:r>
        <w:t>Dental Services</w:t>
      </w:r>
    </w:p>
    <w:p w14:paraId="1FBEB92C" w14:textId="79029F7D" w:rsidR="00C83FBC" w:rsidRDefault="00D37F2E" w:rsidP="00C83FBC">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2C3E79BA" w:rsidR="00D37F2E" w:rsidRDefault="00D37F2E" w:rsidP="00D37F2E">
      <w:pPr>
        <w:pStyle w:val="BodyTextIndent"/>
        <w:spacing w:before="0" w:after="0" w:afterAutospacing="0"/>
        <w:ind w:left="720"/>
      </w:pPr>
      <w:r>
        <w:t xml:space="preserve">Email: </w:t>
      </w:r>
      <w:hyperlink r:id="rId17" w:history="1">
        <w:r w:rsidR="00AF6B7F" w:rsidRPr="00BC0B72">
          <w:rPr>
            <w:rStyle w:val="Hyperlink"/>
          </w:rPr>
          <w:t>support@masshealthltss.com</w:t>
        </w:r>
      </w:hyperlink>
      <w:r w:rsidR="00AF6B7F">
        <w:t xml:space="preserve"> </w:t>
      </w:r>
    </w:p>
    <w:p w14:paraId="6518B976" w14:textId="1B408445" w:rsidR="00D37F2E" w:rsidRDefault="00D37F2E" w:rsidP="00D37F2E">
      <w:pPr>
        <w:pStyle w:val="BodyTextIndent"/>
        <w:spacing w:before="0" w:after="0" w:afterAutospacing="0"/>
        <w:ind w:left="720"/>
      </w:pPr>
      <w:r>
        <w:t xml:space="preserve">Portal: </w:t>
      </w:r>
      <w:hyperlink r:id="rId18" w:history="1">
        <w:r w:rsidR="00AF6B7F" w:rsidRPr="00BC0B72">
          <w:rPr>
            <w:rStyle w:val="Hyperlink"/>
          </w:rPr>
          <w:t>www.MassHealthLTSS.com</w:t>
        </w:r>
      </w:hyperlink>
      <w:r w:rsidR="00AF6B7F">
        <w:t xml:space="preserve">  </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77777777" w:rsidR="00D37F2E" w:rsidRDefault="00D37F2E" w:rsidP="00D37F2E">
      <w:pPr>
        <w:pStyle w:val="BodyTextIndent"/>
        <w:spacing w:before="0" w:after="0" w:afterAutospacing="0"/>
        <w:ind w:left="720"/>
      </w:pPr>
      <w:r>
        <w:t>Email: providersupport@mahealth.net</w:t>
      </w:r>
    </w:p>
    <w:p w14:paraId="195815C9" w14:textId="608C9A81" w:rsidR="00CC1E11" w:rsidRPr="00F664CC" w:rsidRDefault="00D37F2E" w:rsidP="00AF6B7F">
      <w:pPr>
        <w:pStyle w:val="BodyTextIndent"/>
        <w:spacing w:before="0" w:after="0" w:afterAutospacing="0"/>
        <w:ind w:left="720"/>
      </w:pPr>
      <w:r>
        <w:t>Fax: (617) 988-8974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C3C06" w14:textId="77777777" w:rsidR="0059515F" w:rsidRDefault="0059515F" w:rsidP="00E27CD8">
      <w:r>
        <w:separator/>
      </w:r>
    </w:p>
  </w:endnote>
  <w:endnote w:type="continuationSeparator" w:id="0">
    <w:p w14:paraId="52F96D8B" w14:textId="77777777" w:rsidR="0059515F" w:rsidRDefault="005951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kolar Sans Latn Sb">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8EA56" w14:textId="77777777" w:rsidR="0059515F" w:rsidRDefault="0059515F" w:rsidP="00E27CD8">
      <w:r>
        <w:separator/>
      </w:r>
    </w:p>
  </w:footnote>
  <w:footnote w:type="continuationSeparator" w:id="0">
    <w:p w14:paraId="4EB8F4A1" w14:textId="77777777" w:rsidR="0059515F" w:rsidRDefault="005951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01A374E9" w:rsidR="00AD204A" w:rsidRPr="00F664CC" w:rsidRDefault="007466A7" w:rsidP="00AD204A">
    <w:pPr>
      <w:pStyle w:val="BullsHeading"/>
    </w:pPr>
    <w:r>
      <w:t xml:space="preserve">All Provider </w:t>
    </w:r>
    <w:r w:rsidR="00AD204A" w:rsidRPr="00F664CC">
      <w:t xml:space="preserve">Bulletin </w:t>
    </w:r>
    <w:r w:rsidR="008B4F99">
      <w:t>344</w:t>
    </w:r>
  </w:p>
  <w:p w14:paraId="1893C03A" w14:textId="43E6026F" w:rsidR="00AD204A" w:rsidRDefault="00EA076A" w:rsidP="00AD204A">
    <w:pPr>
      <w:pStyle w:val="BullsHeading"/>
    </w:pPr>
    <w:r>
      <w:t xml:space="preserve">May </w:t>
    </w:r>
    <w:r w:rsidR="008D2468">
      <w:t>2022</w:t>
    </w:r>
  </w:p>
  <w:p w14:paraId="77422704" w14:textId="76C8C09E"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F17538"/>
    <w:multiLevelType w:val="multilevel"/>
    <w:tmpl w:val="5B740CB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12A8"/>
    <w:rsid w:val="00022AC3"/>
    <w:rsid w:val="00060494"/>
    <w:rsid w:val="000D3DB5"/>
    <w:rsid w:val="00105CE8"/>
    <w:rsid w:val="00150BCC"/>
    <w:rsid w:val="001554E7"/>
    <w:rsid w:val="001611A7"/>
    <w:rsid w:val="001634DD"/>
    <w:rsid w:val="001A1E2F"/>
    <w:rsid w:val="001D696A"/>
    <w:rsid w:val="00221556"/>
    <w:rsid w:val="002402C3"/>
    <w:rsid w:val="002501CF"/>
    <w:rsid w:val="00274755"/>
    <w:rsid w:val="0028720F"/>
    <w:rsid w:val="00296676"/>
    <w:rsid w:val="002C7979"/>
    <w:rsid w:val="002D0E46"/>
    <w:rsid w:val="002D39D9"/>
    <w:rsid w:val="002E3F30"/>
    <w:rsid w:val="002E53F9"/>
    <w:rsid w:val="002F2993"/>
    <w:rsid w:val="00304126"/>
    <w:rsid w:val="0030485E"/>
    <w:rsid w:val="003413CE"/>
    <w:rsid w:val="00341EFB"/>
    <w:rsid w:val="00366D3C"/>
    <w:rsid w:val="00373D53"/>
    <w:rsid w:val="003A7588"/>
    <w:rsid w:val="003C3F49"/>
    <w:rsid w:val="003D6D46"/>
    <w:rsid w:val="003E2878"/>
    <w:rsid w:val="003E3EC0"/>
    <w:rsid w:val="003F016F"/>
    <w:rsid w:val="004033EB"/>
    <w:rsid w:val="00447065"/>
    <w:rsid w:val="00473378"/>
    <w:rsid w:val="0049587B"/>
    <w:rsid w:val="004A7718"/>
    <w:rsid w:val="004C2AA3"/>
    <w:rsid w:val="004C2ACA"/>
    <w:rsid w:val="004D084E"/>
    <w:rsid w:val="004D59AB"/>
    <w:rsid w:val="004F1E12"/>
    <w:rsid w:val="004F4B9A"/>
    <w:rsid w:val="005068BD"/>
    <w:rsid w:val="00507CFF"/>
    <w:rsid w:val="00525F6C"/>
    <w:rsid w:val="0058634E"/>
    <w:rsid w:val="0059142C"/>
    <w:rsid w:val="0059515F"/>
    <w:rsid w:val="005B2265"/>
    <w:rsid w:val="005B27F1"/>
    <w:rsid w:val="005E4B62"/>
    <w:rsid w:val="005F2B69"/>
    <w:rsid w:val="006643E1"/>
    <w:rsid w:val="006941BF"/>
    <w:rsid w:val="00696EA9"/>
    <w:rsid w:val="006C328F"/>
    <w:rsid w:val="006C70F9"/>
    <w:rsid w:val="006D3F15"/>
    <w:rsid w:val="006E336C"/>
    <w:rsid w:val="00706438"/>
    <w:rsid w:val="007466A7"/>
    <w:rsid w:val="00777A22"/>
    <w:rsid w:val="00780AA0"/>
    <w:rsid w:val="00795E06"/>
    <w:rsid w:val="007B591A"/>
    <w:rsid w:val="007F7DBF"/>
    <w:rsid w:val="008201CC"/>
    <w:rsid w:val="008349D9"/>
    <w:rsid w:val="00863041"/>
    <w:rsid w:val="00873D1D"/>
    <w:rsid w:val="00882F0B"/>
    <w:rsid w:val="008961DC"/>
    <w:rsid w:val="008A3D02"/>
    <w:rsid w:val="008B04CE"/>
    <w:rsid w:val="008B2C5A"/>
    <w:rsid w:val="008B3904"/>
    <w:rsid w:val="008B4F99"/>
    <w:rsid w:val="008B6E51"/>
    <w:rsid w:val="008D2468"/>
    <w:rsid w:val="008D60BB"/>
    <w:rsid w:val="008E6B34"/>
    <w:rsid w:val="009111DC"/>
    <w:rsid w:val="009136EE"/>
    <w:rsid w:val="00914588"/>
    <w:rsid w:val="00922F04"/>
    <w:rsid w:val="0093309F"/>
    <w:rsid w:val="00936A2B"/>
    <w:rsid w:val="009413DF"/>
    <w:rsid w:val="009811A1"/>
    <w:rsid w:val="00982839"/>
    <w:rsid w:val="009B10B7"/>
    <w:rsid w:val="009E6BFA"/>
    <w:rsid w:val="009F668F"/>
    <w:rsid w:val="00A14627"/>
    <w:rsid w:val="00A75ADE"/>
    <w:rsid w:val="00A772C1"/>
    <w:rsid w:val="00A77849"/>
    <w:rsid w:val="00A95FC1"/>
    <w:rsid w:val="00AA6085"/>
    <w:rsid w:val="00AD204A"/>
    <w:rsid w:val="00AD6899"/>
    <w:rsid w:val="00AD7FFB"/>
    <w:rsid w:val="00AF6B7F"/>
    <w:rsid w:val="00B0461B"/>
    <w:rsid w:val="00B40ACB"/>
    <w:rsid w:val="00B73653"/>
    <w:rsid w:val="00B946FD"/>
    <w:rsid w:val="00BA0D71"/>
    <w:rsid w:val="00BB4E4E"/>
    <w:rsid w:val="00BC3755"/>
    <w:rsid w:val="00BD2DAF"/>
    <w:rsid w:val="00BF0EC3"/>
    <w:rsid w:val="00C0054E"/>
    <w:rsid w:val="00C024A2"/>
    <w:rsid w:val="00C265D9"/>
    <w:rsid w:val="00C45138"/>
    <w:rsid w:val="00C83FBC"/>
    <w:rsid w:val="00CB5F52"/>
    <w:rsid w:val="00CC1E11"/>
    <w:rsid w:val="00CD456D"/>
    <w:rsid w:val="00D12469"/>
    <w:rsid w:val="00D251FF"/>
    <w:rsid w:val="00D310A7"/>
    <w:rsid w:val="00D37F2E"/>
    <w:rsid w:val="00D412D9"/>
    <w:rsid w:val="00DE40E1"/>
    <w:rsid w:val="00E01D80"/>
    <w:rsid w:val="00E27CD8"/>
    <w:rsid w:val="00E34DE6"/>
    <w:rsid w:val="00E443C5"/>
    <w:rsid w:val="00E71C67"/>
    <w:rsid w:val="00E833E4"/>
    <w:rsid w:val="00EA076A"/>
    <w:rsid w:val="00ED497C"/>
    <w:rsid w:val="00F262AB"/>
    <w:rsid w:val="00F42F83"/>
    <w:rsid w:val="00F60574"/>
    <w:rsid w:val="00F664CC"/>
    <w:rsid w:val="00F73D6F"/>
    <w:rsid w:val="00F74F30"/>
    <w:rsid w:val="00F94BC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rsid w:val="00366D3C"/>
    <w:rPr>
      <w:rFonts w:cs="Times New Roman"/>
      <w:sz w:val="16"/>
      <w:szCs w:val="16"/>
    </w:rPr>
  </w:style>
  <w:style w:type="paragraph" w:styleId="CommentText">
    <w:name w:val="annotation text"/>
    <w:basedOn w:val="Normal"/>
    <w:link w:val="CommentTextChar"/>
    <w:uiPriority w:val="99"/>
    <w:rsid w:val="00366D3C"/>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366D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91A"/>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7B591A"/>
    <w:rPr>
      <w:rFonts w:ascii="Georgia" w:eastAsia="Times New Roman" w:hAnsi="Georgia" w:cs="Times New Roman"/>
      <w:b/>
      <w:bCs/>
      <w:sz w:val="20"/>
      <w:szCs w:val="20"/>
    </w:rPr>
  </w:style>
  <w:style w:type="paragraph" w:styleId="Revision">
    <w:name w:val="Revision"/>
    <w:hidden/>
    <w:uiPriority w:val="99"/>
    <w:semiHidden/>
    <w:rsid w:val="007B591A"/>
    <w:pPr>
      <w:spacing w:after="0" w:line="240" w:lineRule="auto"/>
    </w:pPr>
    <w:rPr>
      <w:rFonts w:ascii="Georgia" w:eastAsia="Times New Roman" w:hAnsi="Georgia" w:cs="Times New Roman"/>
    </w:rPr>
  </w:style>
  <w:style w:type="table" w:styleId="TableGrid">
    <w:name w:val="Table Grid"/>
    <w:basedOn w:val="TableNormal"/>
    <w:rsid w:val="004D59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6B7F"/>
    <w:rPr>
      <w:color w:val="605E5C"/>
      <w:shd w:val="clear" w:color="auto" w:fill="E1DFDD"/>
    </w:rPr>
  </w:style>
  <w:style w:type="character" w:customStyle="1" w:styleId="Bold">
    <w:name w:val="Bold"/>
    <w:basedOn w:val="DefaultParagraphFont"/>
    <w:uiPriority w:val="99"/>
    <w:rsid w:val="00C83FBC"/>
    <w:rPr>
      <w:rFonts w:ascii="Skolar Sans Latn Sb" w:hAnsi="Skolar Sans Latn Sb" w:hint="default"/>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4233">
      <w:bodyDiv w:val="1"/>
      <w:marLeft w:val="0"/>
      <w:marRight w:val="0"/>
      <w:marTop w:val="0"/>
      <w:marBottom w:val="0"/>
      <w:divBdr>
        <w:top w:val="none" w:sz="0" w:space="0" w:color="auto"/>
        <w:left w:val="none" w:sz="0" w:space="0" w:color="auto"/>
        <w:bottom w:val="none" w:sz="0" w:space="0" w:color="auto"/>
        <w:right w:val="none" w:sz="0" w:space="0" w:color="auto"/>
      </w:divBdr>
    </w:div>
    <w:div w:id="7084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l-provider-bulletin-337-masshealth-pharmacy-coverage-of-over-the-counter-diagnostic-antigen-tests-for-sars-cov-2-0/download" TargetMode="External"/><Relationship Id="rId18" Type="http://schemas.openxmlformats.org/officeDocument/2006/relationships/hyperlink" Target="http://www.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all-provider-bulletin-336-coverage-of-and-payment-for-the-administration-of-1-tixagevimab-co-packaged-with-cilgavimab-and-2-remdesivir-in-an-outpatient-setting-corrected/download" TargetMode="External"/><Relationship Id="rId17"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330-masshealth-coverage-for-coronavirus-disease-2019-covid-19-vaccines-including-pediatric-vaccines-and-monoclonal-antibodies-0/download"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gilead.com/-/media/files/pdfs/medicines/covid-19/veklury/veklury_p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46796-260A-4642-AC52-AF3C5792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9</TotalTime>
  <Pages>3</Pages>
  <Words>854</Words>
  <Characters>6087</Characters>
  <Application>Microsoft Office Word</Application>
  <DocSecurity>0</DocSecurity>
  <Lines>184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Lee, Peter (EHS)</cp:lastModifiedBy>
  <cp:revision>2</cp:revision>
  <dcterms:created xsi:type="dcterms:W3CDTF">2022-05-26T20:22:00Z</dcterms:created>
  <dcterms:modified xsi:type="dcterms:W3CDTF">2022-05-26T20:22:00Z</dcterms:modified>
</cp:coreProperties>
</file>