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11731366"/>
    <w:bookmarkEnd w:id="0"/>
    <w:p w14:paraId="720631AB" w14:textId="426CDAB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8419FF"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10309921" w:rsidR="00F664CC" w:rsidRPr="005B27F1" w:rsidRDefault="00EC192F" w:rsidP="005B27F1">
      <w:pPr>
        <w:pStyle w:val="Heading1"/>
      </w:pPr>
      <w:r>
        <w:t>All Provider</w:t>
      </w:r>
      <w:r w:rsidR="00F664CC" w:rsidRPr="005B27F1">
        <w:t xml:space="preserve"> Bulletin </w:t>
      </w:r>
      <w:r w:rsidR="00155DE6">
        <w:t>348</w:t>
      </w:r>
      <w:r w:rsidR="001554E7" w:rsidRPr="005B27F1">
        <w:t xml:space="preserve"> </w:t>
      </w:r>
    </w:p>
    <w:p w14:paraId="4F33B7C5" w14:textId="3CFC3E9E" w:rsidR="00F664CC" w:rsidRPr="00150BCC" w:rsidRDefault="00155DE6" w:rsidP="00150BCC">
      <w:pPr>
        <w:pStyle w:val="BullsHeading"/>
      </w:pPr>
      <w:r>
        <w:t>August</w:t>
      </w:r>
      <w:r w:rsidR="00EC192F">
        <w:t xml:space="preserve"> 2022</w:t>
      </w:r>
    </w:p>
    <w:p w14:paraId="0E1DCE1F" w14:textId="084539B0" w:rsidR="00F664CC" w:rsidRDefault="00F664CC" w:rsidP="00E27CD8"/>
    <w:p w14:paraId="28792EAA"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70B0B0AB" w:rsidR="00F664CC" w:rsidRPr="00F664CC" w:rsidRDefault="00F664CC" w:rsidP="00E27CD8">
      <w:r w:rsidRPr="00F664CC">
        <w:rPr>
          <w:b/>
        </w:rPr>
        <w:t>TO</w:t>
      </w:r>
      <w:r w:rsidRPr="00F664CC">
        <w:t>:</w:t>
      </w:r>
      <w:r>
        <w:tab/>
      </w:r>
      <w:r w:rsidR="00620326">
        <w:t>All Providers</w:t>
      </w:r>
      <w:r w:rsidRPr="00F664CC">
        <w:t xml:space="preserve"> Participating in MassHealth</w:t>
      </w:r>
    </w:p>
    <w:p w14:paraId="494B9049" w14:textId="1FAE4683" w:rsidR="00C40CB8" w:rsidRDefault="00F664CC" w:rsidP="00C40CB8">
      <w:pPr>
        <w:ind w:left="1440" w:hanging="1080"/>
      </w:pPr>
      <w:r w:rsidRPr="00F664CC">
        <w:rPr>
          <w:b/>
        </w:rPr>
        <w:t>FROM</w:t>
      </w:r>
      <w:r w:rsidRPr="00F664CC">
        <w:t>:</w:t>
      </w:r>
      <w:r>
        <w:tab/>
      </w:r>
      <w:r w:rsidR="001611A7">
        <w:t>Amanda Cassel Kraft</w:t>
      </w:r>
      <w:r w:rsidR="00AA6085">
        <w:t>, Assistant Secretary for MassHealth</w:t>
      </w:r>
      <w:r w:rsidR="00EC192F">
        <w:t xml:space="preserve"> </w:t>
      </w:r>
      <w:r w:rsidR="00E9453A">
        <w:t>[signature of Amanda Cassel Kraft]</w:t>
      </w:r>
    </w:p>
    <w:p w14:paraId="2B897D17" w14:textId="274FD7AA" w:rsidR="00F664CC" w:rsidRDefault="00F664CC" w:rsidP="00C40CB8">
      <w:pPr>
        <w:ind w:left="1440" w:hanging="1080"/>
      </w:pPr>
      <w:r w:rsidRPr="00C40CB8">
        <w:rPr>
          <w:b/>
          <w:bCs/>
        </w:rPr>
        <w:t>RE</w:t>
      </w:r>
      <w:r w:rsidRPr="00F664CC">
        <w:t>:</w:t>
      </w:r>
      <w:r w:rsidR="00BD2DAF">
        <w:tab/>
      </w:r>
      <w:r w:rsidR="00620326" w:rsidRPr="142E00BB">
        <w:rPr>
          <w:rFonts w:eastAsia="Georgia" w:cs="Georgia"/>
        </w:rPr>
        <w:t>Updates to Developmental and Behavioral Health Screening</w:t>
      </w:r>
      <w:r w:rsidR="00620326">
        <w:rPr>
          <w:rFonts w:eastAsia="Georgia" w:cs="Georgia"/>
        </w:rPr>
        <w:t xml:space="preserve"> Tools and</w:t>
      </w:r>
      <w:r w:rsidR="00620326" w:rsidRPr="142E00BB">
        <w:rPr>
          <w:rFonts w:eastAsia="Georgia" w:cs="Georgia"/>
        </w:rPr>
        <w:t xml:space="preserve"> Codes in Pediatric Primary Care</w:t>
      </w:r>
      <w:r w:rsidR="00620326">
        <w:t xml:space="preserve"> </w:t>
      </w:r>
    </w:p>
    <w:p w14:paraId="3D115546" w14:textId="2539D198" w:rsidR="00CA1570" w:rsidRPr="00CA1570" w:rsidRDefault="00CA1570" w:rsidP="00CA1570">
      <w:pPr>
        <w:pStyle w:val="Heading2"/>
      </w:pPr>
      <w:r w:rsidRPr="00CA1570">
        <w:t>Introduction</w:t>
      </w:r>
    </w:p>
    <w:p w14:paraId="48DAA53C" w14:textId="77777777" w:rsidR="00CF4C85" w:rsidRDefault="00620326" w:rsidP="00002E0B">
      <w:pPr>
        <w:spacing w:before="160" w:line="252" w:lineRule="exact"/>
        <w:rPr>
          <w:rFonts w:ascii="Times New Roman" w:eastAsia="Arial" w:hAnsi="Times New Roman"/>
        </w:rPr>
      </w:pPr>
      <w:r w:rsidRPr="1967EBA2">
        <w:rPr>
          <w:rFonts w:eastAsia="Arial" w:cs="Arial"/>
        </w:rPr>
        <w:t xml:space="preserve">This bulletin informs </w:t>
      </w:r>
      <w:r>
        <w:rPr>
          <w:rFonts w:eastAsia="Arial" w:cs="Arial"/>
        </w:rPr>
        <w:t>providers</w:t>
      </w:r>
      <w:r w:rsidRPr="1967EBA2">
        <w:rPr>
          <w:rFonts w:eastAsia="Arial" w:cs="Arial"/>
        </w:rPr>
        <w:t xml:space="preserve"> serving MassHealth members from birth </w:t>
      </w:r>
      <w:r>
        <w:rPr>
          <w:rFonts w:eastAsia="Arial" w:cs="Arial"/>
        </w:rPr>
        <w:t xml:space="preserve">to </w:t>
      </w:r>
      <w:r w:rsidRPr="1967EBA2">
        <w:rPr>
          <w:rFonts w:eastAsia="Arial" w:cs="Arial"/>
        </w:rPr>
        <w:t xml:space="preserve">age 21 of policy changes related to behavioral health screening </w:t>
      </w:r>
      <w:r>
        <w:rPr>
          <w:rFonts w:eastAsia="Arial" w:cs="Arial"/>
        </w:rPr>
        <w:t xml:space="preserve">tools </w:t>
      </w:r>
      <w:r w:rsidRPr="1967EBA2">
        <w:rPr>
          <w:rFonts w:eastAsia="Arial" w:cs="Arial"/>
        </w:rPr>
        <w:t xml:space="preserve">and coding changes for developmental and behavioral health screening </w:t>
      </w:r>
      <w:r>
        <w:rPr>
          <w:rFonts w:eastAsia="Arial" w:cs="Arial"/>
        </w:rPr>
        <w:t xml:space="preserve">for </w:t>
      </w:r>
      <w:r w:rsidRPr="1967EBA2">
        <w:rPr>
          <w:rFonts w:eastAsia="Arial" w:cs="Arial"/>
        </w:rPr>
        <w:t>well</w:t>
      </w:r>
      <w:r>
        <w:rPr>
          <w:rFonts w:eastAsia="Arial" w:cs="Arial"/>
        </w:rPr>
        <w:t>-</w:t>
      </w:r>
      <w:r w:rsidRPr="1967EBA2">
        <w:rPr>
          <w:rFonts w:eastAsia="Arial" w:cs="Arial"/>
        </w:rPr>
        <w:t>child visits.</w:t>
      </w:r>
      <w:r w:rsidRPr="00BB369D">
        <w:rPr>
          <w:rFonts w:ascii="Times New Roman" w:eastAsia="Arial" w:hAnsi="Times New Roman"/>
        </w:rPr>
        <w:t xml:space="preserve"> </w:t>
      </w:r>
    </w:p>
    <w:p w14:paraId="3B9B5E01" w14:textId="70675FFF" w:rsidR="00620326" w:rsidRPr="00BB369D" w:rsidRDefault="00620326" w:rsidP="00002E0B">
      <w:pPr>
        <w:spacing w:before="160" w:line="252" w:lineRule="exact"/>
        <w:rPr>
          <w:rFonts w:eastAsia="Arial" w:cs="Arial"/>
        </w:rPr>
      </w:pPr>
      <w:r w:rsidRPr="00BB369D">
        <w:rPr>
          <w:rFonts w:eastAsia="Arial" w:cs="Arial"/>
        </w:rPr>
        <w:t xml:space="preserve">This bulletin applies to members enrolled in MassHealth fee-for-service, the Primary Care Clinician (PCC) plan, and Primary Care ACOs (PCACOs). MassHealth Accountable Care Partnership Plans (ACPPs), and Managed Care Organizations must provide plan-covered services to enrollees in an amount, duration, and scope that is no more restrictive than MassHealth fee-for-service coverage for such services, including as set forth in this bulletin. </w:t>
      </w:r>
    </w:p>
    <w:p w14:paraId="7720779B" w14:textId="77777777" w:rsidR="00002E0B" w:rsidRPr="00620326" w:rsidRDefault="00002E0B" w:rsidP="00002E0B">
      <w:pPr>
        <w:pStyle w:val="Heading2"/>
        <w:spacing w:after="100"/>
      </w:pPr>
      <w:bookmarkStart w:id="1" w:name="_Hlk106278197"/>
      <w:r w:rsidRPr="00D938EC">
        <w:t>Background</w:t>
      </w:r>
    </w:p>
    <w:p w14:paraId="7266F18F" w14:textId="07A8883A" w:rsidR="00620326" w:rsidRDefault="00620326" w:rsidP="00CF4C85">
      <w:pPr>
        <w:spacing w:line="252" w:lineRule="exact"/>
        <w:rPr>
          <w:rFonts w:eastAsia="Georgia" w:cs="Georgia"/>
        </w:rPr>
      </w:pPr>
      <w:r w:rsidRPr="00555235">
        <w:rPr>
          <w:rFonts w:eastAsia="Georgia" w:cs="Georgia"/>
        </w:rPr>
        <w:t>P</w:t>
      </w:r>
      <w:r>
        <w:rPr>
          <w:rFonts w:eastAsia="Georgia" w:cs="Georgia"/>
        </w:rPr>
        <w:t>er</w:t>
      </w:r>
      <w:r w:rsidRPr="00555235">
        <w:rPr>
          <w:rFonts w:eastAsia="Georgia" w:cs="Georgia"/>
        </w:rPr>
        <w:t xml:space="preserve"> MassHealth regulations (130 CMR 450.140 through 450.150)</w:t>
      </w:r>
      <w:r>
        <w:rPr>
          <w:rFonts w:eastAsia="Georgia" w:cs="Georgia"/>
        </w:rPr>
        <w:t xml:space="preserve"> and </w:t>
      </w:r>
      <w:r w:rsidRPr="00555235">
        <w:rPr>
          <w:rFonts w:eastAsia="Georgia" w:cs="Georgia"/>
        </w:rPr>
        <w:t xml:space="preserve">the EPSDT Services Medical Protocol and Periodicity Schedule found in Appendix W of the MassHealth provider manuals, MassHealth requires </w:t>
      </w:r>
      <w:r>
        <w:rPr>
          <w:rFonts w:eastAsia="Georgia" w:cs="Georgia"/>
        </w:rPr>
        <w:t>providers</w:t>
      </w:r>
      <w:r w:rsidRPr="00555235">
        <w:rPr>
          <w:rFonts w:eastAsia="Georgia" w:cs="Georgia"/>
        </w:rPr>
        <w:t xml:space="preserve"> to offer screen</w:t>
      </w:r>
      <w:r w:rsidR="0072444F">
        <w:rPr>
          <w:rFonts w:eastAsia="Georgia" w:cs="Georgia"/>
        </w:rPr>
        <w:t>ing</w:t>
      </w:r>
      <w:r w:rsidRPr="00555235">
        <w:rPr>
          <w:rFonts w:eastAsia="Georgia" w:cs="Georgia"/>
        </w:rPr>
        <w:t>s for members under the age of 21</w:t>
      </w:r>
      <w:r>
        <w:rPr>
          <w:rFonts w:eastAsia="Georgia" w:cs="Georgia"/>
        </w:rPr>
        <w:t xml:space="preserve">. In addition, the regulations stipulate </w:t>
      </w:r>
      <w:r w:rsidR="00883DB3">
        <w:rPr>
          <w:rFonts w:eastAsia="Georgia" w:cs="Georgia"/>
        </w:rPr>
        <w:t xml:space="preserve">that </w:t>
      </w:r>
      <w:r w:rsidRPr="00555235">
        <w:rPr>
          <w:rFonts w:eastAsia="Georgia" w:cs="Georgia"/>
        </w:rPr>
        <w:t>provide</w:t>
      </w:r>
      <w:r>
        <w:rPr>
          <w:rFonts w:eastAsia="Georgia" w:cs="Georgia"/>
        </w:rPr>
        <w:t>rs provide</w:t>
      </w:r>
      <w:r w:rsidRPr="00555235">
        <w:rPr>
          <w:rFonts w:eastAsia="Georgia" w:cs="Georgia"/>
        </w:rPr>
        <w:t xml:space="preserve"> or refer members to assessment, diagnosis, and treatment services, as necessary</w:t>
      </w:r>
      <w:bookmarkEnd w:id="1"/>
      <w:r w:rsidRPr="00555235">
        <w:rPr>
          <w:rFonts w:eastAsia="Georgia" w:cs="Georgia"/>
        </w:rPr>
        <w:t>.</w:t>
      </w:r>
      <w:r>
        <w:rPr>
          <w:rFonts w:eastAsia="Georgia" w:cs="Georgia"/>
        </w:rPr>
        <w:t xml:space="preserve"> Providers </w:t>
      </w:r>
      <w:r w:rsidRPr="00555235">
        <w:rPr>
          <w:rFonts w:eastAsia="Georgia" w:cs="Georgia"/>
        </w:rPr>
        <w:t>must offer to screen</w:t>
      </w:r>
      <w:r>
        <w:rPr>
          <w:rFonts w:eastAsia="Georgia" w:cs="Georgia"/>
        </w:rPr>
        <w:t xml:space="preserve"> such</w:t>
      </w:r>
      <w:r w:rsidRPr="00555235">
        <w:rPr>
          <w:rFonts w:eastAsia="Georgia" w:cs="Georgia"/>
        </w:rPr>
        <w:t xml:space="preserve"> members during each well-child visit and</w:t>
      </w:r>
      <w:r w:rsidR="00883DB3">
        <w:rPr>
          <w:rFonts w:eastAsia="Georgia" w:cs="Georgia"/>
        </w:rPr>
        <w:t>,</w:t>
      </w:r>
      <w:r w:rsidRPr="00555235">
        <w:rPr>
          <w:rFonts w:eastAsia="Georgia" w:cs="Georgia"/>
        </w:rPr>
        <w:t xml:space="preserve"> as needed</w:t>
      </w:r>
      <w:r>
        <w:rPr>
          <w:rFonts w:eastAsia="Georgia" w:cs="Georgia"/>
        </w:rPr>
        <w:t>,</w:t>
      </w:r>
      <w:r w:rsidRPr="00555235">
        <w:rPr>
          <w:rFonts w:eastAsia="Georgia" w:cs="Georgia"/>
        </w:rPr>
        <w:t xml:space="preserve"> during other nonroutine visits</w:t>
      </w:r>
      <w:r w:rsidR="00883DB3">
        <w:rPr>
          <w:rFonts w:eastAsia="Georgia" w:cs="Georgia"/>
        </w:rPr>
        <w:t>.</w:t>
      </w:r>
      <w:r>
        <w:rPr>
          <w:rFonts w:eastAsia="Georgia" w:cs="Georgia"/>
        </w:rPr>
        <w:t xml:space="preserve"> This applies to</w:t>
      </w:r>
      <w:r w:rsidRPr="00555235">
        <w:rPr>
          <w:rFonts w:eastAsia="Georgia" w:cs="Georgia"/>
        </w:rPr>
        <w:t xml:space="preserve"> in</w:t>
      </w:r>
      <w:r w:rsidR="00883DB3">
        <w:rPr>
          <w:rFonts w:eastAsia="Georgia" w:cs="Georgia"/>
        </w:rPr>
        <w:t>-</w:t>
      </w:r>
      <w:r w:rsidRPr="00555235">
        <w:rPr>
          <w:rFonts w:eastAsia="Georgia" w:cs="Georgia"/>
        </w:rPr>
        <w:t>person or telehealth</w:t>
      </w:r>
      <w:r>
        <w:rPr>
          <w:rFonts w:eastAsia="Georgia" w:cs="Georgia"/>
        </w:rPr>
        <w:t xml:space="preserve"> visits</w:t>
      </w:r>
      <w:r w:rsidRPr="00555235">
        <w:rPr>
          <w:rFonts w:eastAsia="Georgia" w:cs="Georgia"/>
        </w:rPr>
        <w:t xml:space="preserve">. </w:t>
      </w:r>
      <w:r>
        <w:rPr>
          <w:rFonts w:eastAsia="Georgia" w:cs="Georgia"/>
        </w:rPr>
        <w:t>When</w:t>
      </w:r>
      <w:r w:rsidRPr="006E1E5F">
        <w:rPr>
          <w:rFonts w:eastAsia="Georgia" w:cs="Georgia"/>
        </w:rPr>
        <w:t xml:space="preserve"> screening for behavioral health needs, providers </w:t>
      </w:r>
      <w:r>
        <w:rPr>
          <w:rFonts w:eastAsia="Georgia" w:cs="Georgia"/>
        </w:rPr>
        <w:t>must</w:t>
      </w:r>
      <w:r w:rsidRPr="006E1E5F">
        <w:rPr>
          <w:rFonts w:eastAsia="Georgia" w:cs="Georgia"/>
        </w:rPr>
        <w:t xml:space="preserve"> select one of the standardized behavioral health screening tools listed in</w:t>
      </w:r>
      <w:r>
        <w:rPr>
          <w:rFonts w:eastAsia="Georgia" w:cs="Georgia"/>
        </w:rPr>
        <w:t xml:space="preserve"> the Psychosocial and Behavioral Assessment section of</w:t>
      </w:r>
      <w:r w:rsidRPr="006E1E5F">
        <w:rPr>
          <w:rFonts w:eastAsia="Georgia" w:cs="Georgia"/>
        </w:rPr>
        <w:t xml:space="preserve"> Appendix W.</w:t>
      </w:r>
      <w:r>
        <w:rPr>
          <w:rFonts w:eastAsia="Georgia" w:cs="Georgia"/>
        </w:rPr>
        <w:t xml:space="preserve"> </w:t>
      </w:r>
    </w:p>
    <w:p w14:paraId="30E3045F" w14:textId="77777777" w:rsidR="00620326" w:rsidRDefault="00620326" w:rsidP="00620326">
      <w:pPr>
        <w:spacing w:after="0" w:line="252" w:lineRule="exact"/>
        <w:rPr>
          <w:rFonts w:eastAsia="Georgia" w:cs="Georgia"/>
        </w:rPr>
      </w:pPr>
      <w:r>
        <w:rPr>
          <w:rFonts w:eastAsia="Georgia" w:cs="Georgia"/>
        </w:rPr>
        <w:t xml:space="preserve">Beginning January 1, 2023, MassHealth will </w:t>
      </w:r>
    </w:p>
    <w:p w14:paraId="102B6E2E" w14:textId="3C626BCE" w:rsidR="00620326" w:rsidRDefault="00620326" w:rsidP="00620326">
      <w:pPr>
        <w:pStyle w:val="ListParagraph"/>
        <w:numPr>
          <w:ilvl w:val="0"/>
          <w:numId w:val="13"/>
        </w:numPr>
        <w:spacing w:after="0" w:line="252" w:lineRule="exact"/>
        <w:rPr>
          <w:rFonts w:ascii="Georgia" w:eastAsia="Georgia" w:hAnsi="Georgia" w:cs="Georgia"/>
        </w:rPr>
      </w:pPr>
      <w:r>
        <w:rPr>
          <w:rFonts w:ascii="Georgia" w:eastAsia="Georgia" w:hAnsi="Georgia" w:cs="Georgia"/>
        </w:rPr>
        <w:t>d</w:t>
      </w:r>
      <w:r w:rsidRPr="005B32F6">
        <w:rPr>
          <w:rFonts w:ascii="Georgia" w:eastAsia="Georgia" w:hAnsi="Georgia" w:cs="Georgia"/>
        </w:rPr>
        <w:t xml:space="preserve">iscontinue the listing of specific behavioral health tools within Appendix W and instead reference </w:t>
      </w:r>
      <w:hyperlink r:id="rId11">
        <w:r w:rsidRPr="00325ED2">
          <w:rPr>
            <w:rStyle w:val="Hyperlink"/>
            <w:rFonts w:ascii="Georgia" w:eastAsia="Georgia" w:hAnsi="Georgia" w:cs="Georgia"/>
            <w:b/>
            <w:bCs/>
          </w:rPr>
          <w:t>Instruments for Recommended Universal Screening at Specific Bright Futures Visits</w:t>
        </w:r>
      </w:hyperlink>
      <w:r>
        <w:rPr>
          <w:rFonts w:ascii="Georgia" w:eastAsia="Georgia" w:hAnsi="Georgia" w:cs="Georgia"/>
        </w:rPr>
        <w:t xml:space="preserve"> (Bright Futures Toolkit),</w:t>
      </w:r>
      <w:r w:rsidRPr="005B32F6">
        <w:rPr>
          <w:rFonts w:ascii="Georgia" w:eastAsia="Georgia" w:hAnsi="Georgia" w:cs="Georgia"/>
        </w:rPr>
        <w:t xml:space="preserve"> published by the American Academy of Pediatrics (AAP</w:t>
      </w:r>
      <w:proofErr w:type="gramStart"/>
      <w:r w:rsidR="00EC192F" w:rsidRPr="005B32F6">
        <w:rPr>
          <w:rFonts w:ascii="Georgia" w:eastAsia="Georgia" w:hAnsi="Georgia" w:cs="Georgia"/>
        </w:rPr>
        <w:t>)</w:t>
      </w:r>
      <w:r w:rsidR="007851F8">
        <w:rPr>
          <w:rFonts w:ascii="Georgia" w:eastAsia="Georgia" w:hAnsi="Georgia" w:cs="Georgia"/>
        </w:rPr>
        <w:t>;</w:t>
      </w:r>
      <w:proofErr w:type="gramEnd"/>
    </w:p>
    <w:p w14:paraId="6D2EA0FE" w14:textId="65AAC024" w:rsidR="00620326" w:rsidRDefault="00620326" w:rsidP="00620326">
      <w:pPr>
        <w:pStyle w:val="ListParagraph"/>
        <w:numPr>
          <w:ilvl w:val="0"/>
          <w:numId w:val="13"/>
        </w:numPr>
        <w:spacing w:after="0" w:line="252" w:lineRule="exact"/>
        <w:rPr>
          <w:rFonts w:ascii="Georgia" w:eastAsia="Georgia" w:hAnsi="Georgia" w:cs="Georgia"/>
        </w:rPr>
      </w:pPr>
      <w:r>
        <w:rPr>
          <w:rFonts w:ascii="Georgia" w:eastAsia="Georgia" w:hAnsi="Georgia" w:cs="Georgia"/>
        </w:rPr>
        <w:t>require providers to use distinct codes for</w:t>
      </w:r>
      <w:r w:rsidRPr="58A0BD08">
        <w:rPr>
          <w:rFonts w:ascii="Georgia" w:eastAsia="Georgia" w:hAnsi="Georgia" w:cs="Georgia"/>
        </w:rPr>
        <w:t xml:space="preserve"> developmental and behavioral health screening by introducing a new service code (96127) for behavioral health screening, </w:t>
      </w:r>
      <w:r>
        <w:rPr>
          <w:rFonts w:ascii="Georgia" w:eastAsia="Georgia" w:hAnsi="Georgia" w:cs="Georgia"/>
        </w:rPr>
        <w:t>to be paid</w:t>
      </w:r>
      <w:r w:rsidRPr="58A0BD08">
        <w:rPr>
          <w:rFonts w:ascii="Georgia" w:eastAsia="Georgia" w:hAnsi="Georgia" w:cs="Georgia"/>
        </w:rPr>
        <w:t xml:space="preserve"> at the same rate as 96110</w:t>
      </w:r>
      <w:r>
        <w:rPr>
          <w:rFonts w:ascii="Georgia" w:eastAsia="Georgia" w:hAnsi="Georgia" w:cs="Georgia"/>
        </w:rPr>
        <w:t>;</w:t>
      </w:r>
      <w:r w:rsidR="007851F8">
        <w:rPr>
          <w:rFonts w:ascii="Georgia" w:eastAsia="Georgia" w:hAnsi="Georgia" w:cs="Georgia"/>
        </w:rPr>
        <w:t xml:space="preserve"> and</w:t>
      </w:r>
    </w:p>
    <w:p w14:paraId="30E318A6" w14:textId="3370CABE" w:rsidR="00002E0B" w:rsidRDefault="00620326" w:rsidP="00620326">
      <w:pPr>
        <w:pStyle w:val="ListParagraph"/>
        <w:numPr>
          <w:ilvl w:val="0"/>
          <w:numId w:val="13"/>
        </w:numPr>
        <w:spacing w:after="0" w:line="252" w:lineRule="exact"/>
        <w:rPr>
          <w:rFonts w:ascii="Georgia" w:eastAsia="Georgia" w:hAnsi="Georgia" w:cs="Georgia"/>
        </w:rPr>
      </w:pPr>
      <w:r>
        <w:rPr>
          <w:rFonts w:ascii="Georgia" w:eastAsia="Georgia" w:hAnsi="Georgia" w:cs="Georgia"/>
        </w:rPr>
        <w:t>p</w:t>
      </w:r>
      <w:r w:rsidRPr="0058222F">
        <w:rPr>
          <w:rFonts w:ascii="Georgia" w:eastAsia="Georgia" w:hAnsi="Georgia" w:cs="Georgia"/>
        </w:rPr>
        <w:t xml:space="preserve">rovide additional </w:t>
      </w:r>
      <w:r>
        <w:rPr>
          <w:rFonts w:ascii="Georgia" w:eastAsia="Georgia" w:hAnsi="Georgia" w:cs="Georgia"/>
        </w:rPr>
        <w:t>payment</w:t>
      </w:r>
      <w:r w:rsidRPr="0058222F">
        <w:rPr>
          <w:rFonts w:ascii="Georgia" w:eastAsia="Georgia" w:hAnsi="Georgia" w:cs="Georgia"/>
        </w:rPr>
        <w:t xml:space="preserve"> for recommended Autism screening at the 18- and 24 months well child visits</w:t>
      </w:r>
      <w:r>
        <w:rPr>
          <w:rFonts w:ascii="Georgia" w:eastAsia="Georgia" w:hAnsi="Georgia" w:cs="Georgia"/>
        </w:rPr>
        <w:t>.</w:t>
      </w:r>
    </w:p>
    <w:p w14:paraId="091E9F10" w14:textId="77777777" w:rsidR="00002E0B" w:rsidRDefault="00002E0B">
      <w:pPr>
        <w:spacing w:before="0" w:after="200" w:afterAutospacing="0" w:line="276" w:lineRule="auto"/>
        <w:ind w:left="0"/>
        <w:rPr>
          <w:rFonts w:eastAsia="Georgia" w:cs="Georgia"/>
        </w:rPr>
      </w:pPr>
      <w:r>
        <w:rPr>
          <w:rFonts w:eastAsia="Georgia" w:cs="Georgia"/>
        </w:rPr>
        <w:br w:type="page"/>
      </w:r>
    </w:p>
    <w:p w14:paraId="4A854765" w14:textId="77777777" w:rsidR="00620326" w:rsidRPr="00620326" w:rsidRDefault="00620326" w:rsidP="00620326">
      <w:pPr>
        <w:pStyle w:val="Heading2"/>
        <w:spacing w:after="100"/>
      </w:pPr>
      <w:r w:rsidRPr="00620326">
        <w:lastRenderedPageBreak/>
        <w:t xml:space="preserve">Updates to for Developmental and Behavioral Health Screening </w:t>
      </w:r>
    </w:p>
    <w:p w14:paraId="7BCF2911" w14:textId="77777777" w:rsidR="00620326" w:rsidRPr="00002E0B" w:rsidRDefault="00620326" w:rsidP="00CA1570">
      <w:pPr>
        <w:rPr>
          <w:rFonts w:eastAsia="Arial"/>
        </w:rPr>
      </w:pPr>
      <w:r w:rsidRPr="00002E0B">
        <w:rPr>
          <w:rFonts w:eastAsia="Arial"/>
        </w:rPr>
        <w:t>Effective January 1, 2023, MassHealth directs providers to select screening tools in alignment with the Bright Futures Toolkit. The Bright Futures Toolkit provides guidance to providers about the recommended tools for distinct screening domains, including developmental, behavioral health, Autism, and substance use.</w:t>
      </w:r>
    </w:p>
    <w:p w14:paraId="7D279FF7" w14:textId="77777777" w:rsidR="00620326" w:rsidRPr="00E13E26" w:rsidRDefault="00620326" w:rsidP="00002E0B">
      <w:pPr>
        <w:pStyle w:val="Heading3"/>
        <w:rPr>
          <w:rFonts w:eastAsia="Arial"/>
        </w:rPr>
      </w:pPr>
      <w:r w:rsidRPr="00E13E26">
        <w:rPr>
          <w:rFonts w:eastAsia="Arial"/>
        </w:rPr>
        <w:t>General Developmental Screening</w:t>
      </w:r>
    </w:p>
    <w:p w14:paraId="7430B41F" w14:textId="26CE992D" w:rsidR="00620326" w:rsidRDefault="00620326" w:rsidP="00620326">
      <w:pPr>
        <w:spacing w:after="0" w:line="252" w:lineRule="exact"/>
        <w:rPr>
          <w:rFonts w:eastAsia="Arial" w:cs="Arial"/>
        </w:rPr>
      </w:pPr>
      <w:r w:rsidRPr="1FBBB46D">
        <w:rPr>
          <w:rFonts w:eastAsia="Arial" w:cs="Arial"/>
        </w:rPr>
        <w:t xml:space="preserve">For members aged </w:t>
      </w:r>
      <w:r>
        <w:rPr>
          <w:rFonts w:eastAsia="Arial" w:cs="Arial"/>
        </w:rPr>
        <w:t>three</w:t>
      </w:r>
      <w:r w:rsidRPr="1FBBB46D">
        <w:rPr>
          <w:rFonts w:eastAsia="Arial" w:cs="Arial"/>
        </w:rPr>
        <w:t xml:space="preserve"> and younger, </w:t>
      </w:r>
      <w:r>
        <w:rPr>
          <w:rFonts w:eastAsia="Arial" w:cs="Arial"/>
        </w:rPr>
        <w:t>providers</w:t>
      </w:r>
      <w:r w:rsidRPr="1FBBB46D">
        <w:rPr>
          <w:rFonts w:eastAsia="Arial" w:cs="Arial"/>
        </w:rPr>
        <w:t xml:space="preserve"> </w:t>
      </w:r>
      <w:r>
        <w:rPr>
          <w:rFonts w:eastAsia="Arial" w:cs="Arial"/>
        </w:rPr>
        <w:t>must</w:t>
      </w:r>
      <w:r w:rsidRPr="1FBBB46D">
        <w:rPr>
          <w:rFonts w:eastAsia="Arial" w:cs="Arial"/>
        </w:rPr>
        <w:t xml:space="preserve"> select, </w:t>
      </w:r>
      <w:r>
        <w:rPr>
          <w:rFonts w:eastAsia="Arial" w:cs="Arial"/>
        </w:rPr>
        <w:t xml:space="preserve">offer to </w:t>
      </w:r>
      <w:r w:rsidRPr="1FBBB46D">
        <w:rPr>
          <w:rFonts w:eastAsia="Arial" w:cs="Arial"/>
        </w:rPr>
        <w:t xml:space="preserve">administer, and score an age-appropriate </w:t>
      </w:r>
      <w:r w:rsidRPr="00E13E26">
        <w:rPr>
          <w:rFonts w:eastAsia="Arial" w:cs="Arial"/>
        </w:rPr>
        <w:t>developmental screening</w:t>
      </w:r>
      <w:r w:rsidRPr="1FBBB46D">
        <w:rPr>
          <w:rFonts w:eastAsia="Arial" w:cs="Arial"/>
        </w:rPr>
        <w:t xml:space="preserve"> tool selected from among </w:t>
      </w:r>
      <w:r>
        <w:rPr>
          <w:rFonts w:eastAsia="Arial" w:cs="Arial"/>
        </w:rPr>
        <w:t>those listed in the Bright Futures Toolkit</w:t>
      </w:r>
      <w:r w:rsidRPr="1FBBB46D">
        <w:rPr>
          <w:rFonts w:eastAsia="Arial" w:cs="Arial"/>
        </w:rPr>
        <w:t xml:space="preserve"> at each well</w:t>
      </w:r>
      <w:r w:rsidR="007851F8">
        <w:rPr>
          <w:rFonts w:eastAsia="Arial" w:cs="Arial"/>
        </w:rPr>
        <w:t>-</w:t>
      </w:r>
      <w:r w:rsidRPr="1FBBB46D">
        <w:rPr>
          <w:rFonts w:eastAsia="Arial" w:cs="Arial"/>
        </w:rPr>
        <w:t xml:space="preserve">child visit or as needed during non-routine visits. </w:t>
      </w:r>
      <w:r>
        <w:rPr>
          <w:rFonts w:eastAsia="Arial" w:cs="Arial"/>
        </w:rPr>
        <w:t>Providers must</w:t>
      </w:r>
      <w:r w:rsidRPr="1FBBB46D">
        <w:rPr>
          <w:rFonts w:eastAsia="Arial" w:cs="Arial"/>
        </w:rPr>
        <w:t xml:space="preserve"> submit the claims for developmental screening with service code </w:t>
      </w:r>
      <w:r w:rsidRPr="1FBBB46D">
        <w:rPr>
          <w:rFonts w:eastAsia="Arial" w:cs="Arial"/>
          <w:b/>
          <w:bCs/>
        </w:rPr>
        <w:t>96110</w:t>
      </w:r>
      <w:r w:rsidRPr="1FBBB46D">
        <w:rPr>
          <w:rFonts w:eastAsia="Arial" w:cs="Arial"/>
        </w:rPr>
        <w:t xml:space="preserve">, </w:t>
      </w:r>
      <w:r>
        <w:rPr>
          <w:rFonts w:eastAsia="Arial" w:cs="Arial"/>
        </w:rPr>
        <w:t>with</w:t>
      </w:r>
      <w:r w:rsidRPr="1FBBB46D">
        <w:rPr>
          <w:rFonts w:eastAsia="Arial" w:cs="Arial"/>
        </w:rPr>
        <w:t xml:space="preserve"> either </w:t>
      </w:r>
      <w:r w:rsidRPr="1FBBB46D">
        <w:rPr>
          <w:rFonts w:eastAsia="Arial" w:cs="Arial"/>
          <w:b/>
          <w:bCs/>
        </w:rPr>
        <w:t>U1</w:t>
      </w:r>
      <w:r w:rsidRPr="1FBBB46D">
        <w:rPr>
          <w:rFonts w:eastAsia="Arial" w:cs="Arial"/>
        </w:rPr>
        <w:t xml:space="preserve"> (no need identified) or </w:t>
      </w:r>
      <w:r w:rsidRPr="1FBBB46D">
        <w:rPr>
          <w:rFonts w:eastAsia="Arial" w:cs="Arial"/>
          <w:b/>
          <w:bCs/>
        </w:rPr>
        <w:t>U2</w:t>
      </w:r>
      <w:r w:rsidRPr="1FBBB46D">
        <w:rPr>
          <w:rFonts w:eastAsia="Arial" w:cs="Arial"/>
        </w:rPr>
        <w:t xml:space="preserve"> (need identified)</w:t>
      </w:r>
      <w:r>
        <w:rPr>
          <w:rFonts w:eastAsia="Arial" w:cs="Arial"/>
        </w:rPr>
        <w:t xml:space="preserve"> modifier</w:t>
      </w:r>
      <w:r w:rsidRPr="1FBBB46D">
        <w:rPr>
          <w:rFonts w:eastAsia="Arial" w:cs="Arial"/>
        </w:rPr>
        <w:t>.</w:t>
      </w:r>
    </w:p>
    <w:p w14:paraId="0B465F0C" w14:textId="77777777" w:rsidR="00620326" w:rsidRPr="00E13E26" w:rsidRDefault="00620326" w:rsidP="00002E0B">
      <w:pPr>
        <w:pStyle w:val="Heading3"/>
        <w:rPr>
          <w:rFonts w:eastAsia="Arial"/>
        </w:rPr>
      </w:pPr>
      <w:r w:rsidRPr="00E13E26">
        <w:rPr>
          <w:rFonts w:eastAsia="Arial"/>
        </w:rPr>
        <w:t>Autism Screening</w:t>
      </w:r>
    </w:p>
    <w:p w14:paraId="25B9133F" w14:textId="7C97A284" w:rsidR="00620326" w:rsidRPr="00646FEB" w:rsidRDefault="00620326" w:rsidP="00620326">
      <w:pPr>
        <w:spacing w:after="0" w:line="252" w:lineRule="exact"/>
        <w:rPr>
          <w:rFonts w:eastAsia="Georgia" w:cs="Georgia"/>
        </w:rPr>
      </w:pPr>
      <w:r>
        <w:rPr>
          <w:rFonts w:eastAsia="Arial" w:cs="Arial"/>
        </w:rPr>
        <w:t>In addition to general developmental screening, i</w:t>
      </w:r>
      <w:r w:rsidRPr="0066375F">
        <w:rPr>
          <w:rFonts w:eastAsia="Arial" w:cs="Arial"/>
        </w:rPr>
        <w:t xml:space="preserve">t is strongly recommended that </w:t>
      </w:r>
      <w:r>
        <w:rPr>
          <w:rFonts w:eastAsia="Arial" w:cs="Arial"/>
        </w:rPr>
        <w:t>providers</w:t>
      </w:r>
      <w:r w:rsidRPr="0066375F">
        <w:rPr>
          <w:rFonts w:eastAsia="Arial" w:cs="Arial"/>
        </w:rPr>
        <w:t xml:space="preserve"> conduct Autism screening</w:t>
      </w:r>
      <w:r>
        <w:rPr>
          <w:rFonts w:eastAsia="Arial" w:cs="Arial"/>
        </w:rPr>
        <w:t xml:space="preserve"> </w:t>
      </w:r>
      <w:r w:rsidRPr="0066375F">
        <w:rPr>
          <w:rFonts w:eastAsia="Arial" w:cs="Arial"/>
        </w:rPr>
        <w:t>at the 18- and 24</w:t>
      </w:r>
      <w:r w:rsidR="007851F8">
        <w:rPr>
          <w:rFonts w:eastAsia="Arial" w:cs="Arial"/>
        </w:rPr>
        <w:t>-</w:t>
      </w:r>
      <w:r w:rsidRPr="0066375F">
        <w:rPr>
          <w:rFonts w:eastAsia="Arial" w:cs="Arial"/>
        </w:rPr>
        <w:t>months well</w:t>
      </w:r>
      <w:r w:rsidR="007851F8">
        <w:rPr>
          <w:rFonts w:eastAsia="Arial" w:cs="Arial"/>
        </w:rPr>
        <w:t>-</w:t>
      </w:r>
      <w:r w:rsidRPr="0066375F">
        <w:rPr>
          <w:rFonts w:eastAsia="Arial" w:cs="Arial"/>
        </w:rPr>
        <w:t xml:space="preserve">child visits. </w:t>
      </w:r>
      <w:r>
        <w:rPr>
          <w:rFonts w:eastAsia="Arial" w:cs="Arial"/>
        </w:rPr>
        <w:t xml:space="preserve">Providers are permitted to submit a </w:t>
      </w:r>
      <w:r w:rsidRPr="4BF15380">
        <w:rPr>
          <w:rFonts w:eastAsia="Arial" w:cs="Arial"/>
          <w:b/>
          <w:bCs/>
        </w:rPr>
        <w:t>second 96110</w:t>
      </w:r>
      <w:r>
        <w:rPr>
          <w:rFonts w:eastAsia="Arial" w:cs="Arial"/>
          <w:b/>
          <w:bCs/>
        </w:rPr>
        <w:t xml:space="preserve"> claim</w:t>
      </w:r>
      <w:r w:rsidRPr="4BF15380">
        <w:rPr>
          <w:rFonts w:eastAsia="Arial" w:cs="Arial"/>
        </w:rPr>
        <w:t xml:space="preserve"> at the </w:t>
      </w:r>
      <w:r w:rsidRPr="4BF15380">
        <w:rPr>
          <w:rFonts w:eastAsia="Arial" w:cs="Arial"/>
          <w:b/>
          <w:bCs/>
        </w:rPr>
        <w:t xml:space="preserve">18- and 24- month </w:t>
      </w:r>
      <w:r w:rsidRPr="4BF15380">
        <w:rPr>
          <w:rFonts w:eastAsia="Arial" w:cs="Arial"/>
        </w:rPr>
        <w:t>well-child visits when the PCP administers a standardized Autism screen following a general developmental screen.</w:t>
      </w:r>
      <w:r>
        <w:rPr>
          <w:rFonts w:eastAsia="Arial" w:cs="Arial"/>
        </w:rPr>
        <w:t xml:space="preserve"> Autism screening tools must be </w:t>
      </w:r>
      <w:r w:rsidRPr="0066375F">
        <w:rPr>
          <w:rFonts w:eastAsia="Arial" w:cs="Arial"/>
        </w:rPr>
        <w:t xml:space="preserve">selected from </w:t>
      </w:r>
      <w:r w:rsidRPr="00B2353B">
        <w:rPr>
          <w:rFonts w:eastAsia="Arial" w:cs="Arial"/>
        </w:rPr>
        <w:t>those listed in the Bright Futures link published in Appendix W</w:t>
      </w:r>
      <w:r w:rsidRPr="0066375F">
        <w:rPr>
          <w:rFonts w:eastAsia="Arial" w:cs="Arial"/>
        </w:rPr>
        <w:t xml:space="preserve"> and </w:t>
      </w:r>
      <w:r>
        <w:rPr>
          <w:rFonts w:eastAsia="Arial" w:cs="Arial"/>
        </w:rPr>
        <w:t>with</w:t>
      </w:r>
      <w:r w:rsidRPr="0066375F">
        <w:rPr>
          <w:rFonts w:eastAsia="Arial" w:cs="Arial"/>
        </w:rPr>
        <w:t xml:space="preserve"> either </w:t>
      </w:r>
      <w:r w:rsidRPr="0066375F">
        <w:rPr>
          <w:rFonts w:eastAsia="Arial" w:cs="Arial"/>
          <w:b/>
          <w:bCs/>
        </w:rPr>
        <w:t>U3</w:t>
      </w:r>
      <w:r w:rsidRPr="0066375F">
        <w:rPr>
          <w:rFonts w:eastAsia="Arial" w:cs="Arial"/>
        </w:rPr>
        <w:t xml:space="preserve"> (no further follow up needed) or </w:t>
      </w:r>
      <w:r w:rsidRPr="0066375F">
        <w:rPr>
          <w:rFonts w:eastAsia="Arial" w:cs="Arial"/>
          <w:b/>
          <w:bCs/>
        </w:rPr>
        <w:t>U4</w:t>
      </w:r>
      <w:r w:rsidRPr="0066375F">
        <w:rPr>
          <w:rFonts w:eastAsia="Arial" w:cs="Arial"/>
        </w:rPr>
        <w:t xml:space="preserve"> (further follow up needed)</w:t>
      </w:r>
      <w:r>
        <w:rPr>
          <w:rFonts w:eastAsia="Arial" w:cs="Arial"/>
        </w:rPr>
        <w:t xml:space="preserve"> modifier</w:t>
      </w:r>
      <w:r w:rsidRPr="0066375F">
        <w:rPr>
          <w:rFonts w:eastAsia="Arial" w:cs="Arial"/>
        </w:rPr>
        <w:t xml:space="preserve">. </w:t>
      </w:r>
    </w:p>
    <w:p w14:paraId="2D165AF4" w14:textId="77777777" w:rsidR="00620326" w:rsidRPr="00646FEB" w:rsidRDefault="00620326" w:rsidP="00002E0B">
      <w:pPr>
        <w:pStyle w:val="Heading3"/>
        <w:rPr>
          <w:rFonts w:eastAsia="Arial"/>
        </w:rPr>
      </w:pPr>
      <w:r w:rsidRPr="00646FEB">
        <w:rPr>
          <w:rFonts w:eastAsia="Arial"/>
        </w:rPr>
        <w:t>General Behavioral Health Screening</w:t>
      </w:r>
    </w:p>
    <w:p w14:paraId="4DAC162F" w14:textId="60429E08" w:rsidR="00620326" w:rsidRDefault="00620326" w:rsidP="00620326">
      <w:pPr>
        <w:spacing w:after="0" w:line="252" w:lineRule="exact"/>
        <w:rPr>
          <w:rFonts w:eastAsia="Arial" w:cs="Arial"/>
        </w:rPr>
      </w:pPr>
      <w:r w:rsidRPr="1FBBB46D">
        <w:rPr>
          <w:rFonts w:eastAsia="Arial" w:cs="Arial"/>
        </w:rPr>
        <w:t xml:space="preserve">For members aged </w:t>
      </w:r>
      <w:r>
        <w:rPr>
          <w:rFonts w:eastAsia="Arial" w:cs="Arial"/>
        </w:rPr>
        <w:t>four</w:t>
      </w:r>
      <w:r w:rsidRPr="1FBBB46D">
        <w:rPr>
          <w:rFonts w:eastAsia="Arial" w:cs="Arial"/>
        </w:rPr>
        <w:t xml:space="preserve"> to 21 years, </w:t>
      </w:r>
      <w:r>
        <w:rPr>
          <w:rFonts w:eastAsia="Arial" w:cs="Arial"/>
        </w:rPr>
        <w:t>providers</w:t>
      </w:r>
      <w:r w:rsidRPr="1FBBB46D">
        <w:rPr>
          <w:rFonts w:eastAsia="Arial" w:cs="Arial"/>
        </w:rPr>
        <w:t xml:space="preserve"> </w:t>
      </w:r>
      <w:r>
        <w:rPr>
          <w:rFonts w:eastAsia="Arial" w:cs="Arial"/>
        </w:rPr>
        <w:t>must</w:t>
      </w:r>
      <w:r w:rsidRPr="1FBBB46D">
        <w:rPr>
          <w:rFonts w:eastAsia="Arial" w:cs="Arial"/>
        </w:rPr>
        <w:t xml:space="preserve"> select, </w:t>
      </w:r>
      <w:r>
        <w:rPr>
          <w:rFonts w:eastAsia="Arial" w:cs="Arial"/>
        </w:rPr>
        <w:t xml:space="preserve">offer to </w:t>
      </w:r>
      <w:r w:rsidRPr="1FBBB46D">
        <w:rPr>
          <w:rFonts w:eastAsia="Arial" w:cs="Arial"/>
        </w:rPr>
        <w:t xml:space="preserve">administer, and score an age-appropriate </w:t>
      </w:r>
      <w:r w:rsidRPr="00646FEB">
        <w:rPr>
          <w:rFonts w:eastAsia="Arial" w:cs="Arial"/>
        </w:rPr>
        <w:t>behavioral health screening</w:t>
      </w:r>
      <w:r w:rsidRPr="1FBBB46D">
        <w:rPr>
          <w:rFonts w:eastAsia="Arial" w:cs="Arial"/>
        </w:rPr>
        <w:t xml:space="preserve"> tool from among </w:t>
      </w:r>
      <w:r w:rsidRPr="0050255A">
        <w:rPr>
          <w:rFonts w:eastAsia="Arial" w:cs="Arial"/>
        </w:rPr>
        <w:t>those listed in the Bright Futures link published in Appendix W</w:t>
      </w:r>
      <w:r>
        <w:rPr>
          <w:rFonts w:eastAsia="Arial" w:cs="Arial"/>
        </w:rPr>
        <w:t xml:space="preserve"> </w:t>
      </w:r>
      <w:r w:rsidRPr="1FBBB46D">
        <w:rPr>
          <w:rFonts w:eastAsia="Arial" w:cs="Arial"/>
        </w:rPr>
        <w:t>at each annual well</w:t>
      </w:r>
      <w:r w:rsidR="007851F8">
        <w:rPr>
          <w:rFonts w:eastAsia="Arial" w:cs="Arial"/>
        </w:rPr>
        <w:t>-</w:t>
      </w:r>
      <w:r w:rsidRPr="1FBBB46D">
        <w:rPr>
          <w:rFonts w:eastAsia="Arial" w:cs="Arial"/>
        </w:rPr>
        <w:t xml:space="preserve">child visit or as needed during non-routine visits. </w:t>
      </w:r>
      <w:r>
        <w:rPr>
          <w:rFonts w:eastAsia="Arial" w:cs="Arial"/>
        </w:rPr>
        <w:t>Providers</w:t>
      </w:r>
      <w:r w:rsidRPr="1FBBB46D">
        <w:rPr>
          <w:rFonts w:eastAsia="Arial" w:cs="Arial"/>
        </w:rPr>
        <w:t xml:space="preserve"> </w:t>
      </w:r>
      <w:r>
        <w:rPr>
          <w:rFonts w:eastAsia="Arial" w:cs="Arial"/>
        </w:rPr>
        <w:t>must</w:t>
      </w:r>
      <w:r w:rsidRPr="1FBBB46D">
        <w:rPr>
          <w:rFonts w:eastAsia="Arial" w:cs="Arial"/>
        </w:rPr>
        <w:t xml:space="preserve"> submit claims for behavioral health screening with service code </w:t>
      </w:r>
      <w:r w:rsidRPr="1FBBB46D">
        <w:rPr>
          <w:rFonts w:eastAsia="Arial" w:cs="Arial"/>
          <w:b/>
          <w:bCs/>
        </w:rPr>
        <w:t>96127</w:t>
      </w:r>
      <w:r w:rsidRPr="1FBBB46D">
        <w:rPr>
          <w:rFonts w:eastAsia="Arial" w:cs="Arial"/>
        </w:rPr>
        <w:t>, accompanied by either</w:t>
      </w:r>
      <w:r w:rsidRPr="1FBBB46D">
        <w:rPr>
          <w:rFonts w:eastAsia="Arial" w:cs="Arial"/>
          <w:b/>
          <w:bCs/>
        </w:rPr>
        <w:t xml:space="preserve"> U1</w:t>
      </w:r>
      <w:r w:rsidRPr="1FBBB46D">
        <w:rPr>
          <w:rFonts w:eastAsia="Arial" w:cs="Arial"/>
        </w:rPr>
        <w:t xml:space="preserve"> (no need identified) or </w:t>
      </w:r>
      <w:r w:rsidRPr="1FBBB46D">
        <w:rPr>
          <w:rFonts w:eastAsia="Arial" w:cs="Arial"/>
          <w:b/>
          <w:bCs/>
        </w:rPr>
        <w:t xml:space="preserve">U2 </w:t>
      </w:r>
      <w:r w:rsidRPr="1FBBB46D">
        <w:rPr>
          <w:rFonts w:eastAsia="Arial" w:cs="Arial"/>
        </w:rPr>
        <w:t>(need identified)</w:t>
      </w:r>
      <w:r>
        <w:rPr>
          <w:rFonts w:eastAsia="Arial" w:cs="Arial"/>
        </w:rPr>
        <w:t xml:space="preserve"> modifier</w:t>
      </w:r>
      <w:r w:rsidRPr="1FBBB46D">
        <w:rPr>
          <w:rFonts w:eastAsia="Arial" w:cs="Arial"/>
        </w:rPr>
        <w:t xml:space="preserve">. </w:t>
      </w:r>
    </w:p>
    <w:p w14:paraId="5AA7F9A2" w14:textId="76B59150" w:rsidR="00620326" w:rsidRDefault="00620326" w:rsidP="00620326">
      <w:pPr>
        <w:spacing w:after="0" w:line="252" w:lineRule="exact"/>
        <w:rPr>
          <w:rFonts w:eastAsia="Arial" w:cs="Arial"/>
        </w:rPr>
      </w:pPr>
      <w:r>
        <w:rPr>
          <w:rFonts w:eastAsia="Arial" w:cs="Arial"/>
        </w:rPr>
        <w:t>If a behavioral health screen identifies a behavioral health need, providers must refer members to appropriate follow up treatment or services.  Services and resources available include</w:t>
      </w:r>
    </w:p>
    <w:p w14:paraId="7166611E" w14:textId="77D1F436" w:rsidR="00620326" w:rsidRDefault="00620326" w:rsidP="00620326">
      <w:pPr>
        <w:pStyle w:val="ListParagraph"/>
        <w:numPr>
          <w:ilvl w:val="0"/>
          <w:numId w:val="11"/>
        </w:numPr>
        <w:spacing w:after="0" w:line="252" w:lineRule="exact"/>
        <w:rPr>
          <w:rFonts w:ascii="Georgia" w:eastAsia="Arial" w:hAnsi="Georgia" w:cs="Arial"/>
        </w:rPr>
      </w:pPr>
      <w:r>
        <w:rPr>
          <w:rFonts w:ascii="Georgia" w:eastAsia="Georgia" w:hAnsi="Georgia" w:cs="Georgia"/>
        </w:rPr>
        <w:t>short-term p</w:t>
      </w:r>
      <w:r w:rsidRPr="00407C3B">
        <w:rPr>
          <w:rFonts w:ascii="Georgia" w:eastAsia="Georgia" w:hAnsi="Georgia" w:cs="Georgia"/>
        </w:rPr>
        <w:t>reventive behavioral health services, for members younger than 21</w:t>
      </w:r>
      <w:r>
        <w:rPr>
          <w:rFonts w:ascii="Georgia" w:eastAsia="Georgia" w:hAnsi="Georgia" w:cs="Georgia"/>
        </w:rPr>
        <w:t>.</w:t>
      </w:r>
      <w:r w:rsidRPr="00407C3B">
        <w:rPr>
          <w:rFonts w:ascii="Georgia" w:eastAsia="Georgia" w:hAnsi="Georgia" w:cs="Georgia"/>
        </w:rPr>
        <w:t xml:space="preserve"> (</w:t>
      </w:r>
      <w:r>
        <w:rPr>
          <w:rFonts w:ascii="Georgia" w:eastAsia="Georgia" w:hAnsi="Georgia" w:cs="Georgia"/>
          <w:i/>
          <w:iCs/>
        </w:rPr>
        <w:t>S</w:t>
      </w:r>
      <w:r w:rsidRPr="00407C3B">
        <w:rPr>
          <w:rFonts w:ascii="Georgia" w:eastAsia="Georgia" w:hAnsi="Georgia" w:cs="Georgia"/>
          <w:i/>
          <w:iCs/>
        </w:rPr>
        <w:t xml:space="preserve">ee </w:t>
      </w:r>
      <w:hyperlink r:id="rId12" w:anchor="community-health-center-provider-bulletins-" w:history="1">
        <w:r w:rsidRPr="007851F8">
          <w:rPr>
            <w:rStyle w:val="Hyperlink"/>
            <w:rFonts w:ascii="Georgia" w:eastAsia="Georgia" w:hAnsi="Georgia" w:cs="Georgia"/>
          </w:rPr>
          <w:t>Community Health Center Bulletin 113</w:t>
        </w:r>
      </w:hyperlink>
      <w:r w:rsidRPr="00407C3B">
        <w:rPr>
          <w:rFonts w:ascii="Georgia" w:eastAsia="Georgia" w:hAnsi="Georgia" w:cs="Georgia"/>
        </w:rPr>
        <w:t xml:space="preserve">, </w:t>
      </w:r>
      <w:hyperlink r:id="rId13" w:anchor="mental-health-center-" w:history="1">
        <w:r w:rsidRPr="007851F8">
          <w:rPr>
            <w:rStyle w:val="Hyperlink"/>
            <w:rFonts w:ascii="Georgia" w:eastAsia="Georgia" w:hAnsi="Georgia" w:cs="Georgia"/>
          </w:rPr>
          <w:t>Mental Health Center Bulletin 35</w:t>
        </w:r>
      </w:hyperlink>
      <w:r w:rsidRPr="00407C3B">
        <w:rPr>
          <w:rFonts w:ascii="Georgia" w:eastAsia="Georgia" w:hAnsi="Georgia" w:cs="Georgia"/>
        </w:rPr>
        <w:t xml:space="preserve">, </w:t>
      </w:r>
      <w:hyperlink r:id="rId14" w:anchor="managed-care-entity-" w:history="1">
        <w:r w:rsidRPr="007851F8">
          <w:rPr>
            <w:rStyle w:val="Hyperlink"/>
            <w:rFonts w:ascii="Georgia" w:eastAsia="Georgia" w:hAnsi="Georgia" w:cs="Georgia"/>
          </w:rPr>
          <w:t>Managed Care Entity Bulletin 65</w:t>
        </w:r>
      </w:hyperlink>
      <w:r>
        <w:rPr>
          <w:rFonts w:ascii="Georgia" w:eastAsia="Georgia" w:hAnsi="Georgia" w:cs="Georgia"/>
        </w:rPr>
        <w:t>.</w:t>
      </w:r>
      <w:r w:rsidRPr="00407C3B">
        <w:rPr>
          <w:rFonts w:ascii="Georgia" w:eastAsia="Georgia" w:hAnsi="Georgia" w:cs="Georgia"/>
        </w:rPr>
        <w:t xml:space="preserve">) </w:t>
      </w:r>
      <w:r w:rsidRPr="00407C3B">
        <w:rPr>
          <w:rFonts w:ascii="Georgia" w:eastAsia="Arial" w:hAnsi="Georgia" w:cs="Arial"/>
        </w:rPr>
        <w:t xml:space="preserve">MassHealth members under 21 are eligible for preventive behavioral health services if they have a positive behavioral health screen (or, in the case of an infant, a positive postpartum depression screening), even if they do not meet criteria for behavioral health diagnosis </w:t>
      </w:r>
    </w:p>
    <w:p w14:paraId="7FA8B2CE" w14:textId="75156283" w:rsidR="00620326" w:rsidRPr="002038A1" w:rsidRDefault="007851F8" w:rsidP="00CA1570">
      <w:pPr>
        <w:pStyle w:val="ListParagraph"/>
        <w:numPr>
          <w:ilvl w:val="0"/>
          <w:numId w:val="11"/>
        </w:numPr>
        <w:spacing w:after="0" w:line="252" w:lineRule="exact"/>
        <w:rPr>
          <w:rFonts w:ascii="Georgia" w:eastAsia="Arial" w:hAnsi="Georgia" w:cs="Arial"/>
          <w:bCs/>
        </w:rPr>
      </w:pPr>
      <w:r w:rsidRPr="002038A1">
        <w:rPr>
          <w:rFonts w:ascii="Georgia" w:eastAsia="Arial" w:hAnsi="Georgia" w:cs="Arial"/>
          <w:bCs/>
        </w:rPr>
        <w:t xml:space="preserve">the </w:t>
      </w:r>
      <w:r w:rsidR="00620326" w:rsidRPr="002038A1">
        <w:rPr>
          <w:rFonts w:ascii="Georgia" w:eastAsia="Arial" w:hAnsi="Georgia" w:cs="Arial"/>
          <w:bCs/>
        </w:rPr>
        <w:t>Massachusetts Child Psychiatry Access Project (</w:t>
      </w:r>
      <w:hyperlink r:id="rId15" w:history="1">
        <w:r w:rsidR="00620326" w:rsidRPr="002038A1">
          <w:rPr>
            <w:rStyle w:val="Hyperlink"/>
            <w:rFonts w:ascii="Georgia" w:eastAsia="Arial" w:hAnsi="Georgia" w:cs="Arial"/>
            <w:bCs/>
          </w:rPr>
          <w:t>https://www.mcpap.com/</w:t>
        </w:r>
      </w:hyperlink>
      <w:r w:rsidR="00620326" w:rsidRPr="002038A1">
        <w:rPr>
          <w:rFonts w:ascii="Georgia" w:eastAsia="Arial" w:hAnsi="Georgia" w:cs="Arial"/>
          <w:bCs/>
        </w:rPr>
        <w:t>)</w:t>
      </w:r>
      <w:r w:rsidR="002038A1" w:rsidRPr="002038A1">
        <w:rPr>
          <w:rFonts w:ascii="Georgia" w:eastAsia="Arial" w:hAnsi="Georgia" w:cs="Arial"/>
          <w:bCs/>
        </w:rPr>
        <w:t>, which p</w:t>
      </w:r>
      <w:r w:rsidR="00620326" w:rsidRPr="002038A1">
        <w:rPr>
          <w:rFonts w:ascii="Georgia" w:eastAsia="Arial" w:hAnsi="Georgia" w:cs="Arial"/>
          <w:bCs/>
        </w:rPr>
        <w:t xml:space="preserve">rovides pediatric psychiatric consultation and referral for ongoing behavioral health care </w:t>
      </w:r>
    </w:p>
    <w:p w14:paraId="05E0933B" w14:textId="5CB68DF0" w:rsidR="00620326" w:rsidRDefault="00620326" w:rsidP="00620326">
      <w:pPr>
        <w:pStyle w:val="ListParagraph"/>
        <w:numPr>
          <w:ilvl w:val="0"/>
          <w:numId w:val="11"/>
        </w:numPr>
        <w:spacing w:after="0" w:line="252" w:lineRule="exact"/>
        <w:rPr>
          <w:rFonts w:ascii="Georgia" w:eastAsia="Arial" w:hAnsi="Georgia" w:cs="Arial"/>
          <w:bCs/>
        </w:rPr>
      </w:pPr>
      <w:r>
        <w:rPr>
          <w:rFonts w:ascii="Georgia" w:eastAsia="Arial" w:hAnsi="Georgia" w:cs="Arial"/>
          <w:bCs/>
        </w:rPr>
        <w:t>a</w:t>
      </w:r>
      <w:r w:rsidRPr="00D63E80">
        <w:rPr>
          <w:rFonts w:ascii="Georgia" w:eastAsia="Arial" w:hAnsi="Georgia" w:cs="Arial"/>
          <w:bCs/>
        </w:rPr>
        <w:t xml:space="preserve">dditional information </w:t>
      </w:r>
      <w:r>
        <w:rPr>
          <w:rFonts w:ascii="Georgia" w:eastAsia="Arial" w:hAnsi="Georgia" w:cs="Arial"/>
          <w:bCs/>
        </w:rPr>
        <w:t>about</w:t>
      </w:r>
      <w:r w:rsidRPr="00D63E80">
        <w:rPr>
          <w:rFonts w:ascii="Georgia" w:eastAsia="Arial" w:hAnsi="Georgia" w:cs="Arial"/>
          <w:bCs/>
        </w:rPr>
        <w:t xml:space="preserve"> MassHealth services available to children and youth, including Children’s Behavioral Health Initiative (CBHI) services, </w:t>
      </w:r>
      <w:r>
        <w:rPr>
          <w:rFonts w:ascii="Georgia" w:eastAsia="Arial" w:hAnsi="Georgia" w:cs="Arial"/>
          <w:bCs/>
        </w:rPr>
        <w:t>can be found on</w:t>
      </w:r>
      <w:r w:rsidRPr="00D63E80">
        <w:rPr>
          <w:rFonts w:ascii="Georgia" w:eastAsia="Arial" w:hAnsi="Georgia" w:cs="Arial"/>
          <w:bCs/>
        </w:rPr>
        <w:t xml:space="preserve"> the </w:t>
      </w:r>
      <w:hyperlink r:id="rId16" w:history="1">
        <w:r w:rsidRPr="00D15B62">
          <w:rPr>
            <w:rStyle w:val="Hyperlink"/>
            <w:rFonts w:ascii="Georgia" w:eastAsia="Arial" w:hAnsi="Georgia" w:cs="Arial"/>
            <w:bCs/>
          </w:rPr>
          <w:t>CBHI website</w:t>
        </w:r>
      </w:hyperlink>
      <w:r w:rsidRPr="009564A6">
        <w:rPr>
          <w:rFonts w:ascii="Georgia" w:eastAsia="Arial" w:hAnsi="Georgia" w:cs="Arial"/>
          <w:bCs/>
        </w:rPr>
        <w:t xml:space="preserve"> </w:t>
      </w:r>
      <w:r w:rsidRPr="009564A6">
        <w:rPr>
          <w:rFonts w:ascii="Georgia" w:eastAsia="Arial" w:hAnsi="Georgia" w:cs="Arial"/>
          <w:bCs/>
        </w:rPr>
        <w:lastRenderedPageBreak/>
        <w:t xml:space="preserve">where </w:t>
      </w:r>
      <w:r>
        <w:rPr>
          <w:rFonts w:ascii="Georgia" w:eastAsia="Arial" w:hAnsi="Georgia" w:cs="Arial"/>
          <w:bCs/>
        </w:rPr>
        <w:t>providers</w:t>
      </w:r>
      <w:r w:rsidRPr="009564A6">
        <w:rPr>
          <w:rFonts w:ascii="Georgia" w:eastAsia="Arial" w:hAnsi="Georgia" w:cs="Arial"/>
          <w:bCs/>
        </w:rPr>
        <w:t xml:space="preserve"> can view and download a brochure or request copies</w:t>
      </w:r>
      <w:r>
        <w:rPr>
          <w:rFonts w:ascii="Georgia" w:eastAsia="Arial" w:hAnsi="Georgia" w:cs="Arial"/>
          <w:bCs/>
        </w:rPr>
        <w:t>,</w:t>
      </w:r>
      <w:r w:rsidRPr="009564A6">
        <w:rPr>
          <w:rFonts w:ascii="Georgia" w:eastAsia="Arial" w:hAnsi="Georgia" w:cs="Arial"/>
          <w:bCs/>
        </w:rPr>
        <w:t xml:space="preserve"> free of charge, to share with families</w:t>
      </w:r>
      <w:r>
        <w:rPr>
          <w:rFonts w:ascii="Georgia" w:eastAsia="Arial" w:hAnsi="Georgia" w:cs="Arial"/>
          <w:bCs/>
        </w:rPr>
        <w:t xml:space="preserve"> </w:t>
      </w:r>
    </w:p>
    <w:p w14:paraId="137D04CB" w14:textId="56A96EFE" w:rsidR="00620326" w:rsidRPr="00407C3B" w:rsidRDefault="00620326" w:rsidP="00620326">
      <w:pPr>
        <w:pStyle w:val="ListParagraph"/>
        <w:numPr>
          <w:ilvl w:val="0"/>
          <w:numId w:val="11"/>
        </w:numPr>
        <w:spacing w:after="0" w:line="252" w:lineRule="exact"/>
        <w:rPr>
          <w:rFonts w:ascii="Georgia" w:eastAsia="Arial" w:hAnsi="Georgia" w:cs="Arial"/>
          <w:bCs/>
        </w:rPr>
      </w:pPr>
      <w:r>
        <w:rPr>
          <w:rFonts w:ascii="Georgia" w:eastAsia="Arial" w:hAnsi="Georgia" w:cs="Arial"/>
          <w:bCs/>
        </w:rPr>
        <w:t>b</w:t>
      </w:r>
      <w:r w:rsidRPr="00BF49F9">
        <w:rPr>
          <w:rFonts w:ascii="Georgia" w:eastAsia="Arial" w:hAnsi="Georgia" w:cs="Arial"/>
          <w:bCs/>
        </w:rPr>
        <w:t xml:space="preserve">ehavioral health providers who are accepting referrals </w:t>
      </w:r>
      <w:r>
        <w:rPr>
          <w:rFonts w:ascii="Georgia" w:eastAsia="Arial" w:hAnsi="Georgia" w:cs="Arial"/>
          <w:bCs/>
        </w:rPr>
        <w:t>may</w:t>
      </w:r>
      <w:r w:rsidRPr="00BF49F9">
        <w:rPr>
          <w:rFonts w:ascii="Georgia" w:eastAsia="Arial" w:hAnsi="Georgia" w:cs="Arial"/>
          <w:bCs/>
        </w:rPr>
        <w:t xml:space="preserve"> be found on the Massachusetts Behavioral Health Acc</w:t>
      </w:r>
      <w:r w:rsidR="002038A1">
        <w:rPr>
          <w:rFonts w:ascii="Georgia" w:eastAsia="Arial" w:hAnsi="Georgia" w:cs="Arial"/>
          <w:bCs/>
        </w:rPr>
        <w:t>ess at</w:t>
      </w:r>
      <w:r w:rsidRPr="00BF49F9">
        <w:rPr>
          <w:rFonts w:ascii="Georgia" w:eastAsia="Arial" w:hAnsi="Georgia" w:cs="Arial"/>
          <w:bCs/>
        </w:rPr>
        <w:t xml:space="preserve"> </w:t>
      </w:r>
      <w:hyperlink r:id="rId17" w:history="1">
        <w:r w:rsidR="002038A1" w:rsidRPr="005F1D21">
          <w:rPr>
            <w:rStyle w:val="Hyperlink"/>
            <w:rFonts w:ascii="Georgia" w:eastAsia="Arial" w:hAnsi="Georgia" w:cs="Arial"/>
            <w:bCs/>
          </w:rPr>
          <w:t>www.mabhaccess.com</w:t>
        </w:r>
      </w:hyperlink>
      <w:r w:rsidR="002038A1">
        <w:rPr>
          <w:rStyle w:val="Hyperlink"/>
          <w:rFonts w:ascii="Georgia" w:eastAsia="Arial" w:hAnsi="Georgia" w:cs="Arial"/>
          <w:bCs/>
        </w:rPr>
        <w:t>.</w:t>
      </w:r>
    </w:p>
    <w:p w14:paraId="78AEBE42" w14:textId="77777777" w:rsidR="00620326" w:rsidRPr="00407C3B" w:rsidRDefault="00620326" w:rsidP="00002E0B">
      <w:pPr>
        <w:pStyle w:val="Heading3"/>
        <w:rPr>
          <w:rFonts w:eastAsia="Arial"/>
        </w:rPr>
      </w:pPr>
      <w:r w:rsidRPr="00407C3B">
        <w:rPr>
          <w:rFonts w:eastAsia="Arial"/>
        </w:rPr>
        <w:t>Maternal and Caregiver Depression Screening</w:t>
      </w:r>
    </w:p>
    <w:p w14:paraId="62C5F03F" w14:textId="57CD3473" w:rsidR="00620326" w:rsidRDefault="00620326" w:rsidP="00CF4C85">
      <w:pPr>
        <w:spacing w:line="252" w:lineRule="exact"/>
        <w:rPr>
          <w:rFonts w:eastAsia="Arial" w:cs="Arial"/>
        </w:rPr>
      </w:pPr>
      <w:r w:rsidRPr="1967EBA2">
        <w:rPr>
          <w:rFonts w:eastAsia="Arial" w:cs="Arial"/>
        </w:rPr>
        <w:t xml:space="preserve">For members aged </w:t>
      </w:r>
      <w:r>
        <w:rPr>
          <w:rFonts w:eastAsia="Arial" w:cs="Arial"/>
        </w:rPr>
        <w:t>six</w:t>
      </w:r>
      <w:r w:rsidRPr="1967EBA2">
        <w:rPr>
          <w:rFonts w:eastAsia="Arial" w:cs="Arial"/>
        </w:rPr>
        <w:t xml:space="preserve"> months and younger, </w:t>
      </w:r>
      <w:r>
        <w:rPr>
          <w:rFonts w:eastAsia="Arial" w:cs="Arial"/>
        </w:rPr>
        <w:t>providers</w:t>
      </w:r>
      <w:r w:rsidRPr="1967EBA2">
        <w:rPr>
          <w:rFonts w:eastAsia="Arial" w:cs="Arial"/>
        </w:rPr>
        <w:t xml:space="preserve"> </w:t>
      </w:r>
      <w:r>
        <w:rPr>
          <w:rFonts w:eastAsia="Arial" w:cs="Arial"/>
        </w:rPr>
        <w:t>must</w:t>
      </w:r>
      <w:r w:rsidRPr="1967EBA2">
        <w:rPr>
          <w:rFonts w:eastAsia="Arial" w:cs="Arial"/>
        </w:rPr>
        <w:t xml:space="preserve"> continue</w:t>
      </w:r>
      <w:r w:rsidRPr="008E5E80">
        <w:rPr>
          <w:rFonts w:eastAsia="Arial" w:cs="Arial"/>
        </w:rPr>
        <w:t xml:space="preserve"> </w:t>
      </w:r>
      <w:r w:rsidRPr="00407C3B">
        <w:rPr>
          <w:rFonts w:eastAsia="Arial" w:cs="Arial"/>
        </w:rPr>
        <w:t>Maternal and Caregiver Depression Screening</w:t>
      </w:r>
      <w:r w:rsidRPr="008E5E80">
        <w:rPr>
          <w:rFonts w:eastAsia="Arial" w:cs="Arial"/>
        </w:rPr>
        <w:t xml:space="preserve"> </w:t>
      </w:r>
      <w:r w:rsidRPr="1967EBA2">
        <w:rPr>
          <w:rFonts w:eastAsia="Arial" w:cs="Arial"/>
        </w:rPr>
        <w:t>by administering and scoring the Edinburgh Postnatal Depression Scale (EPDS)</w:t>
      </w:r>
      <w:r>
        <w:rPr>
          <w:rFonts w:eastAsia="Arial" w:cs="Arial"/>
        </w:rPr>
        <w:t xml:space="preserve"> </w:t>
      </w:r>
      <w:r w:rsidRPr="1967EBA2">
        <w:rPr>
          <w:rFonts w:eastAsia="Arial" w:cs="Arial"/>
        </w:rPr>
        <w:t>with the member’s caregiver during a well</w:t>
      </w:r>
      <w:r w:rsidR="00EC7F97">
        <w:rPr>
          <w:rFonts w:eastAsia="Arial" w:cs="Arial"/>
        </w:rPr>
        <w:t>-</w:t>
      </w:r>
      <w:r w:rsidRPr="1967EBA2">
        <w:rPr>
          <w:rFonts w:eastAsia="Arial" w:cs="Arial"/>
        </w:rPr>
        <w:t xml:space="preserve">child visit or as needed for non-routine visits. </w:t>
      </w:r>
      <w:r>
        <w:rPr>
          <w:rFonts w:eastAsia="Arial" w:cs="Arial"/>
        </w:rPr>
        <w:t>Providers may use either the EPDS, or the Survey of Well-being of Young Children (</w:t>
      </w:r>
      <w:r w:rsidRPr="1967EBA2">
        <w:rPr>
          <w:rFonts w:eastAsia="Arial" w:cs="Arial"/>
        </w:rPr>
        <w:t>SWYC</w:t>
      </w:r>
      <w:r>
        <w:rPr>
          <w:rFonts w:eastAsia="Arial" w:cs="Arial"/>
        </w:rPr>
        <w:t>). SWYC</w:t>
      </w:r>
      <w:r w:rsidRPr="1967EBA2">
        <w:rPr>
          <w:rFonts w:eastAsia="Arial" w:cs="Arial"/>
        </w:rPr>
        <w:t xml:space="preserve"> forms for infants six months and younger also include </w:t>
      </w:r>
      <w:r>
        <w:rPr>
          <w:rFonts w:eastAsia="Arial" w:cs="Arial"/>
        </w:rPr>
        <w:t xml:space="preserve">a modified version of the </w:t>
      </w:r>
      <w:r w:rsidRPr="1967EBA2">
        <w:rPr>
          <w:rFonts w:eastAsia="Arial" w:cs="Arial"/>
        </w:rPr>
        <w:t xml:space="preserve">EPDS. </w:t>
      </w:r>
      <w:r>
        <w:rPr>
          <w:rFonts w:eastAsia="Arial" w:cs="Arial"/>
        </w:rPr>
        <w:t>Providers</w:t>
      </w:r>
      <w:r w:rsidRPr="1967EBA2">
        <w:rPr>
          <w:rFonts w:eastAsia="Arial" w:cs="Arial"/>
        </w:rPr>
        <w:t xml:space="preserve"> </w:t>
      </w:r>
      <w:r>
        <w:rPr>
          <w:rFonts w:eastAsia="Arial" w:cs="Arial"/>
        </w:rPr>
        <w:t>must</w:t>
      </w:r>
      <w:r w:rsidRPr="1967EBA2">
        <w:rPr>
          <w:rFonts w:eastAsia="Arial" w:cs="Arial"/>
        </w:rPr>
        <w:t xml:space="preserve"> continue submitting claims for maternal-caregiver depression</w:t>
      </w:r>
      <w:r>
        <w:rPr>
          <w:rFonts w:eastAsia="Arial" w:cs="Arial"/>
        </w:rPr>
        <w:t xml:space="preserve"> screenings</w:t>
      </w:r>
      <w:r w:rsidRPr="1967EBA2">
        <w:rPr>
          <w:rFonts w:eastAsia="Arial" w:cs="Arial"/>
        </w:rPr>
        <w:t xml:space="preserve"> with service code </w:t>
      </w:r>
      <w:r w:rsidRPr="1967EBA2">
        <w:rPr>
          <w:rFonts w:eastAsia="Arial" w:cs="Arial"/>
          <w:b/>
          <w:bCs/>
        </w:rPr>
        <w:t>96110</w:t>
      </w:r>
      <w:r w:rsidRPr="1967EBA2">
        <w:rPr>
          <w:rFonts w:eastAsia="Arial" w:cs="Arial"/>
        </w:rPr>
        <w:t xml:space="preserve">, </w:t>
      </w:r>
      <w:r>
        <w:rPr>
          <w:rFonts w:eastAsia="Arial" w:cs="Arial"/>
        </w:rPr>
        <w:t>with</w:t>
      </w:r>
      <w:r w:rsidRPr="1967EBA2">
        <w:rPr>
          <w:rFonts w:eastAsia="Arial" w:cs="Arial"/>
        </w:rPr>
        <w:t xml:space="preserve"> either </w:t>
      </w:r>
      <w:r w:rsidRPr="1967EBA2">
        <w:rPr>
          <w:rFonts w:eastAsia="Arial" w:cs="Arial"/>
          <w:b/>
          <w:bCs/>
        </w:rPr>
        <w:t>U1</w:t>
      </w:r>
      <w:r w:rsidRPr="1967EBA2">
        <w:rPr>
          <w:rFonts w:eastAsia="Arial" w:cs="Arial"/>
        </w:rPr>
        <w:t xml:space="preserve"> (no need identified)</w:t>
      </w:r>
      <w:r w:rsidR="00EC7F97">
        <w:rPr>
          <w:rFonts w:eastAsia="Arial" w:cs="Arial"/>
        </w:rPr>
        <w:t>,</w:t>
      </w:r>
      <w:r w:rsidRPr="1967EBA2">
        <w:rPr>
          <w:rFonts w:eastAsia="Arial" w:cs="Arial"/>
        </w:rPr>
        <w:t xml:space="preserve"> or </w:t>
      </w:r>
      <w:r w:rsidRPr="1967EBA2">
        <w:rPr>
          <w:rFonts w:eastAsia="Arial" w:cs="Arial"/>
          <w:b/>
          <w:bCs/>
        </w:rPr>
        <w:t>U2</w:t>
      </w:r>
      <w:r w:rsidRPr="1967EBA2">
        <w:rPr>
          <w:rFonts w:eastAsia="Arial" w:cs="Arial"/>
        </w:rPr>
        <w:t xml:space="preserve"> (need identified)</w:t>
      </w:r>
      <w:r w:rsidR="00EC7F97">
        <w:rPr>
          <w:rFonts w:eastAsia="Arial" w:cs="Arial"/>
        </w:rPr>
        <w:t>,</w:t>
      </w:r>
      <w:r w:rsidRPr="1967EBA2">
        <w:rPr>
          <w:rFonts w:eastAsia="Arial" w:cs="Arial"/>
        </w:rPr>
        <w:t xml:space="preserve"> and </w:t>
      </w:r>
      <w:r w:rsidRPr="1967EBA2">
        <w:rPr>
          <w:rFonts w:eastAsia="Arial" w:cs="Arial"/>
          <w:b/>
          <w:bCs/>
        </w:rPr>
        <w:t>UD</w:t>
      </w:r>
      <w:r w:rsidRPr="1967EBA2">
        <w:rPr>
          <w:rFonts w:eastAsia="Arial" w:cs="Arial"/>
        </w:rPr>
        <w:t xml:space="preserve"> </w:t>
      </w:r>
      <w:r>
        <w:rPr>
          <w:rFonts w:eastAsia="Arial" w:cs="Arial"/>
        </w:rPr>
        <w:t xml:space="preserve">modifiers </w:t>
      </w:r>
      <w:r w:rsidRPr="1967EBA2">
        <w:rPr>
          <w:rFonts w:eastAsia="Arial" w:cs="Arial"/>
        </w:rPr>
        <w:t xml:space="preserve">to indicate the administration and scoring of the EPDS. </w:t>
      </w:r>
      <w:r>
        <w:rPr>
          <w:rFonts w:eastAsia="Arial" w:cs="Arial"/>
        </w:rPr>
        <w:t xml:space="preserve">Providers must also continue to administer Maternal and Caregiver Depression Screening in accordance with MassHealth </w:t>
      </w:r>
      <w:hyperlink r:id="rId18" w:history="1">
        <w:r w:rsidRPr="00C45DBA">
          <w:rPr>
            <w:rStyle w:val="Hyperlink"/>
            <w:rFonts w:eastAsia="Arial" w:cs="Arial"/>
          </w:rPr>
          <w:t>All Provider Bulletin 301</w:t>
        </w:r>
      </w:hyperlink>
      <w:r>
        <w:rPr>
          <w:rFonts w:eastAsia="Arial" w:cs="Arial"/>
        </w:rPr>
        <w:t xml:space="preserve">. </w:t>
      </w:r>
    </w:p>
    <w:p w14:paraId="03B6E224" w14:textId="7661FF02" w:rsidR="00620326" w:rsidRDefault="00620326" w:rsidP="00CB3621">
      <w:pPr>
        <w:pStyle w:val="Heading3"/>
        <w:rPr>
          <w:rFonts w:eastAsia="Arial"/>
        </w:rPr>
      </w:pPr>
      <w:r>
        <w:rPr>
          <w:rFonts w:eastAsia="Arial"/>
        </w:rPr>
        <w:t xml:space="preserve">Resources available to </w:t>
      </w:r>
      <w:r w:rsidR="00F05E1A">
        <w:rPr>
          <w:rFonts w:eastAsia="Arial"/>
        </w:rPr>
        <w:t>P</w:t>
      </w:r>
      <w:r>
        <w:rPr>
          <w:rFonts w:eastAsia="Arial"/>
        </w:rPr>
        <w:t xml:space="preserve">roviders and </w:t>
      </w:r>
      <w:r w:rsidR="00CB3621">
        <w:rPr>
          <w:rFonts w:eastAsia="Arial"/>
        </w:rPr>
        <w:t>C</w:t>
      </w:r>
      <w:r>
        <w:rPr>
          <w:rFonts w:eastAsia="Arial"/>
        </w:rPr>
        <w:t xml:space="preserve">aregivers </w:t>
      </w:r>
      <w:r w:rsidR="00CB3621">
        <w:rPr>
          <w:rFonts w:eastAsia="Arial"/>
        </w:rPr>
        <w:br/>
      </w:r>
    </w:p>
    <w:p w14:paraId="1A0E1EED" w14:textId="43D0DA07" w:rsidR="00620326" w:rsidRPr="005021F6" w:rsidRDefault="00620326" w:rsidP="00620326">
      <w:pPr>
        <w:pStyle w:val="ListParagraph"/>
        <w:numPr>
          <w:ilvl w:val="0"/>
          <w:numId w:val="12"/>
        </w:numPr>
        <w:spacing w:after="0" w:line="252" w:lineRule="exact"/>
        <w:rPr>
          <w:rFonts w:ascii="Georgia" w:eastAsia="Arial" w:hAnsi="Georgia" w:cs="Arial"/>
          <w:b/>
          <w:bCs/>
        </w:rPr>
      </w:pPr>
      <w:r>
        <w:rPr>
          <w:rFonts w:ascii="Georgia" w:eastAsia="Arial" w:hAnsi="Georgia" w:cs="Arial"/>
          <w:bCs/>
        </w:rPr>
        <w:t>the</w:t>
      </w:r>
      <w:r w:rsidRPr="00407C3B">
        <w:rPr>
          <w:rFonts w:ascii="Georgia" w:eastAsia="Arial" w:hAnsi="Georgia" w:cs="Arial"/>
          <w:bCs/>
        </w:rPr>
        <w:t xml:space="preserve"> Massachusetts Bureau of Family Health and Nutrition</w:t>
      </w:r>
      <w:r>
        <w:rPr>
          <w:rFonts w:ascii="Georgia" w:eastAsia="Arial" w:hAnsi="Georgia" w:cs="Arial"/>
          <w:bCs/>
        </w:rPr>
        <w:t xml:space="preserve"> provides resources on its website</w:t>
      </w:r>
      <w:r w:rsidR="00EC7F97">
        <w:rPr>
          <w:rFonts w:ascii="Georgia" w:eastAsia="Arial" w:hAnsi="Georgia" w:cs="Arial"/>
          <w:bCs/>
        </w:rPr>
        <w:t xml:space="preserve"> at</w:t>
      </w:r>
      <w:r w:rsidR="00EC7F97" w:rsidRPr="00407C3B">
        <w:rPr>
          <w:rFonts w:ascii="Georgia" w:eastAsia="Arial" w:hAnsi="Georgia" w:cs="Arial"/>
          <w:bCs/>
        </w:rPr>
        <w:t xml:space="preserve"> </w:t>
      </w:r>
      <w:hyperlink r:id="rId19" w:history="1">
        <w:r w:rsidRPr="0033479D">
          <w:rPr>
            <w:rStyle w:val="Hyperlink"/>
            <w:rFonts w:ascii="Georgia" w:eastAsia="Arial" w:hAnsi="Georgia" w:cs="Arial"/>
            <w:bCs/>
          </w:rPr>
          <w:t>www.mass.gov/service-details/postpartum-depression-resources-for-healthcare-providers</w:t>
        </w:r>
      </w:hyperlink>
      <w:r>
        <w:rPr>
          <w:rFonts w:ascii="Georgia" w:eastAsia="Arial" w:hAnsi="Georgia" w:cs="Arial"/>
          <w:bCs/>
        </w:rPr>
        <w:t>;</w:t>
      </w:r>
    </w:p>
    <w:p w14:paraId="2AC52525" w14:textId="3E491130" w:rsidR="00620326" w:rsidRPr="00407C3B" w:rsidRDefault="00620326" w:rsidP="00620326">
      <w:pPr>
        <w:pStyle w:val="ListParagraph"/>
        <w:spacing w:after="0" w:line="252" w:lineRule="exact"/>
        <w:ind w:left="777"/>
        <w:rPr>
          <w:rFonts w:ascii="Georgia" w:eastAsia="Arial" w:hAnsi="Georgia" w:cs="Arial"/>
          <w:b/>
          <w:bCs/>
        </w:rPr>
      </w:pPr>
    </w:p>
    <w:p w14:paraId="682EB503" w14:textId="06D3BD60" w:rsidR="00620326" w:rsidRPr="00122A9F" w:rsidRDefault="008419FF" w:rsidP="00620326">
      <w:pPr>
        <w:pStyle w:val="ListParagraph"/>
        <w:numPr>
          <w:ilvl w:val="0"/>
          <w:numId w:val="12"/>
        </w:numPr>
        <w:spacing w:after="0" w:line="252" w:lineRule="exact"/>
        <w:rPr>
          <w:rFonts w:ascii="Georgia" w:eastAsia="Arial" w:hAnsi="Georgia" w:cs="Arial"/>
          <w:bCs/>
        </w:rPr>
      </w:pPr>
      <w:hyperlink r:id="rId20" w:history="1">
        <w:r w:rsidR="00620326" w:rsidRPr="00A666DD">
          <w:rPr>
            <w:rStyle w:val="Hyperlink"/>
            <w:rFonts w:ascii="Georgia" w:eastAsia="Arial" w:hAnsi="Georgia" w:cs="Arial"/>
            <w:bCs/>
          </w:rPr>
          <w:t>MCPAP for Moms</w:t>
        </w:r>
      </w:hyperlink>
      <w:r w:rsidR="00620326" w:rsidRPr="00A666DD">
        <w:rPr>
          <w:rStyle w:val="Hyperlink"/>
          <w:rFonts w:ascii="Georgia" w:eastAsia="Arial" w:hAnsi="Georgia" w:cs="Arial"/>
          <w:bCs/>
        </w:rPr>
        <w:t xml:space="preserve"> (</w:t>
      </w:r>
      <w:hyperlink r:id="rId21" w:history="1">
        <w:r w:rsidR="00EC7F97" w:rsidRPr="007F5A4D">
          <w:rPr>
            <w:rStyle w:val="Hyperlink"/>
            <w:rFonts w:ascii="Georgia" w:eastAsia="Arial" w:hAnsi="Georgia" w:cs="Arial"/>
            <w:bCs/>
          </w:rPr>
          <w:t>www.mcpapformoms.org/</w:t>
        </w:r>
      </w:hyperlink>
      <w:r w:rsidR="00620326" w:rsidRPr="00A666DD">
        <w:rPr>
          <w:rStyle w:val="Hyperlink"/>
          <w:rFonts w:ascii="Georgia" w:eastAsia="Arial" w:hAnsi="Georgia" w:cs="Arial"/>
          <w:bCs/>
        </w:rPr>
        <w:t>)</w:t>
      </w:r>
      <w:r w:rsidR="00EC7F97">
        <w:rPr>
          <w:rStyle w:val="Hyperlink"/>
          <w:rFonts w:ascii="Georgia" w:eastAsia="Arial" w:hAnsi="Georgia" w:cs="Arial"/>
          <w:bCs/>
        </w:rPr>
        <w:t xml:space="preserve"> </w:t>
      </w:r>
      <w:r w:rsidR="00620326" w:rsidRPr="00122A9F">
        <w:rPr>
          <w:rFonts w:ascii="Georgia" w:hAnsi="Georgia" w:cs="Arial"/>
        </w:rPr>
        <w:t>provides real-time, perinatal psychiatric consultation and care coordination for obstetric, pediatric, primary care, and psychiatric providers to help identify and manage depression and other mental-health concerns during and after pregnancy; and</w:t>
      </w:r>
    </w:p>
    <w:p w14:paraId="62E3133F" w14:textId="77777777" w:rsidR="00620326" w:rsidRPr="009016E2" w:rsidRDefault="008419FF" w:rsidP="00620326">
      <w:pPr>
        <w:pStyle w:val="ListParagraph"/>
        <w:numPr>
          <w:ilvl w:val="0"/>
          <w:numId w:val="12"/>
        </w:numPr>
        <w:spacing w:after="0" w:line="252" w:lineRule="exact"/>
        <w:rPr>
          <w:rFonts w:ascii="Georgia" w:eastAsia="Arial" w:hAnsi="Georgia" w:cs="Arial"/>
        </w:rPr>
      </w:pPr>
      <w:hyperlink r:id="rId22" w:history="1">
        <w:r w:rsidR="00620326" w:rsidRPr="009870B8">
          <w:rPr>
            <w:rStyle w:val="Hyperlink"/>
            <w:rFonts w:ascii="Georgia" w:eastAsia="Arial" w:hAnsi="Georgia" w:cs="Arial"/>
            <w:bCs/>
          </w:rPr>
          <w:t>Postpartum Support International</w:t>
        </w:r>
      </w:hyperlink>
      <w:r w:rsidR="00620326">
        <w:rPr>
          <w:rStyle w:val="Hyperlink"/>
          <w:rFonts w:ascii="Georgia" w:eastAsia="Arial" w:hAnsi="Georgia" w:cs="Arial"/>
          <w:bCs/>
        </w:rPr>
        <w:t xml:space="preserve"> (www.psi.org)</w:t>
      </w:r>
      <w:r w:rsidR="00620326">
        <w:rPr>
          <w:rFonts w:ascii="Georgia" w:eastAsia="Arial" w:hAnsi="Georgia" w:cs="Arial"/>
          <w:bCs/>
        </w:rPr>
        <w:t xml:space="preserve"> provides a “warm” </w:t>
      </w:r>
      <w:r w:rsidR="00620326" w:rsidRPr="00407C3B">
        <w:rPr>
          <w:rFonts w:ascii="Georgia" w:eastAsia="Arial" w:hAnsi="Georgia" w:cs="Arial"/>
          <w:bCs/>
        </w:rPr>
        <w:t>helpline for those experiencing perinatal depression</w:t>
      </w:r>
      <w:r w:rsidR="00620326" w:rsidRPr="009016E2">
        <w:rPr>
          <w:rFonts w:ascii="Georgia" w:eastAsia="Arial" w:hAnsi="Georgia" w:cs="Arial"/>
          <w:bCs/>
        </w:rPr>
        <w:t xml:space="preserve">. </w:t>
      </w:r>
    </w:p>
    <w:p w14:paraId="3B7C90FB" w14:textId="77777777" w:rsidR="00620326" w:rsidRPr="00BF49F9" w:rsidRDefault="00620326" w:rsidP="00002E0B">
      <w:pPr>
        <w:pStyle w:val="Heading2"/>
        <w:rPr>
          <w:rFonts w:eastAsia="Arial" w:cs="Arial"/>
        </w:rPr>
      </w:pPr>
      <w:r>
        <w:rPr>
          <w:rFonts w:eastAsia="Georgia"/>
        </w:rPr>
        <w:t xml:space="preserve">Service Code and Modifiers  </w:t>
      </w:r>
    </w:p>
    <w:p w14:paraId="11A92B34" w14:textId="77777777" w:rsidR="00620326" w:rsidRDefault="00620326" w:rsidP="00620326">
      <w:pPr>
        <w:spacing w:after="0" w:line="252" w:lineRule="exact"/>
      </w:pPr>
      <w:r>
        <w:t>The following represents the changes to the behavioral health and developmental screening code changes as described above:</w:t>
      </w:r>
    </w:p>
    <w:tbl>
      <w:tblPr>
        <w:tblStyle w:val="TableGrid"/>
        <w:tblW w:w="9473" w:type="dxa"/>
        <w:jc w:val="center"/>
        <w:tblLook w:val="04A0" w:firstRow="1" w:lastRow="0" w:firstColumn="1" w:lastColumn="0" w:noHBand="0" w:noVBand="1"/>
      </w:tblPr>
      <w:tblGrid>
        <w:gridCol w:w="1997"/>
        <w:gridCol w:w="2831"/>
        <w:gridCol w:w="1548"/>
        <w:gridCol w:w="3097"/>
      </w:tblGrid>
      <w:tr w:rsidR="00620326" w:rsidRPr="00BF49F9" w14:paraId="38905AA2" w14:textId="77777777" w:rsidTr="00CF4C85">
        <w:trPr>
          <w:trHeight w:val="219"/>
          <w:tblHeader/>
          <w:jc w:val="center"/>
        </w:trPr>
        <w:tc>
          <w:tcPr>
            <w:tcW w:w="1973" w:type="dxa"/>
            <w:shd w:val="clear" w:color="auto" w:fill="DBE5F1" w:themeFill="accent1" w:themeFillTint="33"/>
          </w:tcPr>
          <w:p w14:paraId="56B80F74" w14:textId="77777777" w:rsidR="00620326" w:rsidRPr="006473EA" w:rsidRDefault="00620326" w:rsidP="00002E0B">
            <w:pPr>
              <w:spacing w:line="252" w:lineRule="exact"/>
              <w:rPr>
                <w:b/>
                <w:bCs/>
              </w:rPr>
            </w:pPr>
            <w:bookmarkStart w:id="2" w:name="_Hlk104457136"/>
            <w:r w:rsidRPr="5803E3EC">
              <w:rPr>
                <w:b/>
                <w:bCs/>
              </w:rPr>
              <w:t>Member Age/Visit</w:t>
            </w:r>
          </w:p>
        </w:tc>
        <w:tc>
          <w:tcPr>
            <w:tcW w:w="2797" w:type="dxa"/>
            <w:shd w:val="clear" w:color="auto" w:fill="DBE5F1" w:themeFill="accent1" w:themeFillTint="33"/>
          </w:tcPr>
          <w:p w14:paraId="6E35B978" w14:textId="77777777" w:rsidR="00620326" w:rsidRPr="006473EA" w:rsidRDefault="00620326" w:rsidP="00002E0B">
            <w:pPr>
              <w:spacing w:line="252" w:lineRule="exact"/>
              <w:rPr>
                <w:b/>
                <w:bCs/>
              </w:rPr>
            </w:pPr>
            <w:r w:rsidRPr="006473EA">
              <w:rPr>
                <w:b/>
                <w:bCs/>
              </w:rPr>
              <w:t>Screening Type</w:t>
            </w:r>
          </w:p>
        </w:tc>
        <w:tc>
          <w:tcPr>
            <w:tcW w:w="1530" w:type="dxa"/>
            <w:shd w:val="clear" w:color="auto" w:fill="DBE5F1" w:themeFill="accent1" w:themeFillTint="33"/>
          </w:tcPr>
          <w:p w14:paraId="1E1912C1" w14:textId="77777777" w:rsidR="00620326" w:rsidRPr="006473EA" w:rsidRDefault="00620326" w:rsidP="00002E0B">
            <w:pPr>
              <w:spacing w:line="252" w:lineRule="exact"/>
              <w:rPr>
                <w:b/>
                <w:bCs/>
              </w:rPr>
            </w:pPr>
            <w:r w:rsidRPr="006473EA">
              <w:rPr>
                <w:b/>
                <w:bCs/>
              </w:rPr>
              <w:t>CPT Code</w:t>
            </w:r>
          </w:p>
        </w:tc>
        <w:tc>
          <w:tcPr>
            <w:tcW w:w="3060" w:type="dxa"/>
            <w:shd w:val="clear" w:color="auto" w:fill="DBE5F1" w:themeFill="accent1" w:themeFillTint="33"/>
          </w:tcPr>
          <w:p w14:paraId="42F127CA" w14:textId="77777777" w:rsidR="00620326" w:rsidRPr="006473EA" w:rsidRDefault="00620326" w:rsidP="00002E0B">
            <w:pPr>
              <w:spacing w:line="252" w:lineRule="exact"/>
              <w:rPr>
                <w:b/>
                <w:bCs/>
              </w:rPr>
            </w:pPr>
            <w:r w:rsidRPr="006473EA">
              <w:rPr>
                <w:b/>
                <w:bCs/>
              </w:rPr>
              <w:t>Required modifier(s)</w:t>
            </w:r>
          </w:p>
        </w:tc>
      </w:tr>
      <w:tr w:rsidR="00620326" w:rsidRPr="00BF49F9" w14:paraId="0CABC44A" w14:textId="77777777" w:rsidTr="00CF4C85">
        <w:trPr>
          <w:trHeight w:val="750"/>
          <w:jc w:val="center"/>
        </w:trPr>
        <w:tc>
          <w:tcPr>
            <w:tcW w:w="1973" w:type="dxa"/>
          </w:tcPr>
          <w:p w14:paraId="14F1C20F" w14:textId="77777777" w:rsidR="00620326" w:rsidRPr="00BF49F9" w:rsidRDefault="00620326" w:rsidP="00FD1491">
            <w:pPr>
              <w:spacing w:line="252" w:lineRule="exact"/>
            </w:pPr>
            <w:r w:rsidRPr="00BF49F9">
              <w:t>=&lt; 6 months</w:t>
            </w:r>
          </w:p>
        </w:tc>
        <w:tc>
          <w:tcPr>
            <w:tcW w:w="2797" w:type="dxa"/>
          </w:tcPr>
          <w:p w14:paraId="19AE7EB0" w14:textId="77777777" w:rsidR="00620326" w:rsidRPr="00BF49F9" w:rsidRDefault="00620326" w:rsidP="00FD1491">
            <w:pPr>
              <w:spacing w:line="252" w:lineRule="exact"/>
            </w:pPr>
            <w:r w:rsidRPr="00BF49F9">
              <w:t>Maternal-Caregiver Depression</w:t>
            </w:r>
            <w:r>
              <w:t xml:space="preserve"> (</w:t>
            </w:r>
            <w:r w:rsidRPr="00BF49F9">
              <w:t>EPDS</w:t>
            </w:r>
            <w:r>
              <w:t>)</w:t>
            </w:r>
          </w:p>
        </w:tc>
        <w:tc>
          <w:tcPr>
            <w:tcW w:w="1530" w:type="dxa"/>
          </w:tcPr>
          <w:p w14:paraId="563ED31E" w14:textId="77777777" w:rsidR="00620326" w:rsidRPr="00BF49F9" w:rsidRDefault="00620326" w:rsidP="00FD1491">
            <w:pPr>
              <w:spacing w:line="252" w:lineRule="exact"/>
            </w:pPr>
            <w:r w:rsidRPr="00BF49F9">
              <w:t>96110</w:t>
            </w:r>
          </w:p>
        </w:tc>
        <w:tc>
          <w:tcPr>
            <w:tcW w:w="3060" w:type="dxa"/>
          </w:tcPr>
          <w:p w14:paraId="4336140B" w14:textId="77777777" w:rsidR="00620326" w:rsidRPr="00BF49F9" w:rsidRDefault="00620326" w:rsidP="00FD1491">
            <w:pPr>
              <w:spacing w:line="252" w:lineRule="exact"/>
            </w:pPr>
            <w:r w:rsidRPr="00BF49F9">
              <w:t>U1 or U2 + UD</w:t>
            </w:r>
          </w:p>
        </w:tc>
      </w:tr>
      <w:tr w:rsidR="00620326" w:rsidRPr="00BF49F9" w14:paraId="7CEE5CD9" w14:textId="77777777" w:rsidTr="00CF4C85">
        <w:trPr>
          <w:trHeight w:val="930"/>
          <w:jc w:val="center"/>
        </w:trPr>
        <w:tc>
          <w:tcPr>
            <w:tcW w:w="1973" w:type="dxa"/>
          </w:tcPr>
          <w:p w14:paraId="3495F9A4" w14:textId="77777777" w:rsidR="00620326" w:rsidRPr="00BF49F9" w:rsidRDefault="00620326" w:rsidP="00FD1491">
            <w:pPr>
              <w:spacing w:line="252" w:lineRule="exact"/>
            </w:pPr>
            <w:r w:rsidRPr="1FBBB46D">
              <w:t xml:space="preserve">6 months-3 years </w:t>
            </w:r>
          </w:p>
        </w:tc>
        <w:tc>
          <w:tcPr>
            <w:tcW w:w="2797" w:type="dxa"/>
          </w:tcPr>
          <w:p w14:paraId="7896C93D" w14:textId="77777777" w:rsidR="00620326" w:rsidRDefault="00620326" w:rsidP="00FD1491">
            <w:pPr>
              <w:spacing w:line="252" w:lineRule="exact"/>
            </w:pPr>
            <w:r w:rsidRPr="00BF49F9">
              <w:t xml:space="preserve">Developmental </w:t>
            </w:r>
          </w:p>
          <w:p w14:paraId="4BB31FFF" w14:textId="77777777" w:rsidR="00620326" w:rsidRPr="00BF49F9" w:rsidRDefault="00620326" w:rsidP="00FD1491">
            <w:pPr>
              <w:spacing w:line="252" w:lineRule="exact"/>
            </w:pPr>
          </w:p>
        </w:tc>
        <w:tc>
          <w:tcPr>
            <w:tcW w:w="1530" w:type="dxa"/>
          </w:tcPr>
          <w:p w14:paraId="31DF56C6" w14:textId="77777777" w:rsidR="00620326" w:rsidRPr="00BF49F9" w:rsidRDefault="00620326" w:rsidP="00FD1491">
            <w:pPr>
              <w:spacing w:line="252" w:lineRule="exact"/>
            </w:pPr>
            <w:r w:rsidRPr="00BF49F9">
              <w:t>96110</w:t>
            </w:r>
          </w:p>
        </w:tc>
        <w:tc>
          <w:tcPr>
            <w:tcW w:w="3060" w:type="dxa"/>
          </w:tcPr>
          <w:p w14:paraId="6010BB4D" w14:textId="77777777" w:rsidR="00620326" w:rsidRPr="00BF49F9" w:rsidRDefault="00620326" w:rsidP="00FD1491">
            <w:pPr>
              <w:spacing w:line="252" w:lineRule="exact"/>
            </w:pPr>
            <w:r w:rsidRPr="00BF49F9">
              <w:t>U1 or U2</w:t>
            </w:r>
          </w:p>
        </w:tc>
      </w:tr>
      <w:tr w:rsidR="00620326" w:rsidRPr="00BF49F9" w14:paraId="11DB870A" w14:textId="77777777" w:rsidTr="00CF4C85">
        <w:trPr>
          <w:trHeight w:val="667"/>
          <w:jc w:val="center"/>
        </w:trPr>
        <w:tc>
          <w:tcPr>
            <w:tcW w:w="1973" w:type="dxa"/>
          </w:tcPr>
          <w:p w14:paraId="5F6CF5E7" w14:textId="77777777" w:rsidR="00620326" w:rsidRPr="00BF49F9" w:rsidRDefault="00620326" w:rsidP="00FD1491">
            <w:pPr>
              <w:spacing w:line="252" w:lineRule="exact"/>
            </w:pPr>
            <w:r w:rsidRPr="00BF49F9">
              <w:lastRenderedPageBreak/>
              <w:t>18 months and 24 months</w:t>
            </w:r>
          </w:p>
        </w:tc>
        <w:tc>
          <w:tcPr>
            <w:tcW w:w="2797" w:type="dxa"/>
          </w:tcPr>
          <w:p w14:paraId="72228F88" w14:textId="77777777" w:rsidR="00620326" w:rsidRDefault="00620326" w:rsidP="00FD1491">
            <w:pPr>
              <w:spacing w:line="252" w:lineRule="exact"/>
            </w:pPr>
            <w:r w:rsidRPr="00BF49F9">
              <w:t xml:space="preserve">Autism Screening </w:t>
            </w:r>
          </w:p>
          <w:p w14:paraId="32E954D6" w14:textId="77777777" w:rsidR="00620326" w:rsidRPr="00BF49F9" w:rsidRDefault="00620326" w:rsidP="00FD1491">
            <w:pPr>
              <w:spacing w:line="252" w:lineRule="exact"/>
            </w:pPr>
          </w:p>
        </w:tc>
        <w:tc>
          <w:tcPr>
            <w:tcW w:w="1530" w:type="dxa"/>
          </w:tcPr>
          <w:p w14:paraId="3C68561B" w14:textId="77777777" w:rsidR="00620326" w:rsidRPr="00BF49F9" w:rsidRDefault="00620326" w:rsidP="00FD1491">
            <w:pPr>
              <w:spacing w:line="252" w:lineRule="exact"/>
            </w:pPr>
            <w:r w:rsidRPr="00BF49F9">
              <w:t>96110</w:t>
            </w:r>
          </w:p>
        </w:tc>
        <w:tc>
          <w:tcPr>
            <w:tcW w:w="3060" w:type="dxa"/>
          </w:tcPr>
          <w:p w14:paraId="09BC24C6" w14:textId="77777777" w:rsidR="00620326" w:rsidRPr="00BF49F9" w:rsidRDefault="00620326" w:rsidP="00FD1491">
            <w:pPr>
              <w:spacing w:line="252" w:lineRule="exact"/>
            </w:pPr>
            <w:r w:rsidRPr="00BF49F9">
              <w:t>U3 or U4</w:t>
            </w:r>
          </w:p>
        </w:tc>
      </w:tr>
      <w:tr w:rsidR="00620326" w:rsidRPr="00BF49F9" w14:paraId="044A8160" w14:textId="77777777" w:rsidTr="00CF4C85">
        <w:trPr>
          <w:trHeight w:val="658"/>
          <w:jc w:val="center"/>
        </w:trPr>
        <w:tc>
          <w:tcPr>
            <w:tcW w:w="1973" w:type="dxa"/>
          </w:tcPr>
          <w:p w14:paraId="2DD84C92" w14:textId="77777777" w:rsidR="00620326" w:rsidRPr="00BF49F9" w:rsidRDefault="00620326" w:rsidP="00FD1491">
            <w:pPr>
              <w:spacing w:line="252" w:lineRule="exact"/>
            </w:pPr>
            <w:r w:rsidRPr="00BF49F9">
              <w:t>4 years-</w:t>
            </w:r>
            <w:r>
              <w:t>21</w:t>
            </w:r>
            <w:r w:rsidRPr="00BF49F9">
              <w:t xml:space="preserve"> years</w:t>
            </w:r>
          </w:p>
        </w:tc>
        <w:tc>
          <w:tcPr>
            <w:tcW w:w="2797" w:type="dxa"/>
          </w:tcPr>
          <w:p w14:paraId="5DFE50E2" w14:textId="77777777" w:rsidR="00620326" w:rsidRDefault="00620326" w:rsidP="00FD1491">
            <w:pPr>
              <w:spacing w:line="252" w:lineRule="exact"/>
            </w:pPr>
            <w:r w:rsidRPr="00BF49F9">
              <w:t xml:space="preserve">Behavioral Health </w:t>
            </w:r>
          </w:p>
          <w:p w14:paraId="0071D1C3" w14:textId="77777777" w:rsidR="00620326" w:rsidRPr="00BF49F9" w:rsidRDefault="00620326" w:rsidP="00FD1491">
            <w:pPr>
              <w:spacing w:line="252" w:lineRule="exact"/>
            </w:pPr>
          </w:p>
        </w:tc>
        <w:tc>
          <w:tcPr>
            <w:tcW w:w="1530" w:type="dxa"/>
          </w:tcPr>
          <w:p w14:paraId="2988C948" w14:textId="77777777" w:rsidR="00620326" w:rsidRPr="00BF49F9" w:rsidRDefault="00620326" w:rsidP="00FD1491">
            <w:pPr>
              <w:spacing w:line="252" w:lineRule="exact"/>
            </w:pPr>
            <w:r w:rsidRPr="00BF49F9">
              <w:t>96127</w:t>
            </w:r>
          </w:p>
        </w:tc>
        <w:tc>
          <w:tcPr>
            <w:tcW w:w="3060" w:type="dxa"/>
          </w:tcPr>
          <w:p w14:paraId="7F9EA5C5" w14:textId="77777777" w:rsidR="00620326" w:rsidRPr="00BF49F9" w:rsidRDefault="00620326" w:rsidP="00FD1491">
            <w:pPr>
              <w:spacing w:line="252" w:lineRule="exact"/>
            </w:pPr>
            <w:r w:rsidRPr="00BF49F9">
              <w:t>U1 or U2</w:t>
            </w:r>
          </w:p>
        </w:tc>
      </w:tr>
    </w:tbl>
    <w:tbl>
      <w:tblPr>
        <w:tblStyle w:val="TableGrid"/>
        <w:tblpPr w:leftFromText="180" w:rightFromText="180" w:vertAnchor="text" w:horzAnchor="margin" w:tblpY="45"/>
        <w:tblW w:w="8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90"/>
        <w:gridCol w:w="2969"/>
      </w:tblGrid>
      <w:tr w:rsidR="00CF4C85" w14:paraId="710372A1" w14:textId="77777777" w:rsidTr="00FD1491">
        <w:trPr>
          <w:trHeight w:val="324"/>
        </w:trPr>
        <w:tc>
          <w:tcPr>
            <w:tcW w:w="3240" w:type="dxa"/>
          </w:tcPr>
          <w:p w14:paraId="2A2EE95B" w14:textId="77777777" w:rsidR="00CF4C85" w:rsidRPr="00B7153F" w:rsidRDefault="00CF4C85" w:rsidP="00CF4C85">
            <w:pPr>
              <w:spacing w:line="252" w:lineRule="exact"/>
              <w:rPr>
                <w:sz w:val="18"/>
                <w:szCs w:val="18"/>
              </w:rPr>
            </w:pPr>
            <w:bookmarkStart w:id="3" w:name="_Hlk104457822"/>
            <w:bookmarkEnd w:id="2"/>
            <w:r w:rsidRPr="00B7153F">
              <w:rPr>
                <w:sz w:val="18"/>
                <w:szCs w:val="18"/>
              </w:rPr>
              <w:t>U1 – No need identified</w:t>
            </w:r>
          </w:p>
        </w:tc>
        <w:tc>
          <w:tcPr>
            <w:tcW w:w="2790" w:type="dxa"/>
          </w:tcPr>
          <w:p w14:paraId="64BB2485" w14:textId="77777777" w:rsidR="00CF4C85" w:rsidRPr="00B7153F" w:rsidRDefault="00CF4C85" w:rsidP="00CF4C85">
            <w:pPr>
              <w:spacing w:line="252" w:lineRule="exact"/>
              <w:rPr>
                <w:sz w:val="18"/>
                <w:szCs w:val="18"/>
              </w:rPr>
            </w:pPr>
            <w:r w:rsidRPr="00B7153F">
              <w:rPr>
                <w:sz w:val="18"/>
                <w:szCs w:val="18"/>
              </w:rPr>
              <w:t>U2 – Need identified</w:t>
            </w:r>
          </w:p>
        </w:tc>
        <w:tc>
          <w:tcPr>
            <w:tcW w:w="2969" w:type="dxa"/>
          </w:tcPr>
          <w:p w14:paraId="7A74E1B2" w14:textId="77777777" w:rsidR="00CF4C85" w:rsidRPr="00B7153F" w:rsidRDefault="00CF4C85" w:rsidP="00CF4C85">
            <w:pPr>
              <w:spacing w:line="252" w:lineRule="exact"/>
              <w:rPr>
                <w:sz w:val="18"/>
                <w:szCs w:val="18"/>
              </w:rPr>
            </w:pPr>
          </w:p>
        </w:tc>
      </w:tr>
      <w:tr w:rsidR="00CF4C85" w14:paraId="343EE701" w14:textId="77777777" w:rsidTr="00FD1491">
        <w:trPr>
          <w:trHeight w:val="263"/>
        </w:trPr>
        <w:tc>
          <w:tcPr>
            <w:tcW w:w="3240" w:type="dxa"/>
          </w:tcPr>
          <w:p w14:paraId="2C518C31" w14:textId="77777777" w:rsidR="00CF4C85" w:rsidRPr="00B7153F" w:rsidRDefault="00CF4C85" w:rsidP="00CF4C85">
            <w:pPr>
              <w:spacing w:line="252" w:lineRule="exact"/>
              <w:rPr>
                <w:sz w:val="18"/>
                <w:szCs w:val="18"/>
              </w:rPr>
            </w:pPr>
            <w:r w:rsidRPr="00B7153F">
              <w:rPr>
                <w:sz w:val="18"/>
                <w:szCs w:val="18"/>
              </w:rPr>
              <w:t>U3 – No further follow up needed</w:t>
            </w:r>
          </w:p>
        </w:tc>
        <w:tc>
          <w:tcPr>
            <w:tcW w:w="2790" w:type="dxa"/>
          </w:tcPr>
          <w:p w14:paraId="4F7BF776" w14:textId="77777777" w:rsidR="00CF4C85" w:rsidRPr="00B7153F" w:rsidRDefault="00CF4C85" w:rsidP="00CF4C85">
            <w:pPr>
              <w:spacing w:line="252" w:lineRule="exact"/>
              <w:rPr>
                <w:sz w:val="18"/>
                <w:szCs w:val="18"/>
              </w:rPr>
            </w:pPr>
            <w:r w:rsidRPr="00B7153F">
              <w:rPr>
                <w:sz w:val="18"/>
                <w:szCs w:val="18"/>
              </w:rPr>
              <w:t>U4 – Further follow up needed</w:t>
            </w:r>
          </w:p>
        </w:tc>
        <w:tc>
          <w:tcPr>
            <w:tcW w:w="2969" w:type="dxa"/>
          </w:tcPr>
          <w:p w14:paraId="61D14487" w14:textId="77777777" w:rsidR="00CF4C85" w:rsidRPr="00B7153F" w:rsidRDefault="00CF4C85" w:rsidP="00CF4C85">
            <w:pPr>
              <w:spacing w:line="252" w:lineRule="exact"/>
              <w:rPr>
                <w:sz w:val="18"/>
                <w:szCs w:val="18"/>
              </w:rPr>
            </w:pPr>
          </w:p>
        </w:tc>
      </w:tr>
    </w:tbl>
    <w:p w14:paraId="5F7E724C" w14:textId="77777777" w:rsidR="00CF4C85" w:rsidRDefault="00CF4C85" w:rsidP="00CF4C85">
      <w:pPr>
        <w:spacing w:line="252" w:lineRule="exact"/>
        <w:ind w:left="90"/>
        <w:rPr>
          <w:sz w:val="18"/>
          <w:szCs w:val="18"/>
        </w:rPr>
      </w:pPr>
    </w:p>
    <w:p w14:paraId="6E57B05B" w14:textId="77777777" w:rsidR="00CF4C85" w:rsidRDefault="00CF4C85" w:rsidP="00CF4C85">
      <w:pPr>
        <w:spacing w:line="252" w:lineRule="exact"/>
        <w:ind w:left="90"/>
        <w:rPr>
          <w:sz w:val="18"/>
          <w:szCs w:val="18"/>
        </w:rPr>
      </w:pPr>
    </w:p>
    <w:p w14:paraId="6C30E3C8" w14:textId="3515803B" w:rsidR="00CF4C85" w:rsidRPr="00B7153F" w:rsidRDefault="00CF4C85" w:rsidP="006F5255">
      <w:pPr>
        <w:spacing w:line="252" w:lineRule="exact"/>
        <w:ind w:left="450"/>
        <w:rPr>
          <w:rFonts w:eastAsia="Arial" w:cs="Arial"/>
        </w:rPr>
      </w:pPr>
      <w:r>
        <w:rPr>
          <w:sz w:val="18"/>
          <w:szCs w:val="18"/>
        </w:rPr>
        <w:t>UD – Administration and scoring of Edinburgh Postnatal Depression Scale (EPDS)</w:t>
      </w:r>
    </w:p>
    <w:bookmarkEnd w:id="3"/>
    <w:p w14:paraId="5FE124B9" w14:textId="1186A47C" w:rsidR="00620326" w:rsidRPr="00BF49F9" w:rsidRDefault="00620326" w:rsidP="00002E0B">
      <w:pPr>
        <w:pStyle w:val="Heading2"/>
        <w:rPr>
          <w:rFonts w:eastAsia="Arial"/>
        </w:rPr>
      </w:pPr>
      <w:r w:rsidRPr="00BF49F9">
        <w:rPr>
          <w:rFonts w:eastAsia="Arial"/>
        </w:rPr>
        <w:t>Resources and Referrals</w:t>
      </w:r>
    </w:p>
    <w:p w14:paraId="5B4AC817" w14:textId="074B3360" w:rsidR="00620326" w:rsidRPr="00DB4D07" w:rsidRDefault="00620326" w:rsidP="00620326">
      <w:pPr>
        <w:spacing w:after="0" w:line="252" w:lineRule="exact"/>
        <w:rPr>
          <w:rFonts w:eastAsia="Arial" w:cs="Arial"/>
          <w:bCs/>
        </w:rPr>
      </w:pPr>
      <w:r>
        <w:rPr>
          <w:rFonts w:eastAsia="Arial" w:cs="Arial"/>
        </w:rPr>
        <w:t>According to Appendix W, Section I.1.B.iv, w</w:t>
      </w:r>
      <w:r w:rsidRPr="00B7153F">
        <w:rPr>
          <w:rFonts w:eastAsia="Arial" w:cs="Arial"/>
        </w:rPr>
        <w:t xml:space="preserve">hen developmental or behavioral needs are identified, </w:t>
      </w:r>
      <w:r>
        <w:rPr>
          <w:rFonts w:eastAsia="Arial" w:cs="Arial"/>
        </w:rPr>
        <w:t>providers</w:t>
      </w:r>
      <w:r w:rsidRPr="00B7153F">
        <w:rPr>
          <w:rFonts w:eastAsia="Arial" w:cs="Arial"/>
        </w:rPr>
        <w:t xml:space="preserve"> </w:t>
      </w:r>
      <w:r>
        <w:rPr>
          <w:rFonts w:eastAsia="Arial" w:cs="Arial"/>
        </w:rPr>
        <w:t>must</w:t>
      </w:r>
      <w:r w:rsidRPr="00B7153F">
        <w:rPr>
          <w:rFonts w:eastAsia="Arial" w:cs="Arial"/>
        </w:rPr>
        <w:t xml:space="preserve"> connect members to further assessment, diagnostic</w:t>
      </w:r>
      <w:r w:rsidR="00EC7F97">
        <w:rPr>
          <w:rFonts w:eastAsia="Arial" w:cs="Arial"/>
        </w:rPr>
        <w:t>,</w:t>
      </w:r>
      <w:r w:rsidRPr="00B7153F">
        <w:rPr>
          <w:rFonts w:eastAsia="Arial" w:cs="Arial"/>
        </w:rPr>
        <w:t xml:space="preserve"> and treatment services, as </w:t>
      </w:r>
      <w:r>
        <w:rPr>
          <w:rFonts w:eastAsia="Arial" w:cs="Arial"/>
        </w:rPr>
        <w:t xml:space="preserve">necessary. </w:t>
      </w:r>
    </w:p>
    <w:p w14:paraId="7605FB13" w14:textId="77777777" w:rsidR="00620326" w:rsidRPr="00D834A5" w:rsidRDefault="00620326" w:rsidP="00002E0B">
      <w:pPr>
        <w:pStyle w:val="Heading2"/>
        <w:rPr>
          <w:rFonts w:eastAsia="Georgia"/>
        </w:rPr>
      </w:pPr>
      <w:r w:rsidRPr="01520ECE">
        <w:rPr>
          <w:rFonts w:eastAsia="Georgia"/>
        </w:rPr>
        <w:t xml:space="preserve">MassHealth Website </w:t>
      </w:r>
    </w:p>
    <w:p w14:paraId="5E7E0841" w14:textId="77777777" w:rsidR="00620326" w:rsidRPr="00D834A5" w:rsidRDefault="00620326" w:rsidP="00620326">
      <w:pPr>
        <w:rPr>
          <w:rFonts w:eastAsia="Georgia" w:cs="Georgia"/>
          <w:color w:val="000000" w:themeColor="text1"/>
        </w:rPr>
      </w:pPr>
      <w:r w:rsidRPr="01520ECE">
        <w:rPr>
          <w:rFonts w:eastAsia="Georgia" w:cs="Georgia"/>
          <w:color w:val="000000" w:themeColor="text1"/>
        </w:rPr>
        <w:t xml:space="preserve">This bulletin is available on the MassHealth Provider Bulletins web page. </w:t>
      </w:r>
    </w:p>
    <w:p w14:paraId="3C004F65" w14:textId="77777777" w:rsidR="00EC7F97" w:rsidRPr="009901A7" w:rsidRDefault="008419FF" w:rsidP="00EC7F97">
      <w:hyperlink r:id="rId23" w:history="1">
        <w:r w:rsidR="00EC7F97" w:rsidRPr="006E336C">
          <w:rPr>
            <w:rStyle w:val="Hyperlink"/>
          </w:rPr>
          <w:t>Sign up</w:t>
        </w:r>
      </w:hyperlink>
      <w:r w:rsidR="00EC7F97" w:rsidRPr="009901A7">
        <w:t xml:space="preserve"> to receive email alerts when MassHealth issues new bulletins and transmittal letters.</w:t>
      </w:r>
    </w:p>
    <w:p w14:paraId="02798CBB" w14:textId="7608FBA7" w:rsidR="00620326" w:rsidRDefault="00620326" w:rsidP="00CF4C85">
      <w:pPr>
        <w:pStyle w:val="Heading2"/>
        <w:spacing w:after="100"/>
        <w:rPr>
          <w:rFonts w:eastAsia="Georgia"/>
        </w:rPr>
      </w:pPr>
      <w:r w:rsidRPr="01520ECE">
        <w:rPr>
          <w:rFonts w:eastAsia="Georgia"/>
        </w:rPr>
        <w:t xml:space="preserve">Questions </w:t>
      </w:r>
    </w:p>
    <w:p w14:paraId="33EE0694" w14:textId="77777777" w:rsidR="00253FA6" w:rsidRDefault="00253FA6" w:rsidP="00253FA6">
      <w:pPr>
        <w:pStyle w:val="Heading3"/>
      </w:pPr>
      <w:r>
        <w:t>Long-Term Services and Supports</w:t>
      </w:r>
    </w:p>
    <w:p w14:paraId="4D7F30F5" w14:textId="77777777" w:rsidR="00253FA6" w:rsidRDefault="00253FA6" w:rsidP="00253FA6">
      <w:pPr>
        <w:pStyle w:val="BodyTextIndent"/>
        <w:spacing w:before="0" w:after="0" w:afterAutospacing="0"/>
        <w:ind w:left="720"/>
      </w:pPr>
      <w:r>
        <w:t>Phone: (844) 368-5184 (toll free)</w:t>
      </w:r>
    </w:p>
    <w:p w14:paraId="23861500" w14:textId="77777777" w:rsidR="00253FA6" w:rsidRDefault="00253FA6" w:rsidP="00253FA6">
      <w:pPr>
        <w:pStyle w:val="BodyTextIndent"/>
        <w:spacing w:before="0" w:after="0" w:afterAutospacing="0"/>
        <w:ind w:left="720"/>
      </w:pPr>
      <w:r>
        <w:t>Email: support@masshealthltss.com</w:t>
      </w:r>
    </w:p>
    <w:p w14:paraId="69E06D5A" w14:textId="77777777" w:rsidR="00253FA6" w:rsidRDefault="00253FA6" w:rsidP="00253FA6">
      <w:pPr>
        <w:pStyle w:val="BodyTextIndent"/>
        <w:spacing w:before="0" w:after="0" w:afterAutospacing="0"/>
        <w:ind w:left="720"/>
      </w:pPr>
      <w:r>
        <w:t>Portal: MassHealthLTSS.com</w:t>
      </w:r>
    </w:p>
    <w:p w14:paraId="61CFF30E" w14:textId="77777777" w:rsidR="00253FA6" w:rsidRDefault="00253FA6" w:rsidP="00253FA6">
      <w:pPr>
        <w:pStyle w:val="BodyTextIndent"/>
        <w:spacing w:before="0" w:after="0" w:afterAutospacing="0"/>
        <w:ind w:left="720"/>
      </w:pPr>
      <w:r>
        <w:t>Mail: MassHealth LTSS, PO Box 159108, Boston, MA 02215</w:t>
      </w:r>
    </w:p>
    <w:p w14:paraId="01AC465E" w14:textId="77777777" w:rsidR="00253FA6" w:rsidRDefault="00253FA6" w:rsidP="00253FA6">
      <w:pPr>
        <w:pStyle w:val="BodyTextIndent"/>
        <w:spacing w:before="0" w:after="0" w:afterAutospacing="0"/>
        <w:ind w:left="720"/>
      </w:pPr>
      <w:r>
        <w:t>Fax: (888) 832-3006</w:t>
      </w:r>
    </w:p>
    <w:p w14:paraId="4914354D" w14:textId="77777777" w:rsidR="00253FA6" w:rsidRDefault="00253FA6" w:rsidP="00253FA6">
      <w:pPr>
        <w:pStyle w:val="Heading3"/>
      </w:pPr>
      <w:r>
        <w:t>All Other Provider Types</w:t>
      </w:r>
    </w:p>
    <w:p w14:paraId="274DAACF" w14:textId="77777777" w:rsidR="00253FA6" w:rsidRDefault="00253FA6" w:rsidP="00253FA6">
      <w:pPr>
        <w:pStyle w:val="BodyTextIndent"/>
        <w:spacing w:before="0" w:after="0" w:afterAutospacing="0"/>
        <w:ind w:left="720"/>
      </w:pPr>
      <w:r>
        <w:t>Phone: (800) 841-2900; TTY: (800) 497-4648</w:t>
      </w:r>
    </w:p>
    <w:p w14:paraId="699E9DE4" w14:textId="77777777" w:rsidR="00253FA6" w:rsidRDefault="00253FA6" w:rsidP="00253FA6">
      <w:pPr>
        <w:pStyle w:val="BodyTextIndent"/>
        <w:spacing w:before="0" w:after="0" w:afterAutospacing="0"/>
        <w:ind w:left="720"/>
      </w:pPr>
      <w:r>
        <w:t>Email: providersupport@mahealth.net</w:t>
      </w:r>
    </w:p>
    <w:p w14:paraId="051C13BE" w14:textId="77777777" w:rsidR="00253FA6" w:rsidRPr="00F664CC" w:rsidRDefault="00253FA6" w:rsidP="00253FA6">
      <w:pPr>
        <w:pStyle w:val="BodyTextIndent"/>
        <w:spacing w:before="0" w:after="0" w:afterAutospacing="0"/>
        <w:ind w:left="720"/>
      </w:pPr>
      <w:r>
        <w:t>Fax: (617) 988-8974</w:t>
      </w:r>
    </w:p>
    <w:p w14:paraId="212E0052" w14:textId="77777777" w:rsidR="00253FA6" w:rsidRPr="00F664CC" w:rsidRDefault="00253FA6" w:rsidP="00253FA6"/>
    <w:sectPr w:rsidR="00253FA6"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DE252" w14:textId="77777777" w:rsidR="008419FF" w:rsidRDefault="008419FF" w:rsidP="00E27CD8">
      <w:r>
        <w:separator/>
      </w:r>
    </w:p>
  </w:endnote>
  <w:endnote w:type="continuationSeparator" w:id="0">
    <w:p w14:paraId="5B088E3A" w14:textId="77777777" w:rsidR="008419FF" w:rsidRDefault="008419F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AA610" w14:textId="77777777" w:rsidR="00CC1E11" w:rsidRPr="00CC1E11" w:rsidRDefault="00CC1E11" w:rsidP="008B04CE">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BEA4A" w14:textId="77777777" w:rsidR="008419FF" w:rsidRDefault="008419FF" w:rsidP="00E27CD8">
      <w:r>
        <w:separator/>
      </w:r>
    </w:p>
  </w:footnote>
  <w:footnote w:type="continuationSeparator" w:id="0">
    <w:p w14:paraId="02863168" w14:textId="77777777" w:rsidR="008419FF" w:rsidRDefault="008419F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142F5" w14:textId="77777777" w:rsidR="00AD204A" w:rsidRPr="00F664CC" w:rsidRDefault="00AD204A" w:rsidP="003E2878">
    <w:pPr>
      <w:pStyle w:val="BullsHeading"/>
      <w:spacing w:before="720"/>
    </w:pPr>
    <w:r w:rsidRPr="00F664CC">
      <w:t>MassHealth</w:t>
    </w:r>
  </w:p>
  <w:p w14:paraId="5A62BA59" w14:textId="638985A1" w:rsidR="00AD204A" w:rsidRPr="00F664CC" w:rsidRDefault="00210498" w:rsidP="00AD204A">
    <w:pPr>
      <w:pStyle w:val="BullsHeading"/>
    </w:pPr>
    <w:r>
      <w:t>All Provider</w:t>
    </w:r>
    <w:r w:rsidR="00AD204A" w:rsidRPr="00F664CC">
      <w:t xml:space="preserve"> Bulletin </w:t>
    </w:r>
    <w:r w:rsidR="00155DE6">
      <w:t>348</w:t>
    </w:r>
  </w:p>
  <w:p w14:paraId="1893C03A" w14:textId="1279BE61" w:rsidR="00AD204A" w:rsidRDefault="00155DE6" w:rsidP="00AD204A">
    <w:pPr>
      <w:pStyle w:val="BullsHeading"/>
    </w:pPr>
    <w:r>
      <w:t>August</w:t>
    </w:r>
    <w:r w:rsidR="00210498">
      <w:t xml:space="preserve"> 2022</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E336C">
      <w:rPr>
        <w:noProof/>
      </w:rPr>
      <w:t>2</w:t>
    </w:r>
    <w:r>
      <w:fldChar w:fldCharType="end"/>
    </w:r>
    <w:r>
      <w:t xml:space="preserve"> of </w:t>
    </w:r>
    <w:r w:rsidR="008419FF">
      <w:fldChar w:fldCharType="begin"/>
    </w:r>
    <w:r w:rsidR="008419FF">
      <w:instrText xml:space="preserve"> NUMPAGES  \* Arabic  \* MERGEFORMAT </w:instrText>
    </w:r>
    <w:r w:rsidR="008419FF">
      <w:fldChar w:fldCharType="separate"/>
    </w:r>
    <w:r w:rsidR="006E336C">
      <w:rPr>
        <w:noProof/>
      </w:rPr>
      <w:t>2</w:t>
    </w:r>
    <w:r w:rsidR="008419F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78A21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3218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B029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0C3A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D002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883E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B234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2259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A886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E0F9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BF"/>
    <w:multiLevelType w:val="hybridMultilevel"/>
    <w:tmpl w:val="2EC6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CC0B6A"/>
    <w:multiLevelType w:val="hybridMultilevel"/>
    <w:tmpl w:val="2CD69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95E10"/>
    <w:multiLevelType w:val="hybridMultilevel"/>
    <w:tmpl w:val="7022514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2E0B"/>
    <w:rsid w:val="00003E28"/>
    <w:rsid w:val="000049D1"/>
    <w:rsid w:val="000D3DB5"/>
    <w:rsid w:val="0012433B"/>
    <w:rsid w:val="00150BCC"/>
    <w:rsid w:val="001554E7"/>
    <w:rsid w:val="00155DE6"/>
    <w:rsid w:val="001611A7"/>
    <w:rsid w:val="001634DD"/>
    <w:rsid w:val="002038A1"/>
    <w:rsid w:val="00210498"/>
    <w:rsid w:val="00221556"/>
    <w:rsid w:val="002501CF"/>
    <w:rsid w:val="00253FA6"/>
    <w:rsid w:val="0028720F"/>
    <w:rsid w:val="002D39D9"/>
    <w:rsid w:val="002F2993"/>
    <w:rsid w:val="003A7588"/>
    <w:rsid w:val="003D7215"/>
    <w:rsid w:val="003E2878"/>
    <w:rsid w:val="00404623"/>
    <w:rsid w:val="00452BC8"/>
    <w:rsid w:val="004A7718"/>
    <w:rsid w:val="004F4B9A"/>
    <w:rsid w:val="004F5FE4"/>
    <w:rsid w:val="005068BD"/>
    <w:rsid w:val="00507CFF"/>
    <w:rsid w:val="0058634E"/>
    <w:rsid w:val="0059142C"/>
    <w:rsid w:val="005B27F1"/>
    <w:rsid w:val="005D106B"/>
    <w:rsid w:val="005E4B62"/>
    <w:rsid w:val="005E561C"/>
    <w:rsid w:val="005F2B69"/>
    <w:rsid w:val="00620326"/>
    <w:rsid w:val="006633CC"/>
    <w:rsid w:val="006941BF"/>
    <w:rsid w:val="00696EA9"/>
    <w:rsid w:val="006C70F9"/>
    <w:rsid w:val="006D3F15"/>
    <w:rsid w:val="006E336C"/>
    <w:rsid w:val="006F18CB"/>
    <w:rsid w:val="006F5255"/>
    <w:rsid w:val="00706438"/>
    <w:rsid w:val="0072444F"/>
    <w:rsid w:val="00747C9B"/>
    <w:rsid w:val="00777A22"/>
    <w:rsid w:val="007851F8"/>
    <w:rsid w:val="00793A9E"/>
    <w:rsid w:val="00795E06"/>
    <w:rsid w:val="007F7DBF"/>
    <w:rsid w:val="008201CC"/>
    <w:rsid w:val="008419FF"/>
    <w:rsid w:val="00863041"/>
    <w:rsid w:val="00872303"/>
    <w:rsid w:val="00883DB3"/>
    <w:rsid w:val="008B04CE"/>
    <w:rsid w:val="008B6E51"/>
    <w:rsid w:val="008D60BB"/>
    <w:rsid w:val="009125B1"/>
    <w:rsid w:val="00914588"/>
    <w:rsid w:val="00922F04"/>
    <w:rsid w:val="009811A1"/>
    <w:rsid w:val="00982839"/>
    <w:rsid w:val="00A772C1"/>
    <w:rsid w:val="00A95FC1"/>
    <w:rsid w:val="00AA6085"/>
    <w:rsid w:val="00AD204A"/>
    <w:rsid w:val="00AD6899"/>
    <w:rsid w:val="00AE10D5"/>
    <w:rsid w:val="00B0461B"/>
    <w:rsid w:val="00B73653"/>
    <w:rsid w:val="00BC3755"/>
    <w:rsid w:val="00BD2DAF"/>
    <w:rsid w:val="00C024A2"/>
    <w:rsid w:val="00C40CB8"/>
    <w:rsid w:val="00CA1570"/>
    <w:rsid w:val="00CB3621"/>
    <w:rsid w:val="00CC1E11"/>
    <w:rsid w:val="00CD456D"/>
    <w:rsid w:val="00CF4C85"/>
    <w:rsid w:val="00D251FF"/>
    <w:rsid w:val="00D37F2E"/>
    <w:rsid w:val="00D91DE7"/>
    <w:rsid w:val="00E01D80"/>
    <w:rsid w:val="00E16E1C"/>
    <w:rsid w:val="00E27CD8"/>
    <w:rsid w:val="00E34DE6"/>
    <w:rsid w:val="00E443C5"/>
    <w:rsid w:val="00E9453A"/>
    <w:rsid w:val="00EC192F"/>
    <w:rsid w:val="00EC7F97"/>
    <w:rsid w:val="00ED15FA"/>
    <w:rsid w:val="00ED497C"/>
    <w:rsid w:val="00F05E1A"/>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620326"/>
    <w:pPr>
      <w:spacing w:before="0" w:after="200" w:afterAutospacing="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62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5E1A"/>
    <w:rPr>
      <w:sz w:val="16"/>
      <w:szCs w:val="16"/>
    </w:rPr>
  </w:style>
  <w:style w:type="paragraph" w:styleId="CommentText">
    <w:name w:val="annotation text"/>
    <w:basedOn w:val="Normal"/>
    <w:link w:val="CommentTextChar"/>
    <w:uiPriority w:val="99"/>
    <w:semiHidden/>
    <w:unhideWhenUsed/>
    <w:rsid w:val="00F05E1A"/>
    <w:rPr>
      <w:sz w:val="20"/>
      <w:szCs w:val="20"/>
    </w:rPr>
  </w:style>
  <w:style w:type="character" w:customStyle="1" w:styleId="CommentTextChar">
    <w:name w:val="Comment Text Char"/>
    <w:basedOn w:val="DefaultParagraphFont"/>
    <w:link w:val="CommentText"/>
    <w:uiPriority w:val="99"/>
    <w:semiHidden/>
    <w:rsid w:val="00F05E1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F05E1A"/>
    <w:rPr>
      <w:b/>
      <w:bCs/>
    </w:rPr>
  </w:style>
  <w:style w:type="character" w:customStyle="1" w:styleId="CommentSubjectChar">
    <w:name w:val="Comment Subject Char"/>
    <w:basedOn w:val="CommentTextChar"/>
    <w:link w:val="CommentSubject"/>
    <w:uiPriority w:val="99"/>
    <w:semiHidden/>
    <w:rsid w:val="00F05E1A"/>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7851F8"/>
    <w:rPr>
      <w:color w:val="800080" w:themeColor="followedHyperlink"/>
      <w:u w:val="single"/>
    </w:rPr>
  </w:style>
  <w:style w:type="character" w:styleId="UnresolvedMention">
    <w:name w:val="Unresolved Mention"/>
    <w:basedOn w:val="DefaultParagraphFont"/>
    <w:uiPriority w:val="99"/>
    <w:semiHidden/>
    <w:unhideWhenUsed/>
    <w:rsid w:val="00785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s://www.mass.gov/doc/all-provider-bulletin-301-impact-of-covid-19-on-behavioral-health-and-the-importance-of-0/download" TargetMode="External"/><Relationship Id="rId3" Type="http://schemas.openxmlformats.org/officeDocument/2006/relationships/settings" Target="settings.xml"/><Relationship Id="rId21" Type="http://schemas.openxmlformats.org/officeDocument/2006/relationships/hyperlink" Target="http://www.mcpapformoms.org/" TargetMode="External"/><Relationship Id="rId7" Type="http://schemas.openxmlformats.org/officeDocument/2006/relationships/image" Target="media/image1.png"/><Relationship Id="rId12" Type="http://schemas.openxmlformats.org/officeDocument/2006/relationships/hyperlink" Target="https://www.mass.gov/lists/masshealth-provider-bulletins-by-provider-type-a-c" TargetMode="External"/><Relationship Id="rId17" Type="http://schemas.openxmlformats.org/officeDocument/2006/relationships/hyperlink" Target="http://www.mabhacces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ass.gov/service-details/cbhi-brochures-and-companion-guide" TargetMode="External"/><Relationship Id="rId20" Type="http://schemas.openxmlformats.org/officeDocument/2006/relationships/hyperlink" Target="https://www.mcpapformom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tions.aap.org/toolkits/resources/1562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cpap.com/" TargetMode="External"/><Relationship Id="rId23" Type="http://schemas.openxmlformats.org/officeDocument/2006/relationships/hyperlink" Target="https://www.mass.gov/forms/email-notifications-for-masshealth-provider-bulletins-and-transmittal-letters" TargetMode="External"/><Relationship Id="rId10" Type="http://schemas.openxmlformats.org/officeDocument/2006/relationships/footer" Target="footer1.xml"/><Relationship Id="rId19" Type="http://schemas.openxmlformats.org/officeDocument/2006/relationships/hyperlink" Target="https://www.mass.gov/service-details/postpartum-depression-resources-for-healthcare-provider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lists/masshealth-provider-bulletins-by-provider-type-i-n" TargetMode="External"/><Relationship Id="rId22" Type="http://schemas.openxmlformats.org/officeDocument/2006/relationships/hyperlink" Target="http://www.postpartum.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4</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Gambarini, Jacqueline (EHS)</cp:lastModifiedBy>
  <cp:revision>3</cp:revision>
  <dcterms:created xsi:type="dcterms:W3CDTF">2022-08-19T16:29:00Z</dcterms:created>
  <dcterms:modified xsi:type="dcterms:W3CDTF">2022-08-19T16:51:00Z</dcterms:modified>
</cp:coreProperties>
</file>