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0631AB" w14:textId="5E8DEFC5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488973" wp14:editId="2D69704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4FC9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3084AEEF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8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315F4FC9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3084AEEF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026EF13E" wp14:editId="75298CF2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72AC72F1" w14:textId="7828BF5A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5CC27146" w14:textId="2629711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A806FA9" w14:textId="011A6EEF" w:rsidR="006D3F15" w:rsidRPr="00777A22" w:rsidRDefault="00FE26BD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12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1C486915" w14:textId="39F63870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2530944B" w14:textId="35A23F7C" w:rsidR="0071623A" w:rsidRDefault="00694FCE" w:rsidP="005B27F1">
      <w:pPr>
        <w:pStyle w:val="Heading1"/>
      </w:pPr>
      <w:r>
        <w:t>All Provider</w:t>
      </w:r>
      <w:r w:rsidR="00F664CC" w:rsidRPr="005B27F1">
        <w:t xml:space="preserve"> Bulletin</w:t>
      </w:r>
      <w:r w:rsidR="00EA18E2">
        <w:t xml:space="preserve"> 353</w:t>
      </w:r>
    </w:p>
    <w:p w14:paraId="20F4176F" w14:textId="6D8E2C2A" w:rsidR="00F664CC" w:rsidRPr="005B27F1" w:rsidRDefault="00AF5B8F" w:rsidP="005B27F1">
      <w:pPr>
        <w:pStyle w:val="Heading1"/>
      </w:pPr>
      <w:r>
        <w:t xml:space="preserve">September </w:t>
      </w:r>
      <w:r w:rsidR="0071623A">
        <w:t>2022</w:t>
      </w:r>
      <w:r w:rsidR="00F664CC" w:rsidRPr="005B27F1">
        <w:t xml:space="preserve"> </w:t>
      </w:r>
    </w:p>
    <w:p w14:paraId="0E1DCE1F" w14:textId="77777777" w:rsidR="00F664CC" w:rsidRDefault="00F664CC" w:rsidP="00E27CD8"/>
    <w:p w14:paraId="28792EAA" w14:textId="77777777" w:rsidR="00F664CC" w:rsidRDefault="00F664CC" w:rsidP="00E27CD8">
      <w:pPr>
        <w:sectPr w:rsidR="00F664CC" w:rsidSect="0059142C">
          <w:headerReference w:type="default" r:id="rId13"/>
          <w:footerReference w:type="default" r:id="rId14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4BFFFA76" w14:textId="2FBA91D3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694FCE">
        <w:t>All Providers</w:t>
      </w:r>
      <w:r w:rsidRPr="00F664CC">
        <w:t xml:space="preserve"> Participating in MassHealth</w:t>
      </w:r>
    </w:p>
    <w:p w14:paraId="36385E61" w14:textId="692A7F4B" w:rsidR="00F664CC" w:rsidRPr="00F664CC" w:rsidRDefault="00F664CC" w:rsidP="004741C3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1611A7">
        <w:t>Amanda Cassel Kraft</w:t>
      </w:r>
      <w:r w:rsidR="00AA6085">
        <w:t>, Assistant Secretary for MassHealth</w:t>
      </w:r>
      <w:r w:rsidR="004741C3">
        <w:t xml:space="preserve"> </w:t>
      </w:r>
      <w:r w:rsidR="00374787">
        <w:t>[signature of Amanda Cassel Kraft</w:t>
      </w:r>
    </w:p>
    <w:p w14:paraId="2B897D17" w14:textId="3737B165" w:rsidR="00F664CC" w:rsidRPr="00F664CC" w:rsidRDefault="00F664CC" w:rsidP="0073577E">
      <w:pPr>
        <w:pStyle w:val="SubjectLine"/>
        <w:ind w:left="1440" w:hanging="1080"/>
      </w:pPr>
      <w:r w:rsidRPr="00F664CC">
        <w:t>RE:</w:t>
      </w:r>
      <w:r w:rsidR="00BD2DAF">
        <w:tab/>
      </w:r>
      <w:r w:rsidR="00694FCE" w:rsidRPr="00694FCE">
        <w:t xml:space="preserve">Coverage and Reimbursement Policy </w:t>
      </w:r>
      <w:r w:rsidR="007F35A5">
        <w:t>for V</w:t>
      </w:r>
      <w:r w:rsidR="00B776DE">
        <w:t xml:space="preserve">accines and </w:t>
      </w:r>
      <w:r w:rsidR="007F35A5">
        <w:t>T</w:t>
      </w:r>
      <w:r w:rsidR="00B776DE">
        <w:t>esting</w:t>
      </w:r>
      <w:r w:rsidR="007F35A5">
        <w:t xml:space="preserve"> for M</w:t>
      </w:r>
      <w:r w:rsidR="00B776DE">
        <w:t>onkeypox</w:t>
      </w:r>
    </w:p>
    <w:p w14:paraId="5490AAA1" w14:textId="6ABAC6EE" w:rsidR="00F664CC" w:rsidRPr="005B27F1" w:rsidRDefault="00694FCE" w:rsidP="00E27CD8">
      <w:pPr>
        <w:pStyle w:val="Heading2"/>
      </w:pPr>
      <w:r>
        <w:t>Background</w:t>
      </w:r>
      <w:r w:rsidR="001554E7" w:rsidRPr="005B27F1">
        <w:t xml:space="preserve"> </w:t>
      </w:r>
    </w:p>
    <w:p w14:paraId="44E54E33" w14:textId="47C6D95B" w:rsidR="000132EF" w:rsidRPr="000132EF" w:rsidRDefault="00043699" w:rsidP="000132EF">
      <w:r>
        <w:t xml:space="preserve">This bulletin </w:t>
      </w:r>
      <w:r w:rsidR="00A6047C">
        <w:t xml:space="preserve">provides information </w:t>
      </w:r>
      <w:r w:rsidR="00B34960">
        <w:t xml:space="preserve">about </w:t>
      </w:r>
      <w:r w:rsidR="00737B0C">
        <w:t>MassHealth coverage for</w:t>
      </w:r>
      <w:r w:rsidR="00AF5B8F">
        <w:t xml:space="preserve"> </w:t>
      </w:r>
      <w:r w:rsidR="00737B0C">
        <w:t>monkeypox virus</w:t>
      </w:r>
      <w:r w:rsidR="00C25AFF">
        <w:t xml:space="preserve"> vaccines</w:t>
      </w:r>
      <w:r w:rsidR="00AF5B8F">
        <w:t xml:space="preserve"> and testing. </w:t>
      </w:r>
      <w:r w:rsidR="006B49EE">
        <w:t xml:space="preserve">It </w:t>
      </w:r>
      <w:r w:rsidR="0071623A">
        <w:t xml:space="preserve">applies to members enrolled in MassHealth fee-for-service, the Primary Care Clinician (PCC) </w:t>
      </w:r>
      <w:r w:rsidR="00EC35BD">
        <w:t>P</w:t>
      </w:r>
      <w:r w:rsidR="0071623A">
        <w:t>lan, Primary Care ACOs (PCACOs)</w:t>
      </w:r>
      <w:r w:rsidR="00636220">
        <w:t xml:space="preserve">, and </w:t>
      </w:r>
      <w:r w:rsidR="000F10D4">
        <w:t xml:space="preserve">the </w:t>
      </w:r>
      <w:r w:rsidR="00636220" w:rsidRPr="00C04000">
        <w:t>Children’s Medical Security Plan (CMSP)</w:t>
      </w:r>
      <w:r w:rsidR="000132EF">
        <w:t xml:space="preserve">, as well as patients of the Health Safety Net. </w:t>
      </w:r>
      <w:r w:rsidR="00181C9F">
        <w:t>Information about coverage through other MassHealth managed care entities (MCEs) and the Program for All-inclusive Care for the Elderly (PACE) will be included in a forthcoming MCE bulletin.</w:t>
      </w:r>
    </w:p>
    <w:p w14:paraId="11C8CD8D" w14:textId="44658A9F" w:rsidR="00C25AFF" w:rsidRDefault="00C25AFF" w:rsidP="00081FDC">
      <w:pPr>
        <w:pStyle w:val="Heading2"/>
      </w:pPr>
      <w:r>
        <w:t xml:space="preserve">Billing for Monkeypox </w:t>
      </w:r>
      <w:r w:rsidR="00A6047C">
        <w:t>Virus T</w:t>
      </w:r>
      <w:r>
        <w:t xml:space="preserve">esting and </w:t>
      </w:r>
      <w:r w:rsidR="00A6047C">
        <w:t>V</w:t>
      </w:r>
      <w:r>
        <w:t>accination</w:t>
      </w:r>
    </w:p>
    <w:p w14:paraId="7FA0DA1B" w14:textId="328D5918" w:rsidR="0046463C" w:rsidRDefault="00CC0830" w:rsidP="0046463C">
      <w:bookmarkStart w:id="0" w:name="_Hlk111126041"/>
      <w:r>
        <w:t>T</w:t>
      </w:r>
      <w:r w:rsidR="005056B0">
        <w:t>he Current Procedural Terminology (CPT</w:t>
      </w:r>
      <w:r w:rsidR="005056B0" w:rsidRPr="000A1700">
        <w:rPr>
          <w:vertAlign w:val="superscript"/>
        </w:rPr>
        <w:t>®</w:t>
      </w:r>
      <w:r w:rsidR="005056B0">
        <w:t xml:space="preserve">) Editorial Panel approved three new codes specific to monkeypox. The </w:t>
      </w:r>
      <w:r>
        <w:t xml:space="preserve">panel </w:t>
      </w:r>
      <w:r w:rsidR="005056B0">
        <w:t xml:space="preserve">approved one code </w:t>
      </w:r>
      <w:r w:rsidR="005056B0" w:rsidRPr="000A1700">
        <w:t>(87593)</w:t>
      </w:r>
      <w:r w:rsidR="005056B0">
        <w:t xml:space="preserve"> to report the laboratory diagnostic testing for the orthopoxvirus and two new vaccine product codes </w:t>
      </w:r>
      <w:r w:rsidR="005056B0" w:rsidRPr="000A1700">
        <w:t>(90611, 90622)</w:t>
      </w:r>
      <w:r w:rsidR="005056B0">
        <w:t xml:space="preserve"> for the smallpox and monkeypox combined vaccine (JYNNEOS) and the traditional smallpox vaccine (ACAM2000), respectively.  MassHealth will cover these codes</w:t>
      </w:r>
      <w:r w:rsidR="0046463C">
        <w:t xml:space="preserve"> for services provided by eligible providers </w:t>
      </w:r>
      <w:r w:rsidR="005056B0" w:rsidRPr="00872AE1">
        <w:t>effective July 2</w:t>
      </w:r>
      <w:r w:rsidR="008B2BCA" w:rsidRPr="00872AE1">
        <w:t>6</w:t>
      </w:r>
      <w:r w:rsidR="005056B0" w:rsidRPr="00872AE1">
        <w:t>, 2022</w:t>
      </w:r>
      <w:r w:rsidR="00A6047C" w:rsidRPr="00872AE1">
        <w:t xml:space="preserve">, at the prices described </w:t>
      </w:r>
      <w:r w:rsidR="00EC35BD" w:rsidRPr="00872AE1">
        <w:t>in the table that follows</w:t>
      </w:r>
      <w:r w:rsidR="006167AE" w:rsidRPr="00872AE1">
        <w:t xml:space="preserve">. </w:t>
      </w:r>
      <w:r w:rsidR="00AF5B8F">
        <w:t xml:space="preserve">Monkeypox vaccines are currently distributed to providers </w:t>
      </w:r>
      <w:r w:rsidR="008C3AB5" w:rsidRPr="00872AE1">
        <w:t xml:space="preserve">free-of-charge, </w:t>
      </w:r>
      <w:r w:rsidR="00AF5B8F">
        <w:t xml:space="preserve">so </w:t>
      </w:r>
      <w:r w:rsidR="008C3AB5" w:rsidRPr="00872AE1">
        <w:t xml:space="preserve">provider should </w:t>
      </w:r>
      <w:r w:rsidR="00AF5B8F">
        <w:t>use</w:t>
      </w:r>
      <w:r w:rsidR="008C3AB5" w:rsidRPr="00872AE1">
        <w:t xml:space="preserve"> codes </w:t>
      </w:r>
      <w:r w:rsidR="008C3AB5" w:rsidRPr="000132EF">
        <w:t>90611 SL and 90622 SL.</w:t>
      </w:r>
      <w:r w:rsidR="008C3AB5">
        <w:rPr>
          <w:rFonts w:ascii="Times New Roman" w:hAnsi="Times New Roman"/>
        </w:rPr>
        <w:t xml:space="preserve">  </w:t>
      </w:r>
    </w:p>
    <w:bookmarkEnd w:id="0"/>
    <w:p w14:paraId="7B94832C" w14:textId="38B25311" w:rsidR="00CC0830" w:rsidRDefault="00F4137B" w:rsidP="00CC0830">
      <w:r>
        <w:t xml:space="preserve">EOHHS </w:t>
      </w:r>
      <w:r w:rsidR="00CC0830">
        <w:t xml:space="preserve">will formally establish </w:t>
      </w:r>
      <w:r w:rsidR="0046463C">
        <w:t>rates</w:t>
      </w:r>
      <w:r w:rsidR="00CC0830">
        <w:t xml:space="preserve"> for th</w:t>
      </w:r>
      <w:r>
        <w:t>ese</w:t>
      </w:r>
      <w:r w:rsidR="00CC0830">
        <w:t xml:space="preserve"> codes, consistent with existing testing or vaccine administration rates, through administrative bulletins or amendments to relevant pricing regulations</w:t>
      </w:r>
      <w:r w:rsidR="00EC35BD">
        <w:t>, and</w:t>
      </w:r>
      <w:r w:rsidR="001901BD">
        <w:t xml:space="preserve"> </w:t>
      </w:r>
      <w:r w:rsidR="0046463C">
        <w:t>MassHealth will issue transmittal letters that formally add the</w:t>
      </w:r>
      <w:r w:rsidR="00EC35BD">
        <w:t xml:space="preserve">se </w:t>
      </w:r>
      <w:proofErr w:type="gramStart"/>
      <w:r w:rsidR="00EC35BD">
        <w:t>codes</w:t>
      </w:r>
      <w:r w:rsidR="0046463C">
        <w:t xml:space="preserve">  to</w:t>
      </w:r>
      <w:proofErr w:type="gramEnd"/>
      <w:r w:rsidR="0046463C">
        <w:t xml:space="preserve"> the relevant provider manuals. </w:t>
      </w:r>
    </w:p>
    <w:p w14:paraId="00C40CF0" w14:textId="7C30F2BB" w:rsidR="00CC0830" w:rsidRDefault="00CC0830">
      <w:pPr>
        <w:spacing w:after="0" w:afterAutospacing="0"/>
      </w:pPr>
    </w:p>
    <w:tbl>
      <w:tblPr>
        <w:tblW w:w="10320" w:type="dxa"/>
        <w:tblInd w:w="240" w:type="dxa"/>
        <w:tblBorders>
          <w:top w:val="single" w:sz="6" w:space="0" w:color="5B616B"/>
          <w:left w:val="single" w:sz="6" w:space="0" w:color="5B616B"/>
          <w:bottom w:val="single" w:sz="6" w:space="0" w:color="5B616B"/>
          <w:right w:val="single" w:sz="6" w:space="0" w:color="5B616B"/>
          <w:insideH w:val="single" w:sz="6" w:space="0" w:color="5B616B"/>
          <w:insideV w:val="single" w:sz="6" w:space="0" w:color="5B616B"/>
        </w:tblBorders>
        <w:shd w:val="clear" w:color="auto" w:fill="FFFFFF"/>
        <w:tblLook w:val="04A0" w:firstRow="1" w:lastRow="0" w:firstColumn="1" w:lastColumn="0" w:noHBand="0" w:noVBand="1"/>
      </w:tblPr>
      <w:tblGrid>
        <w:gridCol w:w="1449"/>
        <w:gridCol w:w="4385"/>
        <w:gridCol w:w="2006"/>
        <w:gridCol w:w="2480"/>
      </w:tblGrid>
      <w:tr w:rsidR="00CC0830" w14:paraId="687FDFFF" w14:textId="77777777" w:rsidTr="000132EF">
        <w:trPr>
          <w:trHeight w:val="474"/>
          <w:tblHeader/>
        </w:trPr>
        <w:tc>
          <w:tcPr>
            <w:tcW w:w="144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B8CCE4" w:themeFill="accent1" w:themeFillTint="66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025DC01" w14:textId="77777777" w:rsidR="00CC0830" w:rsidRPr="000132EF" w:rsidRDefault="00CC0830">
            <w:pPr>
              <w:keepNext/>
              <w:spacing w:before="0" w:afterAutospacing="0" w:line="276" w:lineRule="auto"/>
              <w:ind w:left="0"/>
              <w:rPr>
                <w:b/>
                <w:bCs/>
              </w:rPr>
            </w:pPr>
            <w:r w:rsidRPr="000132EF">
              <w:rPr>
                <w:b/>
                <w:bCs/>
              </w:rPr>
              <w:t>Code</w:t>
            </w:r>
          </w:p>
        </w:tc>
        <w:tc>
          <w:tcPr>
            <w:tcW w:w="4385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B8CCE4" w:themeFill="accent1" w:themeFillTint="66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775C9AA" w14:textId="7FC9102B" w:rsidR="00CC0830" w:rsidRPr="000132EF" w:rsidRDefault="00CC0830">
            <w:pPr>
              <w:keepNext/>
              <w:spacing w:before="0" w:afterAutospacing="0" w:line="276" w:lineRule="auto"/>
              <w:ind w:left="0"/>
              <w:rPr>
                <w:b/>
                <w:bCs/>
              </w:rPr>
            </w:pPr>
            <w:r w:rsidRPr="000132EF">
              <w:rPr>
                <w:b/>
                <w:bCs/>
              </w:rPr>
              <w:t>Description</w:t>
            </w:r>
          </w:p>
        </w:tc>
        <w:tc>
          <w:tcPr>
            <w:tcW w:w="2006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B8CCE4" w:themeFill="accent1" w:themeFillTint="66"/>
            <w:hideMark/>
          </w:tcPr>
          <w:p w14:paraId="2E3EF7C8" w14:textId="73EF55B2" w:rsidR="00CC0830" w:rsidRPr="000132EF" w:rsidRDefault="00CC0830">
            <w:pPr>
              <w:keepNext/>
              <w:spacing w:before="0" w:afterAutospacing="0" w:line="276" w:lineRule="auto"/>
              <w:ind w:left="0"/>
              <w:rPr>
                <w:b/>
                <w:bCs/>
              </w:rPr>
            </w:pPr>
            <w:r w:rsidRPr="000132EF">
              <w:rPr>
                <w:b/>
                <w:bCs/>
              </w:rPr>
              <w:t>Rate</w:t>
            </w:r>
          </w:p>
        </w:tc>
        <w:tc>
          <w:tcPr>
            <w:tcW w:w="248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B8CCE4" w:themeFill="accent1" w:themeFillTint="66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0B485DA" w14:textId="77777777" w:rsidR="00CC0830" w:rsidRPr="000132EF" w:rsidRDefault="00CC0830">
            <w:pPr>
              <w:keepNext/>
              <w:spacing w:before="0" w:afterAutospacing="0" w:line="276" w:lineRule="auto"/>
              <w:ind w:left="0"/>
              <w:rPr>
                <w:b/>
                <w:bCs/>
              </w:rPr>
            </w:pPr>
            <w:r w:rsidRPr="000132EF">
              <w:rPr>
                <w:b/>
                <w:bCs/>
              </w:rPr>
              <w:t xml:space="preserve">Effective Date </w:t>
            </w:r>
          </w:p>
        </w:tc>
      </w:tr>
      <w:tr w:rsidR="00CC0830" w14:paraId="2A1C8AF9" w14:textId="77777777" w:rsidTr="000132EF">
        <w:tc>
          <w:tcPr>
            <w:tcW w:w="144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CB753D1" w14:textId="39D23B3C" w:rsidR="00CC0830" w:rsidRPr="000132EF" w:rsidRDefault="00CC0830" w:rsidP="00B46257">
            <w:pPr>
              <w:spacing w:before="0" w:after="0" w:line="276" w:lineRule="auto"/>
              <w:ind w:left="0"/>
            </w:pPr>
            <w:r w:rsidRPr="000132EF">
              <w:t>87593</w:t>
            </w:r>
          </w:p>
        </w:tc>
        <w:tc>
          <w:tcPr>
            <w:tcW w:w="4385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01768DE" w14:textId="0CF1CBE4" w:rsidR="00CC0830" w:rsidRPr="000132EF" w:rsidRDefault="00CC0830" w:rsidP="00B46257">
            <w:pPr>
              <w:spacing w:before="0" w:after="0" w:line="276" w:lineRule="auto"/>
              <w:ind w:left="0"/>
            </w:pPr>
            <w:r w:rsidRPr="000132EF">
              <w:t>Infectious agent detection by nucleic acid (DNA or RNA); orthopoxvirus (e.g., monkeypox virus, cowpox virus, vaccinia virus), amplified probe technique, each</w:t>
            </w:r>
          </w:p>
        </w:tc>
        <w:tc>
          <w:tcPr>
            <w:tcW w:w="2006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</w:tcPr>
          <w:p w14:paraId="17A50241" w14:textId="627FB75A" w:rsidR="00CC0830" w:rsidRPr="000132EF" w:rsidRDefault="00CC0830" w:rsidP="00B46257">
            <w:pPr>
              <w:spacing w:before="0" w:after="0" w:line="276" w:lineRule="auto"/>
              <w:ind w:left="0"/>
            </w:pPr>
            <w:r w:rsidRPr="000132EF">
              <w:t>$30.95</w:t>
            </w:r>
          </w:p>
        </w:tc>
        <w:tc>
          <w:tcPr>
            <w:tcW w:w="248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0543907" w14:textId="2BB17750" w:rsidR="00CC0830" w:rsidRPr="000132EF" w:rsidRDefault="00CC0830" w:rsidP="00B46257">
            <w:pPr>
              <w:spacing w:before="0" w:after="0" w:line="276" w:lineRule="auto"/>
              <w:ind w:left="0"/>
            </w:pPr>
            <w:r w:rsidRPr="000132EF">
              <w:t>07/26/2022</w:t>
            </w:r>
          </w:p>
        </w:tc>
      </w:tr>
      <w:tr w:rsidR="00081FDC" w14:paraId="1532BA91" w14:textId="77777777" w:rsidTr="000132EF">
        <w:tc>
          <w:tcPr>
            <w:tcW w:w="144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E3D457C" w14:textId="4C124D88" w:rsidR="00081FDC" w:rsidRPr="000132EF" w:rsidRDefault="00081FDC" w:rsidP="00081FDC">
            <w:pPr>
              <w:spacing w:before="0" w:after="0" w:line="276" w:lineRule="auto"/>
              <w:ind w:left="0"/>
            </w:pPr>
            <w:r w:rsidRPr="000132EF">
              <w:lastRenderedPageBreak/>
              <w:t>90611 SL</w:t>
            </w:r>
          </w:p>
        </w:tc>
        <w:tc>
          <w:tcPr>
            <w:tcW w:w="4385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3F9F96AA" w14:textId="1BB6E4AA" w:rsidR="00081FDC" w:rsidRPr="000132EF" w:rsidRDefault="00081FDC" w:rsidP="00081FDC">
            <w:pPr>
              <w:spacing w:before="0" w:after="0" w:line="276" w:lineRule="auto"/>
              <w:ind w:left="0"/>
            </w:pPr>
            <w:r w:rsidRPr="000132EF">
              <w:t>Smallpox and monkeypox vaccine, attenuated vaccinia virus, live, non-replicating, preservative free, 0.5 mL dosage, suspension, for subcutaneous use</w:t>
            </w:r>
          </w:p>
        </w:tc>
        <w:tc>
          <w:tcPr>
            <w:tcW w:w="2006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</w:tcPr>
          <w:p w14:paraId="6863D1E5" w14:textId="2CA18FD8" w:rsidR="00081FDC" w:rsidRPr="000132EF" w:rsidRDefault="00081FDC" w:rsidP="00081FDC">
            <w:pPr>
              <w:spacing w:before="0" w:after="0" w:line="276" w:lineRule="auto"/>
              <w:ind w:left="0"/>
            </w:pPr>
            <w:r w:rsidRPr="000132EF">
              <w:t>$0.00</w:t>
            </w:r>
          </w:p>
        </w:tc>
        <w:tc>
          <w:tcPr>
            <w:tcW w:w="248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58782BBC" w14:textId="0BD09B75" w:rsidR="00081FDC" w:rsidRPr="000132EF" w:rsidRDefault="00081FDC" w:rsidP="00081FDC">
            <w:pPr>
              <w:spacing w:before="0" w:after="0" w:line="276" w:lineRule="auto"/>
              <w:ind w:left="0"/>
            </w:pPr>
            <w:r w:rsidRPr="000132EF">
              <w:t>07/26/2022</w:t>
            </w:r>
          </w:p>
        </w:tc>
      </w:tr>
      <w:tr w:rsidR="00081FDC" w:rsidRPr="00081FDC" w14:paraId="41B9CD12" w14:textId="77777777" w:rsidTr="000132EF">
        <w:tc>
          <w:tcPr>
            <w:tcW w:w="1449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46A956B1" w14:textId="57900EFB" w:rsidR="00081FDC" w:rsidRPr="000132EF" w:rsidRDefault="00081FDC" w:rsidP="00081FDC">
            <w:pPr>
              <w:spacing w:before="0" w:after="0" w:line="276" w:lineRule="auto"/>
              <w:ind w:left="0"/>
            </w:pPr>
            <w:r w:rsidRPr="000132EF">
              <w:t>90622 SL</w:t>
            </w:r>
          </w:p>
        </w:tc>
        <w:tc>
          <w:tcPr>
            <w:tcW w:w="4385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696F905A" w14:textId="05EF4A6D" w:rsidR="00081FDC" w:rsidRPr="000132EF" w:rsidRDefault="00081FDC" w:rsidP="00081FDC">
            <w:pPr>
              <w:spacing w:before="0" w:after="0" w:line="276" w:lineRule="auto"/>
              <w:ind w:left="0"/>
            </w:pPr>
            <w:r w:rsidRPr="000132EF">
              <w:t>Vaccinia (smallpox) virus vaccine, live, lyophilized, 0.3 mL dosage, for percutaneous use</w:t>
            </w:r>
          </w:p>
        </w:tc>
        <w:tc>
          <w:tcPr>
            <w:tcW w:w="2006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</w:tcPr>
          <w:p w14:paraId="7801B48B" w14:textId="47B6A43F" w:rsidR="00081FDC" w:rsidRPr="000132EF" w:rsidRDefault="00081FDC" w:rsidP="00081FDC">
            <w:pPr>
              <w:spacing w:before="0" w:after="0" w:line="276" w:lineRule="auto"/>
              <w:ind w:left="0"/>
            </w:pPr>
            <w:r w:rsidRPr="000132EF">
              <w:t>$0.00</w:t>
            </w:r>
          </w:p>
        </w:tc>
        <w:tc>
          <w:tcPr>
            <w:tcW w:w="2480" w:type="dxa"/>
            <w:tcBorders>
              <w:top w:val="single" w:sz="6" w:space="0" w:color="5B616B"/>
              <w:left w:val="single" w:sz="6" w:space="0" w:color="5B616B"/>
              <w:bottom w:val="single" w:sz="6" w:space="0" w:color="5B616B"/>
              <w:right w:val="single" w:sz="6" w:space="0" w:color="5B616B"/>
            </w:tcBorders>
            <w:shd w:val="clear" w:color="auto" w:fill="FFFFFF"/>
            <w:tcMar>
              <w:top w:w="240" w:type="dxa"/>
              <w:left w:w="240" w:type="dxa"/>
              <w:bottom w:w="240" w:type="dxa"/>
              <w:right w:w="240" w:type="dxa"/>
            </w:tcMar>
          </w:tcPr>
          <w:p w14:paraId="74782F41" w14:textId="415A7D1D" w:rsidR="00081FDC" w:rsidRPr="000132EF" w:rsidRDefault="00081FDC" w:rsidP="00081FDC">
            <w:pPr>
              <w:spacing w:before="0" w:after="0" w:line="276" w:lineRule="auto"/>
              <w:ind w:left="0"/>
            </w:pPr>
            <w:r w:rsidRPr="000132EF">
              <w:t>07/26/2022</w:t>
            </w:r>
          </w:p>
        </w:tc>
      </w:tr>
    </w:tbl>
    <w:p w14:paraId="4CA04C4F" w14:textId="6F365B72" w:rsidR="000132EF" w:rsidRDefault="00AD2363" w:rsidP="000132EF">
      <w:pPr>
        <w:spacing w:before="240" w:after="0" w:afterAutospacing="0"/>
      </w:pPr>
      <w:r>
        <w:t>Notwithstanding</w:t>
      </w:r>
      <w:r w:rsidR="00AF5B8F">
        <w:t xml:space="preserve"> the specific language around </w:t>
      </w:r>
      <w:r>
        <w:t>subcutaneous</w:t>
      </w:r>
      <w:r w:rsidR="00AF5B8F">
        <w:t xml:space="preserve"> use </w:t>
      </w:r>
      <w:r w:rsidR="000132EF">
        <w:t xml:space="preserve">for CPT </w:t>
      </w:r>
      <w:r w:rsidR="00AF5B8F">
        <w:t>code 90611, providers may bill this code for any vaccines used</w:t>
      </w:r>
      <w:r>
        <w:t xml:space="preserve"> consistent with current </w:t>
      </w:r>
      <w:r w:rsidR="00037B75">
        <w:t xml:space="preserve">clinical </w:t>
      </w:r>
      <w:r>
        <w:t>guidance</w:t>
      </w:r>
      <w:r w:rsidR="00AF5B8F">
        <w:t xml:space="preserve">, </w:t>
      </w:r>
      <w:r>
        <w:t xml:space="preserve">even </w:t>
      </w:r>
      <w:r w:rsidR="00AF5B8F">
        <w:t xml:space="preserve">if administered </w:t>
      </w:r>
      <w:r>
        <w:t>intradermally.</w:t>
      </w:r>
      <w:r w:rsidR="00AF5B8F">
        <w:t xml:space="preserve"> </w:t>
      </w:r>
    </w:p>
    <w:p w14:paraId="7A3604AC" w14:textId="5832F9E2" w:rsidR="00737B0C" w:rsidRDefault="000132EF" w:rsidP="000132EF">
      <w:pPr>
        <w:spacing w:before="240" w:after="0" w:afterAutospacing="0"/>
        <w:rPr>
          <w:i/>
          <w:iCs/>
        </w:rPr>
      </w:pPr>
      <w:r>
        <w:t>Eligible p</w:t>
      </w:r>
      <w:r w:rsidR="00737B0C">
        <w:t>roviders will be compensated for the administration of monkeypox vaccine consistent with existing rates for vaccine administration in 101 CMR 317</w:t>
      </w:r>
      <w:r w:rsidR="00AF5B8F">
        <w:t>.00</w:t>
      </w:r>
      <w:r w:rsidR="00737B0C">
        <w:t xml:space="preserve">: </w:t>
      </w:r>
      <w:r w:rsidR="00737B0C" w:rsidRPr="000A1700">
        <w:rPr>
          <w:rStyle w:val="Emphasis"/>
        </w:rPr>
        <w:t>Rates for Medicine Services</w:t>
      </w:r>
      <w:r w:rsidR="00737B0C">
        <w:rPr>
          <w:i/>
          <w:iCs/>
        </w:rPr>
        <w:t>.</w:t>
      </w:r>
    </w:p>
    <w:p w14:paraId="51BB8270" w14:textId="26D55300" w:rsidR="00737B0C" w:rsidRDefault="00737B0C" w:rsidP="00081FDC">
      <w:pPr>
        <w:spacing w:after="0" w:afterAutospacing="0"/>
        <w:ind w:left="0"/>
        <w:rPr>
          <w:i/>
          <w:iCs/>
        </w:rPr>
      </w:pPr>
    </w:p>
    <w:p w14:paraId="784F3CC3" w14:textId="08CD9D3E" w:rsidR="00F664CC" w:rsidRPr="009901A7" w:rsidRDefault="00F664CC" w:rsidP="00081FDC">
      <w:pPr>
        <w:pStyle w:val="Heading2"/>
        <w:spacing w:before="0" w:after="100"/>
      </w:pPr>
      <w:r w:rsidRPr="009901A7">
        <w:t>MassHealth Website</w:t>
      </w:r>
      <w:r w:rsidR="001554E7">
        <w:t xml:space="preserve"> </w:t>
      </w:r>
    </w:p>
    <w:p w14:paraId="12DB03D9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5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772F4ACF" w14:textId="7CFC6EA2" w:rsidR="00F664CC" w:rsidRPr="009901A7" w:rsidRDefault="00FE26BD" w:rsidP="00E27CD8">
      <w:hyperlink r:id="rId16" w:history="1">
        <w:r w:rsidR="006E336C" w:rsidRPr="006E336C">
          <w:rPr>
            <w:rStyle w:val="Hyperlink"/>
          </w:rPr>
          <w:t>S</w:t>
        </w:r>
        <w:r w:rsidR="00F664CC" w:rsidRPr="006E336C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6C55E321" w14:textId="77777777" w:rsidR="00F664CC" w:rsidRPr="009901A7" w:rsidRDefault="00F664CC" w:rsidP="00A6047C">
      <w:pPr>
        <w:pStyle w:val="Heading2"/>
        <w:keepNext/>
        <w:spacing w:after="100"/>
      </w:pPr>
      <w:r w:rsidRPr="009901A7">
        <w:t>Questions</w:t>
      </w:r>
      <w:r w:rsidR="001554E7">
        <w:t xml:space="preserve"> </w:t>
      </w:r>
    </w:p>
    <w:p w14:paraId="4B8ACCD8" w14:textId="77777777" w:rsidR="00EC35BD" w:rsidRDefault="00EC35BD" w:rsidP="00EC35BD">
      <w:pPr>
        <w:pStyle w:val="Heading3"/>
      </w:pPr>
      <w:r>
        <w:t>Dental Services</w:t>
      </w:r>
    </w:p>
    <w:p w14:paraId="26E16458" w14:textId="77777777" w:rsidR="00EC35BD" w:rsidRDefault="00EC35BD" w:rsidP="00EC35BD">
      <w:pPr>
        <w:pStyle w:val="BodyTextIndent"/>
        <w:spacing w:before="0" w:after="0" w:afterAutospacing="0"/>
        <w:ind w:left="720"/>
      </w:pPr>
      <w:r>
        <w:t>Phone: (800) 207-5019; TTY: (800) 466-7566</w:t>
      </w:r>
    </w:p>
    <w:p w14:paraId="2FD350B2" w14:textId="77777777" w:rsidR="00EC35BD" w:rsidRDefault="00EC35BD" w:rsidP="00EC35BD">
      <w:pPr>
        <w:pStyle w:val="Heading3"/>
      </w:pPr>
      <w:r>
        <w:t>Long-Term Services and Supports</w:t>
      </w:r>
    </w:p>
    <w:p w14:paraId="58CB9680" w14:textId="77777777" w:rsidR="00EC35BD" w:rsidRDefault="00EC35BD" w:rsidP="00EC35BD">
      <w:pPr>
        <w:pStyle w:val="BodyTextIndent"/>
        <w:spacing w:before="0" w:after="0" w:afterAutospacing="0"/>
        <w:ind w:left="720"/>
      </w:pPr>
      <w:r>
        <w:t>Phone: (844) 368-5184 (toll free)</w:t>
      </w:r>
    </w:p>
    <w:p w14:paraId="1559A48A" w14:textId="77777777" w:rsidR="00EC35BD" w:rsidRDefault="00EC35BD" w:rsidP="00EC35BD">
      <w:pPr>
        <w:pStyle w:val="BodyTextIndent"/>
        <w:spacing w:before="0" w:after="0" w:afterAutospacing="0"/>
        <w:ind w:left="720"/>
      </w:pPr>
      <w:r>
        <w:t>Email: support@masshealthltss.com</w:t>
      </w:r>
    </w:p>
    <w:p w14:paraId="2B09F529" w14:textId="77777777" w:rsidR="00EC35BD" w:rsidRDefault="00EC35BD" w:rsidP="00EC35BD">
      <w:pPr>
        <w:pStyle w:val="BodyTextIndent"/>
        <w:spacing w:before="0" w:after="0" w:afterAutospacing="0"/>
        <w:ind w:left="720"/>
      </w:pPr>
      <w:r>
        <w:t>Portal: MassHealthLTSS.com</w:t>
      </w:r>
    </w:p>
    <w:p w14:paraId="380EF41F" w14:textId="77777777" w:rsidR="00EC35BD" w:rsidRDefault="00EC35BD" w:rsidP="00EC35BD">
      <w:pPr>
        <w:pStyle w:val="BodyTextIndent"/>
        <w:spacing w:before="0" w:after="0" w:afterAutospacing="0"/>
        <w:ind w:left="720"/>
      </w:pPr>
      <w:r>
        <w:t xml:space="preserve">Mail: MassHealth LTSS </w:t>
      </w:r>
    </w:p>
    <w:p w14:paraId="30B81504" w14:textId="77777777" w:rsidR="00EC35BD" w:rsidRDefault="00EC35BD" w:rsidP="00EC35BD">
      <w:pPr>
        <w:pStyle w:val="BodyTextIndent"/>
        <w:tabs>
          <w:tab w:val="left" w:pos="1260"/>
        </w:tabs>
        <w:spacing w:before="0" w:after="0" w:afterAutospacing="0"/>
        <w:ind w:left="720"/>
      </w:pPr>
      <w:r>
        <w:tab/>
        <w:t>PO Box 159108</w:t>
      </w:r>
    </w:p>
    <w:p w14:paraId="210B066F" w14:textId="77777777" w:rsidR="00EC35BD" w:rsidRDefault="00EC35BD" w:rsidP="00EC35BD">
      <w:pPr>
        <w:pStyle w:val="BodyTextIndent"/>
        <w:tabs>
          <w:tab w:val="left" w:pos="1260"/>
        </w:tabs>
        <w:spacing w:before="0" w:after="0" w:afterAutospacing="0"/>
        <w:ind w:left="720"/>
      </w:pPr>
      <w:r>
        <w:tab/>
        <w:t>Boston, MA 02215</w:t>
      </w:r>
    </w:p>
    <w:p w14:paraId="3F028AD8" w14:textId="77777777" w:rsidR="00EC35BD" w:rsidRDefault="00EC35BD" w:rsidP="00EC35BD">
      <w:pPr>
        <w:pStyle w:val="BodyTextIndent"/>
        <w:spacing w:before="0" w:after="0" w:afterAutospacing="0"/>
        <w:ind w:left="720"/>
      </w:pPr>
      <w:r>
        <w:t>Fax: (888) 832-3006</w:t>
      </w:r>
    </w:p>
    <w:p w14:paraId="5F9554FC" w14:textId="77777777" w:rsidR="00EC35BD" w:rsidRDefault="00EC35BD" w:rsidP="00EC35BD">
      <w:pPr>
        <w:pStyle w:val="Heading3"/>
      </w:pPr>
      <w:r>
        <w:lastRenderedPageBreak/>
        <w:t>All Other Provider Types</w:t>
      </w:r>
    </w:p>
    <w:p w14:paraId="7EEA438D" w14:textId="77777777" w:rsidR="00EC35BD" w:rsidRDefault="00EC35BD" w:rsidP="00EC35BD">
      <w:pPr>
        <w:pStyle w:val="BodyTextIndent"/>
        <w:spacing w:before="0" w:after="0" w:afterAutospacing="0"/>
        <w:ind w:left="720"/>
      </w:pPr>
      <w:r>
        <w:t>Phone: (800) 841-2900. TDD/TTY: 711.</w:t>
      </w:r>
    </w:p>
    <w:p w14:paraId="7C2E69A9" w14:textId="77777777" w:rsidR="00EC35BD" w:rsidRDefault="00EC35BD" w:rsidP="00EC35BD">
      <w:pPr>
        <w:pStyle w:val="BodyTextIndent"/>
        <w:spacing w:before="0" w:after="0" w:afterAutospacing="0"/>
        <w:ind w:left="720"/>
      </w:pPr>
      <w:r>
        <w:t xml:space="preserve">Email: </w:t>
      </w:r>
      <w:hyperlink r:id="rId17" w:history="1">
        <w:r w:rsidRPr="007D567C">
          <w:rPr>
            <w:rStyle w:val="Hyperlink"/>
          </w:rPr>
          <w:t>providersupport@mahealth.net</w:t>
        </w:r>
      </w:hyperlink>
    </w:p>
    <w:p w14:paraId="1B9878E6" w14:textId="77777777" w:rsidR="00EC35BD" w:rsidRDefault="00EC35BD" w:rsidP="00EC35BD">
      <w:pPr>
        <w:pStyle w:val="BodyTextIndent"/>
        <w:spacing w:before="0" w:after="0" w:afterAutospacing="0"/>
        <w:ind w:left="720"/>
      </w:pPr>
      <w:r>
        <w:t>Fax: (617) 988-8974</w:t>
      </w:r>
    </w:p>
    <w:p w14:paraId="195815C9" w14:textId="2965ECD6" w:rsidR="00CC1E11" w:rsidRPr="000A1700" w:rsidRDefault="0061662F" w:rsidP="000A1700">
      <w:pPr>
        <w:spacing w:before="10440"/>
        <w:jc w:val="right"/>
        <w:rPr>
          <w:bCs/>
          <w:iCs/>
        </w:rPr>
      </w:pPr>
      <w:r w:rsidRPr="00CC1E11">
        <w:rPr>
          <w:rFonts w:ascii="Bookman Old Style" w:hAnsi="Bookman Old Style"/>
        </w:rPr>
        <w:t xml:space="preserve">Follow us on Twitter </w:t>
      </w:r>
      <w:hyperlink r:id="rId18" w:history="1">
        <w:r w:rsidRPr="00CC1E11">
          <w:rPr>
            <w:rStyle w:val="Hyperlink"/>
            <w:rFonts w:ascii="Bookman Old Style" w:hAnsi="Bookman Old Style"/>
            <w:b/>
            <w:i/>
          </w:rPr>
          <w:t>@MassHealth</w:t>
        </w:r>
      </w:hyperlink>
      <w:r w:rsidR="000A1700">
        <w:rPr>
          <w:rStyle w:val="Hyperlink"/>
          <w:rFonts w:ascii="Bookman Old Style" w:hAnsi="Bookman Old Style"/>
          <w:bCs/>
          <w:iCs/>
          <w:color w:val="auto"/>
          <w:u w:val="none"/>
        </w:rPr>
        <w:t>.</w:t>
      </w:r>
    </w:p>
    <w:sectPr w:rsidR="00CC1E11" w:rsidRPr="000A1700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89632" w14:textId="77777777" w:rsidR="00881AE8" w:rsidRDefault="00881AE8" w:rsidP="00E27CD8">
      <w:r>
        <w:separator/>
      </w:r>
    </w:p>
  </w:endnote>
  <w:endnote w:type="continuationSeparator" w:id="0">
    <w:p w14:paraId="6D33FB77" w14:textId="77777777" w:rsidR="00881AE8" w:rsidRDefault="00881AE8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AA610" w14:textId="401B98A2" w:rsidR="00CC1E11" w:rsidRPr="00CC1E11" w:rsidRDefault="00CC1E11" w:rsidP="008B04CE">
    <w:pPr>
      <w:jc w:val="right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8CD16" w14:textId="77777777" w:rsidR="00881AE8" w:rsidRDefault="00881AE8" w:rsidP="00E27CD8">
      <w:r>
        <w:separator/>
      </w:r>
    </w:p>
  </w:footnote>
  <w:footnote w:type="continuationSeparator" w:id="0">
    <w:p w14:paraId="302570F3" w14:textId="77777777" w:rsidR="00881AE8" w:rsidRDefault="00881AE8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142F5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5A62BA59" w14:textId="0FC57F5A" w:rsidR="00AD204A" w:rsidRPr="00F664CC" w:rsidRDefault="00694FCE" w:rsidP="00AD204A">
    <w:pPr>
      <w:pStyle w:val="BullsHeading"/>
    </w:pPr>
    <w:r>
      <w:t>All Provider</w:t>
    </w:r>
    <w:r w:rsidR="00AD204A" w:rsidRPr="00F664CC">
      <w:t xml:space="preserve"> Bulletin </w:t>
    </w:r>
  </w:p>
  <w:p w14:paraId="1893C03A" w14:textId="014BB9AA" w:rsidR="00AD204A" w:rsidRDefault="00AF5B8F" w:rsidP="00AD204A">
    <w:pPr>
      <w:pStyle w:val="BullsHeading"/>
    </w:pPr>
    <w:r>
      <w:t xml:space="preserve">September </w:t>
    </w:r>
    <w:r w:rsidR="0071623A">
      <w:t>2022</w:t>
    </w:r>
  </w:p>
  <w:p w14:paraId="77422704" w14:textId="17492FD9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6E5175">
      <w:rPr>
        <w:noProof/>
      </w:rPr>
      <w:t>2</w:t>
    </w:r>
    <w:r>
      <w:fldChar w:fldCharType="end"/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7E0"/>
    <w:rsid w:val="00002A9C"/>
    <w:rsid w:val="000049D1"/>
    <w:rsid w:val="000132EF"/>
    <w:rsid w:val="00015992"/>
    <w:rsid w:val="00015F58"/>
    <w:rsid w:val="0003134B"/>
    <w:rsid w:val="00037B75"/>
    <w:rsid w:val="000418A4"/>
    <w:rsid w:val="00043699"/>
    <w:rsid w:val="00045BBE"/>
    <w:rsid w:val="00056306"/>
    <w:rsid w:val="000670D4"/>
    <w:rsid w:val="00081FDC"/>
    <w:rsid w:val="000A1700"/>
    <w:rsid w:val="000C2E97"/>
    <w:rsid w:val="000D3DB5"/>
    <w:rsid w:val="000F10D4"/>
    <w:rsid w:val="00113A0C"/>
    <w:rsid w:val="0012369E"/>
    <w:rsid w:val="00150BCC"/>
    <w:rsid w:val="001554E7"/>
    <w:rsid w:val="00157643"/>
    <w:rsid w:val="001611A7"/>
    <w:rsid w:val="001634DD"/>
    <w:rsid w:val="00181C9F"/>
    <w:rsid w:val="001901BD"/>
    <w:rsid w:val="001A0C85"/>
    <w:rsid w:val="001C3E05"/>
    <w:rsid w:val="001D310B"/>
    <w:rsid w:val="001E023E"/>
    <w:rsid w:val="001E4F54"/>
    <w:rsid w:val="00210E6A"/>
    <w:rsid w:val="0021267B"/>
    <w:rsid w:val="00221556"/>
    <w:rsid w:val="00232319"/>
    <w:rsid w:val="0028720F"/>
    <w:rsid w:val="00297599"/>
    <w:rsid w:val="002A7753"/>
    <w:rsid w:val="002D39D9"/>
    <w:rsid w:val="002D4692"/>
    <w:rsid w:val="002E42CE"/>
    <w:rsid w:val="002F2993"/>
    <w:rsid w:val="00326197"/>
    <w:rsid w:val="003520DD"/>
    <w:rsid w:val="00374787"/>
    <w:rsid w:val="003A7588"/>
    <w:rsid w:val="003B0C0E"/>
    <w:rsid w:val="003E151C"/>
    <w:rsid w:val="003E2878"/>
    <w:rsid w:val="003F19E6"/>
    <w:rsid w:val="003F5F8C"/>
    <w:rsid w:val="00402A2C"/>
    <w:rsid w:val="00433094"/>
    <w:rsid w:val="0046463C"/>
    <w:rsid w:val="004741C3"/>
    <w:rsid w:val="00492F30"/>
    <w:rsid w:val="004941AE"/>
    <w:rsid w:val="0049552A"/>
    <w:rsid w:val="004A690B"/>
    <w:rsid w:val="004A7718"/>
    <w:rsid w:val="004B4B1F"/>
    <w:rsid w:val="004C7060"/>
    <w:rsid w:val="004F4B9A"/>
    <w:rsid w:val="004F5920"/>
    <w:rsid w:val="005056B0"/>
    <w:rsid w:val="005068BD"/>
    <w:rsid w:val="00507CFF"/>
    <w:rsid w:val="005167DC"/>
    <w:rsid w:val="00535EBB"/>
    <w:rsid w:val="00560A53"/>
    <w:rsid w:val="0058634E"/>
    <w:rsid w:val="0059142C"/>
    <w:rsid w:val="005B27F1"/>
    <w:rsid w:val="005E2A99"/>
    <w:rsid w:val="005E4B62"/>
    <w:rsid w:val="005F2B69"/>
    <w:rsid w:val="00611871"/>
    <w:rsid w:val="0061596A"/>
    <w:rsid w:val="0061662F"/>
    <w:rsid w:val="006167AE"/>
    <w:rsid w:val="00636220"/>
    <w:rsid w:val="00636353"/>
    <w:rsid w:val="006652C4"/>
    <w:rsid w:val="0068331E"/>
    <w:rsid w:val="00693FA5"/>
    <w:rsid w:val="006941BF"/>
    <w:rsid w:val="00694FCE"/>
    <w:rsid w:val="00696EA9"/>
    <w:rsid w:val="006A071A"/>
    <w:rsid w:val="006A2BAA"/>
    <w:rsid w:val="006B49EE"/>
    <w:rsid w:val="006C70F9"/>
    <w:rsid w:val="006D3F15"/>
    <w:rsid w:val="006D4F32"/>
    <w:rsid w:val="006E336C"/>
    <w:rsid w:val="006E5175"/>
    <w:rsid w:val="00706438"/>
    <w:rsid w:val="0071623A"/>
    <w:rsid w:val="0073577E"/>
    <w:rsid w:val="00737B0C"/>
    <w:rsid w:val="00752471"/>
    <w:rsid w:val="007610F3"/>
    <w:rsid w:val="00777A22"/>
    <w:rsid w:val="00791E79"/>
    <w:rsid w:val="00795E06"/>
    <w:rsid w:val="00796A8D"/>
    <w:rsid w:val="007C2F17"/>
    <w:rsid w:val="007D567C"/>
    <w:rsid w:val="007F35A5"/>
    <w:rsid w:val="007F7DBF"/>
    <w:rsid w:val="008201CC"/>
    <w:rsid w:val="00835AC7"/>
    <w:rsid w:val="00837902"/>
    <w:rsid w:val="00845AC1"/>
    <w:rsid w:val="008462A2"/>
    <w:rsid w:val="008468CA"/>
    <w:rsid w:val="00863041"/>
    <w:rsid w:val="00872AE1"/>
    <w:rsid w:val="00881AE8"/>
    <w:rsid w:val="00883A53"/>
    <w:rsid w:val="008B04CE"/>
    <w:rsid w:val="008B1847"/>
    <w:rsid w:val="008B2BCA"/>
    <w:rsid w:val="008B5D3C"/>
    <w:rsid w:val="008B6E51"/>
    <w:rsid w:val="008C3AB5"/>
    <w:rsid w:val="008D60BB"/>
    <w:rsid w:val="00903565"/>
    <w:rsid w:val="00914588"/>
    <w:rsid w:val="00922F04"/>
    <w:rsid w:val="009532D8"/>
    <w:rsid w:val="00956690"/>
    <w:rsid w:val="009811A1"/>
    <w:rsid w:val="00982839"/>
    <w:rsid w:val="00A03C9F"/>
    <w:rsid w:val="00A141BD"/>
    <w:rsid w:val="00A24F66"/>
    <w:rsid w:val="00A2632D"/>
    <w:rsid w:val="00A6047C"/>
    <w:rsid w:val="00A772C1"/>
    <w:rsid w:val="00A95FC1"/>
    <w:rsid w:val="00AA6085"/>
    <w:rsid w:val="00AC2750"/>
    <w:rsid w:val="00AD204A"/>
    <w:rsid w:val="00AD2363"/>
    <w:rsid w:val="00AD6899"/>
    <w:rsid w:val="00AE0C69"/>
    <w:rsid w:val="00AF43F9"/>
    <w:rsid w:val="00AF5B8F"/>
    <w:rsid w:val="00B34960"/>
    <w:rsid w:val="00B5705A"/>
    <w:rsid w:val="00B73653"/>
    <w:rsid w:val="00B776DE"/>
    <w:rsid w:val="00B81069"/>
    <w:rsid w:val="00BC3755"/>
    <w:rsid w:val="00BD2DAF"/>
    <w:rsid w:val="00BD58F3"/>
    <w:rsid w:val="00C024A2"/>
    <w:rsid w:val="00C10F69"/>
    <w:rsid w:val="00C25AFF"/>
    <w:rsid w:val="00CA12F9"/>
    <w:rsid w:val="00CA3247"/>
    <w:rsid w:val="00CC0830"/>
    <w:rsid w:val="00CC1E11"/>
    <w:rsid w:val="00CD38C9"/>
    <w:rsid w:val="00CD456D"/>
    <w:rsid w:val="00D1095F"/>
    <w:rsid w:val="00D251FF"/>
    <w:rsid w:val="00D37F2E"/>
    <w:rsid w:val="00D50150"/>
    <w:rsid w:val="00D50861"/>
    <w:rsid w:val="00D51393"/>
    <w:rsid w:val="00D53235"/>
    <w:rsid w:val="00D62CF5"/>
    <w:rsid w:val="00D72F01"/>
    <w:rsid w:val="00D769DD"/>
    <w:rsid w:val="00D96F70"/>
    <w:rsid w:val="00DC3684"/>
    <w:rsid w:val="00E00F45"/>
    <w:rsid w:val="00E01D80"/>
    <w:rsid w:val="00E27CD8"/>
    <w:rsid w:val="00E34DE6"/>
    <w:rsid w:val="00E443C5"/>
    <w:rsid w:val="00E96471"/>
    <w:rsid w:val="00EA18E2"/>
    <w:rsid w:val="00EA3B88"/>
    <w:rsid w:val="00EB57B9"/>
    <w:rsid w:val="00EC35BD"/>
    <w:rsid w:val="00ED497C"/>
    <w:rsid w:val="00F3277B"/>
    <w:rsid w:val="00F4137B"/>
    <w:rsid w:val="00F55FDE"/>
    <w:rsid w:val="00F60574"/>
    <w:rsid w:val="00F664CC"/>
    <w:rsid w:val="00F73D6F"/>
    <w:rsid w:val="00F74481"/>
    <w:rsid w:val="00F74F30"/>
    <w:rsid w:val="00F75983"/>
    <w:rsid w:val="00FB26F3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7125F2E"/>
  <w15:docId w15:val="{E0D12E04-8A33-4A8E-8897-16D6138D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694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4FCE"/>
    <w:pPr>
      <w:spacing w:before="0" w:after="0" w:afterAutospacing="0"/>
      <w:ind w:left="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4F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95F"/>
    <w:pPr>
      <w:spacing w:before="120" w:after="100" w:afterAutospacing="1"/>
      <w:ind w:left="360"/>
    </w:pPr>
    <w:rPr>
      <w:rFonts w:ascii="Georgia" w:hAnsi="Georg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95F"/>
    <w:rPr>
      <w:rFonts w:ascii="Georgia" w:eastAsia="Times New Roman" w:hAnsi="Georgia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669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38C9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38C9"/>
    <w:rPr>
      <w:rFonts w:ascii="Georgia" w:eastAsia="Times New Roman" w:hAnsi="Georg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38C9"/>
    <w:rPr>
      <w:vertAlign w:val="superscript"/>
    </w:rPr>
  </w:style>
  <w:style w:type="paragraph" w:styleId="Revision">
    <w:name w:val="Revision"/>
    <w:hidden/>
    <w:uiPriority w:val="99"/>
    <w:semiHidden/>
    <w:rsid w:val="00B776DE"/>
    <w:pPr>
      <w:spacing w:after="0" w:line="240" w:lineRule="auto"/>
    </w:pPr>
    <w:rPr>
      <w:rFonts w:ascii="Georgia" w:eastAsia="Times New Roman" w:hAnsi="Georgia" w:cs="Times New Roman"/>
    </w:rPr>
  </w:style>
  <w:style w:type="paragraph" w:styleId="NormalWeb">
    <w:name w:val="Normal (Web)"/>
    <w:basedOn w:val="Normal"/>
    <w:uiPriority w:val="99"/>
    <w:semiHidden/>
    <w:unhideWhenUsed/>
    <w:rsid w:val="005056B0"/>
    <w:pPr>
      <w:spacing w:before="100" w:beforeAutospacing="1"/>
      <w:ind w:left="0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56B0"/>
    <w:rPr>
      <w:b/>
      <w:bCs/>
    </w:rPr>
  </w:style>
  <w:style w:type="character" w:styleId="Emphasis">
    <w:name w:val="Emphasis"/>
    <w:basedOn w:val="DefaultParagraphFont"/>
    <w:uiPriority w:val="20"/>
    <w:qFormat/>
    <w:rsid w:val="006A2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twitter.com/masshealt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ss.gov/masshealth" TargetMode="External"/><Relationship Id="rId17" Type="http://schemas.openxmlformats.org/officeDocument/2006/relationships/hyperlink" Target="file:///C:\Users\THoitink\Downloads\providersupport@mahealth.ne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forms/email-notifications-for-masshealth-provider-bulletins-and-transmittal-letter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mass.gov/masshealth-provider-bulletin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6" ma:contentTypeDescription="Create a new document." ma:contentTypeScope="" ma:versionID="34fdbc4e4b3fbbf86f2f668c0dde39cf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0223cd93888d36c57ce87b89ecdcfa7e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6196E-FCA1-43F0-A0A7-E5AAE8E7BC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C0896D-7386-43E0-B99D-4B9CDA72AB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844082-2A87-450E-B258-B2B80406E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A25798-E3B2-4810-A460-4D5F4AFAEF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</TotalTime>
  <Pages>3</Pages>
  <Words>471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Luca, Joseph (EHS)</cp:lastModifiedBy>
  <cp:revision>2</cp:revision>
  <dcterms:created xsi:type="dcterms:W3CDTF">2022-09-19T17:38:00Z</dcterms:created>
  <dcterms:modified xsi:type="dcterms:W3CDTF">2022-09-19T17:38:00Z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