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31AB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488973" wp14:editId="70CDDAE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454308E" wp14:editId="4CD780A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6EF13E" wp14:editId="75298CF2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72AC72F1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77777777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530944B" w14:textId="55492561" w:rsidR="0071623A" w:rsidRDefault="00694FCE" w:rsidP="005B27F1">
      <w:pPr>
        <w:pStyle w:val="Heading1"/>
      </w:pPr>
      <w:r>
        <w:t>All Provider</w:t>
      </w:r>
      <w:r w:rsidR="00F664CC" w:rsidRPr="005B27F1">
        <w:t xml:space="preserve"> Bulletin</w:t>
      </w:r>
      <w:r w:rsidR="006C7D51">
        <w:t xml:space="preserve"> 362</w:t>
      </w:r>
    </w:p>
    <w:p w14:paraId="20F4176F" w14:textId="122A9D86" w:rsidR="00F664CC" w:rsidRPr="005B27F1" w:rsidRDefault="007D32E5" w:rsidP="005B27F1">
      <w:pPr>
        <w:pStyle w:val="Heading1"/>
      </w:pPr>
      <w:r>
        <w:t>March</w:t>
      </w:r>
      <w:r w:rsidR="00C93617">
        <w:t xml:space="preserve"> 2023</w:t>
      </w:r>
    </w:p>
    <w:p w14:paraId="0E1DCE1F" w14:textId="77777777" w:rsidR="00F664CC" w:rsidRDefault="00F664CC" w:rsidP="00E27CD8"/>
    <w:p w14:paraId="28792EAA" w14:textId="77777777" w:rsidR="00F664CC" w:rsidRDefault="00F664CC" w:rsidP="00E27CD8">
      <w:pPr>
        <w:sectPr w:rsidR="00F664CC" w:rsidSect="0059142C">
          <w:headerReference w:type="default" r:id="rId10"/>
          <w:foot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2FBA91D3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694FCE">
        <w:t>All Providers</w:t>
      </w:r>
      <w:r w:rsidRPr="00F664CC">
        <w:t xml:space="preserve"> Participating in MassHealth</w:t>
      </w:r>
    </w:p>
    <w:p w14:paraId="36385E61" w14:textId="07E9E5C4" w:rsidR="00F664CC" w:rsidRPr="00F664CC" w:rsidRDefault="00F664CC" w:rsidP="004741C3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C93617">
        <w:t>Mike Levine</w:t>
      </w:r>
      <w:r w:rsidR="00AA6085">
        <w:t xml:space="preserve">, </w:t>
      </w:r>
      <w:r w:rsidR="00C93617">
        <w:t xml:space="preserve">Medicaid Director </w:t>
      </w:r>
      <w:r w:rsidR="006E5175">
        <w:t xml:space="preserve">[signature of </w:t>
      </w:r>
      <w:r w:rsidR="00C93617">
        <w:t>Mike Levine</w:t>
      </w:r>
      <w:r w:rsidR="006E5175">
        <w:t>]</w:t>
      </w:r>
    </w:p>
    <w:p w14:paraId="2B897D17" w14:textId="15051E7B" w:rsidR="00F664CC" w:rsidRPr="00F664CC" w:rsidRDefault="00F664CC" w:rsidP="0073577E">
      <w:pPr>
        <w:pStyle w:val="SubjectLine"/>
        <w:ind w:left="1440" w:hanging="1080"/>
      </w:pPr>
      <w:r w:rsidRPr="00F664CC">
        <w:t>RE:</w:t>
      </w:r>
      <w:r w:rsidR="00BD2DAF">
        <w:tab/>
      </w:r>
      <w:r w:rsidR="00694FCE" w:rsidRPr="00694FCE">
        <w:t>Coverage and Reimbursement Policy for Vaccine Counseling</w:t>
      </w:r>
      <w:r w:rsidR="0073577E">
        <w:t xml:space="preserve"> </w:t>
      </w:r>
    </w:p>
    <w:p w14:paraId="5490AAA1" w14:textId="6ABAC6EE" w:rsidR="00F664CC" w:rsidRPr="005B27F1" w:rsidRDefault="00694FCE" w:rsidP="00E27CD8">
      <w:pPr>
        <w:pStyle w:val="Heading2"/>
      </w:pPr>
      <w:r>
        <w:t>Background</w:t>
      </w:r>
      <w:r w:rsidR="001554E7" w:rsidRPr="005B27F1">
        <w:t xml:space="preserve"> </w:t>
      </w:r>
    </w:p>
    <w:p w14:paraId="046208D2" w14:textId="0CE9CEA0" w:rsidR="00043699" w:rsidRDefault="00043699" w:rsidP="007D567C">
      <w:r>
        <w:t xml:space="preserve">This bulletin </w:t>
      </w:r>
      <w:r w:rsidR="00956690">
        <w:t>supersedes</w:t>
      </w:r>
      <w:r>
        <w:t xml:space="preserve"> </w:t>
      </w:r>
      <w:hyperlink r:id="rId12" w:history="1">
        <w:r w:rsidRPr="00956690">
          <w:rPr>
            <w:rStyle w:val="Hyperlink"/>
          </w:rPr>
          <w:t>All</w:t>
        </w:r>
        <w:r w:rsidR="000F36DF">
          <w:rPr>
            <w:rStyle w:val="Hyperlink"/>
          </w:rPr>
          <w:t xml:space="preserve"> </w:t>
        </w:r>
        <w:r w:rsidRPr="00956690">
          <w:rPr>
            <w:rStyle w:val="Hyperlink"/>
          </w:rPr>
          <w:t>Provider Bulletin 321</w:t>
        </w:r>
      </w:hyperlink>
      <w:r>
        <w:t xml:space="preserve">, which </w:t>
      </w:r>
      <w:r w:rsidR="008F4CB1">
        <w:t>specified</w:t>
      </w:r>
      <w:r>
        <w:t xml:space="preserve"> coverage of COVID-19 vaccine</w:t>
      </w:r>
      <w:r w:rsidR="00410BAE">
        <w:t xml:space="preserve"> counseling</w:t>
      </w:r>
      <w:r>
        <w:t xml:space="preserve"> services. Through this bulletin, MassHealth is adding</w:t>
      </w:r>
      <w:r w:rsidR="008F4CB1">
        <w:t xml:space="preserve"> specific</w:t>
      </w:r>
      <w:r>
        <w:t xml:space="preserve"> </w:t>
      </w:r>
      <w:r w:rsidR="00CD38C9">
        <w:t>codes</w:t>
      </w:r>
      <w:r>
        <w:t xml:space="preserve"> for</w:t>
      </w:r>
      <w:r w:rsidR="008F4CB1">
        <w:t xml:space="preserve"> stand-alone</w:t>
      </w:r>
      <w:r>
        <w:t xml:space="preserve"> vaccine counseling services</w:t>
      </w:r>
      <w:r w:rsidR="008F4CB1">
        <w:t>.</w:t>
      </w:r>
    </w:p>
    <w:p w14:paraId="1B28BF53" w14:textId="370B1770" w:rsidR="00694FCE" w:rsidRDefault="00694FCE" w:rsidP="00B5705A">
      <w:pPr>
        <w:pStyle w:val="Heading2"/>
      </w:pPr>
      <w:r>
        <w:t>Billing for Vaccine Counseling Services</w:t>
      </w:r>
      <w:r w:rsidR="001554E7" w:rsidRPr="005B27F1">
        <w:t xml:space="preserve"> </w:t>
      </w:r>
      <w:r w:rsidR="00F60574">
        <w:tab/>
      </w:r>
    </w:p>
    <w:p w14:paraId="0AA1B25F" w14:textId="5F365B07" w:rsidR="004C7060" w:rsidRDefault="004C7060" w:rsidP="007D567C">
      <w:r>
        <w:t xml:space="preserve">Effective for dates of service on or after </w:t>
      </w:r>
      <w:r w:rsidR="00C93617">
        <w:t>February 1, 2023</w:t>
      </w:r>
      <w:r>
        <w:t>, providers enrolled in the MassHealth acute outpatient hospital, community health center</w:t>
      </w:r>
      <w:r w:rsidR="009A56CC">
        <w:t xml:space="preserve"> (CHC)</w:t>
      </w:r>
      <w:r>
        <w:t xml:space="preserve">, and physician programs may bill and receive payment for </w:t>
      </w:r>
      <w:r w:rsidRPr="00837902">
        <w:t xml:space="preserve">providing clinically appropriate, medically </w:t>
      </w:r>
      <w:r w:rsidR="00410BAE" w:rsidRPr="00837902">
        <w:t>necessary</w:t>
      </w:r>
      <w:r w:rsidRPr="00837902">
        <w:t xml:space="preserve"> </w:t>
      </w:r>
      <w:r w:rsidR="00410BAE">
        <w:t xml:space="preserve">stand-alone </w:t>
      </w:r>
      <w:r>
        <w:t xml:space="preserve">vaccine </w:t>
      </w:r>
      <w:r w:rsidRPr="00837902">
        <w:t xml:space="preserve">counseling services </w:t>
      </w:r>
      <w:r w:rsidR="00410BAE">
        <w:t>using the codes below.</w:t>
      </w:r>
      <w:r>
        <w:t xml:space="preserve"> The Executive Office and Health and Human Services (EOHHS) will formally establish these rates, which are consistent with existing </w:t>
      </w:r>
      <w:r w:rsidR="00410BAE">
        <w:t>preventive medicine counseling</w:t>
      </w:r>
      <w:r>
        <w:t xml:space="preserve"> rates, through administrative bulletins or amendments to relevant pricing regulations.  </w:t>
      </w:r>
    </w:p>
    <w:tbl>
      <w:tblPr>
        <w:tblW w:w="10320" w:type="dxa"/>
        <w:tblInd w:w="240" w:type="dxa"/>
        <w:tblBorders>
          <w:top w:val="single" w:sz="6" w:space="0" w:color="5B616B"/>
          <w:left w:val="single" w:sz="6" w:space="0" w:color="5B616B"/>
          <w:bottom w:val="single" w:sz="6" w:space="0" w:color="5B616B"/>
          <w:right w:val="single" w:sz="6" w:space="0" w:color="5B616B"/>
          <w:insideH w:val="single" w:sz="6" w:space="0" w:color="5B616B"/>
          <w:insideV w:val="single" w:sz="6" w:space="0" w:color="5B616B"/>
        </w:tblBorders>
        <w:shd w:val="clear" w:color="auto" w:fill="FFFFFF"/>
        <w:tblLook w:val="04A0" w:firstRow="1" w:lastRow="0" w:firstColumn="1" w:lastColumn="0" w:noHBand="0" w:noVBand="1"/>
      </w:tblPr>
      <w:tblGrid>
        <w:gridCol w:w="1509"/>
        <w:gridCol w:w="4819"/>
        <w:gridCol w:w="1029"/>
        <w:gridCol w:w="1167"/>
        <w:gridCol w:w="1796"/>
      </w:tblGrid>
      <w:tr w:rsidR="00956690" w14:paraId="7C34E0C6" w14:textId="77777777" w:rsidTr="00473520">
        <w:trPr>
          <w:trHeight w:val="474"/>
          <w:tblHeader/>
        </w:trPr>
        <w:tc>
          <w:tcPr>
            <w:tcW w:w="150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609AB3F" w14:textId="77777777" w:rsidR="00956690" w:rsidRPr="003520DD" w:rsidRDefault="00956690" w:rsidP="00473520">
            <w:pPr>
              <w:keepNext/>
              <w:spacing w:before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20DD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481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BFB4A08" w14:textId="77777777" w:rsidR="00956690" w:rsidRPr="003520DD" w:rsidRDefault="00956690" w:rsidP="00473520">
            <w:pPr>
              <w:keepNext/>
              <w:spacing w:before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20DD">
              <w:rPr>
                <w:rFonts w:ascii="Times New Roman" w:hAnsi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0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 w:themeFill="background1"/>
          </w:tcPr>
          <w:p w14:paraId="23F141AC" w14:textId="329EF6AB" w:rsidR="00956690" w:rsidRPr="003520DD" w:rsidRDefault="00956690" w:rsidP="00473520">
            <w:pPr>
              <w:keepNext/>
              <w:spacing w:before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20DD">
              <w:rPr>
                <w:rFonts w:ascii="Times New Roman" w:hAnsi="Times New Roman"/>
                <w:b/>
                <w:bCs/>
                <w:sz w:val="24"/>
                <w:szCs w:val="24"/>
              </w:rPr>
              <w:t>Rate NFAC</w:t>
            </w:r>
            <w:r w:rsidR="00CD38C9" w:rsidRPr="003520DD">
              <w:rPr>
                <w:rStyle w:val="FootnoteReference"/>
                <w:rFonts w:ascii="Times New Roman" w:hAnsi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16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253ECF3" w14:textId="50F55933" w:rsidR="00956690" w:rsidRPr="003520DD" w:rsidRDefault="00956690" w:rsidP="00473520">
            <w:pPr>
              <w:keepNext/>
              <w:spacing w:before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20DD">
              <w:rPr>
                <w:rFonts w:ascii="Times New Roman" w:hAnsi="Times New Roman"/>
                <w:b/>
                <w:bCs/>
                <w:sz w:val="24"/>
                <w:szCs w:val="24"/>
              </w:rPr>
              <w:t>Rate FAC</w:t>
            </w:r>
            <w:r w:rsidR="00CD38C9" w:rsidRPr="003520DD">
              <w:rPr>
                <w:rStyle w:val="FootnoteReference"/>
                <w:rFonts w:ascii="Times New Roman" w:hAnsi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796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09B9877" w14:textId="4F6E5FFD" w:rsidR="00956690" w:rsidRPr="003520DD" w:rsidRDefault="00956690" w:rsidP="00473520">
            <w:pPr>
              <w:keepNext/>
              <w:spacing w:before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2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Effective Date </w:t>
            </w:r>
          </w:p>
        </w:tc>
      </w:tr>
      <w:tr w:rsidR="00956690" w14:paraId="3415AE8D" w14:textId="77777777" w:rsidTr="00956690">
        <w:tc>
          <w:tcPr>
            <w:tcW w:w="150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39FFA14" w14:textId="7F5CE087" w:rsidR="00956690" w:rsidRPr="003520DD" w:rsidRDefault="00956690">
            <w:pPr>
              <w:spacing w:before="0" w:after="0"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DD">
              <w:rPr>
                <w:rFonts w:ascii="Times New Roman" w:hAnsi="Times New Roman"/>
                <w:sz w:val="24"/>
                <w:szCs w:val="24"/>
              </w:rPr>
              <w:t>G0310</w:t>
            </w:r>
          </w:p>
        </w:tc>
        <w:tc>
          <w:tcPr>
            <w:tcW w:w="481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B498556" w14:textId="5426257B" w:rsidR="00956690" w:rsidRPr="003520DD" w:rsidRDefault="00956690" w:rsidP="000736DF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DD">
              <w:rPr>
                <w:rFonts w:ascii="Times New Roman" w:hAnsi="Times New Roman"/>
                <w:sz w:val="24"/>
                <w:szCs w:val="24"/>
              </w:rPr>
              <w:t>Immunization counseling by a physician or other qualified health care professional when the vaccine(s) is not administered on the same date of service, 5</w:t>
            </w:r>
            <w:r w:rsidR="00B738E0">
              <w:rPr>
                <w:rFonts w:ascii="Times New Roman" w:hAnsi="Times New Roman"/>
                <w:sz w:val="24"/>
                <w:szCs w:val="24"/>
              </w:rPr>
              <w:t>-</w:t>
            </w:r>
            <w:r w:rsidRPr="003520DD">
              <w:rPr>
                <w:rFonts w:ascii="Times New Roman" w:hAnsi="Times New Roman"/>
                <w:sz w:val="24"/>
                <w:szCs w:val="24"/>
              </w:rPr>
              <w:t>15 mins time.</w:t>
            </w:r>
          </w:p>
        </w:tc>
        <w:tc>
          <w:tcPr>
            <w:tcW w:w="10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</w:tcPr>
          <w:p w14:paraId="07E8AF3A" w14:textId="38F997D6" w:rsidR="00956690" w:rsidRPr="003520DD" w:rsidRDefault="00956690">
            <w:pPr>
              <w:spacing w:before="0" w:after="0"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DD">
              <w:rPr>
                <w:rFonts w:ascii="Times New Roman" w:hAnsi="Times New Roman"/>
                <w:sz w:val="24"/>
                <w:szCs w:val="24"/>
              </w:rPr>
              <w:t>$31.06</w:t>
            </w:r>
          </w:p>
        </w:tc>
        <w:tc>
          <w:tcPr>
            <w:tcW w:w="116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E8D3DA9" w14:textId="68306BF4" w:rsidR="00956690" w:rsidRPr="003520DD" w:rsidRDefault="00956690">
            <w:pPr>
              <w:spacing w:before="0" w:after="0"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DD">
              <w:rPr>
                <w:rFonts w:ascii="Times New Roman" w:hAnsi="Times New Roman"/>
                <w:sz w:val="24"/>
                <w:szCs w:val="24"/>
              </w:rPr>
              <w:t>$19.17</w:t>
            </w:r>
          </w:p>
        </w:tc>
        <w:tc>
          <w:tcPr>
            <w:tcW w:w="1796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95384AD" w14:textId="72392207" w:rsidR="00956690" w:rsidRPr="003520DD" w:rsidRDefault="00C93617">
            <w:pPr>
              <w:spacing w:before="0" w:after="0"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02/01/2023</w:t>
            </w:r>
          </w:p>
        </w:tc>
      </w:tr>
      <w:tr w:rsidR="00C93617" w14:paraId="43EFAA69" w14:textId="77777777" w:rsidTr="00956690">
        <w:tc>
          <w:tcPr>
            <w:tcW w:w="150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ED6188F" w14:textId="2642D73C" w:rsidR="00C93617" w:rsidRPr="003520DD" w:rsidRDefault="00C93617" w:rsidP="00C93617">
            <w:pPr>
              <w:spacing w:before="0" w:after="0"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DD">
              <w:rPr>
                <w:rFonts w:ascii="Times New Roman" w:hAnsi="Times New Roman"/>
                <w:sz w:val="24"/>
                <w:szCs w:val="24"/>
              </w:rPr>
              <w:t>G0311</w:t>
            </w:r>
          </w:p>
        </w:tc>
        <w:tc>
          <w:tcPr>
            <w:tcW w:w="481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6790EC6" w14:textId="02444ED3" w:rsidR="00C93617" w:rsidRPr="003520DD" w:rsidRDefault="00C93617" w:rsidP="000736DF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DD">
              <w:rPr>
                <w:rFonts w:ascii="Times New Roman" w:hAnsi="Times New Roman"/>
                <w:sz w:val="24"/>
                <w:szCs w:val="24"/>
              </w:rPr>
              <w:t xml:space="preserve">Immunization counseling by a physician or other qualified health care professional when </w:t>
            </w:r>
            <w:r w:rsidRPr="003520DD">
              <w:rPr>
                <w:rFonts w:ascii="Times New Roman" w:hAnsi="Times New Roman"/>
                <w:sz w:val="24"/>
                <w:szCs w:val="24"/>
              </w:rPr>
              <w:lastRenderedPageBreak/>
              <w:t>the vaccine(s) is not administered on the same date of service, 16-30 mins time.</w:t>
            </w:r>
          </w:p>
        </w:tc>
        <w:tc>
          <w:tcPr>
            <w:tcW w:w="10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</w:tcPr>
          <w:p w14:paraId="2C929F54" w14:textId="2A56A351" w:rsidR="00C93617" w:rsidRPr="003520DD" w:rsidRDefault="00C93617" w:rsidP="00C93617">
            <w:pPr>
              <w:spacing w:before="0" w:after="0"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DD">
              <w:rPr>
                <w:rFonts w:ascii="Times New Roman" w:hAnsi="Times New Roman"/>
                <w:sz w:val="24"/>
                <w:szCs w:val="24"/>
              </w:rPr>
              <w:lastRenderedPageBreak/>
              <w:t>$50.81</w:t>
            </w:r>
          </w:p>
        </w:tc>
        <w:tc>
          <w:tcPr>
            <w:tcW w:w="116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D38A030" w14:textId="290C3131" w:rsidR="00C93617" w:rsidRPr="003520DD" w:rsidRDefault="00C93617" w:rsidP="00C93617">
            <w:pPr>
              <w:spacing w:before="0" w:after="0"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DD">
              <w:rPr>
                <w:rFonts w:ascii="Times New Roman" w:hAnsi="Times New Roman"/>
                <w:sz w:val="24"/>
                <w:szCs w:val="24"/>
              </w:rPr>
              <w:t>$39.21</w:t>
            </w:r>
          </w:p>
        </w:tc>
        <w:tc>
          <w:tcPr>
            <w:tcW w:w="1796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D7CB319" w14:textId="751B4E1B" w:rsidR="00C93617" w:rsidRPr="003520DD" w:rsidRDefault="00C93617" w:rsidP="00C93617">
            <w:pPr>
              <w:spacing w:before="0" w:after="0"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D8D">
              <w:rPr>
                <w:rFonts w:ascii="Times New Roman" w:hAnsi="Times New Roman"/>
                <w:color w:val="000000"/>
                <w:sz w:val="24"/>
                <w:szCs w:val="24"/>
              </w:rPr>
              <w:t>02/01/2023</w:t>
            </w:r>
          </w:p>
        </w:tc>
      </w:tr>
      <w:tr w:rsidR="00C93617" w14:paraId="751E7BEA" w14:textId="77777777" w:rsidTr="00956690">
        <w:tc>
          <w:tcPr>
            <w:tcW w:w="150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C69604D" w14:textId="730E753F" w:rsidR="00C93617" w:rsidRPr="003520DD" w:rsidRDefault="00C93617" w:rsidP="00C93617">
            <w:pPr>
              <w:spacing w:before="0" w:after="0"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DD">
              <w:rPr>
                <w:rFonts w:ascii="Times New Roman" w:hAnsi="Times New Roman"/>
                <w:sz w:val="24"/>
                <w:szCs w:val="24"/>
              </w:rPr>
              <w:t>G0312</w:t>
            </w:r>
          </w:p>
        </w:tc>
        <w:tc>
          <w:tcPr>
            <w:tcW w:w="481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1A041DD" w14:textId="5BCCBC0D" w:rsidR="00C93617" w:rsidRPr="003520DD" w:rsidRDefault="00C93617" w:rsidP="000736DF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DD">
              <w:rPr>
                <w:rFonts w:ascii="Times New Roman" w:hAnsi="Times New Roman"/>
                <w:sz w:val="24"/>
                <w:szCs w:val="24"/>
              </w:rPr>
              <w:t>Immunization counseling by a physician or other qualified health care professional when the vaccine(s) is not administered on the same date of service for ages under 21, 5</w:t>
            </w:r>
            <w:r w:rsidR="00B738E0">
              <w:rPr>
                <w:rFonts w:ascii="Times New Roman" w:hAnsi="Times New Roman"/>
                <w:sz w:val="24"/>
                <w:szCs w:val="24"/>
              </w:rPr>
              <w:t>-</w:t>
            </w:r>
            <w:r w:rsidRPr="003520DD">
              <w:rPr>
                <w:rFonts w:ascii="Times New Roman" w:hAnsi="Times New Roman"/>
                <w:sz w:val="24"/>
                <w:szCs w:val="24"/>
              </w:rPr>
              <w:t>15 mins time. (This code is used for Medicaid billing purposes.)</w:t>
            </w:r>
          </w:p>
        </w:tc>
        <w:tc>
          <w:tcPr>
            <w:tcW w:w="10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</w:tcPr>
          <w:p w14:paraId="180FCC07" w14:textId="468C4CE4" w:rsidR="00C93617" w:rsidRPr="003520DD" w:rsidRDefault="00C93617" w:rsidP="00C93617">
            <w:pPr>
              <w:spacing w:before="0" w:after="0"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DD">
              <w:rPr>
                <w:rFonts w:ascii="Times New Roman" w:hAnsi="Times New Roman"/>
                <w:sz w:val="24"/>
                <w:szCs w:val="24"/>
              </w:rPr>
              <w:t>$31.06</w:t>
            </w:r>
          </w:p>
        </w:tc>
        <w:tc>
          <w:tcPr>
            <w:tcW w:w="116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C0B979A" w14:textId="0F6EA8FD" w:rsidR="00C93617" w:rsidRPr="003520DD" w:rsidRDefault="00C93617" w:rsidP="00C93617">
            <w:pPr>
              <w:spacing w:before="0" w:after="0"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DD">
              <w:rPr>
                <w:rFonts w:ascii="Times New Roman" w:hAnsi="Times New Roman"/>
                <w:sz w:val="24"/>
                <w:szCs w:val="24"/>
              </w:rPr>
              <w:t>$19.17</w:t>
            </w:r>
          </w:p>
        </w:tc>
        <w:tc>
          <w:tcPr>
            <w:tcW w:w="1796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1F8E963" w14:textId="43329440" w:rsidR="00C93617" w:rsidRPr="003520DD" w:rsidRDefault="00C93617" w:rsidP="00C93617">
            <w:pPr>
              <w:spacing w:before="0" w:after="0"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D8D">
              <w:rPr>
                <w:rFonts w:ascii="Times New Roman" w:hAnsi="Times New Roman"/>
                <w:color w:val="000000"/>
                <w:sz w:val="24"/>
                <w:szCs w:val="24"/>
              </w:rPr>
              <w:t>02/01/2023</w:t>
            </w:r>
          </w:p>
        </w:tc>
      </w:tr>
      <w:tr w:rsidR="00C93617" w14:paraId="3F0D9B44" w14:textId="77777777" w:rsidTr="00956690">
        <w:tc>
          <w:tcPr>
            <w:tcW w:w="150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D84B113" w14:textId="409AF8A6" w:rsidR="00C93617" w:rsidRPr="003520DD" w:rsidRDefault="00C93617" w:rsidP="00C93617">
            <w:pPr>
              <w:spacing w:before="0" w:after="0"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DD">
              <w:rPr>
                <w:rFonts w:ascii="Times New Roman" w:hAnsi="Times New Roman"/>
                <w:sz w:val="24"/>
                <w:szCs w:val="24"/>
              </w:rPr>
              <w:t>G0313</w:t>
            </w:r>
          </w:p>
        </w:tc>
        <w:tc>
          <w:tcPr>
            <w:tcW w:w="481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68A037D" w14:textId="7CA64215" w:rsidR="00C93617" w:rsidRPr="003520DD" w:rsidRDefault="00C93617" w:rsidP="000736DF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DD">
              <w:rPr>
                <w:rFonts w:ascii="Times New Roman" w:hAnsi="Times New Roman"/>
                <w:sz w:val="24"/>
                <w:szCs w:val="24"/>
              </w:rPr>
              <w:t>Immunization counseling by a physician or other qualified health care professional when the vaccine(s) is not administered on the same date of service for ages under 21, 16-30 mins time.</w:t>
            </w:r>
          </w:p>
        </w:tc>
        <w:tc>
          <w:tcPr>
            <w:tcW w:w="10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</w:tcPr>
          <w:p w14:paraId="3E91DAD4" w14:textId="6D517655" w:rsidR="00C93617" w:rsidRPr="003520DD" w:rsidRDefault="00C93617" w:rsidP="00C93617">
            <w:pPr>
              <w:spacing w:before="0" w:after="0"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DD">
              <w:rPr>
                <w:rFonts w:ascii="Times New Roman" w:hAnsi="Times New Roman"/>
                <w:sz w:val="24"/>
                <w:szCs w:val="24"/>
              </w:rPr>
              <w:t>$50.81</w:t>
            </w:r>
          </w:p>
        </w:tc>
        <w:tc>
          <w:tcPr>
            <w:tcW w:w="116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7B4A73C" w14:textId="693595C2" w:rsidR="00C93617" w:rsidRPr="003520DD" w:rsidRDefault="00C93617" w:rsidP="00C93617">
            <w:pPr>
              <w:spacing w:before="0" w:after="0"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DD">
              <w:rPr>
                <w:rFonts w:ascii="Times New Roman" w:hAnsi="Times New Roman"/>
                <w:sz w:val="24"/>
                <w:szCs w:val="24"/>
              </w:rPr>
              <w:t>$39.21</w:t>
            </w:r>
          </w:p>
        </w:tc>
        <w:tc>
          <w:tcPr>
            <w:tcW w:w="1796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D2D5473" w14:textId="4D679FFC" w:rsidR="00C93617" w:rsidRPr="003520DD" w:rsidRDefault="00C93617" w:rsidP="00C93617">
            <w:pPr>
              <w:spacing w:before="0" w:after="0"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D8D">
              <w:rPr>
                <w:rFonts w:ascii="Times New Roman" w:hAnsi="Times New Roman"/>
                <w:color w:val="000000"/>
                <w:sz w:val="24"/>
                <w:szCs w:val="24"/>
              </w:rPr>
              <w:t>02/01/2023</w:t>
            </w:r>
          </w:p>
        </w:tc>
      </w:tr>
      <w:tr w:rsidR="00C93617" w14:paraId="2BD8CC05" w14:textId="77777777" w:rsidTr="00956690">
        <w:tc>
          <w:tcPr>
            <w:tcW w:w="150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80A513B" w14:textId="78D028E2" w:rsidR="00C93617" w:rsidRPr="003520DD" w:rsidRDefault="00C93617" w:rsidP="00C93617">
            <w:pPr>
              <w:spacing w:before="0" w:after="0"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DD">
              <w:rPr>
                <w:rFonts w:ascii="Times New Roman" w:hAnsi="Times New Roman"/>
                <w:sz w:val="24"/>
                <w:szCs w:val="24"/>
              </w:rPr>
              <w:t>G0314</w:t>
            </w:r>
          </w:p>
        </w:tc>
        <w:tc>
          <w:tcPr>
            <w:tcW w:w="481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EDAE987" w14:textId="7FBF681F" w:rsidR="00C93617" w:rsidRPr="003520DD" w:rsidRDefault="00C93617" w:rsidP="000736DF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DD">
              <w:rPr>
                <w:rFonts w:ascii="Times New Roman" w:hAnsi="Times New Roman"/>
                <w:sz w:val="24"/>
                <w:szCs w:val="24"/>
              </w:rPr>
              <w:t>Immunization counseling by a physician or other qualified health care professional for COVID-19, ages under 21, 16-30 mins time.</w:t>
            </w:r>
          </w:p>
        </w:tc>
        <w:tc>
          <w:tcPr>
            <w:tcW w:w="10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</w:tcPr>
          <w:p w14:paraId="0F72660B" w14:textId="6B27436E" w:rsidR="00C93617" w:rsidRPr="003520DD" w:rsidRDefault="00C93617" w:rsidP="00C93617">
            <w:pPr>
              <w:spacing w:before="0" w:after="0"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DD">
              <w:rPr>
                <w:rFonts w:ascii="Times New Roman" w:hAnsi="Times New Roman"/>
                <w:sz w:val="24"/>
                <w:szCs w:val="24"/>
              </w:rPr>
              <w:t>$50.81</w:t>
            </w:r>
          </w:p>
        </w:tc>
        <w:tc>
          <w:tcPr>
            <w:tcW w:w="116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F3D9025" w14:textId="6BCD1A02" w:rsidR="00C93617" w:rsidRPr="003520DD" w:rsidRDefault="00C93617" w:rsidP="00C93617">
            <w:pPr>
              <w:spacing w:before="0" w:after="0"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0DD">
              <w:rPr>
                <w:rFonts w:ascii="Times New Roman" w:hAnsi="Times New Roman"/>
                <w:sz w:val="24"/>
                <w:szCs w:val="24"/>
              </w:rPr>
              <w:t>$39.21</w:t>
            </w:r>
          </w:p>
        </w:tc>
        <w:tc>
          <w:tcPr>
            <w:tcW w:w="1796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9F0F44B" w14:textId="316F0F41" w:rsidR="00C93617" w:rsidRPr="003520DD" w:rsidRDefault="00C93617" w:rsidP="00C93617">
            <w:pPr>
              <w:spacing w:before="0" w:after="0"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495">
              <w:rPr>
                <w:rFonts w:ascii="Times New Roman" w:hAnsi="Times New Roman"/>
                <w:color w:val="000000"/>
                <w:sz w:val="24"/>
                <w:szCs w:val="24"/>
              </w:rPr>
              <w:t>02/01/2023</w:t>
            </w:r>
          </w:p>
        </w:tc>
      </w:tr>
      <w:tr w:rsidR="00C93617" w14:paraId="036A523F" w14:textId="77777777" w:rsidTr="00956690">
        <w:tc>
          <w:tcPr>
            <w:tcW w:w="150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EBC19AA" w14:textId="7BEF0339" w:rsidR="00C93617" w:rsidRPr="00304417" w:rsidRDefault="00C93617" w:rsidP="00C93617">
            <w:pPr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4417">
              <w:rPr>
                <w:rFonts w:ascii="Times New Roman" w:hAnsi="Times New Roman"/>
                <w:sz w:val="24"/>
                <w:szCs w:val="24"/>
              </w:rPr>
              <w:t>G0315</w:t>
            </w:r>
          </w:p>
        </w:tc>
        <w:tc>
          <w:tcPr>
            <w:tcW w:w="481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1318033" w14:textId="55F2125B" w:rsidR="00C93617" w:rsidRPr="00304417" w:rsidRDefault="00C93617" w:rsidP="000736DF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4417">
              <w:rPr>
                <w:rFonts w:ascii="Times New Roman" w:hAnsi="Times New Roman"/>
                <w:sz w:val="24"/>
                <w:szCs w:val="24"/>
              </w:rPr>
              <w:t>Immunization counseling by a physician or other qualified health care professional for COVID-19, ages under 21, 5-15 mins time.</w:t>
            </w:r>
          </w:p>
        </w:tc>
        <w:tc>
          <w:tcPr>
            <w:tcW w:w="10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</w:tcPr>
          <w:p w14:paraId="40D95C8F" w14:textId="4C88CDBF" w:rsidR="00C93617" w:rsidRPr="00304417" w:rsidRDefault="00C93617" w:rsidP="00C93617">
            <w:pPr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4417">
              <w:rPr>
                <w:rFonts w:ascii="Times New Roman" w:hAnsi="Times New Roman"/>
                <w:sz w:val="24"/>
                <w:szCs w:val="24"/>
              </w:rPr>
              <w:t>$31.06</w:t>
            </w:r>
          </w:p>
        </w:tc>
        <w:tc>
          <w:tcPr>
            <w:tcW w:w="116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30FFEAB" w14:textId="3749EEEE" w:rsidR="00C93617" w:rsidRPr="00304417" w:rsidRDefault="00C93617" w:rsidP="00C93617">
            <w:pPr>
              <w:spacing w:before="0"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4417">
              <w:rPr>
                <w:rFonts w:ascii="Times New Roman" w:hAnsi="Times New Roman"/>
                <w:sz w:val="24"/>
                <w:szCs w:val="24"/>
              </w:rPr>
              <w:t>$19.17</w:t>
            </w:r>
          </w:p>
        </w:tc>
        <w:tc>
          <w:tcPr>
            <w:tcW w:w="1796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7A9AD4E" w14:textId="4B33DF20" w:rsidR="00C93617" w:rsidRDefault="00C93617" w:rsidP="00C93617">
            <w:pPr>
              <w:spacing w:before="0" w:after="0" w:line="276" w:lineRule="auto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A3495">
              <w:rPr>
                <w:rFonts w:ascii="Times New Roman" w:hAnsi="Times New Roman"/>
                <w:color w:val="000000"/>
                <w:sz w:val="24"/>
                <w:szCs w:val="24"/>
              </w:rPr>
              <w:t>02/01/2023</w:t>
            </w:r>
          </w:p>
        </w:tc>
      </w:tr>
    </w:tbl>
    <w:p w14:paraId="19E92D1C" w14:textId="77777777" w:rsidR="006C7D51" w:rsidRDefault="006C7D51" w:rsidP="004C7060"/>
    <w:p w14:paraId="1BDE9B8E" w14:textId="722BEB27" w:rsidR="00A2632D" w:rsidRDefault="00045BBE" w:rsidP="004C7060">
      <w:r>
        <w:t xml:space="preserve">Physicians rendering these </w:t>
      </w:r>
      <w:r w:rsidR="00043699">
        <w:t>vaccine</w:t>
      </w:r>
      <w:r>
        <w:t xml:space="preserve"> counseling services must do so in accordance with all applicable laws</w:t>
      </w:r>
      <w:r w:rsidR="00CA12F9">
        <w:t>, regulations, and contracts,</w:t>
      </w:r>
      <w:r>
        <w:t xml:space="preserve"> including 130 CMR 433.000:  </w:t>
      </w:r>
      <w:r w:rsidRPr="00113A0C">
        <w:rPr>
          <w:i/>
          <w:iCs/>
        </w:rPr>
        <w:t>Physician Services</w:t>
      </w:r>
      <w:r w:rsidR="00CA12F9">
        <w:t xml:space="preserve">, 130 CMR 410.000:  </w:t>
      </w:r>
      <w:r w:rsidR="00CA12F9">
        <w:rPr>
          <w:i/>
          <w:iCs/>
        </w:rPr>
        <w:t>Outpatient Hospital Services</w:t>
      </w:r>
      <w:r w:rsidR="00CA12F9">
        <w:t>, and the Rate Year 202</w:t>
      </w:r>
      <w:r w:rsidR="008462A2">
        <w:t>2</w:t>
      </w:r>
      <w:r w:rsidR="00CA12F9">
        <w:t xml:space="preserve"> Acute Hospital Request for Applications and Contract, as amended</w:t>
      </w:r>
      <w:r>
        <w:t xml:space="preserve">. </w:t>
      </w:r>
      <w:r w:rsidR="004741C3">
        <w:t xml:space="preserve">CHCs rendering these COVID-19 counseling services must do so in accordance with all applicable laws and regulations, including 130 CMR 405.000:  </w:t>
      </w:r>
      <w:r w:rsidR="004741C3" w:rsidRPr="00113A0C">
        <w:rPr>
          <w:i/>
          <w:iCs/>
        </w:rPr>
        <w:t>Community Health Center Services</w:t>
      </w:r>
      <w:r w:rsidR="004741C3">
        <w:t xml:space="preserve">.  </w:t>
      </w:r>
    </w:p>
    <w:p w14:paraId="6AB6D58A" w14:textId="030A3E30" w:rsidR="00CD38C9" w:rsidRDefault="00A2632D" w:rsidP="004C7060">
      <w:r>
        <w:t xml:space="preserve">Providers </w:t>
      </w:r>
      <w:r w:rsidR="004741C3" w:rsidRPr="00837902">
        <w:t>may bill for</w:t>
      </w:r>
      <w:r w:rsidR="004A6DCE">
        <w:t xml:space="preserve"> either</w:t>
      </w:r>
      <w:r w:rsidR="004741C3" w:rsidRPr="00837902">
        <w:t xml:space="preserve"> an individual medical visit or </w:t>
      </w:r>
      <w:r>
        <w:t xml:space="preserve">vaccine </w:t>
      </w:r>
      <w:r w:rsidR="004741C3" w:rsidRPr="00837902">
        <w:t>counseling services, but may not bill for both in a single visit</w:t>
      </w:r>
      <w:r w:rsidR="004741C3">
        <w:t>.</w:t>
      </w:r>
      <w:r w:rsidR="00CD38C9">
        <w:t xml:space="preserve"> </w:t>
      </w:r>
      <w:r w:rsidR="00CD38C9" w:rsidRPr="00837902">
        <w:t>MassHealth will issue transmittal letters that formally add these codes to the relevant provider manuals.</w:t>
      </w:r>
    </w:p>
    <w:p w14:paraId="26F76707" w14:textId="4BA4AD88" w:rsidR="00956690" w:rsidRDefault="00956690" w:rsidP="00304417">
      <w:pPr>
        <w:spacing w:after="0" w:afterAutospacing="0"/>
      </w:pPr>
      <w:r>
        <w:t>Providers should not use codes</w:t>
      </w:r>
      <w:r w:rsidR="00CD38C9">
        <w:t xml:space="preserve"> 99401, 99402, 99403, and 99404</w:t>
      </w:r>
      <w:r>
        <w:t xml:space="preserve"> for vaccine counseling</w:t>
      </w:r>
      <w:r w:rsidR="008F4CB1">
        <w:t xml:space="preserve"> services</w:t>
      </w:r>
      <w:r>
        <w:t xml:space="preserve"> for dates of service on or after </w:t>
      </w:r>
      <w:r w:rsidR="004D2C9E">
        <w:t>February 1</w:t>
      </w:r>
      <w:r>
        <w:t>, 202</w:t>
      </w:r>
      <w:r w:rsidR="004D2C9E">
        <w:t>3</w:t>
      </w:r>
      <w:r>
        <w:t xml:space="preserve">.  </w:t>
      </w:r>
    </w:p>
    <w:p w14:paraId="784F3CC3" w14:textId="08CD9D3E" w:rsidR="00F664CC" w:rsidRPr="009901A7" w:rsidRDefault="00F664CC" w:rsidP="00837902">
      <w:pPr>
        <w:pStyle w:val="Heading2"/>
        <w:spacing w:after="100"/>
      </w:pPr>
      <w:r w:rsidRPr="009901A7">
        <w:t>MassHealth Website</w:t>
      </w:r>
      <w:r w:rsidR="001554E7">
        <w:t xml:space="preserve"> </w:t>
      </w:r>
    </w:p>
    <w:p w14:paraId="12DB03D9" w14:textId="3B007075" w:rsidR="00F664CC" w:rsidRPr="009901A7" w:rsidRDefault="00F664CC" w:rsidP="00E27CD8">
      <w:r w:rsidRPr="009901A7">
        <w:t xml:space="preserve">This bulletin is </w:t>
      </w:r>
      <w:r w:rsidR="008B6E51">
        <w:t>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7CFC6EA2" w:rsidR="00F664CC" w:rsidRPr="009901A7" w:rsidRDefault="00000000" w:rsidP="00E27CD8">
      <w:hyperlink r:id="rId14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6C55E321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35F7539D" w14:textId="77777777" w:rsidR="00D37F2E" w:rsidRDefault="00D37F2E" w:rsidP="00D37F2E">
      <w:pPr>
        <w:pStyle w:val="Heading3"/>
      </w:pPr>
      <w:r>
        <w:t>Dental Services</w:t>
      </w:r>
    </w:p>
    <w:p w14:paraId="6C4F73CB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(800) 207-5019; TTY: (800) 466-7566</w:t>
      </w:r>
    </w:p>
    <w:p w14:paraId="3F1A10B5" w14:textId="77777777" w:rsidR="00D37F2E" w:rsidRDefault="00D37F2E" w:rsidP="00D37F2E">
      <w:pPr>
        <w:pStyle w:val="Heading3"/>
      </w:pPr>
      <w:r>
        <w:t>Long-Term Services and Supports</w:t>
      </w:r>
    </w:p>
    <w:p w14:paraId="65FFC133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(844) 368-5184 (toll free)</w:t>
      </w:r>
    </w:p>
    <w:p w14:paraId="1FA3AC61" w14:textId="77E309D2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Email: </w:t>
      </w:r>
      <w:hyperlink r:id="rId15" w:history="1">
        <w:r w:rsidR="000F36DF" w:rsidRPr="00CA5C6F">
          <w:rPr>
            <w:rStyle w:val="Hyperlink"/>
          </w:rPr>
          <w:t>support@masshealthltss.com</w:t>
        </w:r>
      </w:hyperlink>
      <w:r w:rsidR="000F36DF">
        <w:t xml:space="preserve"> </w:t>
      </w:r>
    </w:p>
    <w:p w14:paraId="6518B976" w14:textId="50388378" w:rsidR="00D37F2E" w:rsidRDefault="00D37F2E" w:rsidP="00D37F2E">
      <w:pPr>
        <w:pStyle w:val="BodyTextIndent"/>
        <w:spacing w:before="0" w:after="0" w:afterAutospacing="0"/>
        <w:ind w:left="720"/>
      </w:pPr>
      <w:r>
        <w:t>Portal: MassHealthLTSS.com</w:t>
      </w:r>
    </w:p>
    <w:p w14:paraId="008FD4DD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Mail: MassHealth LTSS, PO Box 159108, Boston, MA 02215</w:t>
      </w:r>
    </w:p>
    <w:p w14:paraId="28E5D277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Fax: (888) 832-3006</w:t>
      </w:r>
    </w:p>
    <w:p w14:paraId="13C7F135" w14:textId="2237E427" w:rsidR="00D37F2E" w:rsidRDefault="00D37F2E" w:rsidP="00D37F2E">
      <w:pPr>
        <w:pStyle w:val="Heading3"/>
      </w:pPr>
      <w:r>
        <w:t>All Other Provider Types</w:t>
      </w:r>
    </w:p>
    <w:p w14:paraId="787D324A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(800) 841-2900; TTY: (800) 497-4648</w:t>
      </w:r>
    </w:p>
    <w:p w14:paraId="75FF33A2" w14:textId="2FD8D75F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Email: </w:t>
      </w:r>
      <w:hyperlink r:id="rId16" w:history="1">
        <w:r w:rsidRPr="007D567C">
          <w:rPr>
            <w:rStyle w:val="Hyperlink"/>
          </w:rPr>
          <w:t>providersupport@mahealth.net</w:t>
        </w:r>
      </w:hyperlink>
    </w:p>
    <w:p w14:paraId="5A6CC1EA" w14:textId="77777777" w:rsidR="00D37F2E" w:rsidRPr="00F664CC" w:rsidRDefault="00D37F2E" w:rsidP="00D37F2E">
      <w:pPr>
        <w:pStyle w:val="BodyTextIndent"/>
        <w:spacing w:before="0" w:after="0" w:afterAutospacing="0"/>
        <w:ind w:left="720"/>
      </w:pPr>
      <w:r>
        <w:t>Fax: (617) 988-8974</w:t>
      </w:r>
    </w:p>
    <w:p w14:paraId="195815C9" w14:textId="77777777" w:rsidR="00CC1E11" w:rsidRPr="00F664CC" w:rsidRDefault="00CC1E11" w:rsidP="00E27CD8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EB19" w14:textId="77777777" w:rsidR="009D7B24" w:rsidRDefault="009D7B24" w:rsidP="00E27CD8">
      <w:r>
        <w:separator/>
      </w:r>
    </w:p>
  </w:endnote>
  <w:endnote w:type="continuationSeparator" w:id="0">
    <w:p w14:paraId="06B1B165" w14:textId="77777777" w:rsidR="009D7B24" w:rsidRDefault="009D7B24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A610" w14:textId="77777777" w:rsidR="00CC1E11" w:rsidRPr="00CC1E11" w:rsidRDefault="00CC1E11" w:rsidP="008B04CE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E1C33" w14:textId="77777777" w:rsidR="009D7B24" w:rsidRDefault="009D7B24" w:rsidP="00E27CD8">
      <w:r>
        <w:separator/>
      </w:r>
    </w:p>
  </w:footnote>
  <w:footnote w:type="continuationSeparator" w:id="0">
    <w:p w14:paraId="07705721" w14:textId="77777777" w:rsidR="009D7B24" w:rsidRDefault="009D7B24" w:rsidP="00E27CD8">
      <w:r>
        <w:continuationSeparator/>
      </w:r>
    </w:p>
  </w:footnote>
  <w:footnote w:id="1">
    <w:p w14:paraId="1769CCCC" w14:textId="69497496" w:rsidR="00CD38C9" w:rsidRDefault="00CD38C9">
      <w:pPr>
        <w:pStyle w:val="FootnoteText"/>
      </w:pPr>
      <w:r>
        <w:rPr>
          <w:rStyle w:val="FootnoteReference"/>
        </w:rPr>
        <w:footnoteRef/>
      </w:r>
      <w:r>
        <w:t xml:space="preserve"> NFAC – “</w:t>
      </w:r>
      <w:proofErr w:type="spellStart"/>
      <w:r>
        <w:t>Nonfacility</w:t>
      </w:r>
      <w:proofErr w:type="spellEnd"/>
      <w:r w:rsidR="000736DF">
        <w:t xml:space="preserve">.” </w:t>
      </w:r>
      <w:r>
        <w:t xml:space="preserve">These amounts apply when the service is performed in a </w:t>
      </w:r>
      <w:proofErr w:type="spellStart"/>
      <w:r>
        <w:t>nonfacility</w:t>
      </w:r>
      <w:proofErr w:type="spellEnd"/>
      <w:r>
        <w:t xml:space="preserve"> setting.</w:t>
      </w:r>
    </w:p>
  </w:footnote>
  <w:footnote w:id="2">
    <w:p w14:paraId="6F6BDC21" w14:textId="23CD846F" w:rsidR="00CD38C9" w:rsidRDefault="00CD38C9">
      <w:pPr>
        <w:pStyle w:val="FootnoteText"/>
      </w:pPr>
      <w:r>
        <w:rPr>
          <w:rStyle w:val="FootnoteReference"/>
        </w:rPr>
        <w:footnoteRef/>
      </w:r>
      <w:r>
        <w:t xml:space="preserve"> FAC – “Facility.” These amounts, also known as the Facility Setting Fee, apply when the service is performed in a facility setting</w:t>
      </w:r>
      <w:r w:rsidR="000736D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42F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A62BA59" w14:textId="235CF339" w:rsidR="00AD204A" w:rsidRPr="00F664CC" w:rsidRDefault="00694FCE" w:rsidP="00AD204A">
    <w:pPr>
      <w:pStyle w:val="BullsHeading"/>
    </w:pPr>
    <w:r>
      <w:t>All Provider</w:t>
    </w:r>
    <w:r w:rsidR="00AD204A" w:rsidRPr="00F664CC">
      <w:t xml:space="preserve"> Bulletin</w:t>
    </w:r>
    <w:r w:rsidR="006C7D51">
      <w:t xml:space="preserve"> 362</w:t>
    </w:r>
  </w:p>
  <w:p w14:paraId="1893C03A" w14:textId="46B26E4B" w:rsidR="00AD204A" w:rsidRDefault="007D32E5" w:rsidP="00AD204A">
    <w:pPr>
      <w:pStyle w:val="BullsHeading"/>
    </w:pPr>
    <w:r>
      <w:t>March</w:t>
    </w:r>
    <w:r w:rsidR="00C93617">
      <w:t xml:space="preserve"> 2023</w:t>
    </w:r>
  </w:p>
  <w:p w14:paraId="77422704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E5175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6E5175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04677">
    <w:abstractNumId w:val="9"/>
  </w:num>
  <w:num w:numId="2" w16cid:durableId="843714792">
    <w:abstractNumId w:val="7"/>
  </w:num>
  <w:num w:numId="3" w16cid:durableId="516843980">
    <w:abstractNumId w:val="6"/>
  </w:num>
  <w:num w:numId="4" w16cid:durableId="1088619118">
    <w:abstractNumId w:val="5"/>
  </w:num>
  <w:num w:numId="5" w16cid:durableId="1436293386">
    <w:abstractNumId w:val="4"/>
  </w:num>
  <w:num w:numId="6" w16cid:durableId="1468931658">
    <w:abstractNumId w:val="8"/>
  </w:num>
  <w:num w:numId="7" w16cid:durableId="1597440740">
    <w:abstractNumId w:val="3"/>
  </w:num>
  <w:num w:numId="8" w16cid:durableId="2043091945">
    <w:abstractNumId w:val="2"/>
  </w:num>
  <w:num w:numId="9" w16cid:durableId="1101755218">
    <w:abstractNumId w:val="1"/>
  </w:num>
  <w:num w:numId="10" w16cid:durableId="163506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7E0"/>
    <w:rsid w:val="00002A9C"/>
    <w:rsid w:val="000049D1"/>
    <w:rsid w:val="00015992"/>
    <w:rsid w:val="0003134B"/>
    <w:rsid w:val="00043699"/>
    <w:rsid w:val="00045BBE"/>
    <w:rsid w:val="00056306"/>
    <w:rsid w:val="000736DF"/>
    <w:rsid w:val="000D3DB5"/>
    <w:rsid w:val="000F36DF"/>
    <w:rsid w:val="00113A0C"/>
    <w:rsid w:val="0012369E"/>
    <w:rsid w:val="0012453B"/>
    <w:rsid w:val="00150BCC"/>
    <w:rsid w:val="001554E7"/>
    <w:rsid w:val="001611A7"/>
    <w:rsid w:val="001634DD"/>
    <w:rsid w:val="0019100D"/>
    <w:rsid w:val="001D310B"/>
    <w:rsid w:val="001E023E"/>
    <w:rsid w:val="001E4F54"/>
    <w:rsid w:val="00221556"/>
    <w:rsid w:val="00232319"/>
    <w:rsid w:val="0028720F"/>
    <w:rsid w:val="002D39D9"/>
    <w:rsid w:val="002D4692"/>
    <w:rsid w:val="002F2993"/>
    <w:rsid w:val="00304417"/>
    <w:rsid w:val="00326197"/>
    <w:rsid w:val="003520DD"/>
    <w:rsid w:val="003A7588"/>
    <w:rsid w:val="003B0C0E"/>
    <w:rsid w:val="003B5806"/>
    <w:rsid w:val="003E151C"/>
    <w:rsid w:val="003E2878"/>
    <w:rsid w:val="00402A2C"/>
    <w:rsid w:val="00410BAE"/>
    <w:rsid w:val="00413F9E"/>
    <w:rsid w:val="004563A7"/>
    <w:rsid w:val="00473520"/>
    <w:rsid w:val="004741C3"/>
    <w:rsid w:val="00491682"/>
    <w:rsid w:val="004A690B"/>
    <w:rsid w:val="004A6DCE"/>
    <w:rsid w:val="004A7718"/>
    <w:rsid w:val="004B4B1F"/>
    <w:rsid w:val="004C7060"/>
    <w:rsid w:val="004D2C9E"/>
    <w:rsid w:val="004F4B9A"/>
    <w:rsid w:val="004F5920"/>
    <w:rsid w:val="005068BD"/>
    <w:rsid w:val="00507CFF"/>
    <w:rsid w:val="005167DC"/>
    <w:rsid w:val="00535EBB"/>
    <w:rsid w:val="00560CA0"/>
    <w:rsid w:val="00561FFE"/>
    <w:rsid w:val="0058634E"/>
    <w:rsid w:val="0059142C"/>
    <w:rsid w:val="005B27F1"/>
    <w:rsid w:val="005E4B62"/>
    <w:rsid w:val="005F2B69"/>
    <w:rsid w:val="00611871"/>
    <w:rsid w:val="0061596A"/>
    <w:rsid w:val="0068331E"/>
    <w:rsid w:val="0069080A"/>
    <w:rsid w:val="006941BF"/>
    <w:rsid w:val="00694FCE"/>
    <w:rsid w:val="00696EA9"/>
    <w:rsid w:val="006C70F9"/>
    <w:rsid w:val="006C7D51"/>
    <w:rsid w:val="006D3F15"/>
    <w:rsid w:val="006D4F32"/>
    <w:rsid w:val="006E336C"/>
    <w:rsid w:val="006E5175"/>
    <w:rsid w:val="00706438"/>
    <w:rsid w:val="0071623A"/>
    <w:rsid w:val="0073577E"/>
    <w:rsid w:val="00752471"/>
    <w:rsid w:val="007610F3"/>
    <w:rsid w:val="00777A22"/>
    <w:rsid w:val="00795E06"/>
    <w:rsid w:val="007D32E5"/>
    <w:rsid w:val="007D567C"/>
    <w:rsid w:val="007F7DBF"/>
    <w:rsid w:val="008201CC"/>
    <w:rsid w:val="00837902"/>
    <w:rsid w:val="008462A2"/>
    <w:rsid w:val="00863041"/>
    <w:rsid w:val="008B04CE"/>
    <w:rsid w:val="008B1847"/>
    <w:rsid w:val="008B5D3C"/>
    <w:rsid w:val="008B6E51"/>
    <w:rsid w:val="008D60BB"/>
    <w:rsid w:val="008F4CB1"/>
    <w:rsid w:val="00910375"/>
    <w:rsid w:val="00914588"/>
    <w:rsid w:val="00922F04"/>
    <w:rsid w:val="00944D63"/>
    <w:rsid w:val="00956690"/>
    <w:rsid w:val="009811A1"/>
    <w:rsid w:val="00982839"/>
    <w:rsid w:val="009A56CC"/>
    <w:rsid w:val="009D7B24"/>
    <w:rsid w:val="00A23BDB"/>
    <w:rsid w:val="00A2632D"/>
    <w:rsid w:val="00A772C1"/>
    <w:rsid w:val="00A95FC1"/>
    <w:rsid w:val="00AA6085"/>
    <w:rsid w:val="00AD204A"/>
    <w:rsid w:val="00AD6899"/>
    <w:rsid w:val="00AE0C69"/>
    <w:rsid w:val="00B453D0"/>
    <w:rsid w:val="00B5705A"/>
    <w:rsid w:val="00B73653"/>
    <w:rsid w:val="00B738E0"/>
    <w:rsid w:val="00BC3755"/>
    <w:rsid w:val="00BD2DAF"/>
    <w:rsid w:val="00C024A2"/>
    <w:rsid w:val="00C2511A"/>
    <w:rsid w:val="00C91021"/>
    <w:rsid w:val="00C93617"/>
    <w:rsid w:val="00CA12F9"/>
    <w:rsid w:val="00CA3247"/>
    <w:rsid w:val="00CC1E11"/>
    <w:rsid w:val="00CD38C9"/>
    <w:rsid w:val="00CD456D"/>
    <w:rsid w:val="00CF7C60"/>
    <w:rsid w:val="00D1095F"/>
    <w:rsid w:val="00D251FF"/>
    <w:rsid w:val="00D37F2E"/>
    <w:rsid w:val="00D50150"/>
    <w:rsid w:val="00D51393"/>
    <w:rsid w:val="00D53235"/>
    <w:rsid w:val="00D57CFD"/>
    <w:rsid w:val="00D769DD"/>
    <w:rsid w:val="00D96F70"/>
    <w:rsid w:val="00DF487B"/>
    <w:rsid w:val="00E00F45"/>
    <w:rsid w:val="00E01D80"/>
    <w:rsid w:val="00E27CD8"/>
    <w:rsid w:val="00E34DE6"/>
    <w:rsid w:val="00E443C5"/>
    <w:rsid w:val="00E96471"/>
    <w:rsid w:val="00EB7CCE"/>
    <w:rsid w:val="00ED497C"/>
    <w:rsid w:val="00F3277B"/>
    <w:rsid w:val="00F60574"/>
    <w:rsid w:val="00F664CC"/>
    <w:rsid w:val="00F73D6F"/>
    <w:rsid w:val="00F74F30"/>
    <w:rsid w:val="00F75983"/>
    <w:rsid w:val="00F91879"/>
    <w:rsid w:val="00FA3908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25F2E"/>
  <w15:docId w15:val="{E0D12E04-8A33-4A8E-8897-16D6138D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694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FCE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4F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95F"/>
    <w:pPr>
      <w:spacing w:before="120" w:after="100" w:afterAutospacing="1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95F"/>
    <w:rPr>
      <w:rFonts w:ascii="Georgia" w:eastAsia="Times New Roman" w:hAnsi="Georgia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669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38C9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38C9"/>
    <w:rPr>
      <w:rFonts w:ascii="Georgia" w:eastAsia="Times New Roman" w:hAnsi="Georg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38C9"/>
    <w:rPr>
      <w:vertAlign w:val="superscript"/>
    </w:rPr>
  </w:style>
  <w:style w:type="paragraph" w:styleId="Revision">
    <w:name w:val="Revision"/>
    <w:hidden/>
    <w:uiPriority w:val="99"/>
    <w:semiHidden/>
    <w:rsid w:val="00304417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all-provider-bulletin-321-coverage-and-reimbursement-policy-for-services-related-to-coronavirus-disease-2019-covid-19-vaccine-counseling-0/downloa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THoitink\Downloads\providersupport@mahealth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upport@masshealthltss.com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ass.gov/forms/email-notifications-for-masshealth-provider-bulletins-and-transmittal-lett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7EA38-DCB1-4F0D-86D2-3E4E44E4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2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Bentley, Bernadette M. (EHS)</cp:lastModifiedBy>
  <cp:revision>3</cp:revision>
  <dcterms:created xsi:type="dcterms:W3CDTF">2023-03-17T18:05:00Z</dcterms:created>
  <dcterms:modified xsi:type="dcterms:W3CDTF">2023-03-17T18:07:00Z</dcterms:modified>
</cp:coreProperties>
</file>