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522B84EF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6A97B18B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747C1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57859EC8" w:rsidR="00F664CC" w:rsidRPr="005B27F1" w:rsidRDefault="00613D30" w:rsidP="005B27F1">
      <w:pPr>
        <w:pStyle w:val="Heading1"/>
      </w:pPr>
      <w:r>
        <w:t xml:space="preserve">All Provider </w:t>
      </w:r>
      <w:r w:rsidR="00F664CC" w:rsidRPr="005B27F1">
        <w:t xml:space="preserve">Bulletin </w:t>
      </w:r>
      <w:r w:rsidR="004A7D52">
        <w:t>366</w:t>
      </w:r>
    </w:p>
    <w:p w14:paraId="4F33B7C5" w14:textId="48E837EE" w:rsidR="00F664CC" w:rsidRPr="00150BCC" w:rsidRDefault="00C41FD0" w:rsidP="009E3446">
      <w:pPr>
        <w:pStyle w:val="BullsHeading"/>
      </w:pPr>
      <w:r>
        <w:t xml:space="preserve">May </w:t>
      </w:r>
      <w:r w:rsidR="00613D30">
        <w:t>2023</w:t>
      </w:r>
    </w:p>
    <w:p w14:paraId="0E1DCE1F" w14:textId="1395AB5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397676D2" w:rsidR="00F664CC" w:rsidRPr="00F664CC" w:rsidRDefault="00F664CC" w:rsidP="009E3446">
      <w:r w:rsidRPr="00F664CC">
        <w:rPr>
          <w:b/>
        </w:rPr>
        <w:t>TO</w:t>
      </w:r>
      <w:r w:rsidRPr="00F664CC">
        <w:t>:</w:t>
      </w:r>
      <w:r>
        <w:tab/>
      </w:r>
      <w:r w:rsidR="00613D30">
        <w:t xml:space="preserve">All Providers </w:t>
      </w:r>
      <w:r w:rsidRPr="00F664CC">
        <w:t>Participating in MassHealth</w:t>
      </w:r>
    </w:p>
    <w:p w14:paraId="36385E61" w14:textId="17C7DDD0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747C17">
        <w:t xml:space="preserve"> [signature of Mike Levine]</w:t>
      </w:r>
    </w:p>
    <w:p w14:paraId="624445A1" w14:textId="48A638EB" w:rsidR="00A27E46" w:rsidRDefault="00F664CC" w:rsidP="008E1035">
      <w:pPr>
        <w:spacing w:after="0" w:afterAutospacing="0"/>
        <w:rPr>
          <w:b/>
        </w:rPr>
      </w:pPr>
      <w:r w:rsidRPr="00A27E46">
        <w:rPr>
          <w:b/>
        </w:rPr>
        <w:t>RE:</w:t>
      </w:r>
      <w:r w:rsidR="00BD2DAF" w:rsidRPr="00A27E46">
        <w:rPr>
          <w:b/>
        </w:rPr>
        <w:tab/>
      </w:r>
      <w:r w:rsidR="00A27E46" w:rsidRPr="00A27E46">
        <w:rPr>
          <w:b/>
        </w:rPr>
        <w:t xml:space="preserve">Drugs </w:t>
      </w:r>
      <w:r w:rsidR="008E1035">
        <w:rPr>
          <w:b/>
        </w:rPr>
        <w:t>D</w:t>
      </w:r>
      <w:r w:rsidR="00A27E46" w:rsidRPr="00A27E46">
        <w:rPr>
          <w:b/>
        </w:rPr>
        <w:t xml:space="preserve">esignated for </w:t>
      </w:r>
      <w:r w:rsidR="008E1035">
        <w:rPr>
          <w:b/>
        </w:rPr>
        <w:t>E</w:t>
      </w:r>
      <w:r w:rsidR="00A27E46" w:rsidRPr="00A27E46">
        <w:rPr>
          <w:b/>
        </w:rPr>
        <w:t xml:space="preserve">xclusion from 340B </w:t>
      </w:r>
      <w:r w:rsidR="008E1035">
        <w:rPr>
          <w:b/>
        </w:rPr>
        <w:t>C</w:t>
      </w:r>
      <w:r w:rsidR="00A27E46" w:rsidRPr="00A27E46">
        <w:rPr>
          <w:b/>
        </w:rPr>
        <w:t xml:space="preserve">overage </w:t>
      </w:r>
    </w:p>
    <w:p w14:paraId="5490AAA1" w14:textId="498B3466" w:rsidR="00F664CC" w:rsidRPr="005B27F1" w:rsidRDefault="00A27E46" w:rsidP="006B660C">
      <w:pPr>
        <w:pStyle w:val="Heading2"/>
      </w:pPr>
      <w:r>
        <w:t>Summary</w:t>
      </w:r>
    </w:p>
    <w:p w14:paraId="72CFFA40" w14:textId="7FF5D9FC" w:rsidR="00A27E46" w:rsidRPr="00A27E46" w:rsidRDefault="00A27E46" w:rsidP="00D25ED1">
      <w:pPr>
        <w:spacing w:after="80" w:afterAutospacing="0" w:line="280" w:lineRule="exact"/>
      </w:pPr>
      <w:r w:rsidRPr="00A27E46">
        <w:t xml:space="preserve">In accordance with M.G.L. c. 118E, §13L, 130 CMR 405.000: </w:t>
      </w:r>
      <w:r w:rsidRPr="008E1035">
        <w:rPr>
          <w:i/>
          <w:iCs/>
        </w:rPr>
        <w:t>Community Health Centers</w:t>
      </w:r>
      <w:r w:rsidRPr="00A27E46">
        <w:t xml:space="preserve">, 130 CMR 406.000: </w:t>
      </w:r>
      <w:r w:rsidRPr="008E1035">
        <w:rPr>
          <w:i/>
          <w:iCs/>
        </w:rPr>
        <w:t>Pharmacy Services</w:t>
      </w:r>
      <w:r w:rsidRPr="00A27E46">
        <w:t xml:space="preserve">, and 130 CMR 410.000: </w:t>
      </w:r>
      <w:r w:rsidRPr="008E1035">
        <w:rPr>
          <w:i/>
          <w:iCs/>
        </w:rPr>
        <w:t>Outpatient Hospital Services</w:t>
      </w:r>
      <w:r w:rsidRPr="00A27E46">
        <w:t xml:space="preserve">, MassHealth is providing notice to all providers utilizing 340B drugs that it is </w:t>
      </w:r>
      <w:r w:rsidR="00A83DDC">
        <w:t>limiting payment for</w:t>
      </w:r>
      <w:r w:rsidRPr="00A27E46">
        <w:t xml:space="preserve"> </w:t>
      </w:r>
      <w:r w:rsidR="00DD4AA1" w:rsidRPr="00A27E46">
        <w:t xml:space="preserve">the following drugs </w:t>
      </w:r>
      <w:r w:rsidRPr="00A27E46">
        <w:t>for MassHealth members</w:t>
      </w:r>
      <w:r w:rsidR="006D741F">
        <w:t xml:space="preserve"> when purchased</w:t>
      </w:r>
      <w:r w:rsidRPr="00A27E46">
        <w:t xml:space="preserve"> through the 340B Drug Pricing Program</w:t>
      </w:r>
      <w:r w:rsidR="00DD4AA1">
        <w:t>,</w:t>
      </w:r>
      <w:r w:rsidRPr="00A27E46">
        <w:t xml:space="preserve"> as defined in 130 CMR 406.402: </w:t>
      </w:r>
    </w:p>
    <w:p w14:paraId="2FC0536D" w14:textId="77777777" w:rsidR="00A27E46" w:rsidRPr="000705A4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0705A4">
        <w:rPr>
          <w:rFonts w:ascii="Georgia" w:hAnsi="Georgia" w:cs="Arial"/>
          <w:sz w:val="22"/>
          <w:szCs w:val="22"/>
        </w:rPr>
        <w:t>Abecma (idecabtagene vicleucel)</w:t>
      </w:r>
    </w:p>
    <w:p w14:paraId="004D3EEA" w14:textId="1D50F2D2" w:rsidR="00A27E46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0705A4">
        <w:rPr>
          <w:rFonts w:ascii="Georgia" w:hAnsi="Georgia" w:cs="Arial"/>
          <w:sz w:val="22"/>
          <w:szCs w:val="22"/>
        </w:rPr>
        <w:t xml:space="preserve">Breyanzi (lisocabtagene maraleucel) </w:t>
      </w:r>
    </w:p>
    <w:p w14:paraId="45801D1C" w14:textId="22D4ED5F" w:rsidR="00056921" w:rsidRDefault="00056921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BF0A14">
        <w:rPr>
          <w:rFonts w:ascii="Georgia" w:hAnsi="Georgia" w:cs="Arial"/>
          <w:sz w:val="22"/>
          <w:szCs w:val="22"/>
        </w:rPr>
        <w:t>Carvykti (ciltacabtagene autoleucel</w:t>
      </w:r>
      <w:r w:rsidR="00604B55">
        <w:rPr>
          <w:rFonts w:ascii="Georgia" w:hAnsi="Georgia" w:cs="Arial"/>
          <w:sz w:val="22"/>
          <w:szCs w:val="22"/>
        </w:rPr>
        <w:t>)</w:t>
      </w:r>
    </w:p>
    <w:p w14:paraId="2E7340F8" w14:textId="77777777" w:rsidR="00A27E46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0705A4">
        <w:rPr>
          <w:rFonts w:ascii="Georgia" w:hAnsi="Georgia" w:cs="Arial"/>
          <w:sz w:val="22"/>
          <w:szCs w:val="22"/>
        </w:rPr>
        <w:t xml:space="preserve">Kymriah (tisagenlecleucel) </w:t>
      </w:r>
    </w:p>
    <w:p w14:paraId="16903926" w14:textId="77777777" w:rsidR="00A27E46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0705A4">
        <w:rPr>
          <w:rFonts w:ascii="Georgia" w:hAnsi="Georgia" w:cs="Arial"/>
          <w:sz w:val="22"/>
          <w:szCs w:val="22"/>
        </w:rPr>
        <w:t xml:space="preserve">Tecartus (brexucabtagene autoleucel) </w:t>
      </w:r>
    </w:p>
    <w:p w14:paraId="35ED1A82" w14:textId="77777777" w:rsidR="00A27E46" w:rsidRPr="000705A4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0705A4">
        <w:rPr>
          <w:rFonts w:ascii="Georgia" w:hAnsi="Georgia" w:cs="Arial"/>
          <w:sz w:val="22"/>
          <w:szCs w:val="22"/>
        </w:rPr>
        <w:t xml:space="preserve">Yescarta (axicabtagene ciloleucel) </w:t>
      </w:r>
    </w:p>
    <w:p w14:paraId="641EAD70" w14:textId="77777777" w:rsidR="00A27E46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0705A4">
        <w:rPr>
          <w:rFonts w:ascii="Georgia" w:hAnsi="Georgia" w:cs="Arial"/>
          <w:sz w:val="22"/>
          <w:szCs w:val="22"/>
        </w:rPr>
        <w:t xml:space="preserve">Luxturna (voretigene neparvovec) </w:t>
      </w:r>
    </w:p>
    <w:p w14:paraId="07F09515" w14:textId="77777777" w:rsidR="00A27E46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Zolgensma (onasemnogene abeparvovec-xioi)</w:t>
      </w:r>
    </w:p>
    <w:p w14:paraId="3393EF9E" w14:textId="3039DE53" w:rsidR="00A27E46" w:rsidRPr="00112F13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bookmarkStart w:id="0" w:name="_Hlk124941432"/>
      <w:r w:rsidRPr="00112F13">
        <w:rPr>
          <w:rFonts w:ascii="Georgia" w:hAnsi="Georgia" w:cs="Arial"/>
          <w:sz w:val="22"/>
          <w:szCs w:val="22"/>
        </w:rPr>
        <w:t>Hemgenix (etranacogene dezaparvovec)</w:t>
      </w:r>
    </w:p>
    <w:p w14:paraId="4D5C4196" w14:textId="77777777" w:rsidR="00A27E46" w:rsidRPr="00112F13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112F13">
        <w:rPr>
          <w:rFonts w:ascii="Georgia" w:hAnsi="Georgia" w:cs="Arial"/>
          <w:sz w:val="22"/>
          <w:szCs w:val="22"/>
        </w:rPr>
        <w:t>Zynteglo (betibeglogene autotemcel)</w:t>
      </w:r>
    </w:p>
    <w:p w14:paraId="674CF261" w14:textId="77777777" w:rsidR="00A27E46" w:rsidRPr="00112F13" w:rsidRDefault="00A27E46" w:rsidP="00A27E46">
      <w:pPr>
        <w:pStyle w:val="ListParagraph"/>
        <w:numPr>
          <w:ilvl w:val="0"/>
          <w:numId w:val="11"/>
        </w:numPr>
        <w:spacing w:after="120"/>
        <w:ind w:right="720"/>
        <w:rPr>
          <w:rFonts w:ascii="Georgia" w:hAnsi="Georgia" w:cs="Arial"/>
          <w:sz w:val="22"/>
          <w:szCs w:val="22"/>
        </w:rPr>
      </w:pPr>
      <w:r w:rsidRPr="00112F13">
        <w:rPr>
          <w:rFonts w:ascii="Georgia" w:hAnsi="Georgia" w:cs="Arial"/>
          <w:sz w:val="22"/>
          <w:szCs w:val="22"/>
        </w:rPr>
        <w:t>Skysona (elivaldogene autotemcel)</w:t>
      </w:r>
    </w:p>
    <w:bookmarkEnd w:id="0"/>
    <w:p w14:paraId="31DE746C" w14:textId="77777777" w:rsidR="00313CA7" w:rsidRDefault="006D741F" w:rsidP="00D25ED1">
      <w:pPr>
        <w:spacing w:after="120" w:afterAutospacing="0" w:line="280" w:lineRule="exact"/>
      </w:pPr>
      <w:r>
        <w:t xml:space="preserve">MassHealth will continue to </w:t>
      </w:r>
      <w:r w:rsidR="00A83DDC">
        <w:t>pay providers for</w:t>
      </w:r>
      <w:r>
        <w:t xml:space="preserve"> these drugs for MassHealth</w:t>
      </w:r>
      <w:r w:rsidR="00A83DDC">
        <w:t xml:space="preserve"> members</w:t>
      </w:r>
      <w:r>
        <w:t xml:space="preserve"> when purchased outside of the 340B Drug Pricing Program. </w:t>
      </w:r>
      <w:r w:rsidR="00A27E46" w:rsidRPr="00A27E46">
        <w:t xml:space="preserve">Each of these drugs is </w:t>
      </w:r>
      <w:r w:rsidR="00E839D5">
        <w:t xml:space="preserve">or </w:t>
      </w:r>
      <w:r w:rsidR="00907922">
        <w:t xml:space="preserve">is expected to </w:t>
      </w:r>
      <w:r w:rsidR="00E839D5">
        <w:t>be</w:t>
      </w:r>
      <w:r w:rsidR="00E839D5" w:rsidRPr="00A27E46">
        <w:t xml:space="preserve"> </w:t>
      </w:r>
      <w:r w:rsidR="00A27E46" w:rsidRPr="00A27E46">
        <w:t xml:space="preserve">listed on the </w:t>
      </w:r>
      <w:r w:rsidR="008E1035">
        <w:t xml:space="preserve">MassHealth </w:t>
      </w:r>
      <w:r w:rsidR="00A27E46" w:rsidRPr="00A27E46">
        <w:t xml:space="preserve">Acute Hospital Carve-Out Drugs List section in the MassHealth Drug List. </w:t>
      </w:r>
    </w:p>
    <w:p w14:paraId="1948CF21" w14:textId="3712DFE2" w:rsidR="00A27E46" w:rsidRPr="00A27E46" w:rsidRDefault="00313CA7" w:rsidP="00D25ED1">
      <w:pPr>
        <w:spacing w:after="120" w:afterAutospacing="0" w:line="280" w:lineRule="exact"/>
      </w:pPr>
      <w:r>
        <w:t xml:space="preserve">When the exclusion is </w:t>
      </w:r>
      <w:r w:rsidR="00A27E46" w:rsidRPr="00A27E46">
        <w:t xml:space="preserve">implemented, </w:t>
      </w:r>
      <w:r w:rsidR="006D741F">
        <w:t xml:space="preserve">payment will only be available from MassHealth when </w:t>
      </w:r>
      <w:r w:rsidR="00A27E46" w:rsidRPr="00A27E46">
        <w:t xml:space="preserve">providers use non-340B stock for the drugs </w:t>
      </w:r>
      <w:r w:rsidR="008E1035" w:rsidRPr="00A27E46">
        <w:t xml:space="preserve">designated </w:t>
      </w:r>
      <w:r w:rsidR="00A27E46" w:rsidRPr="00A27E46">
        <w:t>above</w:t>
      </w:r>
      <w:r w:rsidR="006D741F">
        <w:t xml:space="preserve"> when such drugs are provided to MassHealth members</w:t>
      </w:r>
      <w:r w:rsidR="00A27E46" w:rsidRPr="00A27E46">
        <w:t>.</w:t>
      </w:r>
      <w:r w:rsidR="006D741F">
        <w:t xml:space="preserve"> Providers may continue to provide 340B stock for these drugs to eligible patients who are not MassHealth members.</w:t>
      </w:r>
      <w:r w:rsidR="00A27E46" w:rsidRPr="00A27E46">
        <w:t xml:space="preserve"> </w:t>
      </w:r>
    </w:p>
    <w:p w14:paraId="193EED5F" w14:textId="0FB68453" w:rsidR="00A27E46" w:rsidRPr="00A27E46" w:rsidRDefault="00A27E46" w:rsidP="009E3446">
      <w:pPr>
        <w:spacing w:after="120" w:afterAutospacing="0"/>
        <w:rPr>
          <w:rFonts w:cs="Calibri"/>
          <w:color w:val="222222"/>
        </w:rPr>
      </w:pPr>
      <w:bookmarkStart w:id="1" w:name="_Hlk134011359"/>
      <w:r w:rsidRPr="00A27E46">
        <w:t>MassHealth</w:t>
      </w:r>
      <w:r w:rsidRPr="00A27E46">
        <w:rPr>
          <w:rFonts w:cs="Calibri"/>
          <w:color w:val="222222"/>
        </w:rPr>
        <w:t xml:space="preserve"> will implement this exclusion no sooner than </w:t>
      </w:r>
      <w:r w:rsidR="001F2C3C">
        <w:rPr>
          <w:rFonts w:cs="Calibri"/>
          <w:color w:val="222222"/>
        </w:rPr>
        <w:t>November 15, 2023</w:t>
      </w:r>
      <w:r w:rsidRPr="00A27E46">
        <w:rPr>
          <w:rFonts w:cs="Calibri"/>
          <w:color w:val="222222"/>
        </w:rPr>
        <w:t xml:space="preserve">. </w:t>
      </w:r>
    </w:p>
    <w:bookmarkEnd w:id="1"/>
    <w:p w14:paraId="62946ABF" w14:textId="1056C128" w:rsidR="00A27E46" w:rsidRDefault="00A27E46" w:rsidP="006B660C">
      <w:pPr>
        <w:pStyle w:val="Heading2"/>
      </w:pPr>
      <w:r>
        <w:t xml:space="preserve">Information </w:t>
      </w:r>
      <w:r w:rsidR="00461CBE">
        <w:t>N</w:t>
      </w:r>
      <w:r>
        <w:t>eeded</w:t>
      </w:r>
    </w:p>
    <w:p w14:paraId="753368A7" w14:textId="10936FAB" w:rsidR="00EF5061" w:rsidRDefault="009E3446" w:rsidP="009E3446">
      <w:pPr>
        <w:spacing w:after="120" w:afterAutospacing="0"/>
      </w:pPr>
      <w:r w:rsidRPr="009E3446">
        <w:t xml:space="preserve">In order to better understand how this exclusion will affect providers, MassHealth invites input from affected providers. </w:t>
      </w:r>
      <w:r w:rsidR="00EF5061">
        <w:t xml:space="preserve">Please send any input regarding this policy in the format described </w:t>
      </w:r>
      <w:r w:rsidR="0044352B">
        <w:t>below</w:t>
      </w:r>
      <w:r w:rsidR="00EF5061">
        <w:t xml:space="preserve"> to</w:t>
      </w:r>
      <w:r w:rsidR="00EF5061" w:rsidRPr="004248E3">
        <w:t xml:space="preserve"> </w:t>
      </w:r>
      <w:hyperlink r:id="rId11" w:history="1">
        <w:r w:rsidR="00EF5061" w:rsidRPr="00112F13">
          <w:rPr>
            <w:rStyle w:val="Hyperlink"/>
          </w:rPr>
          <w:t>masshealthpublicnotice@mass.gov</w:t>
        </w:r>
      </w:hyperlink>
      <w:r w:rsidR="00EF5061">
        <w:t xml:space="preserve"> no later than June 2, 2023.</w:t>
      </w:r>
    </w:p>
    <w:p w14:paraId="5318FC32" w14:textId="77777777" w:rsidR="0044352B" w:rsidRDefault="0044352B" w:rsidP="009E3446">
      <w:pPr>
        <w:spacing w:after="120" w:afterAutospacing="0"/>
      </w:pPr>
      <w:r>
        <w:br w:type="page"/>
      </w:r>
    </w:p>
    <w:p w14:paraId="006C1691" w14:textId="574D7F49" w:rsidR="009E3446" w:rsidRDefault="008E1035" w:rsidP="009E3446">
      <w:pPr>
        <w:spacing w:after="120" w:afterAutospacing="0"/>
      </w:pPr>
      <w:r>
        <w:lastRenderedPageBreak/>
        <w:t>T</w:t>
      </w:r>
      <w:r w:rsidR="009E3446" w:rsidRPr="009E3446">
        <w:t xml:space="preserve">o assist in review, MassHealth </w:t>
      </w:r>
      <w:r>
        <w:t>asks that</w:t>
      </w:r>
      <w:r w:rsidRPr="009E3446">
        <w:t xml:space="preserve"> </w:t>
      </w:r>
      <w:r w:rsidR="009E3446" w:rsidRPr="009E3446">
        <w:t>input be provided in the following format, though providers can provide input in an alternative format if necessary.</w:t>
      </w:r>
    </w:p>
    <w:p w14:paraId="4DAA5E37" w14:textId="77777777" w:rsidR="009E3446" w:rsidRPr="00DC4DC4" w:rsidRDefault="009E3446" w:rsidP="009E3446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C4DC4">
        <w:rPr>
          <w:rFonts w:ascii="Georgia" w:hAnsi="Georgia" w:cs="Arial"/>
          <w:sz w:val="22"/>
          <w:szCs w:val="22"/>
        </w:rPr>
        <w:t>Plan (MCO/FFS)</w:t>
      </w:r>
    </w:p>
    <w:p w14:paraId="1BED4965" w14:textId="77777777" w:rsidR="009E3446" w:rsidRPr="00DC4DC4" w:rsidRDefault="009E3446" w:rsidP="009E3446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C4DC4">
        <w:rPr>
          <w:rFonts w:ascii="Georgia" w:hAnsi="Georgia" w:cs="Arial"/>
          <w:sz w:val="22"/>
          <w:szCs w:val="22"/>
        </w:rPr>
        <w:t>ICN/TCN</w:t>
      </w:r>
    </w:p>
    <w:p w14:paraId="79257803" w14:textId="38645BF4" w:rsidR="009E3446" w:rsidRPr="00DC4DC4" w:rsidRDefault="009E3446" w:rsidP="009E3446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C4DC4">
        <w:rPr>
          <w:rFonts w:ascii="Georgia" w:hAnsi="Georgia" w:cs="Arial"/>
          <w:sz w:val="22"/>
          <w:szCs w:val="22"/>
        </w:rPr>
        <w:t>NDC</w:t>
      </w:r>
    </w:p>
    <w:p w14:paraId="5475F91F" w14:textId="77777777" w:rsidR="00AB730F" w:rsidRPr="00EF5061" w:rsidRDefault="00AB730F" w:rsidP="00EF5061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EF5061">
        <w:rPr>
          <w:rFonts w:ascii="Georgia" w:hAnsi="Georgia" w:cs="Arial"/>
          <w:sz w:val="22"/>
          <w:szCs w:val="22"/>
        </w:rPr>
        <w:t>Drug name</w:t>
      </w:r>
    </w:p>
    <w:p w14:paraId="367543F2" w14:textId="0A6B6107" w:rsidR="00D25ED1" w:rsidRPr="00DC4DC4" w:rsidRDefault="00D25ED1" w:rsidP="00D25ED1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C4DC4">
        <w:rPr>
          <w:rFonts w:ascii="Georgia" w:hAnsi="Georgia" w:cs="Arial"/>
          <w:sz w:val="22"/>
          <w:szCs w:val="22"/>
        </w:rPr>
        <w:t>Amount paid</w:t>
      </w:r>
    </w:p>
    <w:p w14:paraId="015A1961" w14:textId="77777777" w:rsidR="009E3446" w:rsidRPr="00DC4DC4" w:rsidRDefault="009E3446" w:rsidP="009E3446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Q</w:t>
      </w:r>
      <w:r w:rsidRPr="00DC4DC4">
        <w:rPr>
          <w:rFonts w:ascii="Georgia" w:hAnsi="Georgia" w:cs="Arial"/>
          <w:sz w:val="22"/>
          <w:szCs w:val="22"/>
        </w:rPr>
        <w:t>uantity</w:t>
      </w:r>
    </w:p>
    <w:p w14:paraId="788C58C1" w14:textId="77777777" w:rsidR="009E3446" w:rsidRPr="00DC4DC4" w:rsidRDefault="009E3446" w:rsidP="009E3446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C4DC4">
        <w:rPr>
          <w:rFonts w:ascii="Georgia" w:hAnsi="Georgia" w:cs="Arial"/>
          <w:sz w:val="22"/>
          <w:szCs w:val="22"/>
        </w:rPr>
        <w:t>340</w:t>
      </w:r>
      <w:r>
        <w:rPr>
          <w:rFonts w:ascii="Georgia" w:hAnsi="Georgia" w:cs="Arial"/>
          <w:sz w:val="22"/>
          <w:szCs w:val="22"/>
        </w:rPr>
        <w:t>B</w:t>
      </w:r>
      <w:r w:rsidRPr="00DC4DC4">
        <w:rPr>
          <w:rFonts w:ascii="Georgia" w:hAnsi="Georgia" w:cs="Arial"/>
          <w:sz w:val="22"/>
          <w:szCs w:val="22"/>
        </w:rPr>
        <w:t xml:space="preserve"> acquisition cost</w:t>
      </w:r>
    </w:p>
    <w:p w14:paraId="3B35DEFF" w14:textId="77777777" w:rsidR="009E3446" w:rsidRPr="00DC4DC4" w:rsidRDefault="009E3446" w:rsidP="009E3446">
      <w:pPr>
        <w:pStyle w:val="ListParagraph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</w:t>
      </w:r>
      <w:r w:rsidRPr="00DC4DC4">
        <w:rPr>
          <w:rFonts w:ascii="Georgia" w:hAnsi="Georgia" w:cs="Arial"/>
          <w:sz w:val="22"/>
          <w:szCs w:val="22"/>
        </w:rPr>
        <w:t>otential loss</w:t>
      </w:r>
    </w:p>
    <w:p w14:paraId="4FAC22AC" w14:textId="1757BBF0" w:rsidR="009E3446" w:rsidRDefault="00D410EF" w:rsidP="0044352B">
      <w:pPr>
        <w:spacing w:after="120" w:afterAutospacing="0" w:line="280" w:lineRule="exact"/>
      </w:pPr>
      <w:r>
        <w:t>Each of</w:t>
      </w:r>
      <w:r w:rsidR="009E3446">
        <w:t xml:space="preserve"> the</w:t>
      </w:r>
      <w:r w:rsidR="000B3E75">
        <w:t xml:space="preserve"> </w:t>
      </w:r>
      <w:r w:rsidR="00313CA7">
        <w:t xml:space="preserve">11 </w:t>
      </w:r>
      <w:r w:rsidR="000B3E75">
        <w:t xml:space="preserve">affected </w:t>
      </w:r>
      <w:r w:rsidR="009E3446">
        <w:t xml:space="preserve">drugs </w:t>
      </w:r>
      <w:r w:rsidR="00EF5061" w:rsidRPr="00A27E46">
        <w:t xml:space="preserve">is </w:t>
      </w:r>
      <w:r w:rsidR="00EF5061">
        <w:t>or is expected to be</w:t>
      </w:r>
      <w:r w:rsidR="00EF5061" w:rsidRPr="00A27E46">
        <w:t xml:space="preserve"> listed </w:t>
      </w:r>
      <w:r w:rsidR="009E3446" w:rsidRPr="00112F13">
        <w:t>on the Acute Hospital Carve-Out Drugs List</w:t>
      </w:r>
      <w:r w:rsidR="006D741F">
        <w:t>.</w:t>
      </w:r>
      <w:r w:rsidR="00305F87">
        <w:t xml:space="preserve"> </w:t>
      </w:r>
      <w:r w:rsidR="009E3446">
        <w:t>MassHealth pays the actual acquisition cost for such drugs regardless of whether the drug is acquired through the 340B Drug Pricing Program</w:t>
      </w:r>
      <w:r w:rsidR="008E1035">
        <w:t xml:space="preserve">. MassHealth </w:t>
      </w:r>
      <w:r w:rsidR="006D741F">
        <w:t xml:space="preserve">will </w:t>
      </w:r>
      <w:r w:rsidR="009E3446">
        <w:t>continue</w:t>
      </w:r>
      <w:r w:rsidR="006D741F">
        <w:t xml:space="preserve"> </w:t>
      </w:r>
      <w:r w:rsidR="00313CA7">
        <w:t xml:space="preserve">to </w:t>
      </w:r>
      <w:r w:rsidR="006D741F">
        <w:t>pay providers</w:t>
      </w:r>
      <w:r w:rsidR="009E3446">
        <w:t xml:space="preserve"> the actual acquisition cost</w:t>
      </w:r>
      <w:r w:rsidR="006D741F">
        <w:t xml:space="preserve"> for such drugs after this policy is implemented</w:t>
      </w:r>
      <w:r w:rsidR="009E3446">
        <w:t xml:space="preserve">. </w:t>
      </w:r>
      <w:r w:rsidR="005B088A">
        <w:t xml:space="preserve">Providers </w:t>
      </w:r>
      <w:r w:rsidR="005B088A" w:rsidRPr="00BF0A14">
        <w:t xml:space="preserve">will pay more to purchase the drug outside of the 340B Drug Pricing Program but will be reimbursed at a corresponding higher amount. As such, </w:t>
      </w:r>
      <w:r w:rsidR="002E1E3D">
        <w:t xml:space="preserve">MassHealth expects that </w:t>
      </w:r>
      <w:r w:rsidR="005B088A" w:rsidRPr="00BF0A14">
        <w:t>any fiscal impact of this policy is limited to temporary cash-flow impact.</w:t>
      </w:r>
      <w:r w:rsidR="005B088A">
        <w:rPr>
          <w:rFonts w:ascii="Arial" w:hAnsi="Arial" w:cs="Arial"/>
          <w:color w:val="FF0000"/>
        </w:rPr>
        <w:t xml:space="preserve"> </w:t>
      </w:r>
    </w:p>
    <w:p w14:paraId="784F3CC3" w14:textId="77777777" w:rsidR="00F664CC" w:rsidRPr="006B660C" w:rsidRDefault="00F664CC" w:rsidP="006B660C">
      <w:pPr>
        <w:pStyle w:val="Heading2"/>
      </w:pPr>
      <w:r w:rsidRPr="006B660C">
        <w:t>MassHealth Website</w:t>
      </w:r>
      <w:r w:rsidR="001554E7" w:rsidRPr="006B660C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747C17" w:rsidP="00E27CD8">
      <w:hyperlink r:id="rId13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132EEB1" w:rsidR="00F664CC" w:rsidRDefault="00F664CC" w:rsidP="006B660C">
      <w:pPr>
        <w:pStyle w:val="Heading2"/>
      </w:pPr>
      <w:r w:rsidRPr="009901A7">
        <w:t>Questions</w:t>
      </w:r>
      <w:r w:rsidR="001554E7">
        <w:t xml:space="preserve"> </w:t>
      </w:r>
    </w:p>
    <w:p w14:paraId="356CF717" w14:textId="77777777" w:rsidR="00313CA7" w:rsidRPr="006B660C" w:rsidRDefault="00313CA7" w:rsidP="006B660C">
      <w:pPr>
        <w:pStyle w:val="Heading3"/>
      </w:pPr>
      <w:r w:rsidRPr="006B660C">
        <w:t>Dental Services</w:t>
      </w:r>
    </w:p>
    <w:p w14:paraId="304FFF41" w14:textId="7047FA96" w:rsidR="00313CA7" w:rsidRDefault="00313CA7" w:rsidP="00313CA7">
      <w:pPr>
        <w:pStyle w:val="BodyTextIndent"/>
        <w:spacing w:before="0" w:after="0" w:afterAutospacing="0"/>
        <w:ind w:left="720"/>
      </w:pPr>
      <w:r>
        <w:t>Phone: (800) 207-5019</w:t>
      </w:r>
      <w:r w:rsidR="0044352B">
        <w:t>,</w:t>
      </w:r>
      <w:r>
        <w:t xml:space="preserve"> TTY: (800) 466-7566</w:t>
      </w:r>
    </w:p>
    <w:p w14:paraId="0800288C" w14:textId="77777777" w:rsidR="00313CA7" w:rsidRDefault="00313CA7" w:rsidP="006B660C">
      <w:pPr>
        <w:pStyle w:val="Heading3"/>
      </w:pPr>
      <w:r>
        <w:t>Long-Term Services and Supports</w:t>
      </w:r>
    </w:p>
    <w:p w14:paraId="092044BA" w14:textId="6098E480" w:rsidR="00313CA7" w:rsidRDefault="00313CA7" w:rsidP="000F7356">
      <w:pPr>
        <w:pStyle w:val="BodyTextIndent"/>
        <w:spacing w:before="0" w:after="80" w:afterAutospacing="0"/>
        <w:ind w:left="720"/>
      </w:pPr>
      <w:r>
        <w:t>Phone:</w:t>
      </w:r>
      <w:r w:rsidR="006B660C">
        <w:tab/>
      </w:r>
      <w:r>
        <w:t>(844) 368-5184 (toll free)</w:t>
      </w:r>
    </w:p>
    <w:p w14:paraId="35F93A16" w14:textId="20418736" w:rsidR="00313CA7" w:rsidRDefault="00313CA7" w:rsidP="000F7356">
      <w:pPr>
        <w:pStyle w:val="BodyTextIndent"/>
        <w:spacing w:before="0" w:after="80" w:afterAutospacing="0"/>
        <w:ind w:left="720"/>
      </w:pPr>
      <w:r>
        <w:t>Email:</w:t>
      </w:r>
      <w:r w:rsidR="006B660C">
        <w:tab/>
      </w:r>
      <w:hyperlink r:id="rId14" w:history="1">
        <w:r w:rsidRPr="00CE147C">
          <w:rPr>
            <w:rStyle w:val="Hyperlink"/>
          </w:rPr>
          <w:t>support@masshealthltss.com</w:t>
        </w:r>
      </w:hyperlink>
    </w:p>
    <w:p w14:paraId="35361F68" w14:textId="7653D793" w:rsidR="00313CA7" w:rsidRDefault="00313CA7" w:rsidP="000F7356">
      <w:pPr>
        <w:pStyle w:val="BodyTextIndent"/>
        <w:spacing w:before="0" w:after="80" w:afterAutospacing="0"/>
        <w:ind w:left="720"/>
      </w:pPr>
      <w:r>
        <w:t>Portal:</w:t>
      </w:r>
      <w:r w:rsidR="006B660C">
        <w:tab/>
      </w:r>
      <w:hyperlink r:id="rId15" w:history="1">
        <w:r w:rsidR="000F7356" w:rsidRPr="00CE147C">
          <w:rPr>
            <w:rStyle w:val="Hyperlink"/>
          </w:rPr>
          <w:t>www.MassHealthLTSS.com</w:t>
        </w:r>
      </w:hyperlink>
    </w:p>
    <w:p w14:paraId="23A39655" w14:textId="66B0B903" w:rsidR="00313CA7" w:rsidRDefault="00313CA7" w:rsidP="00313CA7">
      <w:pPr>
        <w:pStyle w:val="BodyTextIndent"/>
        <w:spacing w:before="0" w:after="0" w:afterAutospacing="0"/>
        <w:ind w:left="720"/>
      </w:pPr>
      <w:r>
        <w:t>Mail:</w:t>
      </w:r>
      <w:r>
        <w:tab/>
        <w:t>MassHealth LTSS</w:t>
      </w:r>
    </w:p>
    <w:p w14:paraId="2CD9416F" w14:textId="77777777" w:rsidR="00313CA7" w:rsidRDefault="00313CA7" w:rsidP="00313CA7">
      <w:pPr>
        <w:pStyle w:val="BodyTextIndent"/>
        <w:spacing w:before="0" w:after="0" w:afterAutospacing="0"/>
        <w:ind w:left="720" w:firstLine="720"/>
      </w:pPr>
      <w:r>
        <w:t>PO Box 159108</w:t>
      </w:r>
    </w:p>
    <w:p w14:paraId="785FA235" w14:textId="6F075A55" w:rsidR="00313CA7" w:rsidRDefault="00313CA7" w:rsidP="000F7356">
      <w:pPr>
        <w:pStyle w:val="BodyTextIndent"/>
        <w:spacing w:before="0" w:after="80" w:afterAutospacing="0"/>
        <w:ind w:left="720" w:firstLine="720"/>
      </w:pPr>
      <w:r>
        <w:t>Boston, MA 02215</w:t>
      </w:r>
    </w:p>
    <w:p w14:paraId="07DECBC2" w14:textId="77777777" w:rsidR="00313CA7" w:rsidRDefault="00313CA7" w:rsidP="00313CA7">
      <w:pPr>
        <w:pStyle w:val="BodyTextIndent"/>
        <w:spacing w:before="0" w:after="0" w:afterAutospacing="0"/>
        <w:ind w:left="720"/>
      </w:pPr>
      <w:r>
        <w:t>Fax: (888) 832-3006</w:t>
      </w:r>
    </w:p>
    <w:p w14:paraId="093B98BD" w14:textId="77777777" w:rsidR="00313CA7" w:rsidRDefault="00313CA7" w:rsidP="006B660C">
      <w:pPr>
        <w:pStyle w:val="Heading3"/>
      </w:pPr>
      <w:r>
        <w:t>All Other Provider Types</w:t>
      </w:r>
    </w:p>
    <w:p w14:paraId="4E5F342B" w14:textId="6C1AA373" w:rsidR="00313CA7" w:rsidRDefault="00313CA7" w:rsidP="000F7356">
      <w:pPr>
        <w:pStyle w:val="BodyTextIndent"/>
        <w:spacing w:before="0" w:after="80" w:afterAutospacing="0"/>
        <w:ind w:left="720"/>
      </w:pPr>
      <w:r>
        <w:t>Phone: (800) 841-2900, TDD/TTY: 711</w:t>
      </w:r>
    </w:p>
    <w:p w14:paraId="195815C9" w14:textId="14654E0C" w:rsidR="00CC1E11" w:rsidRPr="00F664CC" w:rsidRDefault="00313CA7" w:rsidP="0044352B">
      <w:pPr>
        <w:pStyle w:val="BodyTextIndent"/>
        <w:spacing w:before="0" w:after="0" w:afterAutospacing="0"/>
        <w:ind w:left="720"/>
      </w:pPr>
      <w:r>
        <w:t xml:space="preserve">Email: </w:t>
      </w:r>
      <w:hyperlink r:id="rId16" w:history="1">
        <w:r>
          <w:rPr>
            <w:rStyle w:val="Hyperlink"/>
          </w:rPr>
          <w:t>provider@masshealthquestions.com</w:t>
        </w:r>
      </w:hyperlink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DEFB" w14:textId="77777777" w:rsidR="00ED6B8A" w:rsidRDefault="00ED6B8A" w:rsidP="00E27CD8">
      <w:r>
        <w:separator/>
      </w:r>
    </w:p>
  </w:endnote>
  <w:endnote w:type="continuationSeparator" w:id="0">
    <w:p w14:paraId="5C041FB0" w14:textId="77777777" w:rsidR="00ED6B8A" w:rsidRDefault="00ED6B8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86A8" w14:textId="77777777" w:rsidR="00ED6B8A" w:rsidRDefault="00ED6B8A" w:rsidP="00E27CD8">
      <w:r>
        <w:separator/>
      </w:r>
    </w:p>
  </w:footnote>
  <w:footnote w:type="continuationSeparator" w:id="0">
    <w:p w14:paraId="6CF76192" w14:textId="77777777" w:rsidR="00ED6B8A" w:rsidRDefault="00ED6B8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189D8F51" w:rsidR="00AD204A" w:rsidRPr="00F664CC" w:rsidRDefault="009E3446" w:rsidP="00AD204A">
    <w:pPr>
      <w:pStyle w:val="BullsHeading"/>
    </w:pPr>
    <w:r>
      <w:t>All Prov</w:t>
    </w:r>
    <w:r w:rsidR="00AD204A" w:rsidRPr="00F664CC">
      <w:t xml:space="preserve">ider Bulletin </w:t>
    </w:r>
    <w:r w:rsidR="004A7D52">
      <w:t>366</w:t>
    </w:r>
  </w:p>
  <w:p w14:paraId="1893C03A" w14:textId="67E028BC" w:rsidR="00AD204A" w:rsidRDefault="001F2C3C" w:rsidP="00AD204A">
    <w:pPr>
      <w:pStyle w:val="BullsHeading"/>
    </w:pPr>
    <w:r>
      <w:t>May</w:t>
    </w:r>
    <w:r w:rsidR="00C41FD0">
      <w:t xml:space="preserve"> </w:t>
    </w:r>
    <w:r w:rsidR="009E3446">
      <w:t>2023</w:t>
    </w:r>
  </w:p>
  <w:p w14:paraId="77422704" w14:textId="77777777" w:rsidR="00AD204A" w:rsidRDefault="00AD204A" w:rsidP="008E1035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r w:rsidR="00747C17">
      <w:fldChar w:fldCharType="begin"/>
    </w:r>
    <w:r w:rsidR="00747C17">
      <w:instrText xml:space="preserve"> NUMPAGES  \* Arabic  \* MERGEFORMAT </w:instrText>
    </w:r>
    <w:r w:rsidR="00747C17">
      <w:fldChar w:fldCharType="separate"/>
    </w:r>
    <w:r w:rsidR="006E336C">
      <w:rPr>
        <w:noProof/>
      </w:rPr>
      <w:t>2</w:t>
    </w:r>
    <w:r w:rsidR="00747C1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E59C0"/>
    <w:multiLevelType w:val="hybridMultilevel"/>
    <w:tmpl w:val="157487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13352B"/>
    <w:multiLevelType w:val="hybridMultilevel"/>
    <w:tmpl w:val="CE7020C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573052553">
    <w:abstractNumId w:val="9"/>
  </w:num>
  <w:num w:numId="2" w16cid:durableId="1099328531">
    <w:abstractNumId w:val="7"/>
  </w:num>
  <w:num w:numId="3" w16cid:durableId="1018850327">
    <w:abstractNumId w:val="6"/>
  </w:num>
  <w:num w:numId="4" w16cid:durableId="126364637">
    <w:abstractNumId w:val="5"/>
  </w:num>
  <w:num w:numId="5" w16cid:durableId="8601597">
    <w:abstractNumId w:val="4"/>
  </w:num>
  <w:num w:numId="6" w16cid:durableId="1987588616">
    <w:abstractNumId w:val="8"/>
  </w:num>
  <w:num w:numId="7" w16cid:durableId="1752502495">
    <w:abstractNumId w:val="3"/>
  </w:num>
  <w:num w:numId="8" w16cid:durableId="1366523609">
    <w:abstractNumId w:val="2"/>
  </w:num>
  <w:num w:numId="9" w16cid:durableId="2081949377">
    <w:abstractNumId w:val="1"/>
  </w:num>
  <w:num w:numId="10" w16cid:durableId="979188080">
    <w:abstractNumId w:val="0"/>
  </w:num>
  <w:num w:numId="11" w16cid:durableId="1006904131">
    <w:abstractNumId w:val="11"/>
  </w:num>
  <w:num w:numId="12" w16cid:durableId="198249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4E9"/>
    <w:rsid w:val="00056921"/>
    <w:rsid w:val="000578EA"/>
    <w:rsid w:val="000B3E75"/>
    <w:rsid w:val="000D3DB5"/>
    <w:rsid w:val="000F3A4D"/>
    <w:rsid w:val="000F7356"/>
    <w:rsid w:val="00116965"/>
    <w:rsid w:val="00150BCC"/>
    <w:rsid w:val="001554E7"/>
    <w:rsid w:val="001611A7"/>
    <w:rsid w:val="001634DD"/>
    <w:rsid w:val="001F2C3C"/>
    <w:rsid w:val="00212F44"/>
    <w:rsid w:val="00213CF6"/>
    <w:rsid w:val="00221556"/>
    <w:rsid w:val="002501CF"/>
    <w:rsid w:val="0028720F"/>
    <w:rsid w:val="0029060C"/>
    <w:rsid w:val="002C0CA4"/>
    <w:rsid w:val="002D39D9"/>
    <w:rsid w:val="002E1E3D"/>
    <w:rsid w:val="002F2993"/>
    <w:rsid w:val="00305F87"/>
    <w:rsid w:val="00313CA7"/>
    <w:rsid w:val="003524E7"/>
    <w:rsid w:val="00391182"/>
    <w:rsid w:val="003A0B2C"/>
    <w:rsid w:val="003A7588"/>
    <w:rsid w:val="003E2878"/>
    <w:rsid w:val="003E4643"/>
    <w:rsid w:val="003F2659"/>
    <w:rsid w:val="00412D84"/>
    <w:rsid w:val="0044352B"/>
    <w:rsid w:val="00461CBE"/>
    <w:rsid w:val="004A7718"/>
    <w:rsid w:val="004A7D52"/>
    <w:rsid w:val="004F4B9A"/>
    <w:rsid w:val="005068BD"/>
    <w:rsid w:val="00507CFF"/>
    <w:rsid w:val="0058634E"/>
    <w:rsid w:val="0059142C"/>
    <w:rsid w:val="005B088A"/>
    <w:rsid w:val="005B27F1"/>
    <w:rsid w:val="005C3F22"/>
    <w:rsid w:val="005E4B62"/>
    <w:rsid w:val="005F2B69"/>
    <w:rsid w:val="00604B55"/>
    <w:rsid w:val="00613D30"/>
    <w:rsid w:val="006941BF"/>
    <w:rsid w:val="00696EA9"/>
    <w:rsid w:val="006B660C"/>
    <w:rsid w:val="006B6B7C"/>
    <w:rsid w:val="006C70F9"/>
    <w:rsid w:val="006D3F15"/>
    <w:rsid w:val="006D741F"/>
    <w:rsid w:val="006E336C"/>
    <w:rsid w:val="00706438"/>
    <w:rsid w:val="0074723E"/>
    <w:rsid w:val="00747C17"/>
    <w:rsid w:val="00777A22"/>
    <w:rsid w:val="0079409D"/>
    <w:rsid w:val="00795E06"/>
    <w:rsid w:val="007F7DBF"/>
    <w:rsid w:val="00805E95"/>
    <w:rsid w:val="008201CC"/>
    <w:rsid w:val="008617A6"/>
    <w:rsid w:val="00863041"/>
    <w:rsid w:val="00894DE1"/>
    <w:rsid w:val="008B04CE"/>
    <w:rsid w:val="008B6E51"/>
    <w:rsid w:val="008D60BB"/>
    <w:rsid w:val="008E1035"/>
    <w:rsid w:val="00907922"/>
    <w:rsid w:val="00914588"/>
    <w:rsid w:val="00922F04"/>
    <w:rsid w:val="00931C29"/>
    <w:rsid w:val="009571DF"/>
    <w:rsid w:val="00960806"/>
    <w:rsid w:val="009811A1"/>
    <w:rsid w:val="00982839"/>
    <w:rsid w:val="009C5ABC"/>
    <w:rsid w:val="009E3446"/>
    <w:rsid w:val="00A27E46"/>
    <w:rsid w:val="00A772C1"/>
    <w:rsid w:val="00A83DDC"/>
    <w:rsid w:val="00A95FC1"/>
    <w:rsid w:val="00AA6085"/>
    <w:rsid w:val="00AB730F"/>
    <w:rsid w:val="00AD204A"/>
    <w:rsid w:val="00AD6899"/>
    <w:rsid w:val="00B0461B"/>
    <w:rsid w:val="00B62128"/>
    <w:rsid w:val="00B73653"/>
    <w:rsid w:val="00BC3755"/>
    <w:rsid w:val="00BD2DAF"/>
    <w:rsid w:val="00BF0A14"/>
    <w:rsid w:val="00C024A2"/>
    <w:rsid w:val="00C41FD0"/>
    <w:rsid w:val="00C941C3"/>
    <w:rsid w:val="00CA630F"/>
    <w:rsid w:val="00CC1E11"/>
    <w:rsid w:val="00CD149D"/>
    <w:rsid w:val="00CD456D"/>
    <w:rsid w:val="00D251FF"/>
    <w:rsid w:val="00D25ED1"/>
    <w:rsid w:val="00D37F2E"/>
    <w:rsid w:val="00D410EF"/>
    <w:rsid w:val="00DA7804"/>
    <w:rsid w:val="00DD4AA1"/>
    <w:rsid w:val="00DF6109"/>
    <w:rsid w:val="00E01D80"/>
    <w:rsid w:val="00E27CD8"/>
    <w:rsid w:val="00E34DE6"/>
    <w:rsid w:val="00E443C5"/>
    <w:rsid w:val="00E73DF3"/>
    <w:rsid w:val="00E82C80"/>
    <w:rsid w:val="00E839D5"/>
    <w:rsid w:val="00ED497C"/>
    <w:rsid w:val="00ED6B8A"/>
    <w:rsid w:val="00EF1AF7"/>
    <w:rsid w:val="00EF5061"/>
    <w:rsid w:val="00F60574"/>
    <w:rsid w:val="00F664CC"/>
    <w:rsid w:val="00F73D6F"/>
    <w:rsid w:val="00F74F30"/>
    <w:rsid w:val="00F84875"/>
    <w:rsid w:val="00FC7574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60C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60C"/>
    <w:pPr>
      <w:spacing w:before="240" w:after="120" w:afterAutospacing="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B660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B660C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A27E46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34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03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35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vidersupport@mahealth.netprovider@masshealthquestion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sshealthpublicnotice@mas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sHealthLTSS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upport@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Crystal, Malcolm (EHS)</cp:lastModifiedBy>
  <cp:revision>5</cp:revision>
  <cp:lastPrinted>2023-05-05T15:39:00Z</cp:lastPrinted>
  <dcterms:created xsi:type="dcterms:W3CDTF">2023-05-05T15:36:00Z</dcterms:created>
  <dcterms:modified xsi:type="dcterms:W3CDTF">2023-05-05T15:39:00Z</dcterms:modified>
</cp:coreProperties>
</file>