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091C0EE5"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8242"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107BC359">
            <wp:simplePos x="0" y="0"/>
            <wp:positionH relativeFrom="margin">
              <wp:posOffset>-224790</wp:posOffset>
            </wp:positionH>
            <wp:positionV relativeFrom="margin">
              <wp:align>top</wp:align>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2D26EEC1"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16D1905F" w:rsidR="006D3F15" w:rsidRPr="00777A22" w:rsidRDefault="008832C4"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0B4FD3C4" w:rsidR="00F664CC" w:rsidRPr="00150BCC" w:rsidRDefault="00F664CC" w:rsidP="00982839">
      <w:pPr>
        <w:pStyle w:val="BullsHeading"/>
        <w:spacing w:before="480"/>
      </w:pPr>
      <w:r w:rsidRPr="00150BCC">
        <w:t>MassHealth</w:t>
      </w:r>
    </w:p>
    <w:p w14:paraId="20F4176F" w14:textId="26F24DF7" w:rsidR="00F664CC" w:rsidRPr="00302397" w:rsidRDefault="00985D24" w:rsidP="005B27F1">
      <w:pPr>
        <w:pStyle w:val="Heading1"/>
      </w:pPr>
      <w:r w:rsidRPr="00302397">
        <w:t>Al</w:t>
      </w:r>
      <w:r w:rsidR="00792634">
        <w:t xml:space="preserve">l </w:t>
      </w:r>
      <w:r w:rsidRPr="00302397">
        <w:t xml:space="preserve">Provider </w:t>
      </w:r>
      <w:r w:rsidR="00F664CC" w:rsidRPr="00302397">
        <w:t xml:space="preserve">Bulletin </w:t>
      </w:r>
      <w:r w:rsidR="000C46A9">
        <w:t>376</w:t>
      </w:r>
    </w:p>
    <w:p w14:paraId="4F33B7C5" w14:textId="1751D7EA" w:rsidR="00F664CC" w:rsidRPr="00150BCC" w:rsidRDefault="0077556E" w:rsidP="00150BCC">
      <w:pPr>
        <w:pStyle w:val="BullsHeading"/>
      </w:pPr>
      <w:r>
        <w:t>September</w:t>
      </w:r>
      <w:r w:rsidRPr="00322C8E">
        <w:t xml:space="preserve"> </w:t>
      </w:r>
      <w:r w:rsidR="00985D24" w:rsidRPr="00322C8E">
        <w:t>2023</w:t>
      </w:r>
    </w:p>
    <w:p w14:paraId="0E1DCE1F" w14:textId="77777777"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0E54045A" w:rsidR="00F664CC" w:rsidRPr="00F664CC" w:rsidRDefault="00F664CC" w:rsidP="00E27CD8">
      <w:r w:rsidRPr="00F664CC">
        <w:rPr>
          <w:b/>
        </w:rPr>
        <w:t>TO</w:t>
      </w:r>
      <w:r w:rsidRPr="00F664CC">
        <w:t>:</w:t>
      </w:r>
      <w:r>
        <w:tab/>
      </w:r>
      <w:r w:rsidR="00985D24">
        <w:t xml:space="preserve">All Providers </w:t>
      </w:r>
      <w:r w:rsidRPr="00F664CC">
        <w:t>Participating in MassHealth</w:t>
      </w:r>
    </w:p>
    <w:p w14:paraId="36385E61" w14:textId="60706E2B" w:rsidR="00F664CC" w:rsidRPr="00F664CC" w:rsidRDefault="00F664CC" w:rsidP="00E27CD8">
      <w:r w:rsidRPr="000502C2">
        <w:rPr>
          <w:b/>
        </w:rPr>
        <w:t>FROM</w:t>
      </w:r>
      <w:r w:rsidRPr="000502C2">
        <w:t>:</w:t>
      </w:r>
      <w:r w:rsidRPr="000502C2">
        <w:tab/>
      </w:r>
      <w:r w:rsidR="004F4A7F" w:rsidRPr="000502C2">
        <w:t xml:space="preserve">Mike Levine, Assistant Secretary for MassHealth </w:t>
      </w:r>
      <w:r w:rsidR="009E3BB4">
        <w:t>[signature of Mike Levine]</w:t>
      </w:r>
    </w:p>
    <w:p w14:paraId="2B897D17" w14:textId="1FF677E7" w:rsidR="00F664CC" w:rsidRPr="00F664CC" w:rsidRDefault="00F664CC" w:rsidP="00637C81">
      <w:pPr>
        <w:pStyle w:val="SubjectLine"/>
        <w:spacing w:after="100"/>
        <w:ind w:left="1440" w:hanging="1080"/>
      </w:pPr>
      <w:r w:rsidRPr="00F664CC">
        <w:t>RE:</w:t>
      </w:r>
      <w:r w:rsidR="00BD2DAF">
        <w:tab/>
      </w:r>
      <w:r w:rsidR="006D1AE8">
        <w:t>Update</w:t>
      </w:r>
      <w:r w:rsidR="00792634">
        <w:t xml:space="preserve">s to the Implementation of </w:t>
      </w:r>
      <w:r w:rsidR="00E4369D" w:rsidRPr="00E4369D">
        <w:t>Ordering, Referring</w:t>
      </w:r>
      <w:r w:rsidR="00767028">
        <w:t>,</w:t>
      </w:r>
      <w:r w:rsidR="00E4369D" w:rsidRPr="00E4369D">
        <w:t xml:space="preserve"> and Prescribing </w:t>
      </w:r>
      <w:r w:rsidR="00767028">
        <w:t>R</w:t>
      </w:r>
      <w:r w:rsidR="00E4369D" w:rsidRPr="00E4369D">
        <w:t xml:space="preserve">equirements </w:t>
      </w:r>
    </w:p>
    <w:p w14:paraId="5490AAA1" w14:textId="470657D4" w:rsidR="00F664CC" w:rsidRDefault="005F10D3" w:rsidP="004D12EC">
      <w:pPr>
        <w:pStyle w:val="Heading2"/>
        <w:spacing w:after="100"/>
      </w:pPr>
      <w:r>
        <w:t xml:space="preserve">Delayed Start Dates for Enforcing </w:t>
      </w:r>
      <w:r w:rsidR="009F5F55" w:rsidRPr="009F5F55">
        <w:t>Ordering, Referring, and Prescribing Requirements</w:t>
      </w:r>
      <w:r w:rsidR="001554E7" w:rsidRPr="005B27F1">
        <w:t xml:space="preserve"> </w:t>
      </w:r>
      <w:r>
        <w:t>for Certain Provider Types</w:t>
      </w:r>
    </w:p>
    <w:p w14:paraId="2CF91688" w14:textId="017689BD" w:rsidR="00C913CE" w:rsidRDefault="008832C4" w:rsidP="00C913CE">
      <w:hyperlink r:id="rId11" w:history="1">
        <w:r w:rsidR="00B754F7" w:rsidRPr="009C156F">
          <w:rPr>
            <w:rStyle w:val="Hyperlink"/>
          </w:rPr>
          <w:t>All Provider Bulletin (APB) 361</w:t>
        </w:r>
      </w:hyperlink>
      <w:r w:rsidR="00B754F7">
        <w:t xml:space="preserve"> </w:t>
      </w:r>
      <w:r w:rsidR="0065355D">
        <w:t>announced the start dates for enforcing</w:t>
      </w:r>
      <w:r w:rsidR="009905B4">
        <w:t xml:space="preserve"> </w:t>
      </w:r>
      <w:r w:rsidR="0065355D">
        <w:t xml:space="preserve">the </w:t>
      </w:r>
      <w:r w:rsidR="0077556E">
        <w:t>ordering</w:t>
      </w:r>
      <w:r w:rsidR="0065355D">
        <w:t xml:space="preserve">, </w:t>
      </w:r>
      <w:r w:rsidR="0077556E">
        <w:t>referring</w:t>
      </w:r>
      <w:r w:rsidR="009905B4">
        <w:t>,</w:t>
      </w:r>
      <w:r w:rsidR="0077556E">
        <w:t xml:space="preserve"> </w:t>
      </w:r>
      <w:r w:rsidR="0065355D">
        <w:t xml:space="preserve">and </w:t>
      </w:r>
      <w:r w:rsidR="0077556E">
        <w:t xml:space="preserve">prescribing </w:t>
      </w:r>
      <w:r w:rsidR="009C52B7">
        <w:t>(ORP)</w:t>
      </w:r>
      <w:r w:rsidR="009905B4">
        <w:t xml:space="preserve"> </w:t>
      </w:r>
      <w:r w:rsidR="003D5956">
        <w:t>requirements.</w:t>
      </w:r>
      <w:r w:rsidR="007377E8">
        <w:t xml:space="preserve"> With the exception of the information </w:t>
      </w:r>
      <w:r w:rsidR="0077556E">
        <w:t>in this bulletin</w:t>
      </w:r>
      <w:r w:rsidR="007377E8">
        <w:t xml:space="preserve">, all </w:t>
      </w:r>
      <w:r w:rsidR="00B72326">
        <w:t>information in APB 361 remains in effect.</w:t>
      </w:r>
      <w:r w:rsidR="00866083">
        <w:t xml:space="preserve"> As described in ABP 361 and </w:t>
      </w:r>
      <w:hyperlink r:id="rId12" w:anchor=":~:text=Notwithstanding%20the%20requirements%20of%20130%20CMR%20450.118%28J%29%3A%20Referral,MassHealth-covered%20services%20that%20would%20otherwise%20require%20a%20referral." w:history="1">
        <w:r w:rsidR="00866083" w:rsidRPr="00672AD0">
          <w:rPr>
            <w:rStyle w:val="Hyperlink"/>
          </w:rPr>
          <w:t>APB 371</w:t>
        </w:r>
      </w:hyperlink>
      <w:r w:rsidR="00371317">
        <w:t xml:space="preserve">, </w:t>
      </w:r>
      <w:r w:rsidR="00866083">
        <w:t xml:space="preserve">PCC and </w:t>
      </w:r>
      <w:r w:rsidR="0077556E">
        <w:t xml:space="preserve">primary care </w:t>
      </w:r>
      <w:r w:rsidR="00866083">
        <w:t xml:space="preserve">ACO </w:t>
      </w:r>
      <w:r w:rsidR="0077556E">
        <w:t xml:space="preserve">referrals </w:t>
      </w:r>
      <w:r w:rsidR="00866083">
        <w:t>continue to be suspended</w:t>
      </w:r>
      <w:r w:rsidR="00E67459">
        <w:t>. Therefore,</w:t>
      </w:r>
      <w:r w:rsidR="00E371A3" w:rsidDel="00E67459">
        <w:t xml:space="preserve"> </w:t>
      </w:r>
      <w:r w:rsidR="00E371A3">
        <w:t xml:space="preserve">claims that would normally require PCC or </w:t>
      </w:r>
      <w:r w:rsidR="006F67BC">
        <w:t>primary</w:t>
      </w:r>
      <w:r w:rsidR="00E371A3">
        <w:t xml:space="preserve"> </w:t>
      </w:r>
      <w:r w:rsidR="0077556E">
        <w:t xml:space="preserve">care </w:t>
      </w:r>
      <w:r w:rsidR="00E371A3">
        <w:t>ACO referrals are not yet impacted by ORP requirements</w:t>
      </w:r>
      <w:r w:rsidR="00866083">
        <w:t xml:space="preserve">.  </w:t>
      </w:r>
    </w:p>
    <w:p w14:paraId="73543BCF" w14:textId="4D62ABC0" w:rsidR="00277AA6" w:rsidRDefault="00C913CE" w:rsidP="00D016E0">
      <w:r>
        <w:t>Note that due to the 60</w:t>
      </w:r>
      <w:r w:rsidR="0077556E">
        <w:t>-</w:t>
      </w:r>
      <w:r>
        <w:t xml:space="preserve">day grace period for claims processed by the Pharmacy Online Processing System (POPS) outlined in </w:t>
      </w:r>
      <w:hyperlink r:id="rId13">
        <w:r w:rsidRPr="37531795">
          <w:rPr>
            <w:rStyle w:val="Hyperlink"/>
          </w:rPr>
          <w:t>APB 286</w:t>
        </w:r>
      </w:hyperlink>
      <w:r>
        <w:t xml:space="preserve">, such claims will not </w:t>
      </w:r>
      <w:r w:rsidR="00661AAF">
        <w:t>be denied</w:t>
      </w:r>
      <w:r>
        <w:t xml:space="preserve"> </w:t>
      </w:r>
      <w:r w:rsidR="009905B4">
        <w:t xml:space="preserve">for </w:t>
      </w:r>
      <w:r>
        <w:t>not meeting the ORP active enrollment requirement until November 1, 2023.</w:t>
      </w:r>
      <w:r w:rsidR="0077556E">
        <w:t xml:space="preserve"> </w:t>
      </w:r>
    </w:p>
    <w:p w14:paraId="3B5912F2" w14:textId="3A9B4FE1" w:rsidR="00D016E0" w:rsidRDefault="00B72326" w:rsidP="00D016E0">
      <w:r>
        <w:t xml:space="preserve">Due to </w:t>
      </w:r>
      <w:r w:rsidR="0077556E">
        <w:t xml:space="preserve">necessary </w:t>
      </w:r>
      <w:r>
        <w:t xml:space="preserve">system updates, the start dates for enforcing the ORP </w:t>
      </w:r>
      <w:r w:rsidR="009C52B7">
        <w:t xml:space="preserve">requirements for the following </w:t>
      </w:r>
      <w:r w:rsidR="0077556E">
        <w:t xml:space="preserve">provider types </w:t>
      </w:r>
      <w:r w:rsidR="00B50DB9">
        <w:t>have been delayed</w:t>
      </w:r>
      <w:r w:rsidR="0077556E">
        <w:t>.</w:t>
      </w:r>
    </w:p>
    <w:p w14:paraId="66BAF7DA" w14:textId="40DAEA3E" w:rsidR="00D016E0" w:rsidRDefault="00B50DB9" w:rsidP="00D016E0">
      <w:pPr>
        <w:pStyle w:val="ListParagraph"/>
        <w:numPr>
          <w:ilvl w:val="0"/>
          <w:numId w:val="13"/>
        </w:numPr>
      </w:pPr>
      <w:r>
        <w:t xml:space="preserve">Community </w:t>
      </w:r>
      <w:r w:rsidR="0077556E">
        <w:t>behavioral health centers</w:t>
      </w:r>
    </w:p>
    <w:p w14:paraId="1F2B7BD3" w14:textId="77777777" w:rsidR="00D016E0" w:rsidRDefault="00B50DB9" w:rsidP="00D016E0">
      <w:pPr>
        <w:pStyle w:val="ListParagraph"/>
        <w:numPr>
          <w:ilvl w:val="0"/>
          <w:numId w:val="13"/>
        </w:numPr>
      </w:pPr>
      <w:r>
        <w:t>Psychologists</w:t>
      </w:r>
    </w:p>
    <w:p w14:paraId="46BAB0D9" w14:textId="4D8EEC4D" w:rsidR="00D016E0" w:rsidRDefault="00B50DB9" w:rsidP="00D016E0">
      <w:pPr>
        <w:pStyle w:val="ListParagraph"/>
        <w:numPr>
          <w:ilvl w:val="0"/>
          <w:numId w:val="13"/>
        </w:numPr>
      </w:pPr>
      <w:r>
        <w:t xml:space="preserve">Licensed </w:t>
      </w:r>
      <w:r w:rsidR="0077556E">
        <w:t>independent clinical social workers</w:t>
      </w:r>
    </w:p>
    <w:p w14:paraId="39B2A531" w14:textId="0FC2B983" w:rsidR="00D016E0" w:rsidRDefault="00D016E0" w:rsidP="00D016E0">
      <w:pPr>
        <w:pStyle w:val="ListParagraph"/>
        <w:numPr>
          <w:ilvl w:val="0"/>
          <w:numId w:val="13"/>
        </w:numPr>
      </w:pPr>
      <w:r>
        <w:t xml:space="preserve">Continuous </w:t>
      </w:r>
      <w:r w:rsidR="0077556E">
        <w:t>skilled nursing</w:t>
      </w:r>
    </w:p>
    <w:p w14:paraId="61E125DA" w14:textId="58527474" w:rsidR="00694805" w:rsidRDefault="001F7A14" w:rsidP="00694805">
      <w:r>
        <w:t xml:space="preserve">For </w:t>
      </w:r>
      <w:r w:rsidR="00D016E0">
        <w:t xml:space="preserve">these </w:t>
      </w:r>
      <w:r w:rsidR="0077556E">
        <w:t>provider types</w:t>
      </w:r>
      <w:r w:rsidR="00D016E0">
        <w:t>,</w:t>
      </w:r>
      <w:r w:rsidR="00013F63">
        <w:t xml:space="preserve"> claims for</w:t>
      </w:r>
      <w:r w:rsidR="00D016E0">
        <w:t xml:space="preserve"> </w:t>
      </w:r>
      <w:r>
        <w:t>services</w:t>
      </w:r>
      <w:r w:rsidR="00765F97">
        <w:t xml:space="preserve"> </w:t>
      </w:r>
      <w:r w:rsidR="0037565C">
        <w:t xml:space="preserve">that require ORP </w:t>
      </w:r>
      <w:r w:rsidR="0077556E">
        <w:t>with</w:t>
      </w:r>
      <w:r w:rsidR="0037565C">
        <w:t xml:space="preserve"> </w:t>
      </w:r>
      <w:r w:rsidR="00765F97">
        <w:t xml:space="preserve">dates of service </w:t>
      </w:r>
      <w:r w:rsidR="00765F97" w:rsidRPr="00765F97">
        <w:t xml:space="preserve">on or after </w:t>
      </w:r>
      <w:r w:rsidR="00BF2C06">
        <w:t xml:space="preserve">November </w:t>
      </w:r>
      <w:r w:rsidR="009D6DC2">
        <w:t>1</w:t>
      </w:r>
      <w:r w:rsidR="00BF2C06">
        <w:t>5</w:t>
      </w:r>
      <w:r w:rsidR="00765F97" w:rsidRPr="00765F97">
        <w:t>, 2023</w:t>
      </w:r>
      <w:r w:rsidR="0077556E">
        <w:t>,</w:t>
      </w:r>
      <w:r w:rsidR="00765F97">
        <w:t xml:space="preserve"> </w:t>
      </w:r>
      <w:r w:rsidR="003742D4">
        <w:t>will</w:t>
      </w:r>
      <w:r w:rsidR="00661AAF">
        <w:t xml:space="preserve"> be denied</w:t>
      </w:r>
      <w:r w:rsidR="00694805">
        <w:t xml:space="preserve"> </w:t>
      </w:r>
      <w:r w:rsidR="00311873">
        <w:t xml:space="preserve">if they </w:t>
      </w:r>
      <w:r w:rsidR="00694805">
        <w:t>do not meet the following ORP requirements</w:t>
      </w:r>
      <w:r w:rsidR="0077556E">
        <w:t>.</w:t>
      </w:r>
    </w:p>
    <w:p w14:paraId="1576065F" w14:textId="3EBA6D5A" w:rsidR="00694805" w:rsidRDefault="00694805" w:rsidP="00D677B6">
      <w:pPr>
        <w:pStyle w:val="ListParagraph"/>
        <w:numPr>
          <w:ilvl w:val="0"/>
          <w:numId w:val="11"/>
        </w:numPr>
      </w:pPr>
      <w:r>
        <w:t xml:space="preserve">The National Provider </w:t>
      </w:r>
      <w:r w:rsidR="00311873">
        <w:t>Identifier</w:t>
      </w:r>
      <w:r>
        <w:t xml:space="preserve"> (NPI) of the ORP provider </w:t>
      </w:r>
      <w:r w:rsidR="00C45659">
        <w:t xml:space="preserve">must be </w:t>
      </w:r>
      <w:r>
        <w:t>included on the claim</w:t>
      </w:r>
      <w:r w:rsidR="00C45659">
        <w:t>.</w:t>
      </w:r>
    </w:p>
    <w:p w14:paraId="6BDF2CBF" w14:textId="154B32BD" w:rsidR="00694805" w:rsidRDefault="00707465" w:rsidP="001F4010">
      <w:pPr>
        <w:pStyle w:val="ListParagraph"/>
        <w:numPr>
          <w:ilvl w:val="0"/>
          <w:numId w:val="11"/>
        </w:numPr>
      </w:pPr>
      <w:r w:rsidRPr="00707465">
        <w:t xml:space="preserve">The ORP provider must be an authorized ORP provider type (see list on page 2 of </w:t>
      </w:r>
      <w:hyperlink r:id="rId14" w:history="1">
        <w:r w:rsidRPr="00F37F27">
          <w:rPr>
            <w:rStyle w:val="Hyperlink"/>
          </w:rPr>
          <w:t>APB 286</w:t>
        </w:r>
      </w:hyperlink>
      <w:r w:rsidRPr="00707465">
        <w:t>)</w:t>
      </w:r>
      <w:r>
        <w:t>.</w:t>
      </w:r>
    </w:p>
    <w:p w14:paraId="1167F425" w14:textId="3878D907" w:rsidR="00686BF8" w:rsidRDefault="00995858" w:rsidP="00694805">
      <w:r>
        <w:t xml:space="preserve">For these </w:t>
      </w:r>
      <w:r w:rsidR="00C54FEB">
        <w:t>provider types</w:t>
      </w:r>
      <w:r>
        <w:t>, impacted c</w:t>
      </w:r>
      <w:r w:rsidR="00694805">
        <w:t xml:space="preserve">laims for dates of service on or after </w:t>
      </w:r>
      <w:r w:rsidR="00BF2C06">
        <w:t>January 15</w:t>
      </w:r>
      <w:r w:rsidR="00694805">
        <w:t>, 202</w:t>
      </w:r>
      <w:r>
        <w:t>4</w:t>
      </w:r>
      <w:r w:rsidR="00307746">
        <w:t>,</w:t>
      </w:r>
      <w:r w:rsidR="00694805">
        <w:t xml:space="preserve"> </w:t>
      </w:r>
      <w:r w:rsidR="00C83FDB" w:rsidRPr="00C83FDB">
        <w:t xml:space="preserve">will </w:t>
      </w:r>
      <w:r w:rsidR="00661AAF">
        <w:t xml:space="preserve">be denied </w:t>
      </w:r>
      <w:r w:rsidR="00C83FDB">
        <w:t xml:space="preserve">if they </w:t>
      </w:r>
      <w:r w:rsidR="00694805">
        <w:t xml:space="preserve">do not meet the requirement that the ORP provider be </w:t>
      </w:r>
      <w:r w:rsidR="009D0B78">
        <w:t xml:space="preserve">actively </w:t>
      </w:r>
      <w:r w:rsidR="00694805">
        <w:t xml:space="preserve">enrolled with MassHealth. </w:t>
      </w:r>
      <w:r w:rsidR="005F10D3">
        <w:br/>
      </w:r>
      <w:r w:rsidR="005F10D3">
        <w:br/>
        <w:t xml:space="preserve">These </w:t>
      </w:r>
      <w:r w:rsidR="00C54FEB">
        <w:t xml:space="preserve">provider types </w:t>
      </w:r>
      <w:r w:rsidR="005F10D3">
        <w:t xml:space="preserve">should review </w:t>
      </w:r>
      <w:r w:rsidR="00C83FDB">
        <w:t>i</w:t>
      </w:r>
      <w:r w:rsidR="00694805">
        <w:t xml:space="preserve">nformational </w:t>
      </w:r>
      <w:r w:rsidR="00C83FDB">
        <w:t>m</w:t>
      </w:r>
      <w:r w:rsidR="00694805">
        <w:t>essages related to th</w:t>
      </w:r>
      <w:r w:rsidR="005F10D3">
        <w:t>ese</w:t>
      </w:r>
      <w:r w:rsidR="00694805">
        <w:t xml:space="preserve"> requirement</w:t>
      </w:r>
      <w:r w:rsidR="005F10D3">
        <w:t>s in order to avoid ORP</w:t>
      </w:r>
      <w:r w:rsidR="00013F63">
        <w:t>-</w:t>
      </w:r>
      <w:r w:rsidR="005F10D3">
        <w:t>related denials when the enforcement is in place.</w:t>
      </w:r>
    </w:p>
    <w:p w14:paraId="1AE81412" w14:textId="05858B15" w:rsidR="00686BF8" w:rsidRDefault="00686BF8" w:rsidP="00694805"/>
    <w:p w14:paraId="6F355E52" w14:textId="77777777" w:rsidR="00686BF8" w:rsidRDefault="00686BF8" w:rsidP="00694805"/>
    <w:p w14:paraId="733DC1A5" w14:textId="57DBE3AC" w:rsidR="00C213C6" w:rsidRDefault="005F10D3" w:rsidP="006F1386">
      <w:pPr>
        <w:spacing w:before="480"/>
      </w:pPr>
      <w:r w:rsidRPr="20FAFA81">
        <w:rPr>
          <w:b/>
          <w:bCs/>
          <w:color w:val="1F487C"/>
        </w:rPr>
        <w:lastRenderedPageBreak/>
        <w:t xml:space="preserve">Processes </w:t>
      </w:r>
      <w:r w:rsidR="00596526" w:rsidRPr="20FAFA81">
        <w:rPr>
          <w:b/>
          <w:bCs/>
          <w:color w:val="1F487C"/>
        </w:rPr>
        <w:t>R</w:t>
      </w:r>
      <w:r w:rsidRPr="20FAFA81">
        <w:rPr>
          <w:b/>
          <w:bCs/>
          <w:color w:val="1F487C"/>
        </w:rPr>
        <w:t xml:space="preserve">elated to </w:t>
      </w:r>
      <w:r w:rsidR="00596526" w:rsidRPr="20FAFA81">
        <w:rPr>
          <w:b/>
          <w:bCs/>
          <w:color w:val="1F487C"/>
        </w:rPr>
        <w:t>U</w:t>
      </w:r>
      <w:r w:rsidRPr="20FAFA81">
        <w:rPr>
          <w:b/>
          <w:bCs/>
          <w:color w:val="1F487C"/>
        </w:rPr>
        <w:t xml:space="preserve">nenrolled ORP </w:t>
      </w:r>
      <w:r w:rsidR="00C54FEB">
        <w:rPr>
          <w:b/>
          <w:bCs/>
          <w:color w:val="1F487C"/>
        </w:rPr>
        <w:t>P</w:t>
      </w:r>
      <w:r w:rsidR="00C54FEB" w:rsidRPr="20FAFA81">
        <w:rPr>
          <w:b/>
          <w:bCs/>
          <w:color w:val="1F487C"/>
        </w:rPr>
        <w:t>roviders</w:t>
      </w:r>
      <w:r>
        <w:br/>
      </w:r>
      <w:r>
        <w:br/>
      </w:r>
      <w:r w:rsidR="00C213C6">
        <w:t>Under state law</w:t>
      </w:r>
      <w:r w:rsidR="00005984">
        <w:t xml:space="preserve"> (M.G.L. Ch. 112)</w:t>
      </w:r>
      <w:r w:rsidR="00C213C6">
        <w:t>, certain provider types are required, as a condition of state licensure</w:t>
      </w:r>
      <w:r w:rsidR="004E46C0">
        <w:t xml:space="preserve">, </w:t>
      </w:r>
      <w:r w:rsidR="00C213C6">
        <w:t>to apply to</w:t>
      </w:r>
      <w:r w:rsidR="004E46C0">
        <w:t xml:space="preserve"> enroll</w:t>
      </w:r>
      <w:r w:rsidR="00C213C6">
        <w:t xml:space="preserve"> with MassHealth as either billing providers or as non-billing providers for the purposes of ordering, referring, and prescribing services to MassHealth members. Failure to complete a MassHealth revalidation process may prevent such providers from renewing their license to practice at a future date. </w:t>
      </w:r>
      <w:r w:rsidR="00394CA0">
        <w:t xml:space="preserve">See page 2 of APB 286 for the list of </w:t>
      </w:r>
      <w:r w:rsidR="004E18BA">
        <w:t xml:space="preserve">authorized ORP provider types. </w:t>
      </w:r>
      <w:r w:rsidR="00A27CF6">
        <w:br/>
      </w:r>
      <w:r w:rsidR="00A27CF6">
        <w:br/>
      </w:r>
      <w:r w:rsidR="00F02919" w:rsidRPr="0055036E">
        <w:t xml:space="preserve">The aforementioned state law requirement applies to all providers who are authorized ORP provider </w:t>
      </w:r>
      <w:r w:rsidR="00C54FEB">
        <w:t xml:space="preserve"> </w:t>
      </w:r>
      <w:r w:rsidR="00F02919" w:rsidRPr="0055036E">
        <w:t>types, including</w:t>
      </w:r>
      <w:r w:rsidR="00C54FEB">
        <w:t>,</w:t>
      </w:r>
      <w:r w:rsidR="00F02919" w:rsidRPr="0055036E">
        <w:t xml:space="preserve"> but not limited to</w:t>
      </w:r>
      <w:r w:rsidR="00C54FEB">
        <w:t>,</w:t>
      </w:r>
      <w:r w:rsidR="00F02919" w:rsidRPr="0055036E">
        <w:t xml:space="preserve"> such providers who are employed </w:t>
      </w:r>
      <w:r w:rsidR="00C54FEB" w:rsidRPr="0055036E">
        <w:t xml:space="preserve">only </w:t>
      </w:r>
      <w:r w:rsidR="00F02919" w:rsidRPr="0055036E">
        <w:t>at a non-group</w:t>
      </w:r>
      <w:r w:rsidR="00D3749B" w:rsidRPr="0055036E">
        <w:t>-</w:t>
      </w:r>
      <w:r w:rsidR="00F02919" w:rsidRPr="0055036E">
        <w:t>practice MassHealth-enrolled entity which bills MassHealth for their services (hereinafter, “entity-only providers”),</w:t>
      </w:r>
      <w:r w:rsidR="00412CBA" w:rsidRPr="0055036E">
        <w:t xml:space="preserve"> such as</w:t>
      </w:r>
      <w:r w:rsidR="00F02919" w:rsidRPr="0055036E">
        <w:t xml:space="preserve"> a physician who is employed </w:t>
      </w:r>
      <w:r w:rsidR="00532EA0" w:rsidRPr="0055036E">
        <w:t xml:space="preserve">only </w:t>
      </w:r>
      <w:r w:rsidR="00F02919" w:rsidRPr="0055036E">
        <w:t>as staff of a MassHealth-enrolled hospital or community health center. Entity-only providers are required to apply to enroll in MassHealth as a nonbilling provider</w:t>
      </w:r>
      <w:r w:rsidR="00883B22" w:rsidRPr="0055036E">
        <w:t>.</w:t>
      </w:r>
      <w:r w:rsidR="00532EA0">
        <w:t xml:space="preserve"> </w:t>
      </w:r>
    </w:p>
    <w:p w14:paraId="745F9228" w14:textId="217BF000" w:rsidR="007336FB" w:rsidRDefault="00661AAF" w:rsidP="00694805">
      <w:pPr>
        <w:rPr>
          <w:b/>
          <w:color w:val="1F497D" w:themeColor="text2"/>
          <w:sz w:val="24"/>
          <w:szCs w:val="24"/>
        </w:rPr>
      </w:pPr>
      <w:r>
        <w:t>To</w:t>
      </w:r>
      <w:r w:rsidR="007336FB" w:rsidRPr="007336FB">
        <w:t xml:space="preserve"> avoid denials related to unenrolled ORP providers, billing providers should take the following actions</w:t>
      </w:r>
      <w:r w:rsidR="00C54FEB">
        <w:t>.</w:t>
      </w:r>
    </w:p>
    <w:p w14:paraId="3AF4FBEC" w14:textId="0F2AA31C" w:rsidR="00864577" w:rsidRPr="00126C73" w:rsidRDefault="00864577" w:rsidP="00631DE5">
      <w:pPr>
        <w:numPr>
          <w:ilvl w:val="2"/>
          <w:numId w:val="14"/>
        </w:numPr>
        <w:tabs>
          <w:tab w:val="num" w:pos="1080"/>
        </w:tabs>
        <w:rPr>
          <w:bCs/>
        </w:rPr>
      </w:pPr>
      <w:r w:rsidRPr="00864577">
        <w:rPr>
          <w:bCs/>
        </w:rPr>
        <w:t xml:space="preserve">Billing providers should confirm </w:t>
      </w:r>
      <w:r w:rsidR="00C54FEB">
        <w:rPr>
          <w:bCs/>
        </w:rPr>
        <w:t xml:space="preserve">that </w:t>
      </w:r>
      <w:r w:rsidRPr="00864577">
        <w:rPr>
          <w:bCs/>
        </w:rPr>
        <w:t xml:space="preserve">the ORP provider is </w:t>
      </w:r>
      <w:r w:rsidR="007C5BEF">
        <w:rPr>
          <w:bCs/>
        </w:rPr>
        <w:t xml:space="preserve">actively </w:t>
      </w:r>
      <w:r w:rsidRPr="00864577">
        <w:rPr>
          <w:bCs/>
        </w:rPr>
        <w:t>enrolled with MassHealt</w:t>
      </w:r>
      <w:r w:rsidR="0059458A">
        <w:rPr>
          <w:bCs/>
        </w:rPr>
        <w:t xml:space="preserve">h </w:t>
      </w:r>
      <w:r w:rsidRPr="00864577">
        <w:rPr>
          <w:bCs/>
        </w:rPr>
        <w:t xml:space="preserve">by checking the POSC </w:t>
      </w:r>
      <w:r w:rsidR="00C54FEB">
        <w:rPr>
          <w:bCs/>
        </w:rPr>
        <w:t>before</w:t>
      </w:r>
      <w:r w:rsidRPr="00864577">
        <w:rPr>
          <w:bCs/>
        </w:rPr>
        <w:t xml:space="preserve"> providing the service. </w:t>
      </w:r>
    </w:p>
    <w:p w14:paraId="0D54817C" w14:textId="39A71385" w:rsidR="00864577" w:rsidRPr="00864577" w:rsidRDefault="00661AAF" w:rsidP="00631DE5">
      <w:pPr>
        <w:numPr>
          <w:ilvl w:val="2"/>
          <w:numId w:val="14"/>
        </w:numPr>
        <w:tabs>
          <w:tab w:val="num" w:pos="1080"/>
        </w:tabs>
        <w:rPr>
          <w:bCs/>
        </w:rPr>
      </w:pPr>
      <w:r>
        <w:rPr>
          <w:bCs/>
        </w:rPr>
        <w:t>To</w:t>
      </w:r>
      <w:r w:rsidR="00864577" w:rsidRPr="00864577">
        <w:rPr>
          <w:bCs/>
        </w:rPr>
        <w:t xml:space="preserve"> use the Provider Search Function, you must be logged into the POSC.  The </w:t>
      </w:r>
      <w:r w:rsidR="00532EA0">
        <w:rPr>
          <w:bCs/>
        </w:rPr>
        <w:t>p</w:t>
      </w:r>
      <w:r w:rsidR="00532EA0" w:rsidRPr="00864577">
        <w:rPr>
          <w:bCs/>
        </w:rPr>
        <w:t xml:space="preserve">rovider </w:t>
      </w:r>
      <w:r w:rsidR="00532EA0">
        <w:rPr>
          <w:bCs/>
        </w:rPr>
        <w:t>s</w:t>
      </w:r>
      <w:r w:rsidR="00532EA0" w:rsidRPr="00864577">
        <w:rPr>
          <w:bCs/>
        </w:rPr>
        <w:t xml:space="preserve">earch </w:t>
      </w:r>
      <w:r w:rsidR="00532EA0">
        <w:rPr>
          <w:bCs/>
        </w:rPr>
        <w:t>o</w:t>
      </w:r>
      <w:r w:rsidR="00532EA0" w:rsidRPr="00864577">
        <w:rPr>
          <w:bCs/>
        </w:rPr>
        <w:t xml:space="preserve">ption </w:t>
      </w:r>
      <w:r w:rsidR="00864577" w:rsidRPr="00864577">
        <w:rPr>
          <w:bCs/>
        </w:rPr>
        <w:t>is in the left navigation list.</w:t>
      </w:r>
    </w:p>
    <w:p w14:paraId="7DF817F5" w14:textId="58F28D1A" w:rsidR="00864577" w:rsidRPr="00864577" w:rsidRDefault="00864577" w:rsidP="00631DE5">
      <w:pPr>
        <w:numPr>
          <w:ilvl w:val="2"/>
          <w:numId w:val="14"/>
        </w:numPr>
        <w:tabs>
          <w:tab w:val="left" w:pos="1080"/>
        </w:tabs>
        <w:rPr>
          <w:bCs/>
        </w:rPr>
      </w:pPr>
      <w:r w:rsidRPr="00864577">
        <w:rPr>
          <w:bCs/>
        </w:rPr>
        <w:t xml:space="preserve">Results will return </w:t>
      </w:r>
      <w:r w:rsidR="008832C4">
        <w:rPr>
          <w:bCs/>
        </w:rPr>
        <w:t>“</w:t>
      </w:r>
      <w:r w:rsidRPr="00864577">
        <w:rPr>
          <w:bCs/>
        </w:rPr>
        <w:t>PROVIDER NAME,</w:t>
      </w:r>
      <w:r w:rsidR="008832C4">
        <w:rPr>
          <w:bCs/>
        </w:rPr>
        <w:t>”</w:t>
      </w:r>
      <w:r w:rsidRPr="00864577">
        <w:rPr>
          <w:bCs/>
        </w:rPr>
        <w:t xml:space="preserve"> </w:t>
      </w:r>
      <w:r w:rsidR="008832C4">
        <w:rPr>
          <w:bCs/>
        </w:rPr>
        <w:t>“</w:t>
      </w:r>
      <w:r w:rsidRPr="00864577">
        <w:rPr>
          <w:bCs/>
        </w:rPr>
        <w:t>ADDRESS,</w:t>
      </w:r>
      <w:r w:rsidR="008832C4">
        <w:rPr>
          <w:bCs/>
        </w:rPr>
        <w:t>”</w:t>
      </w:r>
      <w:r w:rsidRPr="00864577">
        <w:rPr>
          <w:bCs/>
        </w:rPr>
        <w:t xml:space="preserve"> </w:t>
      </w:r>
      <w:r w:rsidR="008832C4">
        <w:rPr>
          <w:bCs/>
        </w:rPr>
        <w:t>“</w:t>
      </w:r>
      <w:r w:rsidRPr="00864577">
        <w:rPr>
          <w:bCs/>
        </w:rPr>
        <w:t>NPI</w:t>
      </w:r>
      <w:r w:rsidR="00C54FEB">
        <w:rPr>
          <w:bCs/>
        </w:rPr>
        <w:t>,</w:t>
      </w:r>
      <w:r w:rsidR="008832C4">
        <w:rPr>
          <w:bCs/>
        </w:rPr>
        <w:t>”</w:t>
      </w:r>
      <w:r w:rsidRPr="00864577">
        <w:rPr>
          <w:bCs/>
        </w:rPr>
        <w:t xml:space="preserve"> and “ACTIVE Y</w:t>
      </w:r>
      <w:r w:rsidR="008832C4">
        <w:rPr>
          <w:bCs/>
        </w:rPr>
        <w:t>,</w:t>
      </w:r>
      <w:r w:rsidRPr="00864577">
        <w:rPr>
          <w:bCs/>
        </w:rPr>
        <w:t>” or “No active MassHealth providers found.”</w:t>
      </w:r>
    </w:p>
    <w:p w14:paraId="31BC0EC3" w14:textId="4403E5D7" w:rsidR="00864577" w:rsidRPr="00864577" w:rsidRDefault="00864577" w:rsidP="00631DE5">
      <w:pPr>
        <w:numPr>
          <w:ilvl w:val="2"/>
          <w:numId w:val="14"/>
        </w:numPr>
        <w:tabs>
          <w:tab w:val="left" w:pos="1080"/>
          <w:tab w:val="num" w:pos="1800"/>
        </w:tabs>
        <w:rPr>
          <w:bCs/>
        </w:rPr>
      </w:pPr>
      <w:r w:rsidRPr="00864577">
        <w:rPr>
          <w:bCs/>
        </w:rPr>
        <w:t xml:space="preserve">Please note that a response of </w:t>
      </w:r>
      <w:r w:rsidR="008832C4">
        <w:rPr>
          <w:bCs/>
        </w:rPr>
        <w:t>“</w:t>
      </w:r>
      <w:r w:rsidRPr="00864577">
        <w:rPr>
          <w:bCs/>
        </w:rPr>
        <w:t>ACTIVE</w:t>
      </w:r>
      <w:r w:rsidR="000D3339">
        <w:rPr>
          <w:bCs/>
        </w:rPr>
        <w:t xml:space="preserve"> Y</w:t>
      </w:r>
      <w:r w:rsidR="008832C4">
        <w:rPr>
          <w:bCs/>
        </w:rPr>
        <w:t>”</w:t>
      </w:r>
      <w:r w:rsidRPr="00864577" w:rsidDel="000D3339">
        <w:rPr>
          <w:bCs/>
        </w:rPr>
        <w:t xml:space="preserve"> </w:t>
      </w:r>
      <w:r w:rsidRPr="00864577">
        <w:rPr>
          <w:bCs/>
        </w:rPr>
        <w:t xml:space="preserve">does not definitively confirm that the provider is eligible to be an </w:t>
      </w:r>
      <w:r w:rsidR="00532EA0">
        <w:rPr>
          <w:bCs/>
        </w:rPr>
        <w:t>ORP</w:t>
      </w:r>
      <w:r w:rsidR="00C02446">
        <w:rPr>
          <w:bCs/>
        </w:rPr>
        <w:t xml:space="preserve"> provider</w:t>
      </w:r>
      <w:r w:rsidRPr="000D3339">
        <w:rPr>
          <w:bCs/>
        </w:rPr>
        <w:t xml:space="preserve">. For example, facilities and entities (e.g., hospitals, health centers, group practices) are not authorized ORP providers. Also, individual providers could be in a provider type that i not authorized to </w:t>
      </w:r>
      <w:r w:rsidR="00C54FEB">
        <w:rPr>
          <w:bCs/>
        </w:rPr>
        <w:t>o</w:t>
      </w:r>
      <w:r w:rsidR="00C54FEB" w:rsidRPr="000D3339">
        <w:rPr>
          <w:bCs/>
        </w:rPr>
        <w:t>rder</w:t>
      </w:r>
      <w:r w:rsidRPr="000D3339">
        <w:rPr>
          <w:bCs/>
        </w:rPr>
        <w:t xml:space="preserve">, </w:t>
      </w:r>
      <w:r w:rsidR="00C54FEB">
        <w:rPr>
          <w:bCs/>
        </w:rPr>
        <w:t>r</w:t>
      </w:r>
      <w:r w:rsidR="00C54FEB" w:rsidRPr="000D3339">
        <w:rPr>
          <w:bCs/>
        </w:rPr>
        <w:t>efer</w:t>
      </w:r>
      <w:r w:rsidR="00C54FEB">
        <w:rPr>
          <w:bCs/>
        </w:rPr>
        <w:t>,</w:t>
      </w:r>
      <w:r w:rsidR="00C54FEB" w:rsidRPr="000D3339">
        <w:rPr>
          <w:bCs/>
        </w:rPr>
        <w:t xml:space="preserve"> </w:t>
      </w:r>
      <w:r w:rsidRPr="000D3339">
        <w:rPr>
          <w:bCs/>
        </w:rPr>
        <w:t xml:space="preserve">or </w:t>
      </w:r>
      <w:r w:rsidR="00C54FEB">
        <w:rPr>
          <w:bCs/>
        </w:rPr>
        <w:t>p</w:t>
      </w:r>
      <w:r w:rsidR="00C54FEB" w:rsidRPr="000D3339">
        <w:rPr>
          <w:bCs/>
        </w:rPr>
        <w:t>rescribe</w:t>
      </w:r>
      <w:r w:rsidRPr="000D3339">
        <w:rPr>
          <w:bCs/>
        </w:rPr>
        <w:t xml:space="preserve">. </w:t>
      </w:r>
      <w:r w:rsidR="001007CA">
        <w:rPr>
          <w:bCs/>
        </w:rPr>
        <w:t>Additionally,</w:t>
      </w:r>
      <w:r w:rsidR="00E72211" w:rsidRPr="000D3339">
        <w:rPr>
          <w:bCs/>
        </w:rPr>
        <w:t xml:space="preserve"> a</w:t>
      </w:r>
      <w:r w:rsidR="00E72211" w:rsidRPr="00244F22">
        <w:t xml:space="preserve"> MassHealth provider’s enrollment status is subject to change due to reasons including</w:t>
      </w:r>
      <w:r w:rsidR="00C54FEB">
        <w:t>,</w:t>
      </w:r>
      <w:r w:rsidR="00E72211" w:rsidRPr="00244F22">
        <w:t xml:space="preserve"> but not limited to</w:t>
      </w:r>
      <w:r w:rsidR="00C54FEB">
        <w:t>,</w:t>
      </w:r>
      <w:r w:rsidR="00E72211" w:rsidRPr="00244F22">
        <w:t xml:space="preserve"> retirement, death, withdrawal from the MassHealth program, and expiration or revocation of license. Some situations, including</w:t>
      </w:r>
      <w:r w:rsidR="001559F9">
        <w:t>,</w:t>
      </w:r>
      <w:r w:rsidR="00E72211" w:rsidRPr="00244F22">
        <w:t xml:space="preserve"> but not limited to</w:t>
      </w:r>
      <w:r w:rsidR="001559F9">
        <w:t>,</w:t>
      </w:r>
      <w:r w:rsidR="00E72211" w:rsidRPr="00244F22">
        <w:t xml:space="preserve"> the expiration or revocation of a provider’s license, may lead to a provider being retroactively removed from the MassHealth program.</w:t>
      </w:r>
    </w:p>
    <w:p w14:paraId="168F12F4" w14:textId="3559A0F4" w:rsidR="00864577" w:rsidRPr="00864577" w:rsidRDefault="00864577" w:rsidP="00631DE5">
      <w:pPr>
        <w:numPr>
          <w:ilvl w:val="2"/>
          <w:numId w:val="14"/>
        </w:numPr>
        <w:tabs>
          <w:tab w:val="left" w:pos="450"/>
          <w:tab w:val="left" w:pos="1080"/>
        </w:tabs>
        <w:rPr>
          <w:bCs/>
        </w:rPr>
      </w:pPr>
      <w:r w:rsidRPr="00864577">
        <w:rPr>
          <w:bCs/>
        </w:rPr>
        <w:t xml:space="preserve">Billing providers should record the </w:t>
      </w:r>
      <w:r w:rsidR="001559F9">
        <w:rPr>
          <w:bCs/>
        </w:rPr>
        <w:t>n</w:t>
      </w:r>
      <w:r w:rsidR="001559F9" w:rsidRPr="00864577">
        <w:rPr>
          <w:bCs/>
        </w:rPr>
        <w:t>ame</w:t>
      </w:r>
      <w:r w:rsidRPr="00864577">
        <w:rPr>
          <w:bCs/>
        </w:rPr>
        <w:t xml:space="preserve">, </w:t>
      </w:r>
      <w:r w:rsidR="001559F9">
        <w:rPr>
          <w:bCs/>
        </w:rPr>
        <w:t>a</w:t>
      </w:r>
      <w:r w:rsidR="001559F9" w:rsidRPr="00864577">
        <w:rPr>
          <w:bCs/>
        </w:rPr>
        <w:t>ddress</w:t>
      </w:r>
      <w:r w:rsidRPr="00864577">
        <w:rPr>
          <w:bCs/>
        </w:rPr>
        <w:t>, and NPI of any ORP provider. This will help to confirm a</w:t>
      </w:r>
      <w:r w:rsidR="00661AAF">
        <w:rPr>
          <w:bCs/>
        </w:rPr>
        <w:t>n</w:t>
      </w:r>
      <w:r w:rsidRPr="00864577">
        <w:rPr>
          <w:bCs/>
        </w:rPr>
        <w:t xml:space="preserve"> ORP provider when using the POSC. </w:t>
      </w:r>
    </w:p>
    <w:p w14:paraId="2E064F18" w14:textId="4A8073B3" w:rsidR="00102A14" w:rsidRPr="000A2F03" w:rsidRDefault="00102A14" w:rsidP="00631DE5">
      <w:pPr>
        <w:numPr>
          <w:ilvl w:val="1"/>
          <w:numId w:val="14"/>
        </w:numPr>
        <w:tabs>
          <w:tab w:val="num" w:pos="1080"/>
        </w:tabs>
        <w:ind w:left="1080"/>
        <w:rPr>
          <w:sz w:val="24"/>
          <w:szCs w:val="24"/>
        </w:rPr>
      </w:pPr>
      <w:r>
        <w:t xml:space="preserve">If the ORP provider is not </w:t>
      </w:r>
      <w:r w:rsidR="007C5BEF">
        <w:t xml:space="preserve">actively </w:t>
      </w:r>
      <w:r>
        <w:t>enrolled</w:t>
      </w:r>
      <w:r w:rsidR="2B7F970A">
        <w:t xml:space="preserve"> with MassHealth</w:t>
      </w:r>
      <w:r>
        <w:t xml:space="preserve">, </w:t>
      </w:r>
      <w:r w:rsidR="009E17D1">
        <w:t xml:space="preserve">the </w:t>
      </w:r>
      <w:r>
        <w:t xml:space="preserve">billing provider </w:t>
      </w:r>
      <w:r w:rsidR="009E17D1">
        <w:t>is</w:t>
      </w:r>
      <w:r>
        <w:t xml:space="preserve"> encouraged to reach out to the ORP provider to</w:t>
      </w:r>
      <w:r w:rsidR="00216F54">
        <w:t xml:space="preserve"> confirm that the ORP provider is licensed and does not anticipate termination </w:t>
      </w:r>
      <w:r w:rsidR="000A2F03">
        <w:t xml:space="preserve">or suspension </w:t>
      </w:r>
      <w:r w:rsidR="00216F54">
        <w:t xml:space="preserve">of </w:t>
      </w:r>
      <w:r w:rsidR="000A2F03">
        <w:t>their license</w:t>
      </w:r>
      <w:r w:rsidR="00216F54">
        <w:t xml:space="preserve"> for reasons including</w:t>
      </w:r>
      <w:r w:rsidR="001559F9">
        <w:t>,</w:t>
      </w:r>
      <w:r w:rsidR="00216F54">
        <w:t xml:space="preserve"> but not limited to</w:t>
      </w:r>
      <w:r w:rsidR="001559F9">
        <w:t>,</w:t>
      </w:r>
      <w:r w:rsidR="00216F54">
        <w:t xml:space="preserve"> retirement or disciplinary action. If the ORP provide</w:t>
      </w:r>
      <w:r w:rsidR="000A2F03">
        <w:t>r’s license is terminated or suspended</w:t>
      </w:r>
      <w:r w:rsidR="00216F54">
        <w:t>, the ORP provider will not be eligible to enroll with MassHealth, and the billing provider should work with the member to find a</w:t>
      </w:r>
      <w:r w:rsidR="00661AAF">
        <w:t>n</w:t>
      </w:r>
      <w:r w:rsidR="00216F54">
        <w:t xml:space="preserve"> ORP provider who may be eligible to enroll in MassHealth. If the ORP provider is licensed and does not anticipate </w:t>
      </w:r>
      <w:r w:rsidR="00686BF8">
        <w:t xml:space="preserve">license </w:t>
      </w:r>
      <w:r w:rsidR="000A2F03">
        <w:t>termination or suspension, the billing provider should encourage them to</w:t>
      </w:r>
      <w:r w:rsidR="00686BF8">
        <w:t xml:space="preserve"> apply to</w:t>
      </w:r>
      <w:r w:rsidR="000A2F03">
        <w:t xml:space="preserve"> enroll </w:t>
      </w:r>
      <w:r w:rsidR="000A2F03">
        <w:lastRenderedPageBreak/>
        <w:t>with MassHealth</w:t>
      </w:r>
      <w:r w:rsidR="00686BF8">
        <w:t xml:space="preserve"> and </w:t>
      </w:r>
      <w:r w:rsidR="000A2F03">
        <w:t>remind the</w:t>
      </w:r>
      <w:r w:rsidR="00686BF8">
        <w:t>m</w:t>
      </w:r>
      <w:r w:rsidR="000A2F03">
        <w:t xml:space="preserve"> of the state law requiring them to apply to enroll with MassHealth as a condition of licensure. </w:t>
      </w:r>
    </w:p>
    <w:p w14:paraId="716A7194" w14:textId="5B647BDB" w:rsidR="00587E7B" w:rsidRPr="00587E7B" w:rsidRDefault="00587E7B" w:rsidP="00631DE5">
      <w:pPr>
        <w:numPr>
          <w:ilvl w:val="1"/>
          <w:numId w:val="14"/>
        </w:numPr>
        <w:tabs>
          <w:tab w:val="num" w:pos="1080"/>
        </w:tabs>
        <w:ind w:left="1080"/>
        <w:rPr>
          <w:bCs/>
        </w:rPr>
      </w:pPr>
      <w:r w:rsidRPr="00587E7B">
        <w:rPr>
          <w:bCs/>
        </w:rPr>
        <w:t xml:space="preserve">If the ORP provider will not enroll or needs assistance with applying to MassHealth, billing providers should contact their </w:t>
      </w:r>
      <w:r w:rsidR="001559F9">
        <w:rPr>
          <w:bCs/>
        </w:rPr>
        <w:t>c</w:t>
      </w:r>
      <w:r w:rsidRPr="00587E7B">
        <w:rPr>
          <w:bCs/>
        </w:rPr>
        <w:t xml:space="preserve">ustomer </w:t>
      </w:r>
      <w:r w:rsidR="001559F9">
        <w:rPr>
          <w:bCs/>
        </w:rPr>
        <w:t>s</w:t>
      </w:r>
      <w:r w:rsidR="001559F9" w:rsidRPr="00587E7B">
        <w:rPr>
          <w:bCs/>
        </w:rPr>
        <w:t xml:space="preserve">ervice </w:t>
      </w:r>
      <w:r w:rsidRPr="00587E7B">
        <w:rPr>
          <w:bCs/>
        </w:rPr>
        <w:t>center with the name and contact information of the ORP provider</w:t>
      </w:r>
      <w:r w:rsidR="009B2194">
        <w:rPr>
          <w:bCs/>
        </w:rPr>
        <w:t>.</w:t>
      </w:r>
    </w:p>
    <w:p w14:paraId="1ECFA30D" w14:textId="6197F2E4" w:rsidR="00587E7B" w:rsidRPr="00587E7B" w:rsidRDefault="00587E7B" w:rsidP="00631DE5">
      <w:pPr>
        <w:rPr>
          <w:bCs/>
        </w:rPr>
      </w:pPr>
      <w:r w:rsidRPr="00587E7B">
        <w:rPr>
          <w:bCs/>
        </w:rPr>
        <w:t>MassHealth will perform outreach to the unenrolled ORP providers in an effort to get them enrolled. MassHealth will also send letters to unenrolled ORP providers who appear on claims and will notify the relevant licensure board</w:t>
      </w:r>
      <w:r>
        <w:rPr>
          <w:bCs/>
        </w:rPr>
        <w:t>.</w:t>
      </w:r>
    </w:p>
    <w:p w14:paraId="3924CED7" w14:textId="577486A7" w:rsidR="003844B2" w:rsidRPr="007336FB" w:rsidRDefault="00BA30E7" w:rsidP="007C7D81">
      <w:pPr>
        <w:spacing w:after="240"/>
        <w:rPr>
          <w:b/>
          <w:color w:val="1F497D" w:themeColor="text2"/>
          <w:sz w:val="24"/>
          <w:szCs w:val="24"/>
        </w:rPr>
      </w:pPr>
      <w:r w:rsidRPr="37531795">
        <w:rPr>
          <w:b/>
          <w:bCs/>
          <w:color w:val="1F497D" w:themeColor="text2"/>
          <w:sz w:val="24"/>
          <w:szCs w:val="24"/>
        </w:rPr>
        <w:t xml:space="preserve">Processes </w:t>
      </w:r>
      <w:r w:rsidR="001559F9">
        <w:rPr>
          <w:b/>
          <w:bCs/>
          <w:color w:val="1F497D" w:themeColor="text2"/>
          <w:sz w:val="24"/>
          <w:szCs w:val="24"/>
        </w:rPr>
        <w:t>R</w:t>
      </w:r>
      <w:r w:rsidR="001559F9" w:rsidRPr="37531795">
        <w:rPr>
          <w:b/>
          <w:bCs/>
          <w:color w:val="1F497D" w:themeColor="text2"/>
          <w:sz w:val="24"/>
          <w:szCs w:val="24"/>
        </w:rPr>
        <w:t xml:space="preserve">elated </w:t>
      </w:r>
      <w:r w:rsidRPr="37531795">
        <w:rPr>
          <w:b/>
          <w:bCs/>
          <w:color w:val="1F497D" w:themeColor="text2"/>
          <w:sz w:val="24"/>
          <w:szCs w:val="24"/>
        </w:rPr>
        <w:t xml:space="preserve">to </w:t>
      </w:r>
      <w:r w:rsidR="00E759A2">
        <w:rPr>
          <w:b/>
          <w:bCs/>
          <w:color w:val="1F497D" w:themeColor="text2"/>
          <w:sz w:val="24"/>
          <w:szCs w:val="24"/>
        </w:rPr>
        <w:t xml:space="preserve">Orders/Referrals from </w:t>
      </w:r>
      <w:r w:rsidR="001559F9">
        <w:rPr>
          <w:b/>
          <w:bCs/>
          <w:color w:val="1F497D" w:themeColor="text2"/>
          <w:sz w:val="24"/>
          <w:szCs w:val="24"/>
        </w:rPr>
        <w:t>H</w:t>
      </w:r>
      <w:r w:rsidR="001559F9" w:rsidRPr="37531795">
        <w:rPr>
          <w:b/>
          <w:bCs/>
          <w:color w:val="1F497D" w:themeColor="text2"/>
          <w:sz w:val="24"/>
          <w:szCs w:val="24"/>
        </w:rPr>
        <w:t>ospital</w:t>
      </w:r>
      <w:r w:rsidRPr="37531795">
        <w:rPr>
          <w:b/>
          <w:bCs/>
          <w:color w:val="1F497D" w:themeColor="text2"/>
          <w:sz w:val="24"/>
          <w:szCs w:val="24"/>
        </w:rPr>
        <w:t>-</w:t>
      </w:r>
      <w:r w:rsidR="004912CD">
        <w:rPr>
          <w:b/>
          <w:bCs/>
          <w:color w:val="1F497D" w:themeColor="text2"/>
          <w:sz w:val="24"/>
          <w:szCs w:val="24"/>
        </w:rPr>
        <w:t>b</w:t>
      </w:r>
      <w:r w:rsidR="001559F9" w:rsidRPr="37531795">
        <w:rPr>
          <w:b/>
          <w:bCs/>
          <w:color w:val="1F497D" w:themeColor="text2"/>
          <w:sz w:val="24"/>
          <w:szCs w:val="24"/>
        </w:rPr>
        <w:t xml:space="preserve">ased </w:t>
      </w:r>
      <w:r w:rsidR="001559F9">
        <w:rPr>
          <w:b/>
          <w:bCs/>
          <w:color w:val="1F497D" w:themeColor="text2"/>
          <w:sz w:val="24"/>
          <w:szCs w:val="24"/>
        </w:rPr>
        <w:t>I</w:t>
      </w:r>
      <w:r w:rsidR="001559F9" w:rsidRPr="37531795">
        <w:rPr>
          <w:b/>
          <w:bCs/>
          <w:color w:val="1F497D" w:themeColor="text2"/>
          <w:sz w:val="24"/>
          <w:szCs w:val="24"/>
        </w:rPr>
        <w:t xml:space="preserve">nterns </w:t>
      </w:r>
      <w:r w:rsidRPr="37531795">
        <w:rPr>
          <w:b/>
          <w:bCs/>
          <w:color w:val="1F497D" w:themeColor="text2"/>
          <w:sz w:val="24"/>
          <w:szCs w:val="24"/>
        </w:rPr>
        <w:t xml:space="preserve">and </w:t>
      </w:r>
      <w:r w:rsidR="001559F9">
        <w:rPr>
          <w:b/>
          <w:bCs/>
          <w:color w:val="1F497D" w:themeColor="text2"/>
          <w:sz w:val="24"/>
          <w:szCs w:val="24"/>
        </w:rPr>
        <w:t>R</w:t>
      </w:r>
      <w:r w:rsidR="001559F9" w:rsidRPr="37531795">
        <w:rPr>
          <w:b/>
          <w:bCs/>
          <w:color w:val="1F497D" w:themeColor="text2"/>
          <w:sz w:val="24"/>
          <w:szCs w:val="24"/>
        </w:rPr>
        <w:t xml:space="preserve">esidents </w:t>
      </w:r>
      <w:r>
        <w:br/>
      </w:r>
      <w:r>
        <w:br/>
      </w:r>
      <w:r w:rsidR="005A1528">
        <w:t xml:space="preserve">Hospitals should note that </w:t>
      </w:r>
      <w:r w:rsidR="00D232CD">
        <w:t xml:space="preserve">when hospital-based interns and residents are referring or ordering </w:t>
      </w:r>
      <w:r w:rsidR="001559F9">
        <w:t xml:space="preserve"> </w:t>
      </w:r>
      <w:r w:rsidR="00D232CD">
        <w:t>services subsequent to a hospital stay</w:t>
      </w:r>
      <w:r w:rsidR="006C6138">
        <w:t>,</w:t>
      </w:r>
      <w:r w:rsidR="00D232CD">
        <w:t xml:space="preserve"> </w:t>
      </w:r>
      <w:r w:rsidR="00522997">
        <w:t xml:space="preserve">the </w:t>
      </w:r>
      <w:r w:rsidR="0B1C78B3">
        <w:t>intern</w:t>
      </w:r>
      <w:r w:rsidR="3D03812E">
        <w:t>s/</w:t>
      </w:r>
      <w:r w:rsidR="00E759A2">
        <w:t>r</w:t>
      </w:r>
      <w:r w:rsidR="0B1C78B3">
        <w:t>esident</w:t>
      </w:r>
      <w:r w:rsidR="63206D8A">
        <w:t>s</w:t>
      </w:r>
      <w:r w:rsidR="0B1C78B3">
        <w:t xml:space="preserve"> </w:t>
      </w:r>
      <w:r w:rsidR="5092AFD9">
        <w:t>should</w:t>
      </w:r>
      <w:r w:rsidR="0B1C78B3">
        <w:t xml:space="preserve"> </w:t>
      </w:r>
      <w:r w:rsidR="00D232CD">
        <w:t xml:space="preserve">provide </w:t>
      </w:r>
      <w:r w:rsidR="001559F9">
        <w:t xml:space="preserve">to treating providers </w:t>
      </w:r>
      <w:r w:rsidR="00D232CD">
        <w:t xml:space="preserve">the attending provider’s NPI on such referrals/orders until the interns and residents are </w:t>
      </w:r>
      <w:r w:rsidR="00375A80">
        <w:t xml:space="preserve">actively </w:t>
      </w:r>
      <w:r w:rsidR="00D232CD">
        <w:t xml:space="preserve">enrolled </w:t>
      </w:r>
      <w:r w:rsidR="00E759A2">
        <w:t xml:space="preserve">with MassHealth </w:t>
      </w:r>
      <w:r w:rsidR="00D232CD">
        <w:t>as ORP providers. This will allow the treating providers to include the attending provider’s NPI on their professional claims as the ORP provider in order for their claims to be payable.</w:t>
      </w:r>
    </w:p>
    <w:p w14:paraId="11FCEF50" w14:textId="1597CFA8" w:rsidR="00B152C6" w:rsidRDefault="00B152C6" w:rsidP="00302397">
      <w:pPr>
        <w:pStyle w:val="Heading2"/>
        <w:keepNext/>
        <w:spacing w:after="100"/>
      </w:pPr>
      <w:r>
        <w:t xml:space="preserve">Clarifying Instructions for Entering the ORP Provider </w:t>
      </w:r>
      <w:r w:rsidR="0050514B">
        <w:t xml:space="preserve">Information </w:t>
      </w:r>
      <w:r>
        <w:t xml:space="preserve">on the </w:t>
      </w:r>
      <w:r w:rsidR="001559F9">
        <w:t>Claim</w:t>
      </w:r>
    </w:p>
    <w:p w14:paraId="49BFDCC1" w14:textId="6E7B5C62" w:rsidR="00B152C6" w:rsidRPr="004A290E" w:rsidRDefault="00923B0A" w:rsidP="00302397">
      <w:pPr>
        <w:pStyle w:val="Heading2"/>
        <w:keepNext/>
        <w:spacing w:after="100"/>
        <w:rPr>
          <w:b w:val="0"/>
          <w:bCs/>
          <w:color w:val="auto"/>
          <w:sz w:val="22"/>
          <w:szCs w:val="22"/>
        </w:rPr>
      </w:pPr>
      <w:r w:rsidRPr="004A290E">
        <w:rPr>
          <w:b w:val="0"/>
          <w:bCs/>
          <w:color w:val="auto"/>
          <w:sz w:val="22"/>
          <w:szCs w:val="22"/>
        </w:rPr>
        <w:t xml:space="preserve">Please see </w:t>
      </w:r>
      <w:r w:rsidR="00276C50" w:rsidRPr="004A290E">
        <w:rPr>
          <w:b w:val="0"/>
          <w:bCs/>
          <w:color w:val="auto"/>
          <w:sz w:val="22"/>
          <w:szCs w:val="22"/>
        </w:rPr>
        <w:t xml:space="preserve">the </w:t>
      </w:r>
      <w:r w:rsidR="006B60E1" w:rsidRPr="004A290E">
        <w:rPr>
          <w:b w:val="0"/>
          <w:bCs/>
          <w:color w:val="auto"/>
          <w:sz w:val="22"/>
          <w:szCs w:val="22"/>
        </w:rPr>
        <w:t>“How To</w:t>
      </w:r>
      <w:r w:rsidR="00276C50" w:rsidRPr="004A290E">
        <w:rPr>
          <w:b w:val="0"/>
          <w:bCs/>
          <w:color w:val="auto"/>
          <w:sz w:val="22"/>
          <w:szCs w:val="22"/>
        </w:rPr>
        <w:t>”</w:t>
      </w:r>
      <w:r w:rsidR="00227D62" w:rsidRPr="004A290E">
        <w:rPr>
          <w:b w:val="0"/>
          <w:bCs/>
          <w:color w:val="auto"/>
          <w:sz w:val="22"/>
          <w:szCs w:val="22"/>
        </w:rPr>
        <w:t xml:space="preserve"> document on populating the </w:t>
      </w:r>
      <w:r w:rsidR="001559F9">
        <w:rPr>
          <w:b w:val="0"/>
          <w:bCs/>
          <w:color w:val="auto"/>
          <w:sz w:val="22"/>
          <w:szCs w:val="22"/>
        </w:rPr>
        <w:t>o</w:t>
      </w:r>
      <w:r w:rsidR="001559F9" w:rsidRPr="004A290E">
        <w:rPr>
          <w:b w:val="0"/>
          <w:bCs/>
          <w:color w:val="auto"/>
          <w:sz w:val="22"/>
          <w:szCs w:val="22"/>
        </w:rPr>
        <w:t xml:space="preserve">rdering </w:t>
      </w:r>
      <w:r w:rsidR="00227D62" w:rsidRPr="004A290E">
        <w:rPr>
          <w:b w:val="0"/>
          <w:bCs/>
          <w:color w:val="auto"/>
          <w:sz w:val="22"/>
          <w:szCs w:val="22"/>
        </w:rPr>
        <w:t xml:space="preserve">and </w:t>
      </w:r>
      <w:r w:rsidR="001559F9">
        <w:rPr>
          <w:b w:val="0"/>
          <w:bCs/>
          <w:color w:val="auto"/>
          <w:sz w:val="22"/>
          <w:szCs w:val="22"/>
        </w:rPr>
        <w:t>r</w:t>
      </w:r>
      <w:r w:rsidR="001559F9" w:rsidRPr="004A290E">
        <w:rPr>
          <w:b w:val="0"/>
          <w:bCs/>
          <w:color w:val="auto"/>
          <w:sz w:val="22"/>
          <w:szCs w:val="22"/>
        </w:rPr>
        <w:t xml:space="preserve">eferring </w:t>
      </w:r>
      <w:r w:rsidR="001559F9">
        <w:rPr>
          <w:b w:val="0"/>
          <w:bCs/>
          <w:color w:val="auto"/>
          <w:sz w:val="22"/>
          <w:szCs w:val="22"/>
        </w:rPr>
        <w:t>p</w:t>
      </w:r>
      <w:r w:rsidR="001559F9" w:rsidRPr="004A290E">
        <w:rPr>
          <w:b w:val="0"/>
          <w:bCs/>
          <w:color w:val="auto"/>
          <w:sz w:val="22"/>
          <w:szCs w:val="22"/>
        </w:rPr>
        <w:t xml:space="preserve">rovider </w:t>
      </w:r>
      <w:r w:rsidR="001559F9">
        <w:rPr>
          <w:b w:val="0"/>
          <w:bCs/>
          <w:color w:val="auto"/>
          <w:sz w:val="22"/>
          <w:szCs w:val="22"/>
        </w:rPr>
        <w:t>i</w:t>
      </w:r>
      <w:r w:rsidR="001559F9" w:rsidRPr="004A290E">
        <w:rPr>
          <w:b w:val="0"/>
          <w:bCs/>
          <w:color w:val="auto"/>
          <w:sz w:val="22"/>
          <w:szCs w:val="22"/>
        </w:rPr>
        <w:t xml:space="preserve">nformation </w:t>
      </w:r>
      <w:r w:rsidR="00227D62" w:rsidRPr="004A290E">
        <w:rPr>
          <w:b w:val="0"/>
          <w:bCs/>
          <w:color w:val="auto"/>
          <w:sz w:val="22"/>
          <w:szCs w:val="22"/>
        </w:rPr>
        <w:t xml:space="preserve">when submitting claims </w:t>
      </w:r>
      <w:r w:rsidR="0067309A" w:rsidRPr="004A290E">
        <w:rPr>
          <w:b w:val="0"/>
          <w:bCs/>
          <w:color w:val="auto"/>
          <w:sz w:val="22"/>
          <w:szCs w:val="22"/>
        </w:rPr>
        <w:t xml:space="preserve">posted on the </w:t>
      </w:r>
      <w:r w:rsidR="006D711A">
        <w:rPr>
          <w:b w:val="0"/>
          <w:bCs/>
          <w:color w:val="auto"/>
          <w:sz w:val="22"/>
          <w:szCs w:val="22"/>
        </w:rPr>
        <w:t xml:space="preserve">ORP </w:t>
      </w:r>
      <w:r w:rsidR="0067309A" w:rsidRPr="004A290E">
        <w:rPr>
          <w:b w:val="0"/>
          <w:bCs/>
          <w:color w:val="auto"/>
          <w:sz w:val="22"/>
          <w:szCs w:val="22"/>
        </w:rPr>
        <w:t xml:space="preserve">webpage under </w:t>
      </w:r>
      <w:r w:rsidR="001559F9">
        <w:rPr>
          <w:b w:val="0"/>
          <w:bCs/>
          <w:color w:val="auto"/>
          <w:sz w:val="22"/>
          <w:szCs w:val="22"/>
        </w:rPr>
        <w:t>“</w:t>
      </w:r>
      <w:r w:rsidR="0067309A" w:rsidRPr="004A290E">
        <w:rPr>
          <w:b w:val="0"/>
          <w:bCs/>
          <w:color w:val="auto"/>
          <w:sz w:val="22"/>
          <w:szCs w:val="22"/>
        </w:rPr>
        <w:t>Resources.</w:t>
      </w:r>
      <w:r w:rsidR="001559F9">
        <w:rPr>
          <w:b w:val="0"/>
          <w:bCs/>
          <w:color w:val="auto"/>
          <w:sz w:val="22"/>
          <w:szCs w:val="22"/>
        </w:rPr>
        <w:t>”</w:t>
      </w:r>
      <w:r w:rsidR="0067309A" w:rsidRPr="004A290E">
        <w:rPr>
          <w:b w:val="0"/>
          <w:bCs/>
          <w:color w:val="auto"/>
          <w:sz w:val="22"/>
          <w:szCs w:val="22"/>
        </w:rPr>
        <w:t xml:space="preserve"> </w:t>
      </w:r>
    </w:p>
    <w:p w14:paraId="784F3CC3" w14:textId="2F758018" w:rsidR="00F664CC" w:rsidRPr="009901A7" w:rsidRDefault="00F664CC" w:rsidP="00302397">
      <w:pPr>
        <w:pStyle w:val="Heading2"/>
        <w:keepNext/>
        <w:spacing w:after="100"/>
      </w:pPr>
      <w:r w:rsidRPr="009901A7">
        <w:t>MassHealth Website</w:t>
      </w:r>
      <w:r w:rsidR="001554E7">
        <w:t xml:space="preserve"> </w:t>
      </w:r>
    </w:p>
    <w:p w14:paraId="12DB03D9" w14:textId="56F3DAC1" w:rsidR="00F664CC" w:rsidRPr="009901A7" w:rsidRDefault="00F664CC" w:rsidP="00D677B6">
      <w:pPr>
        <w:keepNext/>
      </w:pPr>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r w:rsidR="00F562D9">
        <w:t xml:space="preserve"> </w:t>
      </w:r>
      <w:r w:rsidR="00F562D9" w:rsidRPr="00F562D9">
        <w:t xml:space="preserve">and on the </w:t>
      </w:r>
      <w:hyperlink r:id="rId16" w:history="1">
        <w:r w:rsidR="00F562D9" w:rsidRPr="00B66CE9">
          <w:rPr>
            <w:rStyle w:val="Hyperlink"/>
          </w:rPr>
          <w:t>ORP</w:t>
        </w:r>
      </w:hyperlink>
      <w:r w:rsidR="00F562D9" w:rsidRPr="00F562D9">
        <w:t xml:space="preserve"> web</w:t>
      </w:r>
      <w:r w:rsidR="00F562D9">
        <w:t xml:space="preserve"> </w:t>
      </w:r>
      <w:r w:rsidR="00F562D9" w:rsidRPr="00F562D9">
        <w:t>page</w:t>
      </w:r>
      <w:r w:rsidR="008B6E51">
        <w:t>.</w:t>
      </w:r>
    </w:p>
    <w:p w14:paraId="772F4ACF" w14:textId="7CFC6EA2" w:rsidR="00F664CC" w:rsidRPr="009901A7" w:rsidRDefault="008832C4" w:rsidP="00E27CD8">
      <w:hyperlink r:id="rId17"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40353E">
      <w:pPr>
        <w:pStyle w:val="Heading2"/>
        <w:spacing w:after="100"/>
      </w:pPr>
      <w:r w:rsidRPr="009901A7">
        <w:t>Questions</w:t>
      </w:r>
      <w:r w:rsidR="001554E7">
        <w:t xml:space="preserve"> </w:t>
      </w:r>
    </w:p>
    <w:p w14:paraId="3F1A10B5" w14:textId="77777777" w:rsidR="00D37F2E" w:rsidRDefault="00D37F2E" w:rsidP="00D37F2E">
      <w:pPr>
        <w:pStyle w:val="Heading3"/>
      </w:pPr>
      <w:r>
        <w:t>Long-Term Services and Supports</w:t>
      </w:r>
    </w:p>
    <w:p w14:paraId="65FFC133" w14:textId="4BB04F5D" w:rsidR="00D37F2E" w:rsidRDefault="00D37F2E" w:rsidP="00D37F2E">
      <w:pPr>
        <w:pStyle w:val="BodyTextIndent"/>
        <w:spacing w:before="0" w:after="0" w:afterAutospacing="0"/>
        <w:ind w:left="720"/>
      </w:pPr>
      <w:r>
        <w:t>Phone: (844) 368-5184 (toll</w:t>
      </w:r>
      <w:r w:rsidR="00383322">
        <w:t>-</w:t>
      </w:r>
      <w:r>
        <w:t>free)</w:t>
      </w:r>
    </w:p>
    <w:p w14:paraId="1FA3AC61" w14:textId="77777777" w:rsidR="00D37F2E" w:rsidRDefault="00D37F2E" w:rsidP="00D37F2E">
      <w:pPr>
        <w:pStyle w:val="BodyTextIndent"/>
        <w:spacing w:before="0" w:after="0" w:afterAutospacing="0"/>
        <w:ind w:left="720"/>
      </w:pPr>
      <w:r>
        <w:t>Email: support@masshealthltss.com</w:t>
      </w:r>
    </w:p>
    <w:p w14:paraId="6518B976" w14:textId="77777777" w:rsidR="00D37F2E" w:rsidRDefault="00D37F2E" w:rsidP="00D37F2E">
      <w:pPr>
        <w:pStyle w:val="BodyTextIndent"/>
        <w:spacing w:before="0" w:after="0" w:afterAutospacing="0"/>
        <w:ind w:left="720"/>
      </w:pPr>
      <w:r>
        <w:t>Portal: MassHealthLTSS.com</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631DE5">
      <w:pPr>
        <w:pStyle w:val="Heading3"/>
        <w:spacing w:before="840" w:after="100"/>
      </w:pPr>
      <w:r>
        <w:lastRenderedPageBreak/>
        <w:t>All Other Provider Types</w:t>
      </w:r>
    </w:p>
    <w:p w14:paraId="24EB4935" w14:textId="24080FA0" w:rsidR="001A136C" w:rsidRDefault="001A136C" w:rsidP="00D37F2E">
      <w:pPr>
        <w:pStyle w:val="BodyTextIndent"/>
        <w:spacing w:before="0" w:after="0" w:afterAutospacing="0"/>
        <w:ind w:left="720"/>
      </w:pPr>
      <w:r w:rsidRPr="001A136C">
        <w:t>Phone: (800) 841-2900</w:t>
      </w:r>
      <w:r w:rsidR="001559F9">
        <w:t>,</w:t>
      </w:r>
      <w:r w:rsidRPr="001A136C">
        <w:t xml:space="preserve"> TDD/TTY: 711</w:t>
      </w:r>
    </w:p>
    <w:p w14:paraId="75FF33A2" w14:textId="0D941DE8" w:rsidR="00D37F2E" w:rsidRDefault="00D37F2E" w:rsidP="00D37F2E">
      <w:pPr>
        <w:pStyle w:val="BodyTextIndent"/>
        <w:spacing w:before="0" w:after="0" w:afterAutospacing="0"/>
        <w:ind w:left="720"/>
      </w:pPr>
      <w:r>
        <w:t xml:space="preserve">Email: </w:t>
      </w:r>
      <w:hyperlink r:id="rId18" w:history="1">
        <w:r w:rsidR="00696CE1" w:rsidRPr="00BB15BF">
          <w:rPr>
            <w:rStyle w:val="Hyperlink"/>
          </w:rPr>
          <w:t>provider@masshealthquestions.com</w:t>
        </w:r>
      </w:hyperlink>
      <w:r w:rsidR="00696CE1">
        <w:rPr>
          <w:rStyle w:val="Hyperlink"/>
        </w:rPr>
        <w:t xml:space="preserve"> </w:t>
      </w:r>
    </w:p>
    <w:p w14:paraId="5A6CC1EA" w14:textId="77777777" w:rsidR="00D37F2E" w:rsidRPr="00F664CC" w:rsidRDefault="00D37F2E" w:rsidP="00D37F2E">
      <w:pPr>
        <w:pStyle w:val="BodyTextIndent"/>
        <w:spacing w:before="0" w:after="0" w:afterAutospacing="0"/>
        <w:ind w:left="720"/>
      </w:pPr>
      <w:r>
        <w:t>Fax: (617) 988-8974</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48EE" w14:textId="77777777" w:rsidR="009812AC" w:rsidRDefault="009812AC" w:rsidP="00E27CD8">
      <w:r>
        <w:separator/>
      </w:r>
    </w:p>
  </w:endnote>
  <w:endnote w:type="continuationSeparator" w:id="0">
    <w:p w14:paraId="362FF183" w14:textId="77777777" w:rsidR="009812AC" w:rsidRDefault="009812AC" w:rsidP="00E27CD8">
      <w:r>
        <w:continuationSeparator/>
      </w:r>
    </w:p>
  </w:endnote>
  <w:endnote w:type="continuationNotice" w:id="1">
    <w:p w14:paraId="04B5188E" w14:textId="77777777" w:rsidR="009812AC" w:rsidRDefault="009812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790754E4" w:rsidR="00CC1E11" w:rsidRPr="00CC1E11" w:rsidRDefault="00CC1E11" w:rsidP="008B04CE">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3AB7" w14:textId="77777777" w:rsidR="009812AC" w:rsidRDefault="009812AC" w:rsidP="00E27CD8">
      <w:r>
        <w:separator/>
      </w:r>
    </w:p>
  </w:footnote>
  <w:footnote w:type="continuationSeparator" w:id="0">
    <w:p w14:paraId="61AEF769" w14:textId="77777777" w:rsidR="009812AC" w:rsidRDefault="009812AC" w:rsidP="00E27CD8">
      <w:r>
        <w:continuationSeparator/>
      </w:r>
    </w:p>
  </w:footnote>
  <w:footnote w:type="continuationNotice" w:id="1">
    <w:p w14:paraId="5F52ECD5" w14:textId="77777777" w:rsidR="009812AC" w:rsidRDefault="009812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746B9361" w:rsidR="00AD204A" w:rsidRPr="00302397" w:rsidRDefault="00D677B6" w:rsidP="00AD204A">
    <w:pPr>
      <w:pStyle w:val="BullsHeading"/>
    </w:pPr>
    <w:r w:rsidRPr="00302397">
      <w:t>All</w:t>
    </w:r>
    <w:r w:rsidR="005A691B">
      <w:t xml:space="preserve"> </w:t>
    </w:r>
    <w:r w:rsidR="00AD204A" w:rsidRPr="00302397">
      <w:t xml:space="preserve">Provider Bulletin </w:t>
    </w:r>
    <w:r w:rsidR="000C46A9">
      <w:t>376</w:t>
    </w:r>
  </w:p>
  <w:p w14:paraId="1893C03A" w14:textId="0094BE30" w:rsidR="00AD204A" w:rsidRDefault="00C54FEB" w:rsidP="00AD204A">
    <w:pPr>
      <w:pStyle w:val="BullsHeading"/>
    </w:pPr>
    <w:r>
      <w:t xml:space="preserve">September </w:t>
    </w:r>
    <w:r w:rsidR="00D677B6" w:rsidRPr="0040353E">
      <w:t>2023</w:t>
    </w:r>
  </w:p>
  <w:p w14:paraId="77422704" w14:textId="7ED933A1"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A38AB"/>
    <w:multiLevelType w:val="hybridMultilevel"/>
    <w:tmpl w:val="60063E1A"/>
    <w:lvl w:ilvl="0" w:tplc="ED020798">
      <w:start w:val="1"/>
      <w:numFmt w:val="bullet"/>
      <w:lvlText w:val="•"/>
      <w:lvlJc w:val="left"/>
      <w:pPr>
        <w:tabs>
          <w:tab w:val="num" w:pos="720"/>
        </w:tabs>
        <w:ind w:left="720" w:hanging="360"/>
      </w:pPr>
      <w:rPr>
        <w:rFonts w:ascii="Arial" w:hAnsi="Arial" w:hint="default"/>
      </w:rPr>
    </w:lvl>
    <w:lvl w:ilvl="1" w:tplc="A8E86254">
      <w:numFmt w:val="bullet"/>
      <w:lvlText w:val="•"/>
      <w:lvlJc w:val="left"/>
      <w:pPr>
        <w:tabs>
          <w:tab w:val="num" w:pos="1440"/>
        </w:tabs>
        <w:ind w:left="1440" w:hanging="360"/>
      </w:pPr>
      <w:rPr>
        <w:rFonts w:ascii="Arial" w:hAnsi="Arial" w:hint="default"/>
      </w:rPr>
    </w:lvl>
    <w:lvl w:ilvl="2" w:tplc="92F44708">
      <w:start w:val="1"/>
      <w:numFmt w:val="bullet"/>
      <w:lvlText w:val="•"/>
      <w:lvlJc w:val="left"/>
      <w:pPr>
        <w:tabs>
          <w:tab w:val="num" w:pos="2160"/>
        </w:tabs>
        <w:ind w:left="2160" w:hanging="360"/>
      </w:pPr>
      <w:rPr>
        <w:rFonts w:ascii="Arial" w:hAnsi="Arial" w:hint="default"/>
      </w:rPr>
    </w:lvl>
    <w:lvl w:ilvl="3" w:tplc="7B3AFD02" w:tentative="1">
      <w:start w:val="1"/>
      <w:numFmt w:val="bullet"/>
      <w:lvlText w:val="•"/>
      <w:lvlJc w:val="left"/>
      <w:pPr>
        <w:tabs>
          <w:tab w:val="num" w:pos="2880"/>
        </w:tabs>
        <w:ind w:left="2880" w:hanging="360"/>
      </w:pPr>
      <w:rPr>
        <w:rFonts w:ascii="Arial" w:hAnsi="Arial" w:hint="default"/>
      </w:rPr>
    </w:lvl>
    <w:lvl w:ilvl="4" w:tplc="FBC09BEA" w:tentative="1">
      <w:start w:val="1"/>
      <w:numFmt w:val="bullet"/>
      <w:lvlText w:val="•"/>
      <w:lvlJc w:val="left"/>
      <w:pPr>
        <w:tabs>
          <w:tab w:val="num" w:pos="3600"/>
        </w:tabs>
        <w:ind w:left="3600" w:hanging="360"/>
      </w:pPr>
      <w:rPr>
        <w:rFonts w:ascii="Arial" w:hAnsi="Arial" w:hint="default"/>
      </w:rPr>
    </w:lvl>
    <w:lvl w:ilvl="5" w:tplc="F89AEB9C" w:tentative="1">
      <w:start w:val="1"/>
      <w:numFmt w:val="bullet"/>
      <w:lvlText w:val="•"/>
      <w:lvlJc w:val="left"/>
      <w:pPr>
        <w:tabs>
          <w:tab w:val="num" w:pos="4320"/>
        </w:tabs>
        <w:ind w:left="4320" w:hanging="360"/>
      </w:pPr>
      <w:rPr>
        <w:rFonts w:ascii="Arial" w:hAnsi="Arial" w:hint="default"/>
      </w:rPr>
    </w:lvl>
    <w:lvl w:ilvl="6" w:tplc="60D08EC2" w:tentative="1">
      <w:start w:val="1"/>
      <w:numFmt w:val="bullet"/>
      <w:lvlText w:val="•"/>
      <w:lvlJc w:val="left"/>
      <w:pPr>
        <w:tabs>
          <w:tab w:val="num" w:pos="5040"/>
        </w:tabs>
        <w:ind w:left="5040" w:hanging="360"/>
      </w:pPr>
      <w:rPr>
        <w:rFonts w:ascii="Arial" w:hAnsi="Arial" w:hint="default"/>
      </w:rPr>
    </w:lvl>
    <w:lvl w:ilvl="7" w:tplc="2C9A5824" w:tentative="1">
      <w:start w:val="1"/>
      <w:numFmt w:val="bullet"/>
      <w:lvlText w:val="•"/>
      <w:lvlJc w:val="left"/>
      <w:pPr>
        <w:tabs>
          <w:tab w:val="num" w:pos="5760"/>
        </w:tabs>
        <w:ind w:left="5760" w:hanging="360"/>
      </w:pPr>
      <w:rPr>
        <w:rFonts w:ascii="Arial" w:hAnsi="Arial" w:hint="default"/>
      </w:rPr>
    </w:lvl>
    <w:lvl w:ilvl="8" w:tplc="D1BEEC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15C18"/>
    <w:multiLevelType w:val="hybridMultilevel"/>
    <w:tmpl w:val="A7587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D4383A"/>
    <w:multiLevelType w:val="hybridMultilevel"/>
    <w:tmpl w:val="8AC89BC4"/>
    <w:lvl w:ilvl="0" w:tplc="4412E3CA">
      <w:start w:val="1"/>
      <w:numFmt w:val="bullet"/>
      <w:lvlText w:val="•"/>
      <w:lvlJc w:val="left"/>
      <w:pPr>
        <w:tabs>
          <w:tab w:val="num" w:pos="720"/>
        </w:tabs>
        <w:ind w:left="720" w:hanging="360"/>
      </w:pPr>
      <w:rPr>
        <w:rFonts w:ascii="Arial" w:hAnsi="Arial" w:hint="default"/>
      </w:rPr>
    </w:lvl>
    <w:lvl w:ilvl="1" w:tplc="49B0424E">
      <w:start w:val="1"/>
      <w:numFmt w:val="bullet"/>
      <w:lvlText w:val="•"/>
      <w:lvlJc w:val="left"/>
      <w:pPr>
        <w:tabs>
          <w:tab w:val="num" w:pos="1440"/>
        </w:tabs>
        <w:ind w:left="1440" w:hanging="360"/>
      </w:pPr>
      <w:rPr>
        <w:rFonts w:ascii="Arial" w:hAnsi="Arial" w:hint="default"/>
      </w:rPr>
    </w:lvl>
    <w:lvl w:ilvl="2" w:tplc="F718E9C2" w:tentative="1">
      <w:start w:val="1"/>
      <w:numFmt w:val="bullet"/>
      <w:lvlText w:val="•"/>
      <w:lvlJc w:val="left"/>
      <w:pPr>
        <w:tabs>
          <w:tab w:val="num" w:pos="2160"/>
        </w:tabs>
        <w:ind w:left="2160" w:hanging="360"/>
      </w:pPr>
      <w:rPr>
        <w:rFonts w:ascii="Arial" w:hAnsi="Arial" w:hint="default"/>
      </w:rPr>
    </w:lvl>
    <w:lvl w:ilvl="3" w:tplc="6F78E22E" w:tentative="1">
      <w:start w:val="1"/>
      <w:numFmt w:val="bullet"/>
      <w:lvlText w:val="•"/>
      <w:lvlJc w:val="left"/>
      <w:pPr>
        <w:tabs>
          <w:tab w:val="num" w:pos="2880"/>
        </w:tabs>
        <w:ind w:left="2880" w:hanging="360"/>
      </w:pPr>
      <w:rPr>
        <w:rFonts w:ascii="Arial" w:hAnsi="Arial" w:hint="default"/>
      </w:rPr>
    </w:lvl>
    <w:lvl w:ilvl="4" w:tplc="9D4CDC6E" w:tentative="1">
      <w:start w:val="1"/>
      <w:numFmt w:val="bullet"/>
      <w:lvlText w:val="•"/>
      <w:lvlJc w:val="left"/>
      <w:pPr>
        <w:tabs>
          <w:tab w:val="num" w:pos="3600"/>
        </w:tabs>
        <w:ind w:left="3600" w:hanging="360"/>
      </w:pPr>
      <w:rPr>
        <w:rFonts w:ascii="Arial" w:hAnsi="Arial" w:hint="default"/>
      </w:rPr>
    </w:lvl>
    <w:lvl w:ilvl="5" w:tplc="FC4459A0" w:tentative="1">
      <w:start w:val="1"/>
      <w:numFmt w:val="bullet"/>
      <w:lvlText w:val="•"/>
      <w:lvlJc w:val="left"/>
      <w:pPr>
        <w:tabs>
          <w:tab w:val="num" w:pos="4320"/>
        </w:tabs>
        <w:ind w:left="4320" w:hanging="360"/>
      </w:pPr>
      <w:rPr>
        <w:rFonts w:ascii="Arial" w:hAnsi="Arial" w:hint="default"/>
      </w:rPr>
    </w:lvl>
    <w:lvl w:ilvl="6" w:tplc="A1E8CF1C" w:tentative="1">
      <w:start w:val="1"/>
      <w:numFmt w:val="bullet"/>
      <w:lvlText w:val="•"/>
      <w:lvlJc w:val="left"/>
      <w:pPr>
        <w:tabs>
          <w:tab w:val="num" w:pos="5040"/>
        </w:tabs>
        <w:ind w:left="5040" w:hanging="360"/>
      </w:pPr>
      <w:rPr>
        <w:rFonts w:ascii="Arial" w:hAnsi="Arial" w:hint="default"/>
      </w:rPr>
    </w:lvl>
    <w:lvl w:ilvl="7" w:tplc="E8CA4D02" w:tentative="1">
      <w:start w:val="1"/>
      <w:numFmt w:val="bullet"/>
      <w:lvlText w:val="•"/>
      <w:lvlJc w:val="left"/>
      <w:pPr>
        <w:tabs>
          <w:tab w:val="num" w:pos="5760"/>
        </w:tabs>
        <w:ind w:left="5760" w:hanging="360"/>
      </w:pPr>
      <w:rPr>
        <w:rFonts w:ascii="Arial" w:hAnsi="Arial" w:hint="default"/>
      </w:rPr>
    </w:lvl>
    <w:lvl w:ilvl="8" w:tplc="9DDC85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77384F"/>
    <w:multiLevelType w:val="hybridMultilevel"/>
    <w:tmpl w:val="C748A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08768D"/>
    <w:multiLevelType w:val="hybridMultilevel"/>
    <w:tmpl w:val="980C734E"/>
    <w:lvl w:ilvl="0" w:tplc="46ACA4E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7818930C" w:tentative="1">
      <w:start w:val="1"/>
      <w:numFmt w:val="bullet"/>
      <w:lvlText w:val="•"/>
      <w:lvlJc w:val="left"/>
      <w:pPr>
        <w:tabs>
          <w:tab w:val="num" w:pos="2880"/>
        </w:tabs>
        <w:ind w:left="2880" w:hanging="360"/>
      </w:pPr>
      <w:rPr>
        <w:rFonts w:ascii="Arial" w:hAnsi="Arial" w:hint="default"/>
      </w:rPr>
    </w:lvl>
    <w:lvl w:ilvl="4" w:tplc="A2843F3A" w:tentative="1">
      <w:start w:val="1"/>
      <w:numFmt w:val="bullet"/>
      <w:lvlText w:val="•"/>
      <w:lvlJc w:val="left"/>
      <w:pPr>
        <w:tabs>
          <w:tab w:val="num" w:pos="3600"/>
        </w:tabs>
        <w:ind w:left="3600" w:hanging="360"/>
      </w:pPr>
      <w:rPr>
        <w:rFonts w:ascii="Arial" w:hAnsi="Arial" w:hint="default"/>
      </w:rPr>
    </w:lvl>
    <w:lvl w:ilvl="5" w:tplc="E4E0F326" w:tentative="1">
      <w:start w:val="1"/>
      <w:numFmt w:val="bullet"/>
      <w:lvlText w:val="•"/>
      <w:lvlJc w:val="left"/>
      <w:pPr>
        <w:tabs>
          <w:tab w:val="num" w:pos="4320"/>
        </w:tabs>
        <w:ind w:left="4320" w:hanging="360"/>
      </w:pPr>
      <w:rPr>
        <w:rFonts w:ascii="Arial" w:hAnsi="Arial" w:hint="default"/>
      </w:rPr>
    </w:lvl>
    <w:lvl w:ilvl="6" w:tplc="C39E2F56" w:tentative="1">
      <w:start w:val="1"/>
      <w:numFmt w:val="bullet"/>
      <w:lvlText w:val="•"/>
      <w:lvlJc w:val="left"/>
      <w:pPr>
        <w:tabs>
          <w:tab w:val="num" w:pos="5040"/>
        </w:tabs>
        <w:ind w:left="5040" w:hanging="360"/>
      </w:pPr>
      <w:rPr>
        <w:rFonts w:ascii="Arial" w:hAnsi="Arial" w:hint="default"/>
      </w:rPr>
    </w:lvl>
    <w:lvl w:ilvl="7" w:tplc="85A23514" w:tentative="1">
      <w:start w:val="1"/>
      <w:numFmt w:val="bullet"/>
      <w:lvlText w:val="•"/>
      <w:lvlJc w:val="left"/>
      <w:pPr>
        <w:tabs>
          <w:tab w:val="num" w:pos="5760"/>
        </w:tabs>
        <w:ind w:left="5760" w:hanging="360"/>
      </w:pPr>
      <w:rPr>
        <w:rFonts w:ascii="Arial" w:hAnsi="Arial" w:hint="default"/>
      </w:rPr>
    </w:lvl>
    <w:lvl w:ilvl="8" w:tplc="9E1068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72140D"/>
    <w:multiLevelType w:val="hybridMultilevel"/>
    <w:tmpl w:val="BB4E4864"/>
    <w:lvl w:ilvl="0" w:tplc="82B618EC">
      <w:start w:val="1"/>
      <w:numFmt w:val="bullet"/>
      <w:lvlText w:val="•"/>
      <w:lvlJc w:val="left"/>
      <w:pPr>
        <w:tabs>
          <w:tab w:val="num" w:pos="720"/>
        </w:tabs>
        <w:ind w:left="720" w:hanging="360"/>
      </w:pPr>
      <w:rPr>
        <w:rFonts w:ascii="Arial" w:hAnsi="Arial" w:hint="default"/>
      </w:rPr>
    </w:lvl>
    <w:lvl w:ilvl="1" w:tplc="58286514">
      <w:start w:val="1"/>
      <w:numFmt w:val="bullet"/>
      <w:lvlText w:val="•"/>
      <w:lvlJc w:val="left"/>
      <w:pPr>
        <w:tabs>
          <w:tab w:val="num" w:pos="1440"/>
        </w:tabs>
        <w:ind w:left="1440" w:hanging="360"/>
      </w:pPr>
      <w:rPr>
        <w:rFonts w:ascii="Arial" w:hAnsi="Arial" w:hint="default"/>
      </w:rPr>
    </w:lvl>
    <w:lvl w:ilvl="2" w:tplc="424E0EBC" w:tentative="1">
      <w:start w:val="1"/>
      <w:numFmt w:val="bullet"/>
      <w:lvlText w:val="•"/>
      <w:lvlJc w:val="left"/>
      <w:pPr>
        <w:tabs>
          <w:tab w:val="num" w:pos="2160"/>
        </w:tabs>
        <w:ind w:left="2160" w:hanging="360"/>
      </w:pPr>
      <w:rPr>
        <w:rFonts w:ascii="Arial" w:hAnsi="Arial" w:hint="default"/>
      </w:rPr>
    </w:lvl>
    <w:lvl w:ilvl="3" w:tplc="A33CDFF4" w:tentative="1">
      <w:start w:val="1"/>
      <w:numFmt w:val="bullet"/>
      <w:lvlText w:val="•"/>
      <w:lvlJc w:val="left"/>
      <w:pPr>
        <w:tabs>
          <w:tab w:val="num" w:pos="2880"/>
        </w:tabs>
        <w:ind w:left="2880" w:hanging="360"/>
      </w:pPr>
      <w:rPr>
        <w:rFonts w:ascii="Arial" w:hAnsi="Arial" w:hint="default"/>
      </w:rPr>
    </w:lvl>
    <w:lvl w:ilvl="4" w:tplc="4446BF42" w:tentative="1">
      <w:start w:val="1"/>
      <w:numFmt w:val="bullet"/>
      <w:lvlText w:val="•"/>
      <w:lvlJc w:val="left"/>
      <w:pPr>
        <w:tabs>
          <w:tab w:val="num" w:pos="3600"/>
        </w:tabs>
        <w:ind w:left="3600" w:hanging="360"/>
      </w:pPr>
      <w:rPr>
        <w:rFonts w:ascii="Arial" w:hAnsi="Arial" w:hint="default"/>
      </w:rPr>
    </w:lvl>
    <w:lvl w:ilvl="5" w:tplc="D3B2D3A2" w:tentative="1">
      <w:start w:val="1"/>
      <w:numFmt w:val="bullet"/>
      <w:lvlText w:val="•"/>
      <w:lvlJc w:val="left"/>
      <w:pPr>
        <w:tabs>
          <w:tab w:val="num" w:pos="4320"/>
        </w:tabs>
        <w:ind w:left="4320" w:hanging="360"/>
      </w:pPr>
      <w:rPr>
        <w:rFonts w:ascii="Arial" w:hAnsi="Arial" w:hint="default"/>
      </w:rPr>
    </w:lvl>
    <w:lvl w:ilvl="6" w:tplc="6E10D7B8" w:tentative="1">
      <w:start w:val="1"/>
      <w:numFmt w:val="bullet"/>
      <w:lvlText w:val="•"/>
      <w:lvlJc w:val="left"/>
      <w:pPr>
        <w:tabs>
          <w:tab w:val="num" w:pos="5040"/>
        </w:tabs>
        <w:ind w:left="5040" w:hanging="360"/>
      </w:pPr>
      <w:rPr>
        <w:rFonts w:ascii="Arial" w:hAnsi="Arial" w:hint="default"/>
      </w:rPr>
    </w:lvl>
    <w:lvl w:ilvl="7" w:tplc="3A52D70E" w:tentative="1">
      <w:start w:val="1"/>
      <w:numFmt w:val="bullet"/>
      <w:lvlText w:val="•"/>
      <w:lvlJc w:val="left"/>
      <w:pPr>
        <w:tabs>
          <w:tab w:val="num" w:pos="5760"/>
        </w:tabs>
        <w:ind w:left="5760" w:hanging="360"/>
      </w:pPr>
      <w:rPr>
        <w:rFonts w:ascii="Arial" w:hAnsi="Arial" w:hint="default"/>
      </w:rPr>
    </w:lvl>
    <w:lvl w:ilvl="8" w:tplc="BCE894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F45A0C"/>
    <w:multiLevelType w:val="hybridMultilevel"/>
    <w:tmpl w:val="ADCE3298"/>
    <w:lvl w:ilvl="0" w:tplc="62F85F3A">
      <w:start w:val="5"/>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03379719">
    <w:abstractNumId w:val="9"/>
  </w:num>
  <w:num w:numId="2" w16cid:durableId="84376937">
    <w:abstractNumId w:val="7"/>
  </w:num>
  <w:num w:numId="3" w16cid:durableId="857694755">
    <w:abstractNumId w:val="6"/>
  </w:num>
  <w:num w:numId="4" w16cid:durableId="1473402112">
    <w:abstractNumId w:val="5"/>
  </w:num>
  <w:num w:numId="5" w16cid:durableId="1504708651">
    <w:abstractNumId w:val="4"/>
  </w:num>
  <w:num w:numId="6" w16cid:durableId="1594240541">
    <w:abstractNumId w:val="8"/>
  </w:num>
  <w:num w:numId="7" w16cid:durableId="111751664">
    <w:abstractNumId w:val="3"/>
  </w:num>
  <w:num w:numId="8" w16cid:durableId="1177427678">
    <w:abstractNumId w:val="2"/>
  </w:num>
  <w:num w:numId="9" w16cid:durableId="1870484761">
    <w:abstractNumId w:val="1"/>
  </w:num>
  <w:num w:numId="10" w16cid:durableId="388303181">
    <w:abstractNumId w:val="0"/>
  </w:num>
  <w:num w:numId="11" w16cid:durableId="1567108899">
    <w:abstractNumId w:val="13"/>
  </w:num>
  <w:num w:numId="12" w16cid:durableId="372191079">
    <w:abstractNumId w:val="16"/>
  </w:num>
  <w:num w:numId="13" w16cid:durableId="2066105251">
    <w:abstractNumId w:val="11"/>
  </w:num>
  <w:num w:numId="14" w16cid:durableId="1122460765">
    <w:abstractNumId w:val="14"/>
  </w:num>
  <w:num w:numId="15" w16cid:durableId="721370589">
    <w:abstractNumId w:val="10"/>
  </w:num>
  <w:num w:numId="16" w16cid:durableId="1385179296">
    <w:abstractNumId w:val="12"/>
  </w:num>
  <w:num w:numId="17" w16cid:durableId="204953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984"/>
    <w:rsid w:val="00013F63"/>
    <w:rsid w:val="00043B20"/>
    <w:rsid w:val="000502C2"/>
    <w:rsid w:val="00060B00"/>
    <w:rsid w:val="00063A29"/>
    <w:rsid w:val="000776C2"/>
    <w:rsid w:val="00081CE2"/>
    <w:rsid w:val="00085646"/>
    <w:rsid w:val="00087D65"/>
    <w:rsid w:val="00093D45"/>
    <w:rsid w:val="000A2F03"/>
    <w:rsid w:val="000A4952"/>
    <w:rsid w:val="000C3A80"/>
    <w:rsid w:val="000C46A9"/>
    <w:rsid w:val="000C6BE1"/>
    <w:rsid w:val="000D17A1"/>
    <w:rsid w:val="000D3339"/>
    <w:rsid w:val="000D3D14"/>
    <w:rsid w:val="000D3DB5"/>
    <w:rsid w:val="000F19FE"/>
    <w:rsid w:val="000F3987"/>
    <w:rsid w:val="000F4C4F"/>
    <w:rsid w:val="000F51EA"/>
    <w:rsid w:val="001007CA"/>
    <w:rsid w:val="00102A14"/>
    <w:rsid w:val="00121DAB"/>
    <w:rsid w:val="00126C73"/>
    <w:rsid w:val="001323D5"/>
    <w:rsid w:val="00134385"/>
    <w:rsid w:val="00136D89"/>
    <w:rsid w:val="001445FF"/>
    <w:rsid w:val="00150BCC"/>
    <w:rsid w:val="001552E1"/>
    <w:rsid w:val="001554E7"/>
    <w:rsid w:val="001559F9"/>
    <w:rsid w:val="00155D7F"/>
    <w:rsid w:val="001611A7"/>
    <w:rsid w:val="001631AF"/>
    <w:rsid w:val="001634DD"/>
    <w:rsid w:val="00166FB9"/>
    <w:rsid w:val="00167C17"/>
    <w:rsid w:val="00192C76"/>
    <w:rsid w:val="001A136C"/>
    <w:rsid w:val="001A6F57"/>
    <w:rsid w:val="001D5A28"/>
    <w:rsid w:val="001E071C"/>
    <w:rsid w:val="001F4010"/>
    <w:rsid w:val="001F7A14"/>
    <w:rsid w:val="002053FE"/>
    <w:rsid w:val="00216F54"/>
    <w:rsid w:val="00221556"/>
    <w:rsid w:val="00227A80"/>
    <w:rsid w:val="00227D62"/>
    <w:rsid w:val="0023655E"/>
    <w:rsid w:val="002378D1"/>
    <w:rsid w:val="00244F22"/>
    <w:rsid w:val="002501CF"/>
    <w:rsid w:val="002666C6"/>
    <w:rsid w:val="00272BD2"/>
    <w:rsid w:val="00276C50"/>
    <w:rsid w:val="00277AA6"/>
    <w:rsid w:val="0028720F"/>
    <w:rsid w:val="00297E26"/>
    <w:rsid w:val="002A5CB4"/>
    <w:rsid w:val="002A7D46"/>
    <w:rsid w:val="002B4CE7"/>
    <w:rsid w:val="002C1F61"/>
    <w:rsid w:val="002C288B"/>
    <w:rsid w:val="002C332B"/>
    <w:rsid w:val="002D39D9"/>
    <w:rsid w:val="002E001D"/>
    <w:rsid w:val="002F2993"/>
    <w:rsid w:val="00302397"/>
    <w:rsid w:val="00302E76"/>
    <w:rsid w:val="00307746"/>
    <w:rsid w:val="00311873"/>
    <w:rsid w:val="00322C8E"/>
    <w:rsid w:val="00331BC7"/>
    <w:rsid w:val="003341C2"/>
    <w:rsid w:val="003502FC"/>
    <w:rsid w:val="0036390C"/>
    <w:rsid w:val="00371317"/>
    <w:rsid w:val="0037288F"/>
    <w:rsid w:val="003742D4"/>
    <w:rsid w:val="0037565C"/>
    <w:rsid w:val="00375A80"/>
    <w:rsid w:val="00383322"/>
    <w:rsid w:val="003844B2"/>
    <w:rsid w:val="00386B68"/>
    <w:rsid w:val="00390396"/>
    <w:rsid w:val="00392FAB"/>
    <w:rsid w:val="00394CA0"/>
    <w:rsid w:val="003A2916"/>
    <w:rsid w:val="003A58AF"/>
    <w:rsid w:val="003A5991"/>
    <w:rsid w:val="003A7588"/>
    <w:rsid w:val="003B3F1F"/>
    <w:rsid w:val="003C440D"/>
    <w:rsid w:val="003C57A1"/>
    <w:rsid w:val="003D5956"/>
    <w:rsid w:val="003E2878"/>
    <w:rsid w:val="0040353E"/>
    <w:rsid w:val="00407063"/>
    <w:rsid w:val="0040725C"/>
    <w:rsid w:val="00407D3D"/>
    <w:rsid w:val="00412CBA"/>
    <w:rsid w:val="00414CF3"/>
    <w:rsid w:val="00420E44"/>
    <w:rsid w:val="00432AF6"/>
    <w:rsid w:val="0048667E"/>
    <w:rsid w:val="00486FE2"/>
    <w:rsid w:val="004912CD"/>
    <w:rsid w:val="00497241"/>
    <w:rsid w:val="004A290E"/>
    <w:rsid w:val="004A7718"/>
    <w:rsid w:val="004B583C"/>
    <w:rsid w:val="004D12EC"/>
    <w:rsid w:val="004E14D5"/>
    <w:rsid w:val="004E18BA"/>
    <w:rsid w:val="004E3209"/>
    <w:rsid w:val="004E46C0"/>
    <w:rsid w:val="004F4A7F"/>
    <w:rsid w:val="004F4B9A"/>
    <w:rsid w:val="0050514B"/>
    <w:rsid w:val="005051DD"/>
    <w:rsid w:val="005068BD"/>
    <w:rsid w:val="00506D76"/>
    <w:rsid w:val="00507CFF"/>
    <w:rsid w:val="00507D52"/>
    <w:rsid w:val="00514D27"/>
    <w:rsid w:val="00515C1C"/>
    <w:rsid w:val="00522997"/>
    <w:rsid w:val="005232E8"/>
    <w:rsid w:val="00532EA0"/>
    <w:rsid w:val="00541D40"/>
    <w:rsid w:val="0055036E"/>
    <w:rsid w:val="00553015"/>
    <w:rsid w:val="00563F67"/>
    <w:rsid w:val="005764C6"/>
    <w:rsid w:val="0058634E"/>
    <w:rsid w:val="00587E7B"/>
    <w:rsid w:val="005908D4"/>
    <w:rsid w:val="0059142C"/>
    <w:rsid w:val="005935D2"/>
    <w:rsid w:val="0059458A"/>
    <w:rsid w:val="00596276"/>
    <w:rsid w:val="00596526"/>
    <w:rsid w:val="005A065C"/>
    <w:rsid w:val="005A1528"/>
    <w:rsid w:val="005A243C"/>
    <w:rsid w:val="005A2800"/>
    <w:rsid w:val="005A691B"/>
    <w:rsid w:val="005B27F1"/>
    <w:rsid w:val="005B5BC1"/>
    <w:rsid w:val="005C3A7C"/>
    <w:rsid w:val="005D1469"/>
    <w:rsid w:val="005D1A61"/>
    <w:rsid w:val="005E1DCC"/>
    <w:rsid w:val="005E4B62"/>
    <w:rsid w:val="005E4B65"/>
    <w:rsid w:val="005F10D3"/>
    <w:rsid w:val="005F2B69"/>
    <w:rsid w:val="00602153"/>
    <w:rsid w:val="00611AC5"/>
    <w:rsid w:val="006238FA"/>
    <w:rsid w:val="00631DE5"/>
    <w:rsid w:val="00637C81"/>
    <w:rsid w:val="0064539C"/>
    <w:rsid w:val="0064796E"/>
    <w:rsid w:val="00652D34"/>
    <w:rsid w:val="0065355D"/>
    <w:rsid w:val="00661AAF"/>
    <w:rsid w:val="00671899"/>
    <w:rsid w:val="00672AD0"/>
    <w:rsid w:val="0067309A"/>
    <w:rsid w:val="00686BF8"/>
    <w:rsid w:val="006941BF"/>
    <w:rsid w:val="00694805"/>
    <w:rsid w:val="00695D33"/>
    <w:rsid w:val="00696CE1"/>
    <w:rsid w:val="00696EA9"/>
    <w:rsid w:val="006A449F"/>
    <w:rsid w:val="006A673E"/>
    <w:rsid w:val="006A7FE4"/>
    <w:rsid w:val="006B14EB"/>
    <w:rsid w:val="006B5A1B"/>
    <w:rsid w:val="006B60E1"/>
    <w:rsid w:val="006C03F9"/>
    <w:rsid w:val="006C2666"/>
    <w:rsid w:val="006C361C"/>
    <w:rsid w:val="006C49F7"/>
    <w:rsid w:val="006C6138"/>
    <w:rsid w:val="006C70F9"/>
    <w:rsid w:val="006D1AE8"/>
    <w:rsid w:val="006D325E"/>
    <w:rsid w:val="006D3F15"/>
    <w:rsid w:val="006D711A"/>
    <w:rsid w:val="006E012E"/>
    <w:rsid w:val="006E2D0F"/>
    <w:rsid w:val="006E336C"/>
    <w:rsid w:val="006E6029"/>
    <w:rsid w:val="006F1386"/>
    <w:rsid w:val="006F5044"/>
    <w:rsid w:val="006F67BC"/>
    <w:rsid w:val="00701FE9"/>
    <w:rsid w:val="00706438"/>
    <w:rsid w:val="00707465"/>
    <w:rsid w:val="007336FB"/>
    <w:rsid w:val="007377E8"/>
    <w:rsid w:val="00756DE1"/>
    <w:rsid w:val="00757185"/>
    <w:rsid w:val="007620C5"/>
    <w:rsid w:val="00765F97"/>
    <w:rsid w:val="00767028"/>
    <w:rsid w:val="0077556E"/>
    <w:rsid w:val="00777A22"/>
    <w:rsid w:val="00777A44"/>
    <w:rsid w:val="00792634"/>
    <w:rsid w:val="00795B29"/>
    <w:rsid w:val="00795E06"/>
    <w:rsid w:val="007A5900"/>
    <w:rsid w:val="007A5B03"/>
    <w:rsid w:val="007C5BEF"/>
    <w:rsid w:val="007C7D81"/>
    <w:rsid w:val="007D4736"/>
    <w:rsid w:val="007D6B24"/>
    <w:rsid w:val="007E00DB"/>
    <w:rsid w:val="007F4D74"/>
    <w:rsid w:val="007F7DBF"/>
    <w:rsid w:val="008026EA"/>
    <w:rsid w:val="00804032"/>
    <w:rsid w:val="008106BE"/>
    <w:rsid w:val="008201CC"/>
    <w:rsid w:val="00824476"/>
    <w:rsid w:val="008352E0"/>
    <w:rsid w:val="00851630"/>
    <w:rsid w:val="00863041"/>
    <w:rsid w:val="00864577"/>
    <w:rsid w:val="00866083"/>
    <w:rsid w:val="008832C4"/>
    <w:rsid w:val="00883B22"/>
    <w:rsid w:val="008A79A2"/>
    <w:rsid w:val="008B04CE"/>
    <w:rsid w:val="008B6E51"/>
    <w:rsid w:val="008C1686"/>
    <w:rsid w:val="008C2046"/>
    <w:rsid w:val="008D60BB"/>
    <w:rsid w:val="008E0D99"/>
    <w:rsid w:val="008F3214"/>
    <w:rsid w:val="00906BD4"/>
    <w:rsid w:val="0091308A"/>
    <w:rsid w:val="00914588"/>
    <w:rsid w:val="00917D9A"/>
    <w:rsid w:val="00920BAE"/>
    <w:rsid w:val="009213E0"/>
    <w:rsid w:val="00922F04"/>
    <w:rsid w:val="00923B0A"/>
    <w:rsid w:val="00925D5B"/>
    <w:rsid w:val="00950260"/>
    <w:rsid w:val="00950BD7"/>
    <w:rsid w:val="00955CD4"/>
    <w:rsid w:val="00963D9E"/>
    <w:rsid w:val="00967583"/>
    <w:rsid w:val="00967D9A"/>
    <w:rsid w:val="009811A1"/>
    <w:rsid w:val="009812AC"/>
    <w:rsid w:val="00982839"/>
    <w:rsid w:val="0098351E"/>
    <w:rsid w:val="00985D24"/>
    <w:rsid w:val="009905B4"/>
    <w:rsid w:val="00995858"/>
    <w:rsid w:val="009A02D9"/>
    <w:rsid w:val="009B2194"/>
    <w:rsid w:val="009C156F"/>
    <w:rsid w:val="009C52B7"/>
    <w:rsid w:val="009D0B78"/>
    <w:rsid w:val="009D3D31"/>
    <w:rsid w:val="009D46B4"/>
    <w:rsid w:val="009D6DC2"/>
    <w:rsid w:val="009E17D1"/>
    <w:rsid w:val="009E3BB4"/>
    <w:rsid w:val="009F5F55"/>
    <w:rsid w:val="009F6985"/>
    <w:rsid w:val="00A166F1"/>
    <w:rsid w:val="00A27CF6"/>
    <w:rsid w:val="00A30477"/>
    <w:rsid w:val="00A518FB"/>
    <w:rsid w:val="00A61889"/>
    <w:rsid w:val="00A73F83"/>
    <w:rsid w:val="00A74E71"/>
    <w:rsid w:val="00A772C1"/>
    <w:rsid w:val="00A95FC1"/>
    <w:rsid w:val="00AA29B6"/>
    <w:rsid w:val="00AA6085"/>
    <w:rsid w:val="00AB68B9"/>
    <w:rsid w:val="00AC34DC"/>
    <w:rsid w:val="00AC416E"/>
    <w:rsid w:val="00AD127E"/>
    <w:rsid w:val="00AD204A"/>
    <w:rsid w:val="00AD6899"/>
    <w:rsid w:val="00AE09E3"/>
    <w:rsid w:val="00AE1461"/>
    <w:rsid w:val="00AF395E"/>
    <w:rsid w:val="00B0461B"/>
    <w:rsid w:val="00B0561A"/>
    <w:rsid w:val="00B13323"/>
    <w:rsid w:val="00B133F9"/>
    <w:rsid w:val="00B152C6"/>
    <w:rsid w:val="00B15595"/>
    <w:rsid w:val="00B15AEE"/>
    <w:rsid w:val="00B15B72"/>
    <w:rsid w:val="00B203DC"/>
    <w:rsid w:val="00B26D4A"/>
    <w:rsid w:val="00B27658"/>
    <w:rsid w:val="00B34CFF"/>
    <w:rsid w:val="00B50DB9"/>
    <w:rsid w:val="00B66CE9"/>
    <w:rsid w:val="00B72326"/>
    <w:rsid w:val="00B73653"/>
    <w:rsid w:val="00B736B3"/>
    <w:rsid w:val="00B754F7"/>
    <w:rsid w:val="00B974C7"/>
    <w:rsid w:val="00BA19A4"/>
    <w:rsid w:val="00BA30E7"/>
    <w:rsid w:val="00BA7CED"/>
    <w:rsid w:val="00BC3755"/>
    <w:rsid w:val="00BC6C7A"/>
    <w:rsid w:val="00BD2DAF"/>
    <w:rsid w:val="00BD65B1"/>
    <w:rsid w:val="00BF2C06"/>
    <w:rsid w:val="00C02446"/>
    <w:rsid w:val="00C024A2"/>
    <w:rsid w:val="00C11F01"/>
    <w:rsid w:val="00C11F50"/>
    <w:rsid w:val="00C1349A"/>
    <w:rsid w:val="00C213C6"/>
    <w:rsid w:val="00C40B86"/>
    <w:rsid w:val="00C45659"/>
    <w:rsid w:val="00C54FEB"/>
    <w:rsid w:val="00C670A7"/>
    <w:rsid w:val="00C762B3"/>
    <w:rsid w:val="00C77A55"/>
    <w:rsid w:val="00C810D8"/>
    <w:rsid w:val="00C83FDB"/>
    <w:rsid w:val="00C8681F"/>
    <w:rsid w:val="00C913CE"/>
    <w:rsid w:val="00CC1E11"/>
    <w:rsid w:val="00CC307B"/>
    <w:rsid w:val="00CD275C"/>
    <w:rsid w:val="00CD456D"/>
    <w:rsid w:val="00CD4A2D"/>
    <w:rsid w:val="00CE4497"/>
    <w:rsid w:val="00CF0A4D"/>
    <w:rsid w:val="00D016E0"/>
    <w:rsid w:val="00D11EB6"/>
    <w:rsid w:val="00D162C9"/>
    <w:rsid w:val="00D232CD"/>
    <w:rsid w:val="00D251FF"/>
    <w:rsid w:val="00D349A8"/>
    <w:rsid w:val="00D3749B"/>
    <w:rsid w:val="00D37F2E"/>
    <w:rsid w:val="00D6120D"/>
    <w:rsid w:val="00D677B6"/>
    <w:rsid w:val="00D678BD"/>
    <w:rsid w:val="00D83E79"/>
    <w:rsid w:val="00D85004"/>
    <w:rsid w:val="00D94AAB"/>
    <w:rsid w:val="00D967B5"/>
    <w:rsid w:val="00DA77F6"/>
    <w:rsid w:val="00DC0634"/>
    <w:rsid w:val="00DD0917"/>
    <w:rsid w:val="00DF7A44"/>
    <w:rsid w:val="00E01D80"/>
    <w:rsid w:val="00E101ED"/>
    <w:rsid w:val="00E12150"/>
    <w:rsid w:val="00E1537E"/>
    <w:rsid w:val="00E1544F"/>
    <w:rsid w:val="00E154AB"/>
    <w:rsid w:val="00E20C75"/>
    <w:rsid w:val="00E21A0E"/>
    <w:rsid w:val="00E27BF2"/>
    <w:rsid w:val="00E27CD8"/>
    <w:rsid w:val="00E334B1"/>
    <w:rsid w:val="00E34DE6"/>
    <w:rsid w:val="00E371A3"/>
    <w:rsid w:val="00E42C36"/>
    <w:rsid w:val="00E4369D"/>
    <w:rsid w:val="00E443C5"/>
    <w:rsid w:val="00E558AE"/>
    <w:rsid w:val="00E63BF0"/>
    <w:rsid w:val="00E65033"/>
    <w:rsid w:val="00E67459"/>
    <w:rsid w:val="00E720BA"/>
    <w:rsid w:val="00E72211"/>
    <w:rsid w:val="00E733B8"/>
    <w:rsid w:val="00E759A2"/>
    <w:rsid w:val="00E85ACE"/>
    <w:rsid w:val="00EA474D"/>
    <w:rsid w:val="00EA5B08"/>
    <w:rsid w:val="00EB1343"/>
    <w:rsid w:val="00EB4800"/>
    <w:rsid w:val="00EC3545"/>
    <w:rsid w:val="00ED36AF"/>
    <w:rsid w:val="00ED497C"/>
    <w:rsid w:val="00F02919"/>
    <w:rsid w:val="00F166C9"/>
    <w:rsid w:val="00F2075C"/>
    <w:rsid w:val="00F21935"/>
    <w:rsid w:val="00F37F27"/>
    <w:rsid w:val="00F562D9"/>
    <w:rsid w:val="00F57259"/>
    <w:rsid w:val="00F60574"/>
    <w:rsid w:val="00F664CC"/>
    <w:rsid w:val="00F70D69"/>
    <w:rsid w:val="00F73D6F"/>
    <w:rsid w:val="00F74F30"/>
    <w:rsid w:val="00F7663F"/>
    <w:rsid w:val="00F81071"/>
    <w:rsid w:val="00F97DF9"/>
    <w:rsid w:val="00FA5F54"/>
    <w:rsid w:val="00FB1AC2"/>
    <w:rsid w:val="00FB2563"/>
    <w:rsid w:val="00FC2018"/>
    <w:rsid w:val="00FD03B7"/>
    <w:rsid w:val="00FD521E"/>
    <w:rsid w:val="00FD5E79"/>
    <w:rsid w:val="00FE156F"/>
    <w:rsid w:val="00FF770A"/>
    <w:rsid w:val="022B3F4A"/>
    <w:rsid w:val="05EAB3CE"/>
    <w:rsid w:val="05F10B5B"/>
    <w:rsid w:val="067CBBCB"/>
    <w:rsid w:val="076FB697"/>
    <w:rsid w:val="0960F029"/>
    <w:rsid w:val="0B1C78B3"/>
    <w:rsid w:val="0D521AD9"/>
    <w:rsid w:val="0F630299"/>
    <w:rsid w:val="1002BED5"/>
    <w:rsid w:val="10DFB74B"/>
    <w:rsid w:val="113D2F4A"/>
    <w:rsid w:val="13290480"/>
    <w:rsid w:val="143E6142"/>
    <w:rsid w:val="161D54C1"/>
    <w:rsid w:val="19DDAA3D"/>
    <w:rsid w:val="1B17560A"/>
    <w:rsid w:val="1D510B3F"/>
    <w:rsid w:val="1E966C71"/>
    <w:rsid w:val="1F2D0D32"/>
    <w:rsid w:val="20FAFA81"/>
    <w:rsid w:val="21A8FF61"/>
    <w:rsid w:val="22F2BF1F"/>
    <w:rsid w:val="281001CA"/>
    <w:rsid w:val="293129FB"/>
    <w:rsid w:val="29851861"/>
    <w:rsid w:val="2B7F970A"/>
    <w:rsid w:val="2D851C3D"/>
    <w:rsid w:val="2DD7A668"/>
    <w:rsid w:val="2DFC23E2"/>
    <w:rsid w:val="2F081ED6"/>
    <w:rsid w:val="3473C451"/>
    <w:rsid w:val="347E9AC6"/>
    <w:rsid w:val="3701ED33"/>
    <w:rsid w:val="37531795"/>
    <w:rsid w:val="390AF559"/>
    <w:rsid w:val="396CB524"/>
    <w:rsid w:val="39D19291"/>
    <w:rsid w:val="3A348A70"/>
    <w:rsid w:val="3D03812E"/>
    <w:rsid w:val="3DF3038B"/>
    <w:rsid w:val="3FA3DB89"/>
    <w:rsid w:val="40421ABC"/>
    <w:rsid w:val="40CCA01D"/>
    <w:rsid w:val="439D5277"/>
    <w:rsid w:val="45DF83D6"/>
    <w:rsid w:val="4806BD35"/>
    <w:rsid w:val="48CE0FA7"/>
    <w:rsid w:val="49FBB3B9"/>
    <w:rsid w:val="5092AFD9"/>
    <w:rsid w:val="5097A6DE"/>
    <w:rsid w:val="51AB3703"/>
    <w:rsid w:val="521D1FFA"/>
    <w:rsid w:val="52A9D9A8"/>
    <w:rsid w:val="54E5403D"/>
    <w:rsid w:val="55AE34A2"/>
    <w:rsid w:val="58B3B396"/>
    <w:rsid w:val="5A87C803"/>
    <w:rsid w:val="5BB51619"/>
    <w:rsid w:val="5E45FCA4"/>
    <w:rsid w:val="5E57377B"/>
    <w:rsid w:val="6080025A"/>
    <w:rsid w:val="61E932F5"/>
    <w:rsid w:val="629E5DDB"/>
    <w:rsid w:val="63206D8A"/>
    <w:rsid w:val="63329624"/>
    <w:rsid w:val="6366E334"/>
    <w:rsid w:val="64C024A2"/>
    <w:rsid w:val="68708569"/>
    <w:rsid w:val="6E5A1A09"/>
    <w:rsid w:val="6F8265F1"/>
    <w:rsid w:val="7242B370"/>
    <w:rsid w:val="78E40397"/>
    <w:rsid w:val="794ACC5E"/>
    <w:rsid w:val="7DD2C7B2"/>
    <w:rsid w:val="7E809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2FCBB941-3365-4C47-B348-7384DB04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unhideWhenUsed/>
    <w:rsid w:val="00FF770A"/>
    <w:rPr>
      <w:color w:val="605E5C"/>
      <w:shd w:val="clear" w:color="auto" w:fill="E1DFDD"/>
    </w:rPr>
  </w:style>
  <w:style w:type="character" w:styleId="FollowedHyperlink">
    <w:name w:val="FollowedHyperlink"/>
    <w:basedOn w:val="DefaultParagraphFont"/>
    <w:uiPriority w:val="99"/>
    <w:semiHidden/>
    <w:unhideWhenUsed/>
    <w:qFormat/>
    <w:rsid w:val="00FF770A"/>
    <w:rPr>
      <w:color w:val="800080" w:themeColor="followedHyperlink"/>
      <w:u w:val="single"/>
    </w:rPr>
  </w:style>
  <w:style w:type="paragraph" w:styleId="ListParagraph">
    <w:name w:val="List Paragraph"/>
    <w:basedOn w:val="Normal"/>
    <w:uiPriority w:val="34"/>
    <w:qFormat/>
    <w:rsid w:val="00D677B6"/>
    <w:pPr>
      <w:ind w:left="720"/>
      <w:contextualSpacing/>
    </w:pPr>
  </w:style>
  <w:style w:type="character" w:styleId="CommentReference">
    <w:name w:val="annotation reference"/>
    <w:basedOn w:val="DefaultParagraphFont"/>
    <w:uiPriority w:val="99"/>
    <w:semiHidden/>
    <w:unhideWhenUsed/>
    <w:rsid w:val="00A73F83"/>
    <w:rPr>
      <w:sz w:val="16"/>
      <w:szCs w:val="16"/>
    </w:rPr>
  </w:style>
  <w:style w:type="paragraph" w:styleId="CommentText">
    <w:name w:val="annotation text"/>
    <w:basedOn w:val="Normal"/>
    <w:link w:val="CommentTextChar"/>
    <w:uiPriority w:val="99"/>
    <w:unhideWhenUsed/>
    <w:rsid w:val="00A73F83"/>
    <w:rPr>
      <w:sz w:val="20"/>
      <w:szCs w:val="20"/>
    </w:rPr>
  </w:style>
  <w:style w:type="character" w:customStyle="1" w:styleId="CommentTextChar">
    <w:name w:val="Comment Text Char"/>
    <w:basedOn w:val="DefaultParagraphFont"/>
    <w:link w:val="CommentText"/>
    <w:uiPriority w:val="99"/>
    <w:rsid w:val="00A73F8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73F83"/>
    <w:rPr>
      <w:b/>
      <w:bCs/>
    </w:rPr>
  </w:style>
  <w:style w:type="character" w:customStyle="1" w:styleId="CommentSubjectChar">
    <w:name w:val="Comment Subject Char"/>
    <w:basedOn w:val="CommentTextChar"/>
    <w:link w:val="CommentSubject"/>
    <w:uiPriority w:val="99"/>
    <w:semiHidden/>
    <w:rsid w:val="00A73F83"/>
    <w:rPr>
      <w:rFonts w:ascii="Georgia" w:eastAsia="Times New Roman" w:hAnsi="Georgia" w:cs="Times New Roman"/>
      <w:b/>
      <w:bCs/>
      <w:sz w:val="20"/>
      <w:szCs w:val="20"/>
    </w:rPr>
  </w:style>
  <w:style w:type="paragraph" w:styleId="Revision">
    <w:name w:val="Revision"/>
    <w:hidden/>
    <w:uiPriority w:val="99"/>
    <w:semiHidden/>
    <w:rsid w:val="00767028"/>
    <w:pPr>
      <w:spacing w:after="0" w:line="240" w:lineRule="auto"/>
    </w:pPr>
    <w:rPr>
      <w:rFonts w:ascii="Georgia" w:eastAsia="Times New Roman" w:hAnsi="Georgia" w:cs="Times New Roman"/>
    </w:rPr>
  </w:style>
  <w:style w:type="character" w:styleId="Mention">
    <w:name w:val="Mention"/>
    <w:basedOn w:val="DefaultParagraphFont"/>
    <w:uiPriority w:val="99"/>
    <w:unhideWhenUsed/>
    <w:rsid w:val="003B3F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8214">
      <w:bodyDiv w:val="1"/>
      <w:marLeft w:val="0"/>
      <w:marRight w:val="0"/>
      <w:marTop w:val="0"/>
      <w:marBottom w:val="0"/>
      <w:divBdr>
        <w:top w:val="none" w:sz="0" w:space="0" w:color="auto"/>
        <w:left w:val="none" w:sz="0" w:space="0" w:color="auto"/>
        <w:bottom w:val="none" w:sz="0" w:space="0" w:color="auto"/>
        <w:right w:val="none" w:sz="0" w:space="0" w:color="auto"/>
      </w:divBdr>
    </w:div>
    <w:div w:id="382294081">
      <w:bodyDiv w:val="1"/>
      <w:marLeft w:val="0"/>
      <w:marRight w:val="0"/>
      <w:marTop w:val="0"/>
      <w:marBottom w:val="0"/>
      <w:divBdr>
        <w:top w:val="none" w:sz="0" w:space="0" w:color="auto"/>
        <w:left w:val="none" w:sz="0" w:space="0" w:color="auto"/>
        <w:bottom w:val="none" w:sz="0" w:space="0" w:color="auto"/>
        <w:right w:val="none" w:sz="0" w:space="0" w:color="auto"/>
      </w:divBdr>
    </w:div>
    <w:div w:id="544677426">
      <w:bodyDiv w:val="1"/>
      <w:marLeft w:val="0"/>
      <w:marRight w:val="0"/>
      <w:marTop w:val="0"/>
      <w:marBottom w:val="0"/>
      <w:divBdr>
        <w:top w:val="none" w:sz="0" w:space="0" w:color="auto"/>
        <w:left w:val="none" w:sz="0" w:space="0" w:color="auto"/>
        <w:bottom w:val="none" w:sz="0" w:space="0" w:color="auto"/>
        <w:right w:val="none" w:sz="0" w:space="0" w:color="auto"/>
      </w:divBdr>
      <w:divsChild>
        <w:div w:id="764501018">
          <w:marLeft w:val="1166"/>
          <w:marRight w:val="0"/>
          <w:marTop w:val="0"/>
          <w:marBottom w:val="0"/>
          <w:divBdr>
            <w:top w:val="none" w:sz="0" w:space="0" w:color="auto"/>
            <w:left w:val="none" w:sz="0" w:space="0" w:color="auto"/>
            <w:bottom w:val="none" w:sz="0" w:space="0" w:color="auto"/>
            <w:right w:val="none" w:sz="0" w:space="0" w:color="auto"/>
          </w:divBdr>
        </w:div>
        <w:div w:id="811601798">
          <w:marLeft w:val="1166"/>
          <w:marRight w:val="0"/>
          <w:marTop w:val="0"/>
          <w:marBottom w:val="0"/>
          <w:divBdr>
            <w:top w:val="none" w:sz="0" w:space="0" w:color="auto"/>
            <w:left w:val="none" w:sz="0" w:space="0" w:color="auto"/>
            <w:bottom w:val="none" w:sz="0" w:space="0" w:color="auto"/>
            <w:right w:val="none" w:sz="0" w:space="0" w:color="auto"/>
          </w:divBdr>
        </w:div>
        <w:div w:id="895820039">
          <w:marLeft w:val="1166"/>
          <w:marRight w:val="0"/>
          <w:marTop w:val="0"/>
          <w:marBottom w:val="0"/>
          <w:divBdr>
            <w:top w:val="none" w:sz="0" w:space="0" w:color="auto"/>
            <w:left w:val="none" w:sz="0" w:space="0" w:color="auto"/>
            <w:bottom w:val="none" w:sz="0" w:space="0" w:color="auto"/>
            <w:right w:val="none" w:sz="0" w:space="0" w:color="auto"/>
          </w:divBdr>
        </w:div>
      </w:divsChild>
    </w:div>
    <w:div w:id="1090783586">
      <w:bodyDiv w:val="1"/>
      <w:marLeft w:val="0"/>
      <w:marRight w:val="0"/>
      <w:marTop w:val="0"/>
      <w:marBottom w:val="0"/>
      <w:divBdr>
        <w:top w:val="none" w:sz="0" w:space="0" w:color="auto"/>
        <w:left w:val="none" w:sz="0" w:space="0" w:color="auto"/>
        <w:bottom w:val="none" w:sz="0" w:space="0" w:color="auto"/>
        <w:right w:val="none" w:sz="0" w:space="0" w:color="auto"/>
      </w:divBdr>
      <w:divsChild>
        <w:div w:id="1210267623">
          <w:marLeft w:val="1166"/>
          <w:marRight w:val="0"/>
          <w:marTop w:val="0"/>
          <w:marBottom w:val="0"/>
          <w:divBdr>
            <w:top w:val="none" w:sz="0" w:space="0" w:color="auto"/>
            <w:left w:val="none" w:sz="0" w:space="0" w:color="auto"/>
            <w:bottom w:val="none" w:sz="0" w:space="0" w:color="auto"/>
            <w:right w:val="none" w:sz="0" w:space="0" w:color="auto"/>
          </w:divBdr>
        </w:div>
      </w:divsChild>
    </w:div>
    <w:div w:id="1183394536">
      <w:bodyDiv w:val="1"/>
      <w:marLeft w:val="0"/>
      <w:marRight w:val="0"/>
      <w:marTop w:val="0"/>
      <w:marBottom w:val="0"/>
      <w:divBdr>
        <w:top w:val="none" w:sz="0" w:space="0" w:color="auto"/>
        <w:left w:val="none" w:sz="0" w:space="0" w:color="auto"/>
        <w:bottom w:val="none" w:sz="0" w:space="0" w:color="auto"/>
        <w:right w:val="none" w:sz="0" w:space="0" w:color="auto"/>
      </w:divBdr>
      <w:divsChild>
        <w:div w:id="43725318">
          <w:marLeft w:val="1166"/>
          <w:marRight w:val="0"/>
          <w:marTop w:val="0"/>
          <w:marBottom w:val="0"/>
          <w:divBdr>
            <w:top w:val="none" w:sz="0" w:space="0" w:color="auto"/>
            <w:left w:val="none" w:sz="0" w:space="0" w:color="auto"/>
            <w:bottom w:val="none" w:sz="0" w:space="0" w:color="auto"/>
            <w:right w:val="none" w:sz="0" w:space="0" w:color="auto"/>
          </w:divBdr>
        </w:div>
        <w:div w:id="919414290">
          <w:marLeft w:val="1166"/>
          <w:marRight w:val="0"/>
          <w:marTop w:val="0"/>
          <w:marBottom w:val="0"/>
          <w:divBdr>
            <w:top w:val="none" w:sz="0" w:space="0" w:color="auto"/>
            <w:left w:val="none" w:sz="0" w:space="0" w:color="auto"/>
            <w:bottom w:val="none" w:sz="0" w:space="0" w:color="auto"/>
            <w:right w:val="none" w:sz="0" w:space="0" w:color="auto"/>
          </w:divBdr>
        </w:div>
        <w:div w:id="1675108332">
          <w:marLeft w:val="1166"/>
          <w:marRight w:val="0"/>
          <w:marTop w:val="0"/>
          <w:marBottom w:val="0"/>
          <w:divBdr>
            <w:top w:val="none" w:sz="0" w:space="0" w:color="auto"/>
            <w:left w:val="none" w:sz="0" w:space="0" w:color="auto"/>
            <w:bottom w:val="none" w:sz="0" w:space="0" w:color="auto"/>
            <w:right w:val="none" w:sz="0" w:space="0" w:color="auto"/>
          </w:divBdr>
        </w:div>
        <w:div w:id="1911114425">
          <w:marLeft w:val="1166"/>
          <w:marRight w:val="0"/>
          <w:marTop w:val="0"/>
          <w:marBottom w:val="0"/>
          <w:divBdr>
            <w:top w:val="none" w:sz="0" w:space="0" w:color="auto"/>
            <w:left w:val="none" w:sz="0" w:space="0" w:color="auto"/>
            <w:bottom w:val="none" w:sz="0" w:space="0" w:color="auto"/>
            <w:right w:val="none" w:sz="0" w:space="0" w:color="auto"/>
          </w:divBdr>
        </w:div>
      </w:divsChild>
    </w:div>
    <w:div w:id="1793281307">
      <w:bodyDiv w:val="1"/>
      <w:marLeft w:val="0"/>
      <w:marRight w:val="0"/>
      <w:marTop w:val="0"/>
      <w:marBottom w:val="0"/>
      <w:divBdr>
        <w:top w:val="none" w:sz="0" w:space="0" w:color="auto"/>
        <w:left w:val="none" w:sz="0" w:space="0" w:color="auto"/>
        <w:bottom w:val="none" w:sz="0" w:space="0" w:color="auto"/>
        <w:right w:val="none" w:sz="0" w:space="0" w:color="auto"/>
      </w:divBdr>
      <w:divsChild>
        <w:div w:id="61814639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iles/documents/2019/09/16/pb-all-286.pdf" TargetMode="External"/><Relationship Id="rId18" Type="http://schemas.openxmlformats.org/officeDocument/2006/relationships/hyperlink" Target="mailto:provider@masshealthquesti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doc/all-provider-bulletin-371-continued-suspension-of-primary-care-clinician-plan-primary-care-aco-referrals-0/download"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hyperlink" Target="https://www.mass.gov/service-details/aca-section-6401-ordering-referring-and-prescribing-provider-requirem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l-provider-bulletin-361-start-dates-for-enforcing-ordering-referring-and-prescribing-requirements-0/download"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iles/documents/2019/09/16/pb-all-28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4</Pages>
  <Words>1099</Words>
  <Characters>7328</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Luca, Joseph (EHS)</cp:lastModifiedBy>
  <cp:revision>2</cp:revision>
  <cp:lastPrinted>2023-02-07T17:47:00Z</cp:lastPrinted>
  <dcterms:created xsi:type="dcterms:W3CDTF">2023-09-19T19:52:00Z</dcterms:created>
  <dcterms:modified xsi:type="dcterms:W3CDTF">2023-09-19T19:52:00Z</dcterms:modified>
</cp:coreProperties>
</file>