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03B73277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532017">
        <w:t>403</w:t>
      </w:r>
    </w:p>
    <w:p w14:paraId="0814A6EF" w14:textId="78F26A7E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0B1711">
        <w:t>May 2025</w:t>
      </w:r>
    </w:p>
    <w:p w14:paraId="163C0B92" w14:textId="31971880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65AD6F9C" w14:textId="20B49061" w:rsidR="00B41224" w:rsidRPr="005238C6" w:rsidRDefault="003A7E23" w:rsidP="00532017">
      <w:pPr>
        <w:pStyle w:val="SubjectLine"/>
        <w:spacing w:after="120" w:line="276" w:lineRule="auto"/>
      </w:pPr>
      <w:r w:rsidRPr="005238C6">
        <w:t>RE:</w:t>
      </w:r>
      <w:r w:rsidRPr="005238C6">
        <w:tab/>
      </w:r>
      <w:r w:rsidR="000B1711" w:rsidRPr="000B1711">
        <w:t xml:space="preserve">Ending the Suspension of Primary Care Clinician Plan &amp; Primary Care ACO Referrals and </w:t>
      </w:r>
      <w:r w:rsidR="00194786">
        <w:t>Updating</w:t>
      </w:r>
      <w:r w:rsidR="000B1711" w:rsidRPr="000B1711">
        <w:t xml:space="preserve"> Referral Requirements for Urgent Care Services</w:t>
      </w:r>
    </w:p>
    <w:p w14:paraId="5122B7DF" w14:textId="70D7F0AF" w:rsidR="003D0423" w:rsidRDefault="003D0423" w:rsidP="00FF5AAD">
      <w:p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4411577" w14:textId="4D44769A" w:rsidR="002C6061" w:rsidRPr="00654896" w:rsidRDefault="000B1711" w:rsidP="002C6061">
      <w:pPr>
        <w:pStyle w:val="Heading2"/>
      </w:pPr>
      <w:r>
        <w:t>Background</w:t>
      </w:r>
    </w:p>
    <w:p w14:paraId="27D74560" w14:textId="33C674E2" w:rsidR="000B1711" w:rsidRPr="000B1711" w:rsidRDefault="000B1711" w:rsidP="000B1711">
      <w:r w:rsidRPr="000B1711">
        <w:t xml:space="preserve">MassHealth </w:t>
      </w:r>
      <w:r w:rsidR="002A2D9C">
        <w:t>created</w:t>
      </w:r>
      <w:r w:rsidRPr="000B1711">
        <w:t xml:space="preserve"> many flexibilities during the federal Public Health Emergency (PHE) to </w:t>
      </w:r>
      <w:r w:rsidR="002A2D9C">
        <w:t xml:space="preserve">address </w:t>
      </w:r>
      <w:r w:rsidRPr="000B1711">
        <w:t>COVID-19</w:t>
      </w:r>
      <w:r w:rsidR="002A2D9C">
        <w:t>. We</w:t>
      </w:r>
      <w:r w:rsidRPr="000B1711">
        <w:t xml:space="preserve"> provided updates on those flexibilities </w:t>
      </w:r>
      <w:r w:rsidR="002A2D9C">
        <w:t xml:space="preserve">in </w:t>
      </w:r>
      <w:hyperlink r:id="rId13" w:history="1">
        <w:r w:rsidR="002A2D9C" w:rsidRPr="008C6710">
          <w:rPr>
            <w:rStyle w:val="Hyperlink"/>
          </w:rPr>
          <w:t>All Provider Bulletins 367, 371, and 384</w:t>
        </w:r>
      </w:hyperlink>
      <w:r w:rsidRPr="000B1711">
        <w:t xml:space="preserve">. These flexibilities included the suspension of referral requirements for services provided to members enrolled in the Primary Care Clinician (PCC) Plan </w:t>
      </w:r>
      <w:r w:rsidR="002A2D9C">
        <w:t>or a</w:t>
      </w:r>
      <w:r w:rsidR="002A2D9C" w:rsidRPr="000B1711">
        <w:t xml:space="preserve"> </w:t>
      </w:r>
      <w:r w:rsidRPr="000B1711">
        <w:t>Primary Care Accountable Care Organization (Primacy Care ACO). </w:t>
      </w:r>
      <w:bookmarkStart w:id="0" w:name="_Hlk197936462"/>
      <w:r w:rsidRPr="000B1711">
        <w:t>This bulletin announces the reinstatement of those requirements.</w:t>
      </w:r>
      <w:bookmarkEnd w:id="0"/>
    </w:p>
    <w:p w14:paraId="0FC81C73" w14:textId="0E62EBB8" w:rsidR="000B1711" w:rsidRPr="00654896" w:rsidRDefault="000B1711" w:rsidP="000B1711">
      <w:pPr>
        <w:pStyle w:val="Heading2"/>
      </w:pPr>
      <w:r>
        <w:t>Primary Care Clincian Plan &amp; Primary Care ACO Referrals</w:t>
      </w:r>
    </w:p>
    <w:p w14:paraId="5AE314CF" w14:textId="1CB840DE" w:rsidR="000B1711" w:rsidRPr="00052B5D" w:rsidRDefault="00052B5D" w:rsidP="000B1711">
      <w:pPr>
        <w:spacing w:line="259" w:lineRule="auto"/>
      </w:pPr>
      <w:r w:rsidRPr="00052B5D">
        <w:t xml:space="preserve">On </w:t>
      </w:r>
      <w:r w:rsidRPr="001A31B4">
        <w:t xml:space="preserve">August 1, 2025, </w:t>
      </w:r>
      <w:r w:rsidR="000B1711" w:rsidRPr="00052B5D">
        <w:t>MassHealth will reinstate referral requirements for services provided to members enrolled in the PCC plan or a Primary Care ACO</w:t>
      </w:r>
      <w:bookmarkStart w:id="1" w:name="_Hlk138847329"/>
      <w:r w:rsidR="000B1711" w:rsidRPr="00052B5D">
        <w:t xml:space="preserve">, as outlined </w:t>
      </w:r>
      <w:r w:rsidRPr="00052B5D">
        <w:t xml:space="preserve">in </w:t>
      </w:r>
      <w:hyperlink r:id="rId14">
        <w:r w:rsidR="000B1711" w:rsidRPr="00052B5D">
          <w:t xml:space="preserve">130 CMR 450.118(J): </w:t>
        </w:r>
        <w:r w:rsidR="000B1711" w:rsidRPr="001D52F9">
          <w:rPr>
            <w:i/>
            <w:iCs/>
          </w:rPr>
          <w:t>Referral for Services</w:t>
        </w:r>
      </w:hyperlink>
      <w:r w:rsidR="000B1711" w:rsidRPr="00052B5D">
        <w:t xml:space="preserve"> and </w:t>
      </w:r>
      <w:hyperlink r:id="rId15">
        <w:r w:rsidR="000B1711" w:rsidRPr="00052B5D">
          <w:t xml:space="preserve">130 CMR 450.119(I): </w:t>
        </w:r>
        <w:r w:rsidR="000B1711" w:rsidRPr="001D52F9">
          <w:rPr>
            <w:i/>
            <w:iCs/>
          </w:rPr>
          <w:t>Referral for Services</w:t>
        </w:r>
      </w:hyperlink>
      <w:bookmarkEnd w:id="1"/>
      <w:r w:rsidR="000B1711" w:rsidRPr="001D52F9">
        <w:t>.</w:t>
      </w:r>
    </w:p>
    <w:p w14:paraId="32A77CB2" w14:textId="2E8ED966" w:rsidR="000B1711" w:rsidRPr="00654896" w:rsidRDefault="000B1711" w:rsidP="000B1711">
      <w:pPr>
        <w:pStyle w:val="Heading2"/>
      </w:pPr>
      <w:r>
        <w:t>Referrals for Urgent Care Services</w:t>
      </w:r>
    </w:p>
    <w:p w14:paraId="0A07FDF1" w14:textId="6B55CCD5" w:rsidR="000B1711" w:rsidRPr="008A069B" w:rsidRDefault="000B1711" w:rsidP="000B1711">
      <w:pPr>
        <w:spacing w:line="259" w:lineRule="auto"/>
      </w:pPr>
      <w:r>
        <w:t xml:space="preserve">Notwithstanding the requirements of </w:t>
      </w:r>
      <w:hyperlink r:id="rId16">
        <w:r>
          <w:t xml:space="preserve">130 CMR 450.118(J): </w:t>
        </w:r>
        <w:r w:rsidRPr="001D52F9">
          <w:rPr>
            <w:i/>
            <w:iCs/>
          </w:rPr>
          <w:t>Referral for Services</w:t>
        </w:r>
      </w:hyperlink>
      <w:r>
        <w:t xml:space="preserve"> and </w:t>
      </w:r>
      <w:hyperlink r:id="rId17">
        <w:r>
          <w:t xml:space="preserve">130 CMR 450.119(I): </w:t>
        </w:r>
        <w:r w:rsidRPr="001D52F9">
          <w:rPr>
            <w:i/>
            <w:iCs/>
          </w:rPr>
          <w:t>Referral for Services</w:t>
        </w:r>
      </w:hyperlink>
      <w:r>
        <w:t xml:space="preserve">, urgent care services, as defined in M.G.L. c. 118E, s. 10N, will not require a referral in order to be payable. Urgent care facilities, as defined in M.G.L. c. 118E, s. 10N, that </w:t>
      </w:r>
      <w:r w:rsidR="000357E7">
        <w:t xml:space="preserve">provide </w:t>
      </w:r>
      <w:r>
        <w:t xml:space="preserve">urgent care services must bill in a manner </w:t>
      </w:r>
      <w:r w:rsidR="000357E7">
        <w:t xml:space="preserve">that shows </w:t>
      </w:r>
      <w:r>
        <w:t xml:space="preserve">that the service was urgent. For professional claims, providers must bill with place of service 20. For institutional claims, providers must bill with admit code 02. </w:t>
      </w:r>
    </w:p>
    <w:p w14:paraId="71BFC719" w14:textId="127004C1" w:rsidR="000B1711" w:rsidRPr="00654896" w:rsidRDefault="000B1711" w:rsidP="000B1711">
      <w:pPr>
        <w:pStyle w:val="Heading2"/>
      </w:pPr>
      <w:r>
        <w:t>Referring Provider Requirements</w:t>
      </w:r>
    </w:p>
    <w:p w14:paraId="1A76E99C" w14:textId="1FA7708F" w:rsidR="009A174E" w:rsidRDefault="000B1711" w:rsidP="000B1711">
      <w:pPr>
        <w:spacing w:line="259" w:lineRule="auto"/>
      </w:pPr>
      <w:r>
        <w:t xml:space="preserve">As described in </w:t>
      </w:r>
      <w:hyperlink r:id="rId18">
        <w:r w:rsidRPr="3671E458">
          <w:rPr>
            <w:rStyle w:val="Hyperlink"/>
          </w:rPr>
          <w:t>All Provider Bulletin</w:t>
        </w:r>
        <w:r w:rsidRPr="3671E458">
          <w:rPr>
            <w:rStyle w:val="Hyperlink"/>
          </w:rPr>
          <w:t xml:space="preserve"> </w:t>
        </w:r>
        <w:r w:rsidRPr="3671E458">
          <w:rPr>
            <w:rStyle w:val="Hyperlink"/>
          </w:rPr>
          <w:t>286</w:t>
        </w:r>
      </w:hyperlink>
      <w:r>
        <w:t xml:space="preserve"> (with updated information provided in</w:t>
      </w:r>
      <w:r w:rsidR="002A2D9C">
        <w:t xml:space="preserve"> </w:t>
      </w:r>
      <w:hyperlink r:id="rId19" w:history="1">
        <w:r w:rsidR="002A2D9C" w:rsidRPr="002A2D9C">
          <w:rPr>
            <w:rStyle w:val="Hyperlink"/>
          </w:rPr>
          <w:t>All Provider Bulletins 361, 376, 380, and 39</w:t>
        </w:r>
        <w:r w:rsidR="002A2D9C" w:rsidRPr="002A2D9C">
          <w:rPr>
            <w:rStyle w:val="Hyperlink"/>
          </w:rPr>
          <w:t>1</w:t>
        </w:r>
      </w:hyperlink>
      <w:r>
        <w:t>), claims submitted to MassHealth for services that require a referral must include the national provider identifier (NPI) of an authorized referring provider</w:t>
      </w:r>
      <w:r w:rsidR="002A2D9C">
        <w:t xml:space="preserve">. The </w:t>
      </w:r>
      <w:r>
        <w:t xml:space="preserve">referring provider must </w:t>
      </w:r>
      <w:r w:rsidR="002A2D9C">
        <w:t xml:space="preserve">also </w:t>
      </w:r>
      <w:r>
        <w:t xml:space="preserve">be enrolled with MassHealth for the claim to be payable. Therefore, when the PCC and Primary Care ACO referrals are reinstated on August 1, 2025, </w:t>
      </w:r>
      <w:r>
        <w:lastRenderedPageBreak/>
        <w:t>billing providers must include the NPI of an authorized, enrolled referring provider on every claim for a service for which a referral is required for the claim to be payable.   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1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2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3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4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6618D3D9" w14:textId="77777777" w:rsidR="004B70C6" w:rsidRDefault="004B70C6" w:rsidP="00CE1946">
      <w:pPr>
        <w:ind w:left="720"/>
      </w:pPr>
    </w:p>
    <w:p w14:paraId="08B9A088" w14:textId="77777777" w:rsidR="007640FE" w:rsidRDefault="007640FE" w:rsidP="00CE1946">
      <w:pPr>
        <w:ind w:left="720"/>
      </w:pPr>
    </w:p>
    <w:p w14:paraId="57D5EBC3" w14:textId="77777777" w:rsidR="007640FE" w:rsidRDefault="007640FE" w:rsidP="007640FE">
      <w:pPr>
        <w:spacing w:before="24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2"/>
    <w:p w14:paraId="7D134710" w14:textId="77777777" w:rsidR="00B22350" w:rsidRDefault="00B22350" w:rsidP="00CE1946">
      <w:pPr>
        <w:ind w:left="720"/>
      </w:pPr>
    </w:p>
    <w:sectPr w:rsidR="00B22350" w:rsidSect="003D0423">
      <w:headerReference w:type="default" r:id="rId3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27BF" w14:textId="77777777" w:rsidR="00AB6155" w:rsidRDefault="00AB6155" w:rsidP="00FF5AAD">
      <w:r>
        <w:separator/>
      </w:r>
    </w:p>
    <w:p w14:paraId="13929B03" w14:textId="77777777" w:rsidR="00AB6155" w:rsidRDefault="00AB6155" w:rsidP="00FF5AAD"/>
    <w:p w14:paraId="7A5186A5" w14:textId="77777777" w:rsidR="00AB6155" w:rsidRDefault="00AB6155" w:rsidP="00FF5AAD"/>
    <w:p w14:paraId="24A76FDD" w14:textId="77777777" w:rsidR="00AB6155" w:rsidRDefault="00AB6155" w:rsidP="00FF5AAD"/>
    <w:p w14:paraId="467B37F1" w14:textId="77777777" w:rsidR="00AB6155" w:rsidRDefault="00AB6155" w:rsidP="00FF5AAD"/>
  </w:endnote>
  <w:endnote w:type="continuationSeparator" w:id="0">
    <w:p w14:paraId="198F44FE" w14:textId="77777777" w:rsidR="00AB6155" w:rsidRDefault="00AB6155" w:rsidP="00FF5AAD">
      <w:r>
        <w:continuationSeparator/>
      </w:r>
    </w:p>
    <w:p w14:paraId="28567F52" w14:textId="77777777" w:rsidR="00AB6155" w:rsidRDefault="00AB6155" w:rsidP="00FF5AAD"/>
    <w:p w14:paraId="195F33BB" w14:textId="77777777" w:rsidR="00AB6155" w:rsidRDefault="00AB6155" w:rsidP="00FF5AAD"/>
    <w:p w14:paraId="745048CC" w14:textId="77777777" w:rsidR="00AB6155" w:rsidRDefault="00AB6155" w:rsidP="00FF5AAD"/>
    <w:p w14:paraId="4705BF55" w14:textId="77777777" w:rsidR="00AB6155" w:rsidRDefault="00AB615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71E7" w14:textId="77777777" w:rsidR="00AB6155" w:rsidRDefault="00AB6155" w:rsidP="00FF5AAD">
      <w:r>
        <w:separator/>
      </w:r>
    </w:p>
    <w:p w14:paraId="05E57447" w14:textId="77777777" w:rsidR="00AB6155" w:rsidRDefault="00AB6155" w:rsidP="00FF5AAD"/>
    <w:p w14:paraId="4EAA7499" w14:textId="77777777" w:rsidR="00AB6155" w:rsidRDefault="00AB6155" w:rsidP="00FF5AAD"/>
    <w:p w14:paraId="7C48033F" w14:textId="77777777" w:rsidR="00AB6155" w:rsidRDefault="00AB6155" w:rsidP="00FF5AAD"/>
    <w:p w14:paraId="71B176C7" w14:textId="77777777" w:rsidR="00AB6155" w:rsidRDefault="00AB6155" w:rsidP="00FF5AAD"/>
  </w:footnote>
  <w:footnote w:type="continuationSeparator" w:id="0">
    <w:p w14:paraId="2650D544" w14:textId="77777777" w:rsidR="00AB6155" w:rsidRDefault="00AB6155" w:rsidP="00FF5AAD">
      <w:r>
        <w:continuationSeparator/>
      </w:r>
    </w:p>
    <w:p w14:paraId="06125D16" w14:textId="77777777" w:rsidR="00AB6155" w:rsidRDefault="00AB6155" w:rsidP="00FF5AAD"/>
    <w:p w14:paraId="0989BE22" w14:textId="77777777" w:rsidR="00AB6155" w:rsidRDefault="00AB6155" w:rsidP="00FF5AAD"/>
    <w:p w14:paraId="044FC71E" w14:textId="77777777" w:rsidR="00AB6155" w:rsidRDefault="00AB6155" w:rsidP="00FF5AAD"/>
    <w:p w14:paraId="0396762F" w14:textId="77777777" w:rsidR="00AB6155" w:rsidRDefault="00AB615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2617BE66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532017">
      <w:t>403</w:t>
    </w:r>
  </w:p>
  <w:p w14:paraId="6573AB37" w14:textId="6AF41D1E" w:rsidR="00BF54A1" w:rsidRPr="008F7531" w:rsidRDefault="000B1711" w:rsidP="005F2443">
    <w:pPr>
      <w:spacing w:after="0"/>
      <w:ind w:left="6480"/>
    </w:pPr>
    <w:r>
      <w:t>May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52C8"/>
    <w:rsid w:val="0002638F"/>
    <w:rsid w:val="00032BB1"/>
    <w:rsid w:val="00032C02"/>
    <w:rsid w:val="000357E7"/>
    <w:rsid w:val="00040219"/>
    <w:rsid w:val="00041220"/>
    <w:rsid w:val="00052B5D"/>
    <w:rsid w:val="00056E4C"/>
    <w:rsid w:val="000706EF"/>
    <w:rsid w:val="00080FFB"/>
    <w:rsid w:val="00086041"/>
    <w:rsid w:val="000943BC"/>
    <w:rsid w:val="00095863"/>
    <w:rsid w:val="000A2664"/>
    <w:rsid w:val="000B1711"/>
    <w:rsid w:val="000D1E14"/>
    <w:rsid w:val="000D5B34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3E24"/>
    <w:rsid w:val="001655EC"/>
    <w:rsid w:val="00183784"/>
    <w:rsid w:val="0018768A"/>
    <w:rsid w:val="00194491"/>
    <w:rsid w:val="00194786"/>
    <w:rsid w:val="00195C8A"/>
    <w:rsid w:val="0019736A"/>
    <w:rsid w:val="00197D44"/>
    <w:rsid w:val="001A25AC"/>
    <w:rsid w:val="001A31B4"/>
    <w:rsid w:val="001A477C"/>
    <w:rsid w:val="001A7499"/>
    <w:rsid w:val="001C1140"/>
    <w:rsid w:val="001C784A"/>
    <w:rsid w:val="001D52F9"/>
    <w:rsid w:val="001D5FD0"/>
    <w:rsid w:val="001E0603"/>
    <w:rsid w:val="001F6109"/>
    <w:rsid w:val="00200899"/>
    <w:rsid w:val="002018B3"/>
    <w:rsid w:val="00216420"/>
    <w:rsid w:val="00221668"/>
    <w:rsid w:val="00232E91"/>
    <w:rsid w:val="002366EF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A2D9C"/>
    <w:rsid w:val="002C12F8"/>
    <w:rsid w:val="002C1E95"/>
    <w:rsid w:val="002C40EA"/>
    <w:rsid w:val="002C6061"/>
    <w:rsid w:val="002E3B6A"/>
    <w:rsid w:val="002E5188"/>
    <w:rsid w:val="002F7D2A"/>
    <w:rsid w:val="00300058"/>
    <w:rsid w:val="003065DA"/>
    <w:rsid w:val="0032327C"/>
    <w:rsid w:val="0032351D"/>
    <w:rsid w:val="003644F6"/>
    <w:rsid w:val="0037002C"/>
    <w:rsid w:val="003737F7"/>
    <w:rsid w:val="00374688"/>
    <w:rsid w:val="00385A7B"/>
    <w:rsid w:val="003869FD"/>
    <w:rsid w:val="00386F7B"/>
    <w:rsid w:val="00390C38"/>
    <w:rsid w:val="0039781E"/>
    <w:rsid w:val="003A31CA"/>
    <w:rsid w:val="003A6E1E"/>
    <w:rsid w:val="003A7E23"/>
    <w:rsid w:val="003B10E3"/>
    <w:rsid w:val="003C0130"/>
    <w:rsid w:val="003D0423"/>
    <w:rsid w:val="003F221A"/>
    <w:rsid w:val="003F4AF4"/>
    <w:rsid w:val="003F4E5F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B20FE"/>
    <w:rsid w:val="004B70C6"/>
    <w:rsid w:val="004C1488"/>
    <w:rsid w:val="004C2062"/>
    <w:rsid w:val="004D4BC9"/>
    <w:rsid w:val="004D60BA"/>
    <w:rsid w:val="004F64E7"/>
    <w:rsid w:val="00511043"/>
    <w:rsid w:val="005237ED"/>
    <w:rsid w:val="005238C6"/>
    <w:rsid w:val="00526EAB"/>
    <w:rsid w:val="00532017"/>
    <w:rsid w:val="0056705C"/>
    <w:rsid w:val="005706D2"/>
    <w:rsid w:val="005763C9"/>
    <w:rsid w:val="00583219"/>
    <w:rsid w:val="00590E06"/>
    <w:rsid w:val="0059389D"/>
    <w:rsid w:val="005974B4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353C7"/>
    <w:rsid w:val="0064698F"/>
    <w:rsid w:val="00654896"/>
    <w:rsid w:val="00676163"/>
    <w:rsid w:val="006927DB"/>
    <w:rsid w:val="006A58CB"/>
    <w:rsid w:val="006B3AC1"/>
    <w:rsid w:val="006D1809"/>
    <w:rsid w:val="006D49AA"/>
    <w:rsid w:val="006F6E92"/>
    <w:rsid w:val="00700C89"/>
    <w:rsid w:val="00700F0E"/>
    <w:rsid w:val="00702352"/>
    <w:rsid w:val="0071108B"/>
    <w:rsid w:val="007247C8"/>
    <w:rsid w:val="00731164"/>
    <w:rsid w:val="00733878"/>
    <w:rsid w:val="00757D07"/>
    <w:rsid w:val="0076059D"/>
    <w:rsid w:val="007629E9"/>
    <w:rsid w:val="007640FE"/>
    <w:rsid w:val="007756B5"/>
    <w:rsid w:val="00776856"/>
    <w:rsid w:val="007837EF"/>
    <w:rsid w:val="007B1374"/>
    <w:rsid w:val="007C2918"/>
    <w:rsid w:val="007C3BAF"/>
    <w:rsid w:val="007C63E4"/>
    <w:rsid w:val="007D2272"/>
    <w:rsid w:val="007D35FC"/>
    <w:rsid w:val="007D38A4"/>
    <w:rsid w:val="007D470C"/>
    <w:rsid w:val="007E072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27730"/>
    <w:rsid w:val="00832EAC"/>
    <w:rsid w:val="00844B61"/>
    <w:rsid w:val="00845D64"/>
    <w:rsid w:val="00856980"/>
    <w:rsid w:val="008708FF"/>
    <w:rsid w:val="0087230A"/>
    <w:rsid w:val="00887042"/>
    <w:rsid w:val="00893B9C"/>
    <w:rsid w:val="00894FF0"/>
    <w:rsid w:val="008A2CDE"/>
    <w:rsid w:val="008A3156"/>
    <w:rsid w:val="008A3B9D"/>
    <w:rsid w:val="008A41EA"/>
    <w:rsid w:val="008A6A30"/>
    <w:rsid w:val="008B293F"/>
    <w:rsid w:val="008F0D56"/>
    <w:rsid w:val="008F1DC8"/>
    <w:rsid w:val="008F7531"/>
    <w:rsid w:val="00900E0C"/>
    <w:rsid w:val="00902810"/>
    <w:rsid w:val="00916124"/>
    <w:rsid w:val="00930D16"/>
    <w:rsid w:val="0093651D"/>
    <w:rsid w:val="00943F98"/>
    <w:rsid w:val="00950775"/>
    <w:rsid w:val="00965D5A"/>
    <w:rsid w:val="00966428"/>
    <w:rsid w:val="009760A5"/>
    <w:rsid w:val="00977415"/>
    <w:rsid w:val="00981FE9"/>
    <w:rsid w:val="009841A9"/>
    <w:rsid w:val="00992105"/>
    <w:rsid w:val="009A0E9B"/>
    <w:rsid w:val="009A174E"/>
    <w:rsid w:val="009A3F81"/>
    <w:rsid w:val="009B4513"/>
    <w:rsid w:val="009D15FA"/>
    <w:rsid w:val="009D4E6D"/>
    <w:rsid w:val="009D59BC"/>
    <w:rsid w:val="009F4899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437A"/>
    <w:rsid w:val="00AA5B85"/>
    <w:rsid w:val="00AB155F"/>
    <w:rsid w:val="00AB6155"/>
    <w:rsid w:val="00AD2EF9"/>
    <w:rsid w:val="00AD35E6"/>
    <w:rsid w:val="00AD4B0C"/>
    <w:rsid w:val="00AD6BAD"/>
    <w:rsid w:val="00AD7BAF"/>
    <w:rsid w:val="00AF6898"/>
    <w:rsid w:val="00AF6D8F"/>
    <w:rsid w:val="00B03A46"/>
    <w:rsid w:val="00B058D1"/>
    <w:rsid w:val="00B12A3B"/>
    <w:rsid w:val="00B131F5"/>
    <w:rsid w:val="00B20D9D"/>
    <w:rsid w:val="00B22350"/>
    <w:rsid w:val="00B327EA"/>
    <w:rsid w:val="00B341A4"/>
    <w:rsid w:val="00B36B15"/>
    <w:rsid w:val="00B41224"/>
    <w:rsid w:val="00B4268A"/>
    <w:rsid w:val="00B448E4"/>
    <w:rsid w:val="00B44F42"/>
    <w:rsid w:val="00B51510"/>
    <w:rsid w:val="00B60798"/>
    <w:rsid w:val="00B62557"/>
    <w:rsid w:val="00B919BA"/>
    <w:rsid w:val="00B964AA"/>
    <w:rsid w:val="00B97DA1"/>
    <w:rsid w:val="00BC376D"/>
    <w:rsid w:val="00BC6398"/>
    <w:rsid w:val="00BD0F64"/>
    <w:rsid w:val="00BD2F4A"/>
    <w:rsid w:val="00BE49D9"/>
    <w:rsid w:val="00BF24BA"/>
    <w:rsid w:val="00BF54A1"/>
    <w:rsid w:val="00C046E9"/>
    <w:rsid w:val="00C05181"/>
    <w:rsid w:val="00C100CF"/>
    <w:rsid w:val="00C12AD1"/>
    <w:rsid w:val="00C14E02"/>
    <w:rsid w:val="00C16CEA"/>
    <w:rsid w:val="00C34A04"/>
    <w:rsid w:val="00C63B05"/>
    <w:rsid w:val="00C83D25"/>
    <w:rsid w:val="00C84B58"/>
    <w:rsid w:val="00C865FE"/>
    <w:rsid w:val="00C9185E"/>
    <w:rsid w:val="00CA3B98"/>
    <w:rsid w:val="00CB3D77"/>
    <w:rsid w:val="00CD7453"/>
    <w:rsid w:val="00CD759D"/>
    <w:rsid w:val="00CE1946"/>
    <w:rsid w:val="00CE4E78"/>
    <w:rsid w:val="00CF0AAB"/>
    <w:rsid w:val="00D0388D"/>
    <w:rsid w:val="00D20897"/>
    <w:rsid w:val="00D2728B"/>
    <w:rsid w:val="00D33ED2"/>
    <w:rsid w:val="00D40840"/>
    <w:rsid w:val="00D47D56"/>
    <w:rsid w:val="00D55314"/>
    <w:rsid w:val="00D757EC"/>
    <w:rsid w:val="00D76690"/>
    <w:rsid w:val="00D93D6D"/>
    <w:rsid w:val="00DA0783"/>
    <w:rsid w:val="00DA4C1A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747F8"/>
    <w:rsid w:val="00EA2611"/>
    <w:rsid w:val="00EB1686"/>
    <w:rsid w:val="00EB2269"/>
    <w:rsid w:val="00EC4C96"/>
    <w:rsid w:val="00ED5E99"/>
    <w:rsid w:val="00ED6E2C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4380"/>
    <w:rsid w:val="00F5746D"/>
    <w:rsid w:val="00F75C9D"/>
    <w:rsid w:val="00F80A70"/>
    <w:rsid w:val="00F823BA"/>
    <w:rsid w:val="00F82EA6"/>
    <w:rsid w:val="00F902FE"/>
    <w:rsid w:val="00F95ED9"/>
    <w:rsid w:val="00FA39BC"/>
    <w:rsid w:val="00FA67C1"/>
    <w:rsid w:val="00FB4969"/>
    <w:rsid w:val="00FC1193"/>
    <w:rsid w:val="00FD6535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2A2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402-through-300" TargetMode="External"/><Relationship Id="rId18" Type="http://schemas.openxmlformats.org/officeDocument/2006/relationships/hyperlink" Target="https://www.mass.gov/lists/299-through-104" TargetMode="External"/><Relationship Id="rId26" Type="http://schemas.openxmlformats.org/officeDocument/2006/relationships/hyperlink" Target="https://www.facebook.com/MassHealth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forms/email-notifications-for-provider-bulletins-and-transmittal-letter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30-CMR-450000-administrative-and-billing-regulations" TargetMode="External"/><Relationship Id="rId25" Type="http://schemas.openxmlformats.org/officeDocument/2006/relationships/image" Target="media/image3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30-CMR-450000-administrative-and-billing-regulations" TargetMode="External"/><Relationship Id="rId20" Type="http://schemas.openxmlformats.org/officeDocument/2006/relationships/hyperlink" Target="http://www.mass.gov/masshealth-provider-bulletins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mailto:provider@masshealthquestions.com" TargetMode="External"/><Relationship Id="rId32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50000-administrative-and-billing-regulations" TargetMode="External"/><Relationship Id="rId23" Type="http://schemas.openxmlformats.org/officeDocument/2006/relationships/hyperlink" Target="https://www.masshealthltss.com/s/?language=en_US" TargetMode="External"/><Relationship Id="rId28" Type="http://schemas.openxmlformats.org/officeDocument/2006/relationships/hyperlink" Target="https://www.linkedin.com/company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lists/402-through-300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50000-administrative-and-billing-regulations" TargetMode="External"/><Relationship Id="rId22" Type="http://schemas.openxmlformats.org/officeDocument/2006/relationships/hyperlink" Target="mailto:support@masshealthltss.com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twitter.com/MassHealth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4211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Kovach, Karen E (EHS)</cp:lastModifiedBy>
  <cp:revision>4</cp:revision>
  <cp:lastPrinted>2023-04-06T14:06:00Z</cp:lastPrinted>
  <dcterms:created xsi:type="dcterms:W3CDTF">2025-05-16T14:05:00Z</dcterms:created>
  <dcterms:modified xsi:type="dcterms:W3CDTF">2025-05-20T13:41:00Z</dcterms:modified>
</cp:coreProperties>
</file>