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15673E" w14:textId="77777777" w:rsidR="00A85F30" w:rsidRPr="00D919A6" w:rsidRDefault="00A85F30" w:rsidP="00D11F54">
      <w:pPr>
        <w:tabs>
          <w:tab w:val="left" w:pos="990"/>
        </w:tabs>
        <w:rPr>
          <w:rFonts w:ascii="Times New Roman" w:hAnsi="Times New Roman" w:cs="Times New Roman"/>
          <w:b/>
          <w:sz w:val="36"/>
          <w:szCs w:val="32"/>
        </w:rPr>
      </w:pPr>
      <w:r w:rsidRPr="00327AF3">
        <w:rPr>
          <w:noProof/>
          <w:sz w:val="32"/>
          <w:szCs w:val="32"/>
        </w:rPr>
        <w:drawing>
          <wp:anchor distT="0" distB="0" distL="114300" distR="114300" simplePos="0" relativeHeight="251656704" behindDoc="1" locked="0" layoutInCell="1" allowOverlap="1" wp14:anchorId="385BEB86" wp14:editId="39674AF9">
            <wp:simplePos x="0" y="0"/>
            <wp:positionH relativeFrom="column">
              <wp:posOffset>0</wp:posOffset>
            </wp:positionH>
            <wp:positionV relativeFrom="paragraph">
              <wp:posOffset>0</wp:posOffset>
            </wp:positionV>
            <wp:extent cx="520700" cy="520700"/>
            <wp:effectExtent l="0" t="0" r="0" b="0"/>
            <wp:wrapThrough wrapText="bothSides">
              <wp:wrapPolygon edited="0">
                <wp:start x="4741" y="0"/>
                <wp:lineTo x="0" y="4741"/>
                <wp:lineTo x="0" y="15805"/>
                <wp:lineTo x="4741" y="20546"/>
                <wp:lineTo x="15805" y="20546"/>
                <wp:lineTo x="20546" y="15805"/>
                <wp:lineTo x="20546" y="4741"/>
                <wp:lineTo x="15805" y="0"/>
                <wp:lineTo x="4741" y="0"/>
              </wp:wrapPolygon>
            </wp:wrapThrough>
            <wp:docPr id="1" name="Picture 1" descr="Seal of Massachusetts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 of Massachusetts - Wikiped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0700" cy="520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19A6">
        <w:rPr>
          <w:rFonts w:ascii="Times New Roman" w:hAnsi="Times New Roman" w:cs="Times New Roman"/>
          <w:b/>
          <w:sz w:val="36"/>
          <w:szCs w:val="32"/>
        </w:rPr>
        <w:t>Massachusetts Department of Public Health</w:t>
      </w:r>
    </w:p>
    <w:p w14:paraId="0B26A159" w14:textId="7F683F22" w:rsidR="00A85F30" w:rsidRPr="007936B6" w:rsidRDefault="006B7C7C" w:rsidP="00D11F54">
      <w:pPr>
        <w:pBdr>
          <w:bottom w:val="single" w:sz="4" w:space="1" w:color="auto"/>
        </w:pBdr>
        <w:tabs>
          <w:tab w:val="left" w:pos="990"/>
        </w:tabs>
        <w:ind w:left="990"/>
        <w:rPr>
          <w:rFonts w:cs="Times New Roman"/>
          <w:b/>
          <w:bCs/>
          <w:sz w:val="28"/>
          <w:szCs w:val="28"/>
        </w:rPr>
      </w:pPr>
      <w:r w:rsidRPr="007936B6">
        <w:rPr>
          <w:rFonts w:ascii="Times New Roman" w:hAnsi="Times New Roman" w:cs="Times New Roman"/>
          <w:b/>
          <w:sz w:val="28"/>
          <w:szCs w:val="28"/>
        </w:rPr>
        <w:t xml:space="preserve">Guidance for Allocation of </w:t>
      </w:r>
      <w:r w:rsidR="00A85F30" w:rsidRPr="007936B6">
        <w:rPr>
          <w:rFonts w:ascii="Times New Roman" w:hAnsi="Times New Roman" w:cs="Times New Roman"/>
          <w:b/>
          <w:sz w:val="28"/>
          <w:szCs w:val="28"/>
        </w:rPr>
        <w:t>COVID-19</w:t>
      </w:r>
      <w:r w:rsidR="00953DC8" w:rsidRPr="007936B6">
        <w:rPr>
          <w:rFonts w:ascii="Times New Roman" w:hAnsi="Times New Roman" w:cs="Times New Roman"/>
          <w:b/>
          <w:sz w:val="28"/>
          <w:szCs w:val="28"/>
        </w:rPr>
        <w:t xml:space="preserve"> Monoclonal Antibody</w:t>
      </w:r>
      <w:r w:rsidR="00A85F30" w:rsidRPr="007936B6">
        <w:rPr>
          <w:rFonts w:ascii="Times New Roman" w:hAnsi="Times New Roman" w:cs="Times New Roman"/>
          <w:b/>
          <w:sz w:val="28"/>
          <w:szCs w:val="28"/>
        </w:rPr>
        <w:t xml:space="preserve"> Therapeutics </w:t>
      </w:r>
      <w:r w:rsidR="00665B71">
        <w:rPr>
          <w:rFonts w:ascii="Times New Roman" w:hAnsi="Times New Roman" w:cs="Times New Roman"/>
          <w:b/>
          <w:sz w:val="28"/>
          <w:szCs w:val="28"/>
        </w:rPr>
        <w:t>to Health Care Providers</w:t>
      </w:r>
      <w:r w:rsidR="00807CAB">
        <w:rPr>
          <w:rFonts w:ascii="Times New Roman" w:hAnsi="Times New Roman" w:cs="Times New Roman"/>
          <w:b/>
          <w:sz w:val="28"/>
          <w:szCs w:val="28"/>
        </w:rPr>
        <w:tab/>
      </w:r>
      <w:r w:rsidR="008C54A1">
        <w:rPr>
          <w:rFonts w:ascii="Times New Roman" w:hAnsi="Times New Roman" w:cs="Times New Roman"/>
          <w:b/>
          <w:sz w:val="28"/>
          <w:szCs w:val="28"/>
        </w:rPr>
        <w:t xml:space="preserve">      </w:t>
      </w:r>
      <w:r w:rsidR="00381047">
        <w:rPr>
          <w:rFonts w:ascii="Times New Roman" w:hAnsi="Times New Roman" w:cs="Times New Roman"/>
          <w:b/>
          <w:sz w:val="28"/>
          <w:szCs w:val="28"/>
        </w:rPr>
        <w:t>October 1</w:t>
      </w:r>
      <w:r w:rsidR="00807CAB">
        <w:rPr>
          <w:rFonts w:ascii="Times New Roman" w:hAnsi="Times New Roman" w:cs="Times New Roman"/>
          <w:b/>
          <w:sz w:val="28"/>
          <w:szCs w:val="28"/>
        </w:rPr>
        <w:t>, 2021</w:t>
      </w:r>
    </w:p>
    <w:p w14:paraId="48D7E197" w14:textId="77777777" w:rsidR="00A37DB2" w:rsidRDefault="00A37DB2" w:rsidP="00FF0122">
      <w:pPr>
        <w:shd w:val="clear" w:color="auto" w:fill="FFFFFF"/>
        <w:spacing w:after="120"/>
        <w:rPr>
          <w:bCs/>
        </w:rPr>
      </w:pPr>
    </w:p>
    <w:p w14:paraId="31C7DE68" w14:textId="01516869" w:rsidR="00121DF0" w:rsidRPr="00665B71" w:rsidRDefault="00A85F30" w:rsidP="00690424">
      <w:pPr>
        <w:shd w:val="clear" w:color="auto" w:fill="FFFFFF"/>
        <w:rPr>
          <w:rFonts w:ascii="Times New Roman" w:eastAsia="Times New Roman" w:hAnsi="Times New Roman" w:cs="Times New Roman"/>
          <w:bCs/>
          <w:color w:val="212121"/>
        </w:rPr>
      </w:pPr>
      <w:r w:rsidRPr="00665B71">
        <w:rPr>
          <w:rFonts w:ascii="Times New Roman" w:hAnsi="Times New Roman" w:cs="Times New Roman"/>
          <w:bCs/>
        </w:rPr>
        <w:t xml:space="preserve">The U.S. Food and Drug Administration (FDA) has issued </w:t>
      </w:r>
      <w:hyperlink r:id="rId9" w:anchor="coviddrugs" w:history="1">
        <w:r w:rsidRPr="00B57994">
          <w:rPr>
            <w:rStyle w:val="Hyperlink"/>
            <w:rFonts w:ascii="Times New Roman" w:hAnsi="Times New Roman" w:cs="Times New Roman"/>
            <w:bCs/>
          </w:rPr>
          <w:t>emergency use authorization</w:t>
        </w:r>
        <w:r w:rsidR="00456A00" w:rsidRPr="00B57994">
          <w:rPr>
            <w:rStyle w:val="Hyperlink"/>
            <w:rFonts w:ascii="Times New Roman" w:hAnsi="Times New Roman" w:cs="Times New Roman"/>
            <w:bCs/>
          </w:rPr>
          <w:t>s</w:t>
        </w:r>
      </w:hyperlink>
      <w:r w:rsidRPr="00665B71">
        <w:rPr>
          <w:rFonts w:ascii="Times New Roman" w:hAnsi="Times New Roman" w:cs="Times New Roman"/>
          <w:bCs/>
        </w:rPr>
        <w:t xml:space="preserve"> (EUA) for </w:t>
      </w:r>
      <w:r w:rsidR="00665B71" w:rsidRPr="00665B71">
        <w:rPr>
          <w:rFonts w:ascii="Times New Roman" w:hAnsi="Times New Roman" w:cs="Times New Roman"/>
          <w:bCs/>
        </w:rPr>
        <w:t xml:space="preserve">three </w:t>
      </w:r>
      <w:bookmarkStart w:id="0" w:name="_Hlk83203592"/>
      <w:r w:rsidRPr="00665B71">
        <w:rPr>
          <w:rFonts w:ascii="Times New Roman" w:hAnsi="Times New Roman" w:cs="Times New Roman"/>
          <w:bCs/>
        </w:rPr>
        <w:t xml:space="preserve">monoclonal antibody therapeutics </w:t>
      </w:r>
      <w:bookmarkEnd w:id="0"/>
      <w:r w:rsidR="00121DF0" w:rsidRPr="00665B71">
        <w:rPr>
          <w:rFonts w:ascii="Times New Roman" w:eastAsia="Times New Roman" w:hAnsi="Times New Roman" w:cs="Times New Roman"/>
          <w:bCs/>
          <w:color w:val="212121"/>
        </w:rPr>
        <w:t>for treatment of early mild-to-moderat</w:t>
      </w:r>
      <w:r w:rsidR="00DD4A74">
        <w:rPr>
          <w:rFonts w:ascii="Times New Roman" w:eastAsia="Times New Roman" w:hAnsi="Times New Roman" w:cs="Times New Roman"/>
          <w:bCs/>
          <w:color w:val="212121"/>
        </w:rPr>
        <w:t>e COVID-19</w:t>
      </w:r>
      <w:r w:rsidR="00854E7E" w:rsidRPr="00854E7E">
        <w:rPr>
          <w:rFonts w:ascii="Times New Roman" w:eastAsia="Times New Roman" w:hAnsi="Times New Roman" w:cs="Times New Roman"/>
          <w:bCs/>
          <w:color w:val="212121"/>
        </w:rPr>
        <w:t xml:space="preserve"> </w:t>
      </w:r>
      <w:r w:rsidR="00854E7E">
        <w:rPr>
          <w:rFonts w:ascii="Times New Roman" w:eastAsia="Times New Roman" w:hAnsi="Times New Roman" w:cs="Times New Roman"/>
          <w:bCs/>
          <w:color w:val="212121"/>
        </w:rPr>
        <w:t>in high-risk patients. Two are also available</w:t>
      </w:r>
      <w:r w:rsidR="00DD4A74">
        <w:rPr>
          <w:rFonts w:ascii="Times New Roman" w:eastAsia="Times New Roman" w:hAnsi="Times New Roman" w:cs="Times New Roman"/>
          <w:bCs/>
          <w:color w:val="212121"/>
        </w:rPr>
        <w:t xml:space="preserve"> for post-exposure prophylaxis</w:t>
      </w:r>
      <w:r w:rsidR="00121DF0" w:rsidRPr="00665B71">
        <w:rPr>
          <w:rFonts w:ascii="Times New Roman" w:eastAsia="Times New Roman" w:hAnsi="Times New Roman" w:cs="Times New Roman"/>
          <w:bCs/>
          <w:color w:val="212121"/>
        </w:rPr>
        <w:t xml:space="preserve">. </w:t>
      </w:r>
      <w:r w:rsidR="00665B71" w:rsidRPr="00665B71">
        <w:rPr>
          <w:rFonts w:ascii="Times New Roman" w:eastAsia="Times New Roman" w:hAnsi="Times New Roman" w:cs="Times New Roman"/>
          <w:bCs/>
          <w:color w:val="212121"/>
        </w:rPr>
        <w:t xml:space="preserve">For two of these </w:t>
      </w:r>
      <w:bookmarkStart w:id="1" w:name="_Hlk83205173"/>
      <w:r w:rsidR="00665B71" w:rsidRPr="00665B71">
        <w:rPr>
          <w:rFonts w:ascii="Times New Roman" w:eastAsia="Times New Roman" w:hAnsi="Times New Roman" w:cs="Times New Roman"/>
          <w:bCs/>
          <w:color w:val="212121"/>
        </w:rPr>
        <w:t>monoclonal antibody therapeutics</w:t>
      </w:r>
      <w:bookmarkEnd w:id="1"/>
      <w:r w:rsidR="00FF6E6E">
        <w:rPr>
          <w:rStyle w:val="FootnoteReference"/>
          <w:rFonts w:ascii="Times New Roman" w:eastAsia="Times New Roman" w:hAnsi="Times New Roman" w:cs="Times New Roman"/>
          <w:bCs/>
          <w:color w:val="212121"/>
        </w:rPr>
        <w:footnoteReference w:id="1"/>
      </w:r>
      <w:r w:rsidR="00665B71" w:rsidRPr="00665B71">
        <w:rPr>
          <w:rFonts w:ascii="Times New Roman" w:eastAsia="Times New Roman" w:hAnsi="Times New Roman" w:cs="Times New Roman"/>
          <w:bCs/>
          <w:color w:val="212121"/>
        </w:rPr>
        <w:t xml:space="preserve">, </w:t>
      </w:r>
      <w:r w:rsidR="009664FD" w:rsidRPr="009664FD">
        <w:rPr>
          <w:rFonts w:ascii="Times New Roman" w:eastAsia="Times New Roman" w:hAnsi="Times New Roman" w:cs="Times New Roman"/>
          <w:bCs/>
          <w:color w:val="212121"/>
        </w:rPr>
        <w:t>REGEN-COV (casirivimab and imdevimab), sometimes known by its manufacturer’s name, Regeneron</w:t>
      </w:r>
      <w:r w:rsidR="009664FD">
        <w:rPr>
          <w:rFonts w:ascii="Times New Roman" w:eastAsia="Times New Roman" w:hAnsi="Times New Roman" w:cs="Times New Roman"/>
          <w:bCs/>
          <w:color w:val="212121"/>
        </w:rPr>
        <w:t xml:space="preserve">, and </w:t>
      </w:r>
      <w:bookmarkStart w:id="2" w:name="_Hlk83203677"/>
      <w:r w:rsidR="00DD4A74" w:rsidRPr="00DD4A74">
        <w:rPr>
          <w:rFonts w:ascii="Times New Roman" w:eastAsia="Times New Roman" w:hAnsi="Times New Roman" w:cs="Times New Roman"/>
          <w:bCs/>
          <w:color w:val="212121"/>
        </w:rPr>
        <w:t>bamlanivimab and et</w:t>
      </w:r>
      <w:r w:rsidR="00DD4A74">
        <w:rPr>
          <w:rFonts w:ascii="Times New Roman" w:eastAsia="Times New Roman" w:hAnsi="Times New Roman" w:cs="Times New Roman"/>
          <w:bCs/>
          <w:color w:val="212121"/>
        </w:rPr>
        <w:t>esevimab, administered together,</w:t>
      </w:r>
      <w:r w:rsidR="009664FD" w:rsidRPr="009664FD">
        <w:rPr>
          <w:rFonts w:ascii="Times New Roman" w:eastAsia="Times New Roman" w:hAnsi="Times New Roman" w:cs="Times New Roman"/>
          <w:bCs/>
          <w:color w:val="212121"/>
        </w:rPr>
        <w:t xml:space="preserve"> </w:t>
      </w:r>
      <w:bookmarkEnd w:id="2"/>
      <w:r w:rsidR="00121DF0" w:rsidRPr="00665B71">
        <w:rPr>
          <w:rFonts w:ascii="Times New Roman" w:eastAsia="Times New Roman" w:hAnsi="Times New Roman" w:cs="Times New Roman"/>
          <w:bCs/>
          <w:color w:val="212121"/>
        </w:rPr>
        <w:t xml:space="preserve">the federal government </w:t>
      </w:r>
      <w:r w:rsidR="0036558B">
        <w:rPr>
          <w:rFonts w:ascii="Times New Roman" w:eastAsia="Times New Roman" w:hAnsi="Times New Roman" w:cs="Times New Roman"/>
          <w:bCs/>
          <w:color w:val="212121"/>
        </w:rPr>
        <w:t>recently announ</w:t>
      </w:r>
      <w:r w:rsidR="00FF6E6E">
        <w:rPr>
          <w:rFonts w:ascii="Times New Roman" w:eastAsia="Times New Roman" w:hAnsi="Times New Roman" w:cs="Times New Roman"/>
          <w:bCs/>
          <w:color w:val="212121"/>
        </w:rPr>
        <w:t>c</w:t>
      </w:r>
      <w:r w:rsidR="0036558B">
        <w:rPr>
          <w:rFonts w:ascii="Times New Roman" w:eastAsia="Times New Roman" w:hAnsi="Times New Roman" w:cs="Times New Roman"/>
          <w:bCs/>
          <w:color w:val="212121"/>
        </w:rPr>
        <w:t>ed</w:t>
      </w:r>
      <w:r w:rsidR="00FF6E6E">
        <w:rPr>
          <w:rFonts w:ascii="Times New Roman" w:eastAsia="Times New Roman" w:hAnsi="Times New Roman" w:cs="Times New Roman"/>
          <w:bCs/>
          <w:color w:val="212121"/>
        </w:rPr>
        <w:t xml:space="preserve"> o</w:t>
      </w:r>
      <w:r w:rsidR="0036558B" w:rsidRPr="0036558B">
        <w:rPr>
          <w:rFonts w:ascii="Times New Roman" w:eastAsia="Times New Roman" w:hAnsi="Times New Roman" w:cs="Times New Roman"/>
          <w:bCs/>
          <w:color w:val="212121"/>
        </w:rPr>
        <w:t xml:space="preserve">n </w:t>
      </w:r>
      <w:r w:rsidR="00456A00">
        <w:rPr>
          <w:rFonts w:ascii="Times New Roman" w:eastAsia="Times New Roman" w:hAnsi="Times New Roman" w:cs="Times New Roman"/>
          <w:bCs/>
          <w:color w:val="212121"/>
        </w:rPr>
        <w:t xml:space="preserve">September 14, </w:t>
      </w:r>
      <w:r w:rsidR="0036558B" w:rsidRPr="0036558B">
        <w:rPr>
          <w:rFonts w:ascii="Times New Roman" w:eastAsia="Times New Roman" w:hAnsi="Times New Roman" w:cs="Times New Roman"/>
          <w:bCs/>
          <w:color w:val="212121"/>
        </w:rPr>
        <w:t xml:space="preserve">2021 </w:t>
      </w:r>
      <w:r w:rsidR="00EA7BA6">
        <w:rPr>
          <w:rFonts w:ascii="Times New Roman" w:eastAsia="Times New Roman" w:hAnsi="Times New Roman" w:cs="Times New Roman"/>
          <w:bCs/>
          <w:color w:val="212121"/>
        </w:rPr>
        <w:t xml:space="preserve">that </w:t>
      </w:r>
      <w:r w:rsidR="0036558B" w:rsidRPr="0036558B">
        <w:rPr>
          <w:rFonts w:ascii="Times New Roman" w:eastAsia="Times New Roman" w:hAnsi="Times New Roman" w:cs="Times New Roman"/>
          <w:bCs/>
          <w:color w:val="212121"/>
        </w:rPr>
        <w:t xml:space="preserve">the process for direct ordering through Amerisource-Bergen (ABC) was discontinued.  Instead, each state </w:t>
      </w:r>
      <w:r w:rsidR="00FF6E6E">
        <w:rPr>
          <w:rFonts w:ascii="Times New Roman" w:eastAsia="Times New Roman" w:hAnsi="Times New Roman" w:cs="Times New Roman"/>
          <w:bCs/>
          <w:color w:val="212121"/>
        </w:rPr>
        <w:t>is being</w:t>
      </w:r>
      <w:r w:rsidR="0036558B" w:rsidRPr="0036558B">
        <w:rPr>
          <w:rFonts w:ascii="Times New Roman" w:eastAsia="Times New Roman" w:hAnsi="Times New Roman" w:cs="Times New Roman"/>
          <w:bCs/>
          <w:color w:val="212121"/>
        </w:rPr>
        <w:t xml:space="preserve"> allocated </w:t>
      </w:r>
      <w:r w:rsidR="00FF6E6E" w:rsidRPr="00FF6E6E">
        <w:rPr>
          <w:rFonts w:ascii="Times New Roman" w:eastAsia="Times New Roman" w:hAnsi="Times New Roman" w:cs="Times New Roman"/>
          <w:bCs/>
          <w:color w:val="212121"/>
        </w:rPr>
        <w:t xml:space="preserve">monoclonal antibody therapeutics </w:t>
      </w:r>
      <w:r w:rsidR="0036558B" w:rsidRPr="0036558B">
        <w:rPr>
          <w:rFonts w:ascii="Times New Roman" w:eastAsia="Times New Roman" w:hAnsi="Times New Roman" w:cs="Times New Roman"/>
          <w:bCs/>
          <w:color w:val="212121"/>
        </w:rPr>
        <w:t>courses by the federal government based upon the state’s COVID-19 case prevalence and hospitalizations as well as</w:t>
      </w:r>
      <w:r w:rsidR="00456A00">
        <w:rPr>
          <w:rFonts w:ascii="Times New Roman" w:eastAsia="Times New Roman" w:hAnsi="Times New Roman" w:cs="Times New Roman"/>
          <w:bCs/>
          <w:color w:val="212121"/>
        </w:rPr>
        <w:t xml:space="preserve"> the proportion of allocated</w:t>
      </w:r>
      <w:r w:rsidR="0036558B" w:rsidRPr="0036558B">
        <w:rPr>
          <w:rFonts w:ascii="Times New Roman" w:eastAsia="Times New Roman" w:hAnsi="Times New Roman" w:cs="Times New Roman"/>
          <w:bCs/>
          <w:color w:val="212121"/>
        </w:rPr>
        <w:t xml:space="preserve"> </w:t>
      </w:r>
      <w:r w:rsidR="00FF6E6E" w:rsidRPr="00665B71">
        <w:rPr>
          <w:rFonts w:ascii="Times New Roman" w:eastAsia="Times New Roman" w:hAnsi="Times New Roman" w:cs="Times New Roman"/>
          <w:bCs/>
          <w:color w:val="212121"/>
        </w:rPr>
        <w:t>monoclonal antibody therapeutics</w:t>
      </w:r>
      <w:r w:rsidR="0036558B" w:rsidRPr="0036558B">
        <w:rPr>
          <w:rFonts w:ascii="Times New Roman" w:eastAsia="Times New Roman" w:hAnsi="Times New Roman" w:cs="Times New Roman"/>
          <w:bCs/>
          <w:color w:val="212121"/>
        </w:rPr>
        <w:t xml:space="preserve"> administered each week.  Each state is now responsible for developing an ordering and reporting process for providers to </w:t>
      </w:r>
      <w:r w:rsidR="00456A00">
        <w:rPr>
          <w:rFonts w:ascii="Times New Roman" w:eastAsia="Times New Roman" w:hAnsi="Times New Roman" w:cs="Times New Roman"/>
          <w:bCs/>
          <w:color w:val="212121"/>
        </w:rPr>
        <w:t>request</w:t>
      </w:r>
      <w:r w:rsidR="00456A00" w:rsidRPr="0036558B">
        <w:rPr>
          <w:rFonts w:ascii="Times New Roman" w:eastAsia="Times New Roman" w:hAnsi="Times New Roman" w:cs="Times New Roman"/>
          <w:bCs/>
          <w:color w:val="212121"/>
        </w:rPr>
        <w:t xml:space="preserve"> </w:t>
      </w:r>
      <w:r w:rsidR="00901AEC" w:rsidRPr="00901AEC">
        <w:rPr>
          <w:rFonts w:ascii="Times New Roman" w:eastAsia="Times New Roman" w:hAnsi="Times New Roman" w:cs="Times New Roman"/>
          <w:bCs/>
          <w:color w:val="212121"/>
        </w:rPr>
        <w:t xml:space="preserve">monoclonal antibody therapeutics </w:t>
      </w:r>
      <w:r w:rsidR="0036558B" w:rsidRPr="0036558B">
        <w:rPr>
          <w:rFonts w:ascii="Times New Roman" w:eastAsia="Times New Roman" w:hAnsi="Times New Roman" w:cs="Times New Roman"/>
          <w:bCs/>
          <w:color w:val="212121"/>
        </w:rPr>
        <w:t xml:space="preserve">courses and </w:t>
      </w:r>
      <w:r w:rsidR="00456A00">
        <w:rPr>
          <w:rFonts w:ascii="Times New Roman" w:eastAsia="Times New Roman" w:hAnsi="Times New Roman" w:cs="Times New Roman"/>
          <w:bCs/>
          <w:color w:val="212121"/>
        </w:rPr>
        <w:t xml:space="preserve">report data about courses administered.  This is necessary </w:t>
      </w:r>
      <w:r w:rsidR="0036558B" w:rsidRPr="0036558B">
        <w:rPr>
          <w:rFonts w:ascii="Times New Roman" w:eastAsia="Times New Roman" w:hAnsi="Times New Roman" w:cs="Times New Roman"/>
          <w:bCs/>
          <w:color w:val="212121"/>
        </w:rPr>
        <w:t xml:space="preserve">for the state to </w:t>
      </w:r>
      <w:r w:rsidR="00456A00">
        <w:rPr>
          <w:rFonts w:ascii="Times New Roman" w:eastAsia="Times New Roman" w:hAnsi="Times New Roman" w:cs="Times New Roman"/>
          <w:bCs/>
          <w:color w:val="212121"/>
        </w:rPr>
        <w:t xml:space="preserve">report required data to the federal government and </w:t>
      </w:r>
      <w:r w:rsidR="0036558B" w:rsidRPr="0036558B">
        <w:rPr>
          <w:rFonts w:ascii="Times New Roman" w:eastAsia="Times New Roman" w:hAnsi="Times New Roman" w:cs="Times New Roman"/>
          <w:bCs/>
          <w:color w:val="212121"/>
        </w:rPr>
        <w:t xml:space="preserve">receive ongoing allocation. </w:t>
      </w:r>
      <w:r w:rsidR="00456A00">
        <w:rPr>
          <w:rFonts w:ascii="Times New Roman" w:eastAsia="Times New Roman" w:hAnsi="Times New Roman" w:cs="Times New Roman"/>
          <w:bCs/>
          <w:color w:val="212121"/>
        </w:rPr>
        <w:t xml:space="preserve"> </w:t>
      </w:r>
      <w:r w:rsidR="00121DF0" w:rsidRPr="00665B71">
        <w:rPr>
          <w:rFonts w:ascii="Times New Roman" w:eastAsia="Times New Roman" w:hAnsi="Times New Roman" w:cs="Times New Roman"/>
          <w:bCs/>
          <w:color w:val="212121"/>
        </w:rPr>
        <w:t xml:space="preserve">This guidance </w:t>
      </w:r>
      <w:r w:rsidR="00FF6E6E">
        <w:rPr>
          <w:rFonts w:ascii="Times New Roman" w:eastAsia="Times New Roman" w:hAnsi="Times New Roman" w:cs="Times New Roman"/>
          <w:bCs/>
          <w:color w:val="212121"/>
        </w:rPr>
        <w:t>shares appropriate use f</w:t>
      </w:r>
      <w:r w:rsidR="00D822C9">
        <w:rPr>
          <w:rFonts w:ascii="Times New Roman" w:eastAsia="Times New Roman" w:hAnsi="Times New Roman" w:cs="Times New Roman"/>
          <w:bCs/>
          <w:color w:val="212121"/>
        </w:rPr>
        <w:t xml:space="preserve">or </w:t>
      </w:r>
      <w:r w:rsidR="00A8264F" w:rsidRPr="00A8264F">
        <w:rPr>
          <w:rFonts w:ascii="Times New Roman" w:eastAsia="Times New Roman" w:hAnsi="Times New Roman" w:cs="Times New Roman"/>
          <w:bCs/>
          <w:color w:val="212121"/>
        </w:rPr>
        <w:t>monoclonal antibody therapeutics</w:t>
      </w:r>
      <w:r w:rsidR="00A8264F">
        <w:rPr>
          <w:rFonts w:ascii="Times New Roman" w:eastAsia="Times New Roman" w:hAnsi="Times New Roman" w:cs="Times New Roman"/>
          <w:bCs/>
          <w:color w:val="212121"/>
        </w:rPr>
        <w:t xml:space="preserve"> and </w:t>
      </w:r>
      <w:r w:rsidR="0036558B">
        <w:rPr>
          <w:rFonts w:ascii="Times New Roman" w:eastAsia="Times New Roman" w:hAnsi="Times New Roman" w:cs="Times New Roman"/>
          <w:bCs/>
          <w:color w:val="212121"/>
        </w:rPr>
        <w:t>the process for ordering them from the Department of Public Health</w:t>
      </w:r>
      <w:r w:rsidR="00AD2BFF">
        <w:rPr>
          <w:rFonts w:ascii="Times New Roman" w:eastAsia="Times New Roman" w:hAnsi="Times New Roman" w:cs="Times New Roman"/>
          <w:bCs/>
          <w:color w:val="212121"/>
        </w:rPr>
        <w:t xml:space="preserve"> (DPH)</w:t>
      </w:r>
      <w:r w:rsidR="0036558B">
        <w:rPr>
          <w:rFonts w:ascii="Times New Roman" w:eastAsia="Times New Roman" w:hAnsi="Times New Roman" w:cs="Times New Roman"/>
          <w:bCs/>
          <w:color w:val="212121"/>
        </w:rPr>
        <w:t xml:space="preserve">. </w:t>
      </w:r>
      <w:r w:rsidR="00121DF0" w:rsidRPr="00665B71">
        <w:rPr>
          <w:rFonts w:ascii="Times New Roman" w:eastAsia="Times New Roman" w:hAnsi="Times New Roman" w:cs="Times New Roman"/>
          <w:bCs/>
          <w:color w:val="212121"/>
        </w:rPr>
        <w:t xml:space="preserve"> </w:t>
      </w:r>
    </w:p>
    <w:p w14:paraId="23C9221D" w14:textId="6EFBC0F4" w:rsidR="003B1103" w:rsidRPr="00665B71" w:rsidRDefault="005124E6" w:rsidP="005124E6">
      <w:pPr>
        <w:spacing w:before="100" w:beforeAutospacing="1" w:after="100" w:afterAutospacing="1"/>
        <w:textAlignment w:val="baseline"/>
        <w:rPr>
          <w:rFonts w:ascii="Times New Roman" w:hAnsi="Times New Roman" w:cs="Times New Roman"/>
          <w:u w:val="single"/>
        </w:rPr>
      </w:pPr>
      <w:r w:rsidRPr="00665B71">
        <w:rPr>
          <w:rFonts w:ascii="Times New Roman" w:hAnsi="Times New Roman" w:cs="Times New Roman"/>
        </w:rPr>
        <w:t>I.</w:t>
      </w:r>
      <w:r w:rsidRPr="00665B71">
        <w:rPr>
          <w:rFonts w:ascii="Times New Roman" w:hAnsi="Times New Roman" w:cs="Times New Roman"/>
        </w:rPr>
        <w:tab/>
      </w:r>
      <w:r w:rsidR="001226BF" w:rsidRPr="00665B71">
        <w:rPr>
          <w:rFonts w:ascii="Times New Roman" w:hAnsi="Times New Roman" w:cs="Times New Roman"/>
          <w:u w:val="single"/>
        </w:rPr>
        <w:t>Authorized use</w:t>
      </w:r>
    </w:p>
    <w:p w14:paraId="669AA15D" w14:textId="2B1F262A" w:rsidR="006D796E" w:rsidRPr="00665B71" w:rsidRDefault="006C0184" w:rsidP="002621CA">
      <w:pPr>
        <w:spacing w:before="100" w:beforeAutospacing="1" w:after="100" w:afterAutospacing="1"/>
        <w:textAlignment w:val="baseline"/>
        <w:rPr>
          <w:rFonts w:ascii="Times New Roman" w:hAnsi="Times New Roman" w:cs="Times New Roman"/>
        </w:rPr>
      </w:pPr>
      <w:r w:rsidRPr="00665B71">
        <w:rPr>
          <w:rFonts w:ascii="Times New Roman" w:hAnsi="Times New Roman" w:cs="Times New Roman"/>
        </w:rPr>
        <w:t xml:space="preserve">Under the </w:t>
      </w:r>
      <w:r w:rsidR="00F05A16" w:rsidRPr="00665B71">
        <w:rPr>
          <w:rFonts w:ascii="Times New Roman" w:hAnsi="Times New Roman" w:cs="Times New Roman"/>
        </w:rPr>
        <w:t>EUA</w:t>
      </w:r>
      <w:r w:rsidR="00456A00">
        <w:rPr>
          <w:rFonts w:ascii="Times New Roman" w:hAnsi="Times New Roman" w:cs="Times New Roman"/>
        </w:rPr>
        <w:t>s</w:t>
      </w:r>
      <w:r w:rsidRPr="00665B71">
        <w:rPr>
          <w:rFonts w:ascii="Times New Roman" w:hAnsi="Times New Roman" w:cs="Times New Roman"/>
        </w:rPr>
        <w:t xml:space="preserve">, </w:t>
      </w:r>
      <w:r w:rsidR="00456A00">
        <w:rPr>
          <w:rFonts w:ascii="Times New Roman" w:hAnsi="Times New Roman" w:cs="Times New Roman"/>
        </w:rPr>
        <w:t xml:space="preserve">the three </w:t>
      </w:r>
      <w:r w:rsidR="00AD2BFF">
        <w:rPr>
          <w:rFonts w:ascii="Times New Roman" w:hAnsi="Times New Roman" w:cs="Times New Roman"/>
        </w:rPr>
        <w:t>monoclonal antibody therapeutics are</w:t>
      </w:r>
      <w:r w:rsidR="00E14334" w:rsidRPr="00665B71">
        <w:rPr>
          <w:rFonts w:ascii="Times New Roman" w:hAnsi="Times New Roman" w:cs="Times New Roman"/>
        </w:rPr>
        <w:t xml:space="preserve"> </w:t>
      </w:r>
      <w:r w:rsidRPr="00665B71">
        <w:rPr>
          <w:rFonts w:ascii="Times New Roman" w:hAnsi="Times New Roman" w:cs="Times New Roman"/>
        </w:rPr>
        <w:t xml:space="preserve">authorized for the treatment of mild to moderate COVID-19 </w:t>
      </w:r>
      <w:r w:rsidR="001226BF" w:rsidRPr="00665B71">
        <w:rPr>
          <w:rFonts w:ascii="Times New Roman" w:hAnsi="Times New Roman" w:cs="Times New Roman"/>
        </w:rPr>
        <w:t xml:space="preserve">in adult and pediatric patients with positive results of direct SARS-CoV-2 viral testing who are 12 years of age and older weighing at least 40 kg and who are at high risk for progressing to severe COVID-19 and/or hospitalization. </w:t>
      </w:r>
      <w:r w:rsidR="006D796E" w:rsidRPr="00665B71">
        <w:rPr>
          <w:rFonts w:ascii="Times New Roman" w:hAnsi="Times New Roman" w:cs="Times New Roman"/>
        </w:rPr>
        <w:t xml:space="preserve"> </w:t>
      </w:r>
    </w:p>
    <w:p w14:paraId="2D82911B" w14:textId="3AA5989D" w:rsidR="001226BF" w:rsidRDefault="006D796E" w:rsidP="00373C6F">
      <w:pPr>
        <w:spacing w:before="100" w:beforeAutospacing="1" w:after="100" w:afterAutospacing="1"/>
        <w:textAlignment w:val="baseline"/>
        <w:rPr>
          <w:rFonts w:ascii="Times New Roman" w:hAnsi="Times New Roman" w:cs="Times New Roman"/>
        </w:rPr>
      </w:pPr>
      <w:r w:rsidRPr="00665B71">
        <w:rPr>
          <w:rFonts w:ascii="Times New Roman" w:hAnsi="Times New Roman" w:cs="Times New Roman"/>
        </w:rPr>
        <w:t>The criteria for use are specified in the EUA</w:t>
      </w:r>
      <w:r w:rsidR="00AD2BFF">
        <w:rPr>
          <w:rFonts w:ascii="Times New Roman" w:hAnsi="Times New Roman" w:cs="Times New Roman"/>
        </w:rPr>
        <w:t>s</w:t>
      </w:r>
      <w:r w:rsidRPr="00665B71">
        <w:rPr>
          <w:rFonts w:ascii="Times New Roman" w:hAnsi="Times New Roman" w:cs="Times New Roman"/>
        </w:rPr>
        <w:t xml:space="preserve">, currently or as </w:t>
      </w:r>
      <w:r w:rsidR="00854E7E">
        <w:rPr>
          <w:rFonts w:ascii="Times New Roman" w:hAnsi="Times New Roman" w:cs="Times New Roman"/>
        </w:rPr>
        <w:t>they</w:t>
      </w:r>
      <w:r w:rsidRPr="00665B71">
        <w:rPr>
          <w:rFonts w:ascii="Times New Roman" w:hAnsi="Times New Roman" w:cs="Times New Roman"/>
        </w:rPr>
        <w:t xml:space="preserve"> may be updated.  Additionally, it is notable that t</w:t>
      </w:r>
      <w:r w:rsidR="002621CA" w:rsidRPr="00665B71">
        <w:rPr>
          <w:rFonts w:ascii="Times New Roman" w:hAnsi="Times New Roman" w:cs="Times New Roman"/>
        </w:rPr>
        <w:t>he clinical trial</w:t>
      </w:r>
      <w:r w:rsidR="00E81BC5" w:rsidRPr="00665B71">
        <w:rPr>
          <w:rFonts w:ascii="Times New Roman" w:hAnsi="Times New Roman" w:cs="Times New Roman"/>
        </w:rPr>
        <w:t>s</w:t>
      </w:r>
      <w:r w:rsidR="002621CA" w:rsidRPr="00665B71">
        <w:rPr>
          <w:rFonts w:ascii="Times New Roman" w:hAnsi="Times New Roman" w:cs="Times New Roman"/>
        </w:rPr>
        <w:t xml:space="preserve"> that form</w:t>
      </w:r>
      <w:r w:rsidR="00E81BC5" w:rsidRPr="00665B71">
        <w:rPr>
          <w:rFonts w:ascii="Times New Roman" w:hAnsi="Times New Roman" w:cs="Times New Roman"/>
        </w:rPr>
        <w:t>ed</w:t>
      </w:r>
      <w:r w:rsidR="002621CA" w:rsidRPr="00665B71">
        <w:rPr>
          <w:rFonts w:ascii="Times New Roman" w:hAnsi="Times New Roman" w:cs="Times New Roman"/>
        </w:rPr>
        <w:t xml:space="preserve"> the basis for the EUA</w:t>
      </w:r>
      <w:r w:rsidR="001271B2" w:rsidRPr="00665B71">
        <w:rPr>
          <w:rFonts w:ascii="Times New Roman" w:hAnsi="Times New Roman" w:cs="Times New Roman"/>
        </w:rPr>
        <w:t>s</w:t>
      </w:r>
      <w:r w:rsidR="002621CA" w:rsidRPr="00665B71">
        <w:rPr>
          <w:rFonts w:ascii="Times New Roman" w:hAnsi="Times New Roman" w:cs="Times New Roman"/>
        </w:rPr>
        <w:t xml:space="preserve"> required that </w:t>
      </w:r>
      <w:r w:rsidR="00AD2BFF">
        <w:rPr>
          <w:rFonts w:ascii="Times New Roman" w:hAnsi="Times New Roman" w:cs="Times New Roman"/>
        </w:rPr>
        <w:t xml:space="preserve">monoclonal antibody therapeutics </w:t>
      </w:r>
      <w:r w:rsidR="002621CA" w:rsidRPr="00665B71">
        <w:rPr>
          <w:rFonts w:ascii="Times New Roman" w:hAnsi="Times New Roman" w:cs="Times New Roman"/>
        </w:rPr>
        <w:t xml:space="preserve">be administered </w:t>
      </w:r>
      <w:r w:rsidR="00854E7E">
        <w:rPr>
          <w:rFonts w:ascii="Times New Roman" w:hAnsi="Times New Roman" w:cs="Times New Roman"/>
        </w:rPr>
        <w:t>as early as within</w:t>
      </w:r>
      <w:r w:rsidR="00854E7E" w:rsidRPr="00665B71">
        <w:rPr>
          <w:rFonts w:ascii="Times New Roman" w:hAnsi="Times New Roman" w:cs="Times New Roman"/>
        </w:rPr>
        <w:t xml:space="preserve"> </w:t>
      </w:r>
      <w:r w:rsidR="002621CA" w:rsidRPr="00665B71">
        <w:rPr>
          <w:rFonts w:ascii="Times New Roman" w:hAnsi="Times New Roman" w:cs="Times New Roman"/>
        </w:rPr>
        <w:t xml:space="preserve">72 hours of </w:t>
      </w:r>
      <w:r w:rsidR="006C0184" w:rsidRPr="00665B71">
        <w:rPr>
          <w:rFonts w:ascii="Times New Roman" w:hAnsi="Times New Roman" w:cs="Times New Roman"/>
        </w:rPr>
        <w:t xml:space="preserve">the time that a positive </w:t>
      </w:r>
      <w:r w:rsidR="002621CA" w:rsidRPr="00665B71">
        <w:rPr>
          <w:rFonts w:ascii="Times New Roman" w:hAnsi="Times New Roman" w:cs="Times New Roman"/>
        </w:rPr>
        <w:t xml:space="preserve">SARS-CoV-2 </w:t>
      </w:r>
      <w:r w:rsidRPr="00665B71">
        <w:rPr>
          <w:rFonts w:ascii="Times New Roman" w:hAnsi="Times New Roman" w:cs="Times New Roman"/>
        </w:rPr>
        <w:t xml:space="preserve">sample </w:t>
      </w:r>
      <w:r w:rsidR="006C0184" w:rsidRPr="00665B71">
        <w:rPr>
          <w:rFonts w:ascii="Times New Roman" w:hAnsi="Times New Roman" w:cs="Times New Roman"/>
        </w:rPr>
        <w:t>was</w:t>
      </w:r>
      <w:r w:rsidR="002621CA" w:rsidRPr="00665B71">
        <w:rPr>
          <w:rFonts w:ascii="Times New Roman" w:hAnsi="Times New Roman" w:cs="Times New Roman"/>
        </w:rPr>
        <w:t xml:space="preserve"> sent. </w:t>
      </w:r>
      <w:r w:rsidRPr="00665B71">
        <w:rPr>
          <w:rFonts w:ascii="Times New Roman" w:hAnsi="Times New Roman" w:cs="Times New Roman"/>
        </w:rPr>
        <w:t xml:space="preserve">It is </w:t>
      </w:r>
      <w:r w:rsidR="002621CA" w:rsidRPr="00665B71">
        <w:rPr>
          <w:rFonts w:ascii="Times New Roman" w:hAnsi="Times New Roman" w:cs="Times New Roman"/>
        </w:rPr>
        <w:t>strongly encourage</w:t>
      </w:r>
      <w:r w:rsidRPr="00665B71">
        <w:rPr>
          <w:rFonts w:ascii="Times New Roman" w:hAnsi="Times New Roman" w:cs="Times New Roman"/>
        </w:rPr>
        <w:t>d that</w:t>
      </w:r>
      <w:r w:rsidR="002621CA" w:rsidRPr="00665B71">
        <w:rPr>
          <w:rFonts w:ascii="Times New Roman" w:hAnsi="Times New Roman" w:cs="Times New Roman"/>
        </w:rPr>
        <w:t xml:space="preserve"> </w:t>
      </w:r>
      <w:r w:rsidR="0008674C" w:rsidRPr="00665B71">
        <w:rPr>
          <w:rFonts w:ascii="Times New Roman" w:hAnsi="Times New Roman" w:cs="Times New Roman"/>
        </w:rPr>
        <w:t xml:space="preserve">facilities </w:t>
      </w:r>
      <w:r w:rsidR="002621CA" w:rsidRPr="00665B71">
        <w:rPr>
          <w:rFonts w:ascii="Times New Roman" w:hAnsi="Times New Roman" w:cs="Times New Roman"/>
        </w:rPr>
        <w:t xml:space="preserve">providing this therapy to </w:t>
      </w:r>
      <w:r w:rsidR="00A95CB3" w:rsidRPr="00665B71">
        <w:rPr>
          <w:rFonts w:ascii="Times New Roman" w:hAnsi="Times New Roman" w:cs="Times New Roman"/>
        </w:rPr>
        <w:t>residents</w:t>
      </w:r>
      <w:r w:rsidR="002621CA" w:rsidRPr="00665B71">
        <w:rPr>
          <w:rFonts w:ascii="Times New Roman" w:hAnsi="Times New Roman" w:cs="Times New Roman"/>
        </w:rPr>
        <w:t xml:space="preserve"> adhere as closely to that as possible</w:t>
      </w:r>
      <w:r w:rsidR="00AD2BFF">
        <w:rPr>
          <w:rFonts w:ascii="Times New Roman" w:hAnsi="Times New Roman" w:cs="Times New Roman"/>
        </w:rPr>
        <w:t xml:space="preserve"> and no later than 10 days after symptom onset</w:t>
      </w:r>
      <w:r w:rsidR="0095730E">
        <w:rPr>
          <w:rFonts w:ascii="Times New Roman" w:hAnsi="Times New Roman" w:cs="Times New Roman"/>
        </w:rPr>
        <w:t xml:space="preserve"> in accordance with the EUA</w:t>
      </w:r>
      <w:r w:rsidR="006C0184" w:rsidRPr="00665B71">
        <w:rPr>
          <w:rFonts w:ascii="Times New Roman" w:hAnsi="Times New Roman" w:cs="Times New Roman"/>
        </w:rPr>
        <w:t>.</w:t>
      </w:r>
    </w:p>
    <w:p w14:paraId="05EDB84B" w14:textId="48401189" w:rsidR="00520CC6" w:rsidRDefault="00520CC6" w:rsidP="00373C6F">
      <w:pPr>
        <w:spacing w:before="100" w:beforeAutospacing="1" w:after="100" w:afterAutospacing="1"/>
        <w:textAlignment w:val="baseline"/>
        <w:rPr>
          <w:rFonts w:ascii="Times New Roman" w:hAnsi="Times New Roman" w:cs="Times New Roman"/>
        </w:rPr>
      </w:pPr>
      <w:r>
        <w:rPr>
          <w:rFonts w:ascii="Times New Roman" w:hAnsi="Times New Roman" w:cs="Times New Roman"/>
        </w:rPr>
        <w:t>These products are not authorized for use in patients requiring hospitalization due to COVID-19 or who require supplemental oxygen (or increase in supplemental oxygen for those requiring chronic oxygen therapy) due to COVID-19.</w:t>
      </w:r>
    </w:p>
    <w:p w14:paraId="6991A998" w14:textId="77777777" w:rsidR="00AD2BFF" w:rsidRPr="00AD2BFF" w:rsidRDefault="00AD2BFF" w:rsidP="00AD2BFF">
      <w:pPr>
        <w:shd w:val="clear" w:color="auto" w:fill="FFFFFF"/>
        <w:rPr>
          <w:rFonts w:ascii="Times New Roman" w:eastAsia="Times New Roman" w:hAnsi="Times New Roman" w:cs="Times New Roman"/>
          <w:color w:val="212121"/>
        </w:rPr>
      </w:pPr>
      <w:r w:rsidRPr="00AD2BFF">
        <w:rPr>
          <w:rFonts w:ascii="Times New Roman" w:eastAsia="Times New Roman" w:hAnsi="Times New Roman" w:cs="Times New Roman"/>
          <w:color w:val="212121"/>
        </w:rPr>
        <w:t xml:space="preserve">Post-Exposure Prophylaxis: </w:t>
      </w:r>
    </w:p>
    <w:p w14:paraId="14241160" w14:textId="3E5DC3C6" w:rsidR="00AD2BFF" w:rsidRDefault="009212FA" w:rsidP="00AD2BFF">
      <w:pPr>
        <w:pStyle w:val="NormalWeb"/>
      </w:pPr>
      <w:r>
        <w:rPr>
          <w:b/>
          <w:bCs/>
          <w:color w:val="212121"/>
        </w:rPr>
        <w:lastRenderedPageBreak/>
        <w:t>P</w:t>
      </w:r>
      <w:r w:rsidR="00AD2BFF">
        <w:rPr>
          <w:rStyle w:val="Strong"/>
          <w:color w:val="212121"/>
        </w:rPr>
        <w:t xml:space="preserve">ost-exposure prophylaxis with REGEN-COV or </w:t>
      </w:r>
      <w:r w:rsidR="00AD2BFF" w:rsidRPr="00A8264F">
        <w:rPr>
          <w:rStyle w:val="Strong"/>
          <w:color w:val="212121"/>
        </w:rPr>
        <w:t xml:space="preserve">bamlanivimab and etesevimab, administered together, </w:t>
      </w:r>
      <w:r w:rsidR="00AD2BFF">
        <w:rPr>
          <w:rStyle w:val="Strong"/>
          <w:color w:val="212121"/>
        </w:rPr>
        <w:t xml:space="preserve">is not a substitute for vaccination against COVID-19, and REGEN-COV </w:t>
      </w:r>
      <w:r w:rsidR="003662FD">
        <w:rPr>
          <w:rStyle w:val="Strong"/>
          <w:color w:val="212121"/>
        </w:rPr>
        <w:t xml:space="preserve">or </w:t>
      </w:r>
      <w:r w:rsidR="00AD2BFF" w:rsidRPr="00A8264F">
        <w:rPr>
          <w:rStyle w:val="Strong"/>
          <w:color w:val="212121"/>
        </w:rPr>
        <w:t xml:space="preserve">bamlanivimab and etesevimab, administered together, </w:t>
      </w:r>
      <w:r w:rsidR="00AD2BFF">
        <w:rPr>
          <w:rStyle w:val="Strong"/>
          <w:color w:val="212121"/>
        </w:rPr>
        <w:t>are not authorized for pre-exposure prophylaxis.</w:t>
      </w:r>
    </w:p>
    <w:p w14:paraId="46BB4B98" w14:textId="75FB6E3A" w:rsidR="00AD2BFF" w:rsidRPr="009664FD" w:rsidRDefault="00AD2BFF" w:rsidP="00AD2BFF">
      <w:pPr>
        <w:shd w:val="clear" w:color="auto" w:fill="FFFFFF"/>
        <w:rPr>
          <w:rFonts w:ascii="Times New Roman" w:eastAsia="Times New Roman" w:hAnsi="Times New Roman" w:cs="Times New Roman"/>
          <w:bCs/>
          <w:color w:val="212121"/>
        </w:rPr>
      </w:pPr>
      <w:r w:rsidRPr="009664FD">
        <w:rPr>
          <w:rFonts w:ascii="Times New Roman" w:eastAsia="Times New Roman" w:hAnsi="Times New Roman" w:cs="Times New Roman"/>
          <w:bCs/>
          <w:color w:val="212121"/>
        </w:rPr>
        <w:t xml:space="preserve">The FDA has authorized an additional use for the COVID-19 monoclonal antibody therapeutic </w:t>
      </w:r>
      <w:bookmarkStart w:id="3" w:name="_Hlk83104779"/>
      <w:r w:rsidRPr="009664FD">
        <w:rPr>
          <w:rFonts w:ascii="Times New Roman" w:eastAsia="Times New Roman" w:hAnsi="Times New Roman" w:cs="Times New Roman"/>
          <w:bCs/>
          <w:color w:val="212121"/>
        </w:rPr>
        <w:t xml:space="preserve">REGEN-COV </w:t>
      </w:r>
      <w:r>
        <w:rPr>
          <w:rFonts w:ascii="Times New Roman" w:eastAsia="Times New Roman" w:hAnsi="Times New Roman" w:cs="Times New Roman"/>
          <w:bCs/>
          <w:color w:val="212121"/>
        </w:rPr>
        <w:t xml:space="preserve">and </w:t>
      </w:r>
      <w:r w:rsidRPr="00A8264F">
        <w:rPr>
          <w:rFonts w:ascii="Times New Roman" w:eastAsia="Times New Roman" w:hAnsi="Times New Roman" w:cs="Times New Roman"/>
          <w:bCs/>
          <w:color w:val="212121"/>
        </w:rPr>
        <w:t>bamlanivimab and et</w:t>
      </w:r>
      <w:r>
        <w:rPr>
          <w:rFonts w:ascii="Times New Roman" w:eastAsia="Times New Roman" w:hAnsi="Times New Roman" w:cs="Times New Roman"/>
          <w:bCs/>
          <w:color w:val="212121"/>
        </w:rPr>
        <w:t>esevimab, administered together</w:t>
      </w:r>
      <w:r w:rsidRPr="009664FD">
        <w:rPr>
          <w:rFonts w:ascii="Times New Roman" w:eastAsia="Times New Roman" w:hAnsi="Times New Roman" w:cs="Times New Roman"/>
          <w:bCs/>
          <w:color w:val="212121"/>
        </w:rPr>
        <w:t xml:space="preserve">. </w:t>
      </w:r>
      <w:bookmarkEnd w:id="3"/>
      <w:r>
        <w:rPr>
          <w:rFonts w:ascii="Times New Roman" w:eastAsia="Times New Roman" w:hAnsi="Times New Roman" w:cs="Times New Roman"/>
          <w:bCs/>
          <w:color w:val="212121"/>
        </w:rPr>
        <w:t>Their EUAs have</w:t>
      </w:r>
      <w:r w:rsidRPr="009664FD">
        <w:rPr>
          <w:rFonts w:ascii="Times New Roman" w:eastAsia="Times New Roman" w:hAnsi="Times New Roman" w:cs="Times New Roman"/>
          <w:bCs/>
          <w:color w:val="212121"/>
        </w:rPr>
        <w:t xml:space="preserve"> been expanded to include post-exposure prophylaxis</w:t>
      </w:r>
      <w:r w:rsidR="00520CC6">
        <w:rPr>
          <w:rFonts w:ascii="Times New Roman" w:eastAsia="Times New Roman" w:hAnsi="Times New Roman" w:cs="Times New Roman"/>
          <w:bCs/>
          <w:color w:val="212121"/>
        </w:rPr>
        <w:t xml:space="preserve"> (PEP)</w:t>
      </w:r>
      <w:r w:rsidRPr="009664FD">
        <w:rPr>
          <w:rFonts w:ascii="Times New Roman" w:eastAsia="Times New Roman" w:hAnsi="Times New Roman" w:cs="Times New Roman"/>
          <w:bCs/>
          <w:color w:val="212121"/>
        </w:rPr>
        <w:t xml:space="preserve">. FDA’s authorization of a therapeutic product for post-exposure prophylaxis is a significant advancement in the COVID-19 response that supplements vaccination for disease prevention.  </w:t>
      </w:r>
    </w:p>
    <w:p w14:paraId="03FD6084" w14:textId="5FBB11CC" w:rsidR="00AD2BFF" w:rsidRPr="009664FD" w:rsidRDefault="00AD2BFF" w:rsidP="00AD2BFF">
      <w:pPr>
        <w:shd w:val="clear" w:color="auto" w:fill="FFFFFF"/>
        <w:ind w:left="720"/>
        <w:rPr>
          <w:rFonts w:ascii="Times New Roman" w:eastAsia="Times New Roman" w:hAnsi="Times New Roman" w:cs="Times New Roman"/>
          <w:bCs/>
          <w:color w:val="212121"/>
        </w:rPr>
      </w:pPr>
      <w:r w:rsidRPr="009664FD">
        <w:rPr>
          <w:rFonts w:ascii="Times New Roman" w:eastAsia="Times New Roman" w:hAnsi="Times New Roman" w:cs="Times New Roman"/>
          <w:bCs/>
          <w:color w:val="212121"/>
        </w:rPr>
        <w:t>The new authorization is for post-exposure prophylaxis use</w:t>
      </w:r>
      <w:r w:rsidR="001846C0">
        <w:rPr>
          <w:rFonts w:ascii="Times New Roman" w:eastAsia="Times New Roman" w:hAnsi="Times New Roman" w:cs="Times New Roman"/>
          <w:bCs/>
          <w:color w:val="212121"/>
        </w:rPr>
        <w:t xml:space="preserve"> </w:t>
      </w:r>
      <w:r w:rsidRPr="009664FD">
        <w:rPr>
          <w:rFonts w:ascii="Times New Roman" w:eastAsia="Times New Roman" w:hAnsi="Times New Roman" w:cs="Times New Roman"/>
          <w:bCs/>
          <w:color w:val="212121"/>
        </w:rPr>
        <w:t>in adult and pediatric individuals (12 years of age and older weighing at least 40 kg) for post-exposure prophylaxis of COVID-19 in individuals who are at high risk for progression to severe COVID-19, including hospitalization or death, and are:</w:t>
      </w:r>
    </w:p>
    <w:p w14:paraId="2A6C52AA" w14:textId="77777777" w:rsidR="00AD2BFF" w:rsidRPr="009664FD" w:rsidRDefault="00AD2BFF" w:rsidP="00AD2BFF">
      <w:pPr>
        <w:shd w:val="clear" w:color="auto" w:fill="FFFFFF"/>
        <w:ind w:left="720"/>
        <w:rPr>
          <w:rFonts w:ascii="Times New Roman" w:eastAsia="Times New Roman" w:hAnsi="Times New Roman" w:cs="Times New Roman"/>
          <w:bCs/>
          <w:color w:val="212121"/>
        </w:rPr>
      </w:pPr>
      <w:r w:rsidRPr="009664FD">
        <w:rPr>
          <w:rFonts w:ascii="Times New Roman" w:eastAsia="Times New Roman" w:hAnsi="Times New Roman" w:cs="Times New Roman"/>
          <w:bCs/>
          <w:color w:val="212121"/>
        </w:rPr>
        <w:t>•</w:t>
      </w:r>
      <w:r>
        <w:rPr>
          <w:rFonts w:ascii="Times New Roman" w:eastAsia="Times New Roman" w:hAnsi="Times New Roman" w:cs="Times New Roman"/>
          <w:bCs/>
          <w:color w:val="212121"/>
        </w:rPr>
        <w:t xml:space="preserve"> </w:t>
      </w:r>
      <w:r w:rsidRPr="009664FD">
        <w:rPr>
          <w:rFonts w:ascii="Times New Roman" w:eastAsia="Times New Roman" w:hAnsi="Times New Roman" w:cs="Times New Roman"/>
          <w:bCs/>
          <w:color w:val="212121"/>
        </w:rPr>
        <w:t>Not fully vaccinated or who are not expected to mount an adequate immune response to complete SARS-CoV-2 vaccination (for example, individuals with immunocompromising conditions including those taking immunosuppressive medications) and</w:t>
      </w:r>
    </w:p>
    <w:p w14:paraId="32AEFD47" w14:textId="7D0FC0E7" w:rsidR="00AD2BFF" w:rsidRDefault="00AD2BFF" w:rsidP="00AD2BFF">
      <w:pPr>
        <w:shd w:val="clear" w:color="auto" w:fill="FFFFFF"/>
        <w:ind w:left="720"/>
        <w:rPr>
          <w:rFonts w:ascii="Times New Roman" w:eastAsia="Times New Roman" w:hAnsi="Times New Roman" w:cs="Times New Roman"/>
          <w:bCs/>
          <w:color w:val="212121"/>
        </w:rPr>
      </w:pPr>
      <w:r w:rsidRPr="009664FD">
        <w:rPr>
          <w:rFonts w:ascii="Times New Roman" w:eastAsia="Times New Roman" w:hAnsi="Times New Roman" w:cs="Times New Roman"/>
          <w:bCs/>
          <w:color w:val="212121"/>
        </w:rPr>
        <w:t>•</w:t>
      </w:r>
      <w:r>
        <w:rPr>
          <w:rFonts w:ascii="Times New Roman" w:eastAsia="Times New Roman" w:hAnsi="Times New Roman" w:cs="Times New Roman"/>
          <w:bCs/>
          <w:color w:val="212121"/>
        </w:rPr>
        <w:t xml:space="preserve"> </w:t>
      </w:r>
      <w:r w:rsidRPr="009664FD">
        <w:rPr>
          <w:rFonts w:ascii="Times New Roman" w:eastAsia="Times New Roman" w:hAnsi="Times New Roman" w:cs="Times New Roman"/>
          <w:bCs/>
          <w:color w:val="212121"/>
        </w:rPr>
        <w:t>Have been exposed to an individual infected with SARS-CoV-2 consistent with close contact criteria per CDC or</w:t>
      </w:r>
      <w:r>
        <w:rPr>
          <w:rFonts w:ascii="Times New Roman" w:eastAsia="Times New Roman" w:hAnsi="Times New Roman" w:cs="Times New Roman"/>
          <w:bCs/>
          <w:color w:val="212121"/>
        </w:rPr>
        <w:t xml:space="preserve"> w</w:t>
      </w:r>
      <w:r w:rsidRPr="009664FD">
        <w:rPr>
          <w:rFonts w:ascii="Times New Roman" w:eastAsia="Times New Roman" w:hAnsi="Times New Roman" w:cs="Times New Roman"/>
          <w:bCs/>
          <w:color w:val="212121"/>
        </w:rPr>
        <w:t>ho are at high risk of exposure to an individual infected with SARS-CoV-2 because of occurrence of COVID-19 infection in other individuals in the same institutional setting (for example, nursing homes or prisons)</w:t>
      </w:r>
    </w:p>
    <w:p w14:paraId="57CCBD15" w14:textId="647EA71E" w:rsidR="00AD2BFF" w:rsidRDefault="00AD2BFF" w:rsidP="00AD2BFF">
      <w:pPr>
        <w:shd w:val="clear" w:color="auto" w:fill="FFFFFF"/>
        <w:rPr>
          <w:rFonts w:ascii="Times New Roman" w:eastAsia="Times New Roman" w:hAnsi="Times New Roman" w:cs="Times New Roman"/>
          <w:bCs/>
          <w:color w:val="212121"/>
        </w:rPr>
      </w:pPr>
    </w:p>
    <w:p w14:paraId="3534FC07" w14:textId="26A6B366" w:rsidR="00AD2BFF" w:rsidRPr="00AD2BFF" w:rsidRDefault="00AD2BFF" w:rsidP="00AD2BFF">
      <w:pPr>
        <w:shd w:val="clear" w:color="auto" w:fill="FFFFFF"/>
        <w:spacing w:after="120"/>
        <w:rPr>
          <w:rFonts w:ascii="Times New Roman" w:eastAsia="Times New Roman" w:hAnsi="Times New Roman" w:cs="Times New Roman"/>
          <w:bCs/>
          <w:color w:val="212121"/>
        </w:rPr>
      </w:pPr>
      <w:r w:rsidRPr="00AD2BFF">
        <w:rPr>
          <w:rFonts w:ascii="Times New Roman" w:eastAsia="Times New Roman" w:hAnsi="Times New Roman" w:cs="Times New Roman"/>
          <w:bCs/>
          <w:color w:val="212121"/>
        </w:rPr>
        <w:t xml:space="preserve">II. </w:t>
      </w:r>
      <w:r w:rsidRPr="00B57994">
        <w:rPr>
          <w:rFonts w:ascii="Times New Roman" w:eastAsia="Times New Roman" w:hAnsi="Times New Roman" w:cs="Times New Roman"/>
          <w:bCs/>
          <w:color w:val="212121"/>
          <w:u w:val="single"/>
        </w:rPr>
        <w:t>Administration</w:t>
      </w:r>
      <w:r w:rsidRPr="00AD2BFF">
        <w:rPr>
          <w:rFonts w:ascii="Times New Roman" w:eastAsia="Times New Roman" w:hAnsi="Times New Roman" w:cs="Times New Roman"/>
          <w:bCs/>
          <w:color w:val="212121"/>
        </w:rPr>
        <w:t xml:space="preserve"> </w:t>
      </w:r>
    </w:p>
    <w:p w14:paraId="2EB0A28D" w14:textId="42F0C801" w:rsidR="00B4613C" w:rsidRDefault="00AD2BFF" w:rsidP="00B4613C">
      <w:pPr>
        <w:shd w:val="clear" w:color="auto" w:fill="FFFFFF"/>
        <w:spacing w:after="120"/>
        <w:rPr>
          <w:rFonts w:ascii="Times New Roman" w:eastAsia="Times New Roman" w:hAnsi="Times New Roman" w:cs="Times New Roman"/>
          <w:color w:val="212121"/>
        </w:rPr>
      </w:pPr>
      <w:r w:rsidRPr="00DD4A74">
        <w:rPr>
          <w:rFonts w:ascii="Times New Roman" w:eastAsia="Times New Roman" w:hAnsi="Times New Roman" w:cs="Times New Roman"/>
          <w:color w:val="212121"/>
        </w:rPr>
        <w:t xml:space="preserve">For both non-hospitalized treatment and post-exposure prophylaxis use, the authorized dose </w:t>
      </w:r>
      <w:r>
        <w:rPr>
          <w:rFonts w:ascii="Times New Roman" w:eastAsia="Times New Roman" w:hAnsi="Times New Roman" w:cs="Times New Roman"/>
          <w:color w:val="212121"/>
        </w:rPr>
        <w:t xml:space="preserve">of REGEN-COV </w:t>
      </w:r>
      <w:r w:rsidRPr="00DD4A74">
        <w:rPr>
          <w:rFonts w:ascii="Times New Roman" w:eastAsia="Times New Roman" w:hAnsi="Times New Roman" w:cs="Times New Roman"/>
          <w:color w:val="212121"/>
        </w:rPr>
        <w:t xml:space="preserve">is 600 mg of casirivimab and 600 mg of imdevimab. For treatment of mild to moderate COVID-19, a single intravenous infusion is strongly recommended; however, subcutaneous injection may be an alternative if infusion is not feasible or would significantly delay treatment. </w:t>
      </w:r>
      <w:r w:rsidR="00B4613C">
        <w:rPr>
          <w:rFonts w:ascii="Times New Roman" w:eastAsia="Times New Roman" w:hAnsi="Times New Roman" w:cs="Times New Roman"/>
          <w:color w:val="212121"/>
        </w:rPr>
        <w:t>For both non-hospitalized treatment and post-exposure prophylaxis use, t</w:t>
      </w:r>
      <w:r w:rsidR="00B4613C" w:rsidRPr="00B4613C">
        <w:rPr>
          <w:rFonts w:ascii="Times New Roman" w:eastAsia="Times New Roman" w:hAnsi="Times New Roman" w:cs="Times New Roman"/>
          <w:color w:val="212121"/>
        </w:rPr>
        <w:t>he authorized dosage is 700 mg bamlanivimab and 1,400 mg of etesevimab</w:t>
      </w:r>
      <w:r w:rsidR="00B4613C">
        <w:rPr>
          <w:rFonts w:ascii="Times New Roman" w:eastAsia="Times New Roman" w:hAnsi="Times New Roman" w:cs="Times New Roman"/>
          <w:color w:val="212121"/>
        </w:rPr>
        <w:t xml:space="preserve">, </w:t>
      </w:r>
      <w:r w:rsidR="00B4613C" w:rsidRPr="00B4613C">
        <w:rPr>
          <w:rFonts w:ascii="Times New Roman" w:eastAsia="Times New Roman" w:hAnsi="Times New Roman" w:cs="Times New Roman"/>
          <w:color w:val="212121"/>
        </w:rPr>
        <w:t>administered together as a single intravenous infusion</w:t>
      </w:r>
      <w:r w:rsidR="00B4613C">
        <w:rPr>
          <w:rFonts w:ascii="Times New Roman" w:eastAsia="Times New Roman" w:hAnsi="Times New Roman" w:cs="Times New Roman"/>
          <w:color w:val="212121"/>
        </w:rPr>
        <w:t>.</w:t>
      </w:r>
    </w:p>
    <w:p w14:paraId="4CB557DB" w14:textId="18F30E13" w:rsidR="00AD2BFF" w:rsidRDefault="00AD2BFF" w:rsidP="00AD2BFF">
      <w:pPr>
        <w:shd w:val="clear" w:color="auto" w:fill="FFFFFF"/>
        <w:spacing w:after="120"/>
        <w:rPr>
          <w:rFonts w:ascii="Times New Roman" w:eastAsia="Times New Roman" w:hAnsi="Times New Roman" w:cs="Times New Roman"/>
          <w:color w:val="212121"/>
        </w:rPr>
      </w:pPr>
      <w:r w:rsidRPr="00DD4A74">
        <w:rPr>
          <w:rFonts w:ascii="Times New Roman" w:eastAsia="Times New Roman" w:hAnsi="Times New Roman" w:cs="Times New Roman"/>
          <w:color w:val="212121"/>
        </w:rPr>
        <w:t>For post-exposure prophylaxis, REGEN-COV may be administered as either subcutaneous injection or a single IV infusion</w:t>
      </w:r>
      <w:r w:rsidR="001024C4">
        <w:rPr>
          <w:rFonts w:ascii="Times New Roman" w:eastAsia="Times New Roman" w:hAnsi="Times New Roman" w:cs="Times New Roman"/>
          <w:color w:val="212121"/>
        </w:rPr>
        <w:t xml:space="preserve">, i.e., there is no preference for IV administration for </w:t>
      </w:r>
      <w:r w:rsidR="00FC57BB">
        <w:rPr>
          <w:rFonts w:ascii="Times New Roman" w:eastAsia="Times New Roman" w:hAnsi="Times New Roman" w:cs="Times New Roman"/>
          <w:color w:val="212121"/>
        </w:rPr>
        <w:t>post-exposure prophylaxis</w:t>
      </w:r>
      <w:r w:rsidR="001024C4">
        <w:rPr>
          <w:rFonts w:ascii="Times New Roman" w:eastAsia="Times New Roman" w:hAnsi="Times New Roman" w:cs="Times New Roman"/>
          <w:color w:val="212121"/>
        </w:rPr>
        <w:t xml:space="preserve"> for this product.</w:t>
      </w:r>
      <w:r w:rsidR="00FC57BB">
        <w:rPr>
          <w:rFonts w:ascii="Times New Roman" w:eastAsia="Times New Roman" w:hAnsi="Times New Roman" w:cs="Times New Roman"/>
          <w:color w:val="212121"/>
        </w:rPr>
        <w:t xml:space="preserve">  </w:t>
      </w:r>
      <w:r w:rsidRPr="00AD2BFF">
        <w:rPr>
          <w:rFonts w:ascii="Times New Roman" w:eastAsia="Times New Roman" w:hAnsi="Times New Roman" w:cs="Times New Roman"/>
          <w:color w:val="212121"/>
        </w:rPr>
        <w:t xml:space="preserve">For post-exposure prophylaxis, </w:t>
      </w:r>
      <w:r w:rsidR="00B4613C" w:rsidRPr="00B4613C">
        <w:rPr>
          <w:rFonts w:ascii="Times New Roman" w:eastAsia="Times New Roman" w:hAnsi="Times New Roman" w:cs="Times New Roman"/>
          <w:color w:val="212121"/>
        </w:rPr>
        <w:t>bamlanivimab and etesevimab, administered together</w:t>
      </w:r>
      <w:r w:rsidR="00B4613C">
        <w:rPr>
          <w:rFonts w:ascii="Times New Roman" w:eastAsia="Times New Roman" w:hAnsi="Times New Roman" w:cs="Times New Roman"/>
          <w:color w:val="212121"/>
        </w:rPr>
        <w:t>, must</w:t>
      </w:r>
      <w:r w:rsidRPr="00AD2BFF">
        <w:rPr>
          <w:rFonts w:ascii="Times New Roman" w:eastAsia="Times New Roman" w:hAnsi="Times New Roman" w:cs="Times New Roman"/>
          <w:color w:val="212121"/>
        </w:rPr>
        <w:t xml:space="preserve"> be administered as a single IV infusion. </w:t>
      </w:r>
      <w:r w:rsidRPr="00DD4A74">
        <w:rPr>
          <w:rFonts w:ascii="Times New Roman" w:eastAsia="Times New Roman" w:hAnsi="Times New Roman" w:cs="Times New Roman"/>
          <w:color w:val="212121"/>
        </w:rPr>
        <w:t>Please refer to the updated Fact Sheets for full details about dosing and administration</w:t>
      </w:r>
      <w:r>
        <w:rPr>
          <w:rFonts w:ascii="Times New Roman" w:eastAsia="Times New Roman" w:hAnsi="Times New Roman" w:cs="Times New Roman"/>
          <w:color w:val="212121"/>
        </w:rPr>
        <w:t xml:space="preserve">: </w:t>
      </w:r>
    </w:p>
    <w:p w14:paraId="497D4886" w14:textId="447B0AD7" w:rsidR="00AD2BFF" w:rsidRDefault="00E3024F" w:rsidP="00AD2BFF">
      <w:pPr>
        <w:shd w:val="clear" w:color="auto" w:fill="FFFFFF"/>
        <w:spacing w:after="120"/>
        <w:rPr>
          <w:rStyle w:val="Hyperlink"/>
          <w:rFonts w:ascii="Calibri" w:eastAsia="Calibri" w:hAnsi="Calibri" w:cs="Times New Roman"/>
        </w:rPr>
      </w:pPr>
      <w:hyperlink r:id="rId10" w:anchor="coviddrugs" w:history="1">
        <w:r w:rsidR="00AD2BFF" w:rsidRPr="00D86F4F">
          <w:rPr>
            <w:rStyle w:val="Hyperlink"/>
            <w:rFonts w:ascii="Calibri" w:eastAsia="Calibri" w:hAnsi="Calibri" w:cs="Times New Roman"/>
          </w:rPr>
          <w:t>https://www.fda.gov/emergency-preparedness-and-response/mcm-legal-regulatory-and-policy-framework/emergency-use-authorization#coviddrugs</w:t>
        </w:r>
      </w:hyperlink>
    </w:p>
    <w:p w14:paraId="3F5BB119" w14:textId="77777777" w:rsidR="00AD2BFF" w:rsidRDefault="00AD2BFF" w:rsidP="00AD2BFF">
      <w:pPr>
        <w:shd w:val="clear" w:color="auto" w:fill="FFFFFF"/>
        <w:spacing w:after="120"/>
        <w:rPr>
          <w:rFonts w:ascii="Calibri" w:eastAsia="Calibri" w:hAnsi="Calibri" w:cs="Times New Roman"/>
        </w:rPr>
      </w:pPr>
    </w:p>
    <w:p w14:paraId="4E669E3B" w14:textId="1863B748" w:rsidR="00AD2BFF" w:rsidRPr="00665B71" w:rsidRDefault="00AD2BFF" w:rsidP="00AD2BFF">
      <w:pPr>
        <w:shd w:val="clear" w:color="auto" w:fill="FFFFFF"/>
        <w:spacing w:after="120"/>
        <w:rPr>
          <w:rFonts w:ascii="Times New Roman" w:eastAsia="Times New Roman" w:hAnsi="Times New Roman" w:cs="Times New Roman"/>
          <w:color w:val="212121"/>
        </w:rPr>
      </w:pPr>
      <w:r>
        <w:rPr>
          <w:rFonts w:ascii="Times New Roman" w:eastAsia="Times New Roman" w:hAnsi="Times New Roman" w:cs="Times New Roman"/>
          <w:color w:val="212121"/>
        </w:rPr>
        <w:t>II</w:t>
      </w:r>
      <w:r w:rsidRPr="00665B71">
        <w:rPr>
          <w:rFonts w:ascii="Times New Roman" w:eastAsia="Times New Roman" w:hAnsi="Times New Roman" w:cs="Times New Roman"/>
          <w:color w:val="212121"/>
        </w:rPr>
        <w:t>I.</w:t>
      </w:r>
      <w:r w:rsidRPr="00665B71">
        <w:rPr>
          <w:rFonts w:ascii="Times New Roman" w:eastAsia="Times New Roman" w:hAnsi="Times New Roman" w:cs="Times New Roman"/>
          <w:color w:val="212121"/>
        </w:rPr>
        <w:tab/>
      </w:r>
      <w:r w:rsidRPr="00665B71">
        <w:rPr>
          <w:rFonts w:ascii="Times New Roman" w:eastAsia="Times New Roman" w:hAnsi="Times New Roman" w:cs="Times New Roman"/>
          <w:color w:val="212121"/>
          <w:u w:val="single"/>
        </w:rPr>
        <w:t xml:space="preserve">Criteria for </w:t>
      </w:r>
      <w:r>
        <w:rPr>
          <w:rFonts w:ascii="Times New Roman" w:eastAsia="Times New Roman" w:hAnsi="Times New Roman" w:cs="Times New Roman"/>
          <w:color w:val="212121"/>
          <w:u w:val="single"/>
        </w:rPr>
        <w:t>healthcare providers</w:t>
      </w:r>
      <w:r w:rsidRPr="00665B71">
        <w:rPr>
          <w:rFonts w:ascii="Times New Roman" w:eastAsia="Times New Roman" w:hAnsi="Times New Roman" w:cs="Times New Roman"/>
          <w:color w:val="212121"/>
          <w:u w:val="single"/>
        </w:rPr>
        <w:t xml:space="preserve"> to receive allocation</w:t>
      </w:r>
    </w:p>
    <w:p w14:paraId="51D126DB" w14:textId="7B1643F1" w:rsidR="00AD2BFF" w:rsidRPr="00665B71" w:rsidRDefault="00AD2BFF" w:rsidP="00AD2BFF">
      <w:pPr>
        <w:shd w:val="clear" w:color="auto" w:fill="FFFFFF"/>
        <w:spacing w:after="120"/>
        <w:rPr>
          <w:rFonts w:ascii="Times New Roman" w:eastAsia="Times New Roman" w:hAnsi="Times New Roman" w:cs="Times New Roman"/>
          <w:color w:val="212121"/>
        </w:rPr>
      </w:pPr>
      <w:r w:rsidRPr="00665B71">
        <w:rPr>
          <w:rFonts w:ascii="Times New Roman" w:eastAsia="Times New Roman" w:hAnsi="Times New Roman" w:cs="Times New Roman"/>
          <w:color w:val="212121"/>
        </w:rPr>
        <w:t xml:space="preserve">Identified </w:t>
      </w:r>
      <w:r>
        <w:rPr>
          <w:rFonts w:ascii="Times New Roman" w:eastAsia="Times New Roman" w:hAnsi="Times New Roman" w:cs="Times New Roman"/>
          <w:color w:val="212121"/>
        </w:rPr>
        <w:t>healthcare providers</w:t>
      </w:r>
      <w:r w:rsidRPr="00665B71">
        <w:rPr>
          <w:rFonts w:ascii="Times New Roman" w:eastAsia="Times New Roman" w:hAnsi="Times New Roman" w:cs="Times New Roman"/>
          <w:color w:val="212121"/>
        </w:rPr>
        <w:t xml:space="preserve"> electing to </w:t>
      </w:r>
      <w:r w:rsidR="00FC57BB">
        <w:rPr>
          <w:rFonts w:ascii="Times New Roman" w:eastAsia="Times New Roman" w:hAnsi="Times New Roman" w:cs="Times New Roman"/>
          <w:color w:val="212121"/>
        </w:rPr>
        <w:t xml:space="preserve">request to </w:t>
      </w:r>
      <w:r w:rsidRPr="00665B71">
        <w:rPr>
          <w:rFonts w:ascii="Times New Roman" w:eastAsia="Times New Roman" w:hAnsi="Times New Roman" w:cs="Times New Roman"/>
          <w:color w:val="212121"/>
        </w:rPr>
        <w:t>receive allocations of</w:t>
      </w:r>
      <w:r w:rsidRPr="00A8264F">
        <w:t xml:space="preserve"> </w:t>
      </w:r>
      <w:r w:rsidRPr="00A8264F">
        <w:rPr>
          <w:rFonts w:ascii="Times New Roman" w:eastAsia="Times New Roman" w:hAnsi="Times New Roman" w:cs="Times New Roman"/>
          <w:color w:val="212121"/>
        </w:rPr>
        <w:t>monoclonal antibody therapeutics</w:t>
      </w:r>
      <w:r w:rsidRPr="00665B71">
        <w:rPr>
          <w:rFonts w:ascii="Times New Roman" w:eastAsia="Times New Roman" w:hAnsi="Times New Roman" w:cs="Times New Roman"/>
          <w:color w:val="212121"/>
        </w:rPr>
        <w:t xml:space="preserve"> must submit </w:t>
      </w:r>
      <w:r w:rsidR="001846C0">
        <w:rPr>
          <w:rFonts w:ascii="Times New Roman" w:eastAsia="Times New Roman" w:hAnsi="Times New Roman" w:cs="Times New Roman"/>
          <w:color w:val="212121"/>
        </w:rPr>
        <w:t>data</w:t>
      </w:r>
      <w:r w:rsidRPr="00665B71">
        <w:rPr>
          <w:rFonts w:ascii="Times New Roman" w:eastAsia="Times New Roman" w:hAnsi="Times New Roman" w:cs="Times New Roman"/>
          <w:color w:val="212121"/>
        </w:rPr>
        <w:t xml:space="preserve"> to DPH to confirm their capabilities and capacity to safely perform infusions and agree to equitably deliver </w:t>
      </w:r>
      <w:r>
        <w:rPr>
          <w:rFonts w:ascii="Times New Roman" w:eastAsia="Times New Roman" w:hAnsi="Times New Roman" w:cs="Times New Roman"/>
          <w:color w:val="212121"/>
        </w:rPr>
        <w:t>monoclonal antibody therapeutics</w:t>
      </w:r>
      <w:r w:rsidRPr="00665B71">
        <w:rPr>
          <w:rFonts w:ascii="Times New Roman" w:eastAsia="Times New Roman" w:hAnsi="Times New Roman" w:cs="Times New Roman"/>
          <w:color w:val="212121"/>
        </w:rPr>
        <w:t xml:space="preserve"> to residents authorized under EUA and consistently with this guidance.  Specifically, this includes the capacity and </w:t>
      </w:r>
      <w:r w:rsidRPr="00665B71">
        <w:rPr>
          <w:rFonts w:ascii="Times New Roman" w:eastAsia="Times New Roman" w:hAnsi="Times New Roman" w:cs="Times New Roman"/>
          <w:color w:val="212121"/>
        </w:rPr>
        <w:lastRenderedPageBreak/>
        <w:t>capability:</w:t>
      </w:r>
      <w:r w:rsidRPr="00665B71">
        <w:rPr>
          <w:rFonts w:ascii="Times New Roman" w:eastAsia="Times New Roman" w:hAnsi="Times New Roman" w:cs="Times New Roman"/>
          <w:color w:val="212121"/>
        </w:rPr>
        <w:br/>
      </w:r>
    </w:p>
    <w:p w14:paraId="5FCC8F33" w14:textId="3457A3F9" w:rsidR="00AD2BFF" w:rsidRPr="00665B71" w:rsidRDefault="00AD2BFF" w:rsidP="00AD2BFF">
      <w:pPr>
        <w:pStyle w:val="ListParagraph"/>
        <w:numPr>
          <w:ilvl w:val="0"/>
          <w:numId w:val="16"/>
        </w:numPr>
        <w:shd w:val="clear" w:color="auto" w:fill="FFFFFF"/>
        <w:spacing w:after="120"/>
        <w:rPr>
          <w:rFonts w:ascii="Times New Roman" w:eastAsia="Times New Roman" w:hAnsi="Times New Roman" w:cs="Times New Roman"/>
          <w:color w:val="212121"/>
        </w:rPr>
      </w:pPr>
      <w:r w:rsidRPr="00665B71">
        <w:rPr>
          <w:rFonts w:ascii="Times New Roman" w:eastAsia="Times New Roman" w:hAnsi="Times New Roman" w:cs="Times New Roman"/>
          <w:color w:val="212121"/>
        </w:rPr>
        <w:t>To establish infusion</w:t>
      </w:r>
      <w:r>
        <w:rPr>
          <w:rFonts w:ascii="Times New Roman" w:eastAsia="Times New Roman" w:hAnsi="Times New Roman" w:cs="Times New Roman"/>
          <w:color w:val="212121"/>
        </w:rPr>
        <w:t xml:space="preserve"> or administration</w:t>
      </w:r>
      <w:r w:rsidRPr="00665B71">
        <w:rPr>
          <w:rFonts w:ascii="Times New Roman" w:eastAsia="Times New Roman" w:hAnsi="Times New Roman" w:cs="Times New Roman"/>
          <w:color w:val="212121"/>
        </w:rPr>
        <w:t xml:space="preserve"> capacity for individuals with COVID-19</w:t>
      </w:r>
      <w:r>
        <w:rPr>
          <w:rFonts w:ascii="Times New Roman" w:eastAsia="Times New Roman" w:hAnsi="Times New Roman" w:cs="Times New Roman"/>
          <w:color w:val="212121"/>
        </w:rPr>
        <w:t xml:space="preserve"> or who have been exposed to COVID-19</w:t>
      </w:r>
      <w:r w:rsidRPr="00665B71">
        <w:rPr>
          <w:rFonts w:ascii="Times New Roman" w:eastAsia="Times New Roman" w:hAnsi="Times New Roman" w:cs="Times New Roman"/>
          <w:color w:val="212121"/>
        </w:rPr>
        <w:t xml:space="preserve"> in accordance with the </w:t>
      </w:r>
      <w:r w:rsidRPr="00665B71">
        <w:rPr>
          <w:rFonts w:ascii="Times New Roman" w:hAnsi="Times New Roman" w:cs="Times New Roman"/>
          <w:bCs/>
        </w:rPr>
        <w:t>monoclonal antibody therapeutics</w:t>
      </w:r>
      <w:r w:rsidRPr="00665B71">
        <w:rPr>
          <w:rFonts w:ascii="Times New Roman" w:eastAsia="Times New Roman" w:hAnsi="Times New Roman" w:cs="Times New Roman"/>
          <w:color w:val="212121"/>
        </w:rPr>
        <w:t xml:space="preserve"> EUA</w:t>
      </w:r>
      <w:r w:rsidR="00FC57BB">
        <w:rPr>
          <w:rFonts w:ascii="Times New Roman" w:eastAsia="Times New Roman" w:hAnsi="Times New Roman" w:cs="Times New Roman"/>
          <w:color w:val="212121"/>
        </w:rPr>
        <w:t>s</w:t>
      </w:r>
      <w:r w:rsidRPr="00665B71">
        <w:rPr>
          <w:rFonts w:ascii="Times New Roman" w:eastAsia="Times New Roman" w:hAnsi="Times New Roman" w:cs="Times New Roman"/>
          <w:color w:val="212121"/>
        </w:rPr>
        <w:t xml:space="preserve">; </w:t>
      </w:r>
    </w:p>
    <w:p w14:paraId="459E8A18" w14:textId="77777777" w:rsidR="00AD2BFF" w:rsidRPr="00665B71" w:rsidRDefault="00AD2BFF" w:rsidP="00AD2BFF">
      <w:pPr>
        <w:pStyle w:val="ListParagraph"/>
        <w:numPr>
          <w:ilvl w:val="0"/>
          <w:numId w:val="16"/>
        </w:numPr>
        <w:shd w:val="clear" w:color="auto" w:fill="FFFFFF"/>
        <w:spacing w:after="120"/>
        <w:rPr>
          <w:rFonts w:ascii="Times New Roman" w:eastAsia="Times New Roman" w:hAnsi="Times New Roman" w:cs="Times New Roman"/>
          <w:color w:val="212121"/>
        </w:rPr>
      </w:pPr>
      <w:r w:rsidRPr="00665B71">
        <w:rPr>
          <w:rFonts w:ascii="Times New Roman" w:eastAsia="Times New Roman" w:hAnsi="Times New Roman" w:cs="Times New Roman"/>
          <w:color w:val="212121"/>
        </w:rPr>
        <w:t xml:space="preserve">To establish infusion </w:t>
      </w:r>
      <w:r>
        <w:rPr>
          <w:rFonts w:ascii="Times New Roman" w:eastAsia="Times New Roman" w:hAnsi="Times New Roman" w:cs="Times New Roman"/>
          <w:color w:val="212121"/>
        </w:rPr>
        <w:t xml:space="preserve">or administration </w:t>
      </w:r>
      <w:r w:rsidRPr="00665B71">
        <w:rPr>
          <w:rFonts w:ascii="Times New Roman" w:eastAsia="Times New Roman" w:hAnsi="Times New Roman" w:cs="Times New Roman"/>
          <w:color w:val="212121"/>
        </w:rPr>
        <w:t>capacity for individuals with COVID-19</w:t>
      </w:r>
      <w:r>
        <w:rPr>
          <w:rFonts w:ascii="Times New Roman" w:eastAsia="Times New Roman" w:hAnsi="Times New Roman" w:cs="Times New Roman"/>
          <w:color w:val="212121"/>
        </w:rPr>
        <w:t xml:space="preserve"> or who have been exposed</w:t>
      </w:r>
      <w:r w:rsidRPr="00665B71">
        <w:rPr>
          <w:rFonts w:ascii="Times New Roman" w:eastAsia="Times New Roman" w:hAnsi="Times New Roman" w:cs="Times New Roman"/>
          <w:color w:val="212121"/>
        </w:rPr>
        <w:t xml:space="preserve"> in accordance with all applicable state and federal requirements; </w:t>
      </w:r>
    </w:p>
    <w:p w14:paraId="2BB6D1B0" w14:textId="77777777" w:rsidR="00737DF8" w:rsidRPr="00737DF8" w:rsidRDefault="00AD2BFF" w:rsidP="0010133B">
      <w:pPr>
        <w:pStyle w:val="ListParagraph"/>
        <w:numPr>
          <w:ilvl w:val="0"/>
          <w:numId w:val="16"/>
        </w:numPr>
        <w:shd w:val="clear" w:color="auto" w:fill="FFFFFF"/>
        <w:spacing w:after="120"/>
        <w:rPr>
          <w:rFonts w:ascii="Times New Roman" w:hAnsi="Times New Roman" w:cs="Times New Roman"/>
        </w:rPr>
      </w:pPr>
      <w:r w:rsidRPr="00901AEC">
        <w:rPr>
          <w:rFonts w:ascii="Times New Roman" w:eastAsia="Times New Roman" w:hAnsi="Times New Roman" w:cs="Times New Roman"/>
          <w:color w:val="212121"/>
        </w:rPr>
        <w:t>To report aggregate data on a weekly basis to DPH as directed.</w:t>
      </w:r>
    </w:p>
    <w:p w14:paraId="39A43BA0" w14:textId="77777777" w:rsidR="00737DF8" w:rsidRDefault="00737DF8" w:rsidP="00737DF8">
      <w:pPr>
        <w:shd w:val="clear" w:color="auto" w:fill="FFFFFF"/>
        <w:spacing w:after="120"/>
        <w:rPr>
          <w:rFonts w:ascii="Times New Roman" w:eastAsia="Times New Roman" w:hAnsi="Times New Roman" w:cs="Times New Roman"/>
          <w:color w:val="212121"/>
          <w:u w:val="single"/>
        </w:rPr>
      </w:pPr>
    </w:p>
    <w:p w14:paraId="74A9C437" w14:textId="1B5C292C" w:rsidR="00B57994" w:rsidRPr="00665B71" w:rsidRDefault="00737DF8" w:rsidP="00737DF8">
      <w:pPr>
        <w:shd w:val="clear" w:color="auto" w:fill="FFFFFF"/>
        <w:spacing w:after="120"/>
        <w:rPr>
          <w:rFonts w:ascii="Times New Roman" w:hAnsi="Times New Roman" w:cs="Times New Roman"/>
        </w:rPr>
      </w:pPr>
      <w:r w:rsidRPr="00737DF8">
        <w:rPr>
          <w:rFonts w:ascii="Times New Roman" w:eastAsia="Times New Roman" w:hAnsi="Times New Roman" w:cs="Times New Roman"/>
          <w:color w:val="212121"/>
          <w:u w:val="single"/>
        </w:rPr>
        <w:t>IV. Clinical Prioritization</w:t>
      </w:r>
      <w:r w:rsidR="00AD2BFF" w:rsidRPr="00737DF8">
        <w:rPr>
          <w:rFonts w:ascii="Times New Roman" w:eastAsia="Times New Roman" w:hAnsi="Times New Roman" w:cs="Times New Roman"/>
          <w:color w:val="212121"/>
          <w:u w:val="single"/>
        </w:rPr>
        <w:br/>
      </w:r>
    </w:p>
    <w:p w14:paraId="40897665" w14:textId="3BA5E180" w:rsidR="001226BF" w:rsidRDefault="00EA7BA6" w:rsidP="001226BF">
      <w:pPr>
        <w:textAlignment w:val="baseline"/>
        <w:rPr>
          <w:rFonts w:ascii="Times New Roman" w:hAnsi="Times New Roman" w:cs="Times New Roman"/>
        </w:rPr>
      </w:pPr>
      <w:r>
        <w:rPr>
          <w:rFonts w:ascii="Times New Roman" w:hAnsi="Times New Roman" w:cs="Times New Roman"/>
        </w:rPr>
        <w:t>There is a potential for</w:t>
      </w:r>
      <w:r w:rsidR="001226BF" w:rsidRPr="00665B71">
        <w:rPr>
          <w:rFonts w:ascii="Times New Roman" w:hAnsi="Times New Roman" w:cs="Times New Roman"/>
        </w:rPr>
        <w:t xml:space="preserve"> </w:t>
      </w:r>
      <w:r w:rsidR="00F05A16" w:rsidRPr="00665B71">
        <w:rPr>
          <w:rFonts w:ascii="Times New Roman" w:hAnsi="Times New Roman" w:cs="Times New Roman"/>
        </w:rPr>
        <w:t xml:space="preserve">limited </w:t>
      </w:r>
      <w:r w:rsidR="001226BF" w:rsidRPr="00665B71">
        <w:rPr>
          <w:rFonts w:ascii="Times New Roman" w:hAnsi="Times New Roman" w:cs="Times New Roman"/>
        </w:rPr>
        <w:t xml:space="preserve">supply </w:t>
      </w:r>
      <w:r>
        <w:rPr>
          <w:rFonts w:ascii="Times New Roman" w:hAnsi="Times New Roman" w:cs="Times New Roman"/>
        </w:rPr>
        <w:t>of monoclonal antibody therapies and so</w:t>
      </w:r>
      <w:r w:rsidR="001226BF" w:rsidRPr="00665B71">
        <w:rPr>
          <w:rFonts w:ascii="Times New Roman" w:hAnsi="Times New Roman" w:cs="Times New Roman"/>
        </w:rPr>
        <w:t xml:space="preserve"> the demand for the drug</w:t>
      </w:r>
      <w:r w:rsidR="001271B2" w:rsidRPr="00665B71">
        <w:rPr>
          <w:rFonts w:ascii="Times New Roman" w:hAnsi="Times New Roman" w:cs="Times New Roman"/>
        </w:rPr>
        <w:t>s</w:t>
      </w:r>
      <w:r w:rsidR="001226BF" w:rsidRPr="00665B71">
        <w:rPr>
          <w:rFonts w:ascii="Times New Roman" w:hAnsi="Times New Roman" w:cs="Times New Roman"/>
        </w:rPr>
        <w:t xml:space="preserve"> may exceed </w:t>
      </w:r>
      <w:r w:rsidR="00F05A16" w:rsidRPr="00665B71">
        <w:rPr>
          <w:rFonts w:ascii="Times New Roman" w:hAnsi="Times New Roman" w:cs="Times New Roman"/>
        </w:rPr>
        <w:t xml:space="preserve">available </w:t>
      </w:r>
      <w:r>
        <w:rPr>
          <w:rFonts w:ascii="Times New Roman" w:hAnsi="Times New Roman" w:cs="Times New Roman"/>
        </w:rPr>
        <w:t>courses</w:t>
      </w:r>
      <w:r w:rsidR="001226BF" w:rsidRPr="00665B71">
        <w:rPr>
          <w:rFonts w:ascii="Times New Roman" w:hAnsi="Times New Roman" w:cs="Times New Roman"/>
        </w:rPr>
        <w:t xml:space="preserve">. </w:t>
      </w:r>
    </w:p>
    <w:p w14:paraId="65C8C809" w14:textId="62AEE79F" w:rsidR="00AD2BFF" w:rsidRDefault="00AD2BFF" w:rsidP="001226BF">
      <w:pPr>
        <w:textAlignment w:val="baseline"/>
        <w:rPr>
          <w:rFonts w:ascii="Times New Roman" w:hAnsi="Times New Roman" w:cs="Times New Roman"/>
        </w:rPr>
      </w:pPr>
    </w:p>
    <w:p w14:paraId="6FA9F32D" w14:textId="73D50B26" w:rsidR="00AD2BFF" w:rsidRPr="00665B71" w:rsidRDefault="00AD2BFF" w:rsidP="00AD2BFF">
      <w:pPr>
        <w:shd w:val="clear" w:color="auto" w:fill="FFFFFF"/>
        <w:spacing w:after="120"/>
        <w:rPr>
          <w:rFonts w:ascii="Times New Roman" w:eastAsia="Times New Roman" w:hAnsi="Times New Roman" w:cs="Times New Roman"/>
          <w:color w:val="212121"/>
        </w:rPr>
      </w:pPr>
      <w:r w:rsidRPr="00665B71">
        <w:rPr>
          <w:rFonts w:ascii="Times New Roman" w:eastAsia="Times New Roman" w:hAnsi="Times New Roman" w:cs="Times New Roman"/>
          <w:color w:val="212121"/>
        </w:rPr>
        <w:t xml:space="preserve">To ensure equitable distribution to those most vulnerable to poor outcomes from COVID-19 and communities with the highest incidence of COVID-19, </w:t>
      </w:r>
      <w:r>
        <w:rPr>
          <w:rFonts w:ascii="Times New Roman" w:eastAsia="Times New Roman" w:hAnsi="Times New Roman" w:cs="Times New Roman"/>
          <w:color w:val="212121"/>
        </w:rPr>
        <w:t>providers</w:t>
      </w:r>
      <w:r w:rsidRPr="00665B71">
        <w:rPr>
          <w:rFonts w:ascii="Times New Roman" w:eastAsia="Times New Roman" w:hAnsi="Times New Roman" w:cs="Times New Roman"/>
          <w:color w:val="212121"/>
        </w:rPr>
        <w:t xml:space="preserve"> should allocate available doses of </w:t>
      </w:r>
      <w:r>
        <w:rPr>
          <w:rFonts w:ascii="Times New Roman" w:eastAsia="Times New Roman" w:hAnsi="Times New Roman" w:cs="Times New Roman"/>
          <w:bCs/>
          <w:color w:val="212121"/>
        </w:rPr>
        <w:t>monoclonal antibody therapeutics</w:t>
      </w:r>
      <w:r w:rsidRPr="00665B71">
        <w:rPr>
          <w:rFonts w:ascii="Times New Roman" w:eastAsia="Times New Roman" w:hAnsi="Times New Roman" w:cs="Times New Roman"/>
          <w:bCs/>
          <w:color w:val="212121"/>
        </w:rPr>
        <w:t xml:space="preserve"> </w:t>
      </w:r>
      <w:r w:rsidRPr="00665B71">
        <w:rPr>
          <w:rFonts w:ascii="Times New Roman" w:eastAsia="Times New Roman" w:hAnsi="Times New Roman" w:cs="Times New Roman"/>
          <w:color w:val="212121"/>
        </w:rPr>
        <w:t>in a manner consistent with this guidance, including:</w:t>
      </w:r>
    </w:p>
    <w:p w14:paraId="65E30373" w14:textId="5C3FAD91" w:rsidR="00AD2BFF" w:rsidRPr="00B57994" w:rsidRDefault="00AD2BFF" w:rsidP="00B57994">
      <w:pPr>
        <w:pStyle w:val="ListParagraph"/>
        <w:numPr>
          <w:ilvl w:val="0"/>
          <w:numId w:val="17"/>
        </w:numPr>
        <w:shd w:val="clear" w:color="auto" w:fill="FFFFFF"/>
        <w:spacing w:after="120"/>
        <w:rPr>
          <w:rFonts w:ascii="Times New Roman" w:eastAsia="Times New Roman" w:hAnsi="Times New Roman" w:cs="Times New Roman"/>
          <w:color w:val="212121"/>
        </w:rPr>
      </w:pPr>
      <w:r w:rsidRPr="00B57994">
        <w:rPr>
          <w:rFonts w:ascii="Times New Roman" w:eastAsia="Times New Roman" w:hAnsi="Times New Roman" w:cs="Times New Roman"/>
          <w:color w:val="212121"/>
        </w:rPr>
        <w:t>Among those patients who meet the EUA criteria, prioritize patients age ≥ 65 and those age ≥ 18 with BMI ≥ 35 (Tier 1) over others who meet EUA criteria (Tier 2)</w:t>
      </w:r>
    </w:p>
    <w:p w14:paraId="11F26BDF" w14:textId="7FB8811E" w:rsidR="001024C4" w:rsidRPr="00B57994" w:rsidRDefault="001024C4" w:rsidP="00B57994">
      <w:pPr>
        <w:pStyle w:val="ListParagraph"/>
        <w:numPr>
          <w:ilvl w:val="0"/>
          <w:numId w:val="17"/>
        </w:numPr>
        <w:shd w:val="clear" w:color="auto" w:fill="FFFFFF"/>
        <w:spacing w:after="120"/>
        <w:rPr>
          <w:rFonts w:ascii="Times New Roman" w:eastAsia="Times New Roman" w:hAnsi="Times New Roman" w:cs="Times New Roman"/>
          <w:color w:val="212121"/>
        </w:rPr>
      </w:pPr>
      <w:r w:rsidRPr="00B57994">
        <w:rPr>
          <w:rFonts w:ascii="Times New Roman" w:eastAsia="Times New Roman" w:hAnsi="Times New Roman" w:cs="Times New Roman"/>
          <w:color w:val="212121"/>
        </w:rPr>
        <w:t>Within tiers, priority should be given to individuals who are not fully vaccinated or to those less likely to have mounted an adequate immune response to vaccination</w:t>
      </w:r>
      <w:r w:rsidR="003E08B1" w:rsidRPr="00B57994">
        <w:rPr>
          <w:rFonts w:ascii="Times New Roman" w:eastAsia="Times New Roman" w:hAnsi="Times New Roman" w:cs="Times New Roman"/>
          <w:color w:val="212121"/>
        </w:rPr>
        <w:t xml:space="preserve"> (e.g., due to immunocompromise)</w:t>
      </w:r>
      <w:r w:rsidRPr="00B57994">
        <w:rPr>
          <w:rFonts w:ascii="Times New Roman" w:eastAsia="Times New Roman" w:hAnsi="Times New Roman" w:cs="Times New Roman"/>
          <w:color w:val="212121"/>
        </w:rPr>
        <w:t>.</w:t>
      </w:r>
    </w:p>
    <w:p w14:paraId="643E4578" w14:textId="31888475" w:rsidR="00221610" w:rsidRPr="00B57994" w:rsidRDefault="00221610" w:rsidP="00B57994">
      <w:pPr>
        <w:pStyle w:val="ListParagraph"/>
        <w:numPr>
          <w:ilvl w:val="0"/>
          <w:numId w:val="17"/>
        </w:numPr>
        <w:shd w:val="clear" w:color="auto" w:fill="FFFFFF"/>
        <w:spacing w:after="120"/>
        <w:rPr>
          <w:rFonts w:ascii="Times New Roman" w:eastAsia="Times New Roman" w:hAnsi="Times New Roman" w:cs="Times New Roman"/>
          <w:color w:val="212121"/>
        </w:rPr>
      </w:pPr>
      <w:r w:rsidRPr="00B57994">
        <w:rPr>
          <w:rFonts w:ascii="Times New Roman" w:eastAsia="Times New Roman" w:hAnsi="Times New Roman" w:cs="Times New Roman"/>
          <w:color w:val="212121"/>
        </w:rPr>
        <w:t>Priority should be given to those requiring treatment of symptomatic COVID-19 over those for whom PEP is indicated.</w:t>
      </w:r>
    </w:p>
    <w:p w14:paraId="51084797" w14:textId="2AA2F08C" w:rsidR="00AD2BFF" w:rsidRPr="00665B71" w:rsidRDefault="00AD2BFF" w:rsidP="00AD2BFF">
      <w:pPr>
        <w:shd w:val="clear" w:color="auto" w:fill="FFFFFF"/>
        <w:spacing w:after="120"/>
        <w:rPr>
          <w:rFonts w:ascii="Times New Roman" w:hAnsi="Times New Roman" w:cs="Times New Roman"/>
          <w:color w:val="000000"/>
          <w:shd w:val="clear" w:color="auto" w:fill="FFFFFF"/>
        </w:rPr>
      </w:pPr>
      <w:r w:rsidRPr="00665B71">
        <w:rPr>
          <w:rFonts w:ascii="Times New Roman" w:hAnsi="Times New Roman" w:cs="Times New Roman"/>
          <w:color w:val="000000"/>
          <w:shd w:val="clear" w:color="auto" w:fill="FFFFFF"/>
        </w:rPr>
        <w:t xml:space="preserve">Decisions about which eligible </w:t>
      </w:r>
      <w:r>
        <w:rPr>
          <w:rFonts w:ascii="Times New Roman" w:hAnsi="Times New Roman" w:cs="Times New Roman"/>
          <w:color w:val="000000"/>
          <w:shd w:val="clear" w:color="auto" w:fill="FFFFFF"/>
        </w:rPr>
        <w:t>patients</w:t>
      </w:r>
      <w:r w:rsidRPr="00665B71">
        <w:rPr>
          <w:rFonts w:ascii="Times New Roman" w:hAnsi="Times New Roman" w:cs="Times New Roman"/>
          <w:color w:val="000000"/>
          <w:shd w:val="clear" w:color="auto" w:fill="FFFFFF"/>
        </w:rPr>
        <w:t xml:space="preserve"> receive the drugs should be based on the clinical judgement of the providers, consistent with the terms of the </w:t>
      </w:r>
      <w:r w:rsidR="00EE5CB5">
        <w:rPr>
          <w:rFonts w:ascii="Times New Roman" w:hAnsi="Times New Roman" w:cs="Times New Roman"/>
          <w:color w:val="000000"/>
          <w:shd w:val="clear" w:color="auto" w:fill="FFFFFF"/>
        </w:rPr>
        <w:t xml:space="preserve">relevant </w:t>
      </w:r>
      <w:r w:rsidRPr="00665B71">
        <w:rPr>
          <w:rFonts w:ascii="Times New Roman" w:hAnsi="Times New Roman" w:cs="Times New Roman"/>
          <w:color w:val="000000"/>
          <w:shd w:val="clear" w:color="auto" w:fill="FFFFFF"/>
        </w:rPr>
        <w:t xml:space="preserve">EUA and with this guidance.  </w:t>
      </w:r>
    </w:p>
    <w:p w14:paraId="22037F70" w14:textId="77777777" w:rsidR="00AD2BFF" w:rsidRDefault="00AD2BFF" w:rsidP="00AD2BFF">
      <w:pPr>
        <w:shd w:val="clear" w:color="auto" w:fill="FFFFFF"/>
        <w:spacing w:after="120"/>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Provider</w:t>
      </w:r>
      <w:r w:rsidRPr="00665B71">
        <w:rPr>
          <w:rFonts w:ascii="Times New Roman" w:hAnsi="Times New Roman" w:cs="Times New Roman"/>
          <w:color w:val="000000"/>
          <w:shd w:val="clear" w:color="auto" w:fill="FFFFFF"/>
        </w:rPr>
        <w:t xml:space="preserve"> criteria for </w:t>
      </w:r>
      <w:r>
        <w:rPr>
          <w:rFonts w:ascii="Times New Roman" w:eastAsia="Times New Roman" w:hAnsi="Times New Roman" w:cs="Times New Roman"/>
          <w:color w:val="212121"/>
        </w:rPr>
        <w:t>monoclonal antibody therapeutics</w:t>
      </w:r>
      <w:r w:rsidRPr="00665B71">
        <w:rPr>
          <w:rFonts w:ascii="Times New Roman" w:hAnsi="Times New Roman" w:cs="Times New Roman"/>
          <w:color w:val="000000"/>
          <w:shd w:val="clear" w:color="auto" w:fill="FFFFFF"/>
        </w:rPr>
        <w:t xml:space="preserve"> use should be as clear, transparent, and objective as possible, and be based on biological factors related only to the likelihood and magnitude of benefit from the medical resources and should at all times minimize inequitable outcomes. Factors that have no bearing on the likelihood or magnitude of benefit, include but are not limited to, race, disability, gender, sexual orientation, gender identity, ethnicity, ability to pay, socioeconomic status, perceived social worth, perceived quality of life, immigration status, incarceration status, homelessness or past or future use of resources. Such factors are not to be considered by providers when making allocation decisions. </w:t>
      </w:r>
    </w:p>
    <w:p w14:paraId="4F4E1371" w14:textId="5BA560F8" w:rsidR="00FE0C46" w:rsidRPr="00B57994" w:rsidRDefault="00FE0C46" w:rsidP="002C6563">
      <w:pPr>
        <w:textAlignment w:val="baseline"/>
        <w:rPr>
          <w:rFonts w:ascii="Times New Roman" w:eastAsia="Times New Roman" w:hAnsi="Times New Roman" w:cs="Times New Roman"/>
          <w:i/>
          <w:iCs/>
          <w:color w:val="000000"/>
        </w:rPr>
      </w:pPr>
    </w:p>
    <w:p w14:paraId="4B944437" w14:textId="1F17CD45" w:rsidR="00FE0C46" w:rsidRPr="009048B7" w:rsidRDefault="00FE0C46" w:rsidP="00B57994">
      <w:pPr>
        <w:pStyle w:val="ListParagraph"/>
        <w:ind w:left="1440"/>
        <w:textAlignment w:val="baseline"/>
        <w:rPr>
          <w:rFonts w:ascii="Times New Roman" w:eastAsia="Times New Roman" w:hAnsi="Times New Roman" w:cs="Times New Roman"/>
          <w:color w:val="000000"/>
          <w:u w:val="single"/>
        </w:rPr>
      </w:pPr>
      <w:r w:rsidRPr="009048B7">
        <w:rPr>
          <w:rFonts w:ascii="Times New Roman" w:eastAsia="Times New Roman" w:hAnsi="Times New Roman" w:cs="Times New Roman"/>
          <w:color w:val="000000"/>
          <w:u w:val="single"/>
        </w:rPr>
        <w:t>Equit</w:t>
      </w:r>
      <w:r w:rsidR="006D796E" w:rsidRPr="0071401B">
        <w:rPr>
          <w:rFonts w:ascii="Times New Roman" w:eastAsia="Times New Roman" w:hAnsi="Times New Roman" w:cs="Times New Roman"/>
          <w:color w:val="000000"/>
          <w:u w:val="single"/>
        </w:rPr>
        <w:t>able allocation</w:t>
      </w:r>
    </w:p>
    <w:p w14:paraId="72276A63" w14:textId="6D294415" w:rsidR="00FE0C46" w:rsidRPr="009048B7" w:rsidRDefault="00FE0C46" w:rsidP="00FE0C46">
      <w:pPr>
        <w:textAlignment w:val="baseline"/>
        <w:rPr>
          <w:rFonts w:ascii="Times New Roman" w:eastAsia="Times New Roman" w:hAnsi="Times New Roman" w:cs="Times New Roman"/>
          <w:color w:val="000000"/>
        </w:rPr>
      </w:pPr>
    </w:p>
    <w:p w14:paraId="07DF1487" w14:textId="77CF7BBC" w:rsidR="005124E6" w:rsidRPr="009048B7" w:rsidRDefault="005124E6" w:rsidP="005124E6">
      <w:pPr>
        <w:ind w:left="1440"/>
        <w:textAlignment w:val="baseline"/>
        <w:rPr>
          <w:rFonts w:ascii="Times New Roman" w:eastAsia="Times New Roman" w:hAnsi="Times New Roman" w:cs="Times New Roman"/>
          <w:color w:val="000000"/>
        </w:rPr>
      </w:pPr>
      <w:r w:rsidRPr="009048B7">
        <w:rPr>
          <w:rFonts w:ascii="Times New Roman" w:eastAsia="Times New Roman" w:hAnsi="Times New Roman" w:cs="Times New Roman"/>
          <w:color w:val="000000"/>
        </w:rPr>
        <w:t xml:space="preserve">Given the disproportionate rates of hospitalizations and deaths and the disproportionate impact of COVID-19 on certain communities with high social </w:t>
      </w:r>
      <w:r w:rsidR="006D0397" w:rsidRPr="009048B7">
        <w:rPr>
          <w:rFonts w:ascii="Times New Roman" w:eastAsia="Times New Roman" w:hAnsi="Times New Roman" w:cs="Times New Roman"/>
          <w:color w:val="000000"/>
        </w:rPr>
        <w:t xml:space="preserve">vulnerability, including long term care residents, </w:t>
      </w:r>
      <w:r w:rsidRPr="009048B7">
        <w:rPr>
          <w:rFonts w:ascii="Times New Roman" w:eastAsia="Times New Roman" w:hAnsi="Times New Roman" w:cs="Times New Roman"/>
          <w:color w:val="000000"/>
        </w:rPr>
        <w:t xml:space="preserve">and the public health importance of mitigating severity of disease in the hardest hit areas, it is a priority to ensure </w:t>
      </w:r>
      <w:r w:rsidRPr="009048B7">
        <w:rPr>
          <w:rFonts w:ascii="Times New Roman" w:eastAsia="Times New Roman" w:hAnsi="Times New Roman" w:cs="Times New Roman"/>
          <w:color w:val="000000"/>
        </w:rPr>
        <w:lastRenderedPageBreak/>
        <w:t xml:space="preserve">that socially vulnerable patients receive </w:t>
      </w:r>
      <w:r w:rsidR="00462716" w:rsidRPr="009048B7">
        <w:rPr>
          <w:rFonts w:ascii="Times New Roman" w:eastAsia="Times New Roman" w:hAnsi="Times New Roman" w:cs="Times New Roman"/>
          <w:color w:val="000000"/>
        </w:rPr>
        <w:t xml:space="preserve">equitable </w:t>
      </w:r>
      <w:r w:rsidRPr="009048B7">
        <w:rPr>
          <w:rFonts w:ascii="Times New Roman" w:eastAsia="Times New Roman" w:hAnsi="Times New Roman" w:cs="Times New Roman"/>
          <w:color w:val="000000"/>
        </w:rPr>
        <w:t xml:space="preserve">access to </w:t>
      </w:r>
      <w:r w:rsidR="00EA7BA6" w:rsidRPr="009048B7">
        <w:rPr>
          <w:rFonts w:ascii="Times New Roman" w:eastAsia="Times New Roman" w:hAnsi="Times New Roman" w:cs="Times New Roman"/>
          <w:color w:val="000000"/>
        </w:rPr>
        <w:t>monoclonal antibody therapies</w:t>
      </w:r>
      <w:r w:rsidRPr="009048B7">
        <w:rPr>
          <w:rFonts w:ascii="Times New Roman" w:eastAsia="Times New Roman" w:hAnsi="Times New Roman" w:cs="Times New Roman"/>
          <w:color w:val="000000"/>
        </w:rPr>
        <w:t xml:space="preserve"> that </w:t>
      </w:r>
      <w:r w:rsidR="006D796E" w:rsidRPr="009048B7">
        <w:rPr>
          <w:rFonts w:ascii="Times New Roman" w:eastAsia="Times New Roman" w:hAnsi="Times New Roman" w:cs="Times New Roman"/>
          <w:color w:val="000000"/>
        </w:rPr>
        <w:t>mitigates the</w:t>
      </w:r>
      <w:r w:rsidRPr="009048B7">
        <w:rPr>
          <w:rFonts w:ascii="Times New Roman" w:eastAsia="Times New Roman" w:hAnsi="Times New Roman" w:cs="Times New Roman"/>
          <w:color w:val="000000"/>
        </w:rPr>
        <w:t xml:space="preserve"> </w:t>
      </w:r>
      <w:r w:rsidR="00462716" w:rsidRPr="009048B7">
        <w:rPr>
          <w:rFonts w:ascii="Times New Roman" w:eastAsia="Times New Roman" w:hAnsi="Times New Roman" w:cs="Times New Roman"/>
          <w:color w:val="000000"/>
        </w:rPr>
        <w:t>disproportionate</w:t>
      </w:r>
      <w:r w:rsidRPr="009048B7">
        <w:rPr>
          <w:rFonts w:ascii="Times New Roman" w:eastAsia="Times New Roman" w:hAnsi="Times New Roman" w:cs="Times New Roman"/>
          <w:color w:val="000000"/>
        </w:rPr>
        <w:t xml:space="preserve"> impact</w:t>
      </w:r>
      <w:r w:rsidRPr="009048B7">
        <w:rPr>
          <w:rFonts w:ascii="Times New Roman" w:eastAsia="Times New Roman" w:hAnsi="Times New Roman" w:cs="Times New Roman"/>
        </w:rPr>
        <w:t>.</w:t>
      </w:r>
      <w:r w:rsidR="00462716" w:rsidRPr="00B57994">
        <w:rPr>
          <w:rStyle w:val="FootnoteReference"/>
          <w:rFonts w:ascii="Times New Roman" w:eastAsia="Times New Roman" w:hAnsi="Times New Roman" w:cs="Times New Roman"/>
        </w:rPr>
        <w:t xml:space="preserve"> </w:t>
      </w:r>
      <w:r w:rsidR="00462716" w:rsidRPr="00B57994">
        <w:rPr>
          <w:rStyle w:val="FootnoteReference"/>
          <w:rFonts w:ascii="Times New Roman" w:eastAsia="Times New Roman" w:hAnsi="Times New Roman" w:cs="Times New Roman"/>
        </w:rPr>
        <w:footnoteReference w:id="2"/>
      </w:r>
      <w:r w:rsidRPr="009048B7">
        <w:rPr>
          <w:rFonts w:ascii="Times New Roman" w:eastAsia="Times New Roman" w:hAnsi="Times New Roman" w:cs="Times New Roman"/>
        </w:rPr>
        <w:t xml:space="preserve"> </w:t>
      </w:r>
    </w:p>
    <w:p w14:paraId="142325C9" w14:textId="77777777" w:rsidR="005124E6" w:rsidRPr="00665B71" w:rsidRDefault="005124E6" w:rsidP="005124E6">
      <w:pPr>
        <w:textAlignment w:val="baseline"/>
        <w:rPr>
          <w:rFonts w:ascii="Times New Roman" w:eastAsia="Times New Roman" w:hAnsi="Times New Roman" w:cs="Times New Roman"/>
          <w:color w:val="000000"/>
        </w:rPr>
      </w:pPr>
    </w:p>
    <w:p w14:paraId="6325DE06" w14:textId="67F21C62" w:rsidR="00FE0C46" w:rsidRPr="00665B71" w:rsidRDefault="005124E6" w:rsidP="001226BF">
      <w:pPr>
        <w:ind w:left="1440"/>
        <w:textAlignment w:val="baseline"/>
        <w:rPr>
          <w:rFonts w:ascii="Times New Roman" w:eastAsia="Times New Roman" w:hAnsi="Times New Roman" w:cs="Times New Roman"/>
          <w:color w:val="000000"/>
        </w:rPr>
      </w:pPr>
      <w:r w:rsidRPr="00665B71">
        <w:rPr>
          <w:rFonts w:ascii="Times New Roman" w:eastAsia="Times New Roman" w:hAnsi="Times New Roman" w:cs="Times New Roman"/>
          <w:color w:val="000000"/>
        </w:rPr>
        <w:t>Potential b</w:t>
      </w:r>
      <w:r w:rsidR="00F030BC" w:rsidRPr="00665B71">
        <w:rPr>
          <w:rFonts w:ascii="Times New Roman" w:eastAsia="Times New Roman" w:hAnsi="Times New Roman" w:cs="Times New Roman"/>
          <w:color w:val="000000"/>
        </w:rPr>
        <w:t>arriers to equitable distribution</w:t>
      </w:r>
      <w:r w:rsidR="00FE0C46" w:rsidRPr="00665B71">
        <w:rPr>
          <w:rFonts w:ascii="Times New Roman" w:eastAsia="Times New Roman" w:hAnsi="Times New Roman" w:cs="Times New Roman"/>
          <w:color w:val="000000"/>
        </w:rPr>
        <w:t xml:space="preserve"> </w:t>
      </w:r>
      <w:r w:rsidRPr="00665B71">
        <w:rPr>
          <w:rFonts w:ascii="Times New Roman" w:eastAsia="Times New Roman" w:hAnsi="Times New Roman" w:cs="Times New Roman"/>
          <w:color w:val="000000"/>
        </w:rPr>
        <w:t xml:space="preserve">of </w:t>
      </w:r>
      <w:r w:rsidR="00EA7BA6">
        <w:rPr>
          <w:rFonts w:ascii="Times New Roman" w:eastAsia="Times New Roman" w:hAnsi="Times New Roman" w:cs="Times New Roman"/>
          <w:color w:val="000000"/>
        </w:rPr>
        <w:t>monoclonal antibody therapies</w:t>
      </w:r>
      <w:r w:rsidR="001271B2" w:rsidRPr="00665B71">
        <w:rPr>
          <w:rFonts w:ascii="Times New Roman" w:eastAsia="Times New Roman" w:hAnsi="Times New Roman" w:cs="Times New Roman"/>
          <w:bCs/>
          <w:color w:val="212121"/>
        </w:rPr>
        <w:t xml:space="preserve"> </w:t>
      </w:r>
      <w:r w:rsidR="00FE0C46" w:rsidRPr="00665B71">
        <w:rPr>
          <w:rFonts w:ascii="Times New Roman" w:eastAsia="Times New Roman" w:hAnsi="Times New Roman" w:cs="Times New Roman"/>
          <w:color w:val="000000"/>
        </w:rPr>
        <w:t xml:space="preserve">include </w:t>
      </w:r>
      <w:r w:rsidRPr="00665B71">
        <w:rPr>
          <w:rFonts w:ascii="Times New Roman" w:eastAsia="Times New Roman" w:hAnsi="Times New Roman" w:cs="Times New Roman"/>
          <w:color w:val="000000"/>
        </w:rPr>
        <w:t xml:space="preserve">the possibility </w:t>
      </w:r>
      <w:r w:rsidR="00FE0C46" w:rsidRPr="00665B71">
        <w:rPr>
          <w:rFonts w:ascii="Times New Roman" w:eastAsia="Times New Roman" w:hAnsi="Times New Roman" w:cs="Times New Roman"/>
          <w:color w:val="000000"/>
        </w:rPr>
        <w:t xml:space="preserve">of bias in identification and referral of patients who may be eligible </w:t>
      </w:r>
      <w:r w:rsidRPr="00665B71">
        <w:rPr>
          <w:rFonts w:ascii="Times New Roman" w:eastAsia="Times New Roman" w:hAnsi="Times New Roman" w:cs="Times New Roman"/>
          <w:color w:val="000000"/>
        </w:rPr>
        <w:t>under the EUA</w:t>
      </w:r>
      <w:r w:rsidR="004B16E1" w:rsidRPr="00665B71">
        <w:rPr>
          <w:rFonts w:ascii="Times New Roman" w:eastAsia="Times New Roman" w:hAnsi="Times New Roman" w:cs="Times New Roman"/>
          <w:color w:val="000000"/>
        </w:rPr>
        <w:t xml:space="preserve"> and at highest risk of complications of COVID-19</w:t>
      </w:r>
      <w:r w:rsidR="00F030BC" w:rsidRPr="00665B71">
        <w:rPr>
          <w:rFonts w:ascii="Times New Roman" w:eastAsia="Times New Roman" w:hAnsi="Times New Roman" w:cs="Times New Roman"/>
          <w:color w:val="000000"/>
        </w:rPr>
        <w:t>,</w:t>
      </w:r>
      <w:r w:rsidR="00FE0C46" w:rsidRPr="00665B71">
        <w:rPr>
          <w:rFonts w:ascii="Times New Roman" w:eastAsia="Times New Roman" w:hAnsi="Times New Roman" w:cs="Times New Roman"/>
          <w:color w:val="000000"/>
        </w:rPr>
        <w:t xml:space="preserve"> anticipated difficulty scheduling socially vulnerable patients for infusion appointments</w:t>
      </w:r>
      <w:r w:rsidR="00F030BC" w:rsidRPr="00665B71">
        <w:rPr>
          <w:rFonts w:ascii="Times New Roman" w:eastAsia="Times New Roman" w:hAnsi="Times New Roman" w:cs="Times New Roman"/>
          <w:color w:val="000000"/>
        </w:rPr>
        <w:t xml:space="preserve">, </w:t>
      </w:r>
      <w:r w:rsidR="00FE0C46" w:rsidRPr="00665B71">
        <w:rPr>
          <w:rFonts w:ascii="Times New Roman" w:eastAsia="Times New Roman" w:hAnsi="Times New Roman" w:cs="Times New Roman"/>
          <w:color w:val="000000"/>
        </w:rPr>
        <w:t xml:space="preserve">and </w:t>
      </w:r>
      <w:r w:rsidR="00F030BC" w:rsidRPr="00665B71">
        <w:rPr>
          <w:rFonts w:ascii="Times New Roman" w:eastAsia="Times New Roman" w:hAnsi="Times New Roman" w:cs="Times New Roman"/>
          <w:color w:val="000000"/>
        </w:rPr>
        <w:t xml:space="preserve">challenges in obtaining transportation </w:t>
      </w:r>
      <w:r w:rsidR="00FE0C46" w:rsidRPr="00665B71">
        <w:rPr>
          <w:rFonts w:ascii="Times New Roman" w:eastAsia="Times New Roman" w:hAnsi="Times New Roman" w:cs="Times New Roman"/>
          <w:color w:val="000000"/>
        </w:rPr>
        <w:t>to infusion centers.</w:t>
      </w:r>
    </w:p>
    <w:p w14:paraId="25565DBD" w14:textId="7D56F3FF" w:rsidR="00FE0C46" w:rsidRPr="00665B71" w:rsidRDefault="00FE0C46" w:rsidP="00FE0C46">
      <w:pPr>
        <w:textAlignment w:val="baseline"/>
        <w:rPr>
          <w:rFonts w:ascii="Times New Roman" w:eastAsia="Times New Roman" w:hAnsi="Times New Roman" w:cs="Times New Roman"/>
          <w:color w:val="000000"/>
        </w:rPr>
      </w:pPr>
    </w:p>
    <w:p w14:paraId="7543F829" w14:textId="7295EA8B" w:rsidR="00FE0C46" w:rsidRPr="00665B71" w:rsidRDefault="00EA7BA6" w:rsidP="001226BF">
      <w:pPr>
        <w:ind w:left="1440"/>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Providers that</w:t>
      </w:r>
      <w:r w:rsidR="00FE0C46" w:rsidRPr="00665B71">
        <w:rPr>
          <w:rFonts w:ascii="Times New Roman" w:eastAsia="Times New Roman" w:hAnsi="Times New Roman" w:cs="Times New Roman"/>
          <w:color w:val="000000"/>
        </w:rPr>
        <w:t xml:space="preserve"> </w:t>
      </w:r>
      <w:r w:rsidR="00462716" w:rsidRPr="00665B71">
        <w:rPr>
          <w:rFonts w:ascii="Times New Roman" w:eastAsia="Times New Roman" w:hAnsi="Times New Roman" w:cs="Times New Roman"/>
          <w:color w:val="000000"/>
        </w:rPr>
        <w:t xml:space="preserve">elect to </w:t>
      </w:r>
      <w:r w:rsidR="00EE5CB5">
        <w:rPr>
          <w:rFonts w:ascii="Times New Roman" w:eastAsia="Times New Roman" w:hAnsi="Times New Roman" w:cs="Times New Roman"/>
          <w:color w:val="000000"/>
        </w:rPr>
        <w:t xml:space="preserve">request </w:t>
      </w:r>
      <w:r w:rsidR="00462716" w:rsidRPr="00665B71">
        <w:rPr>
          <w:rFonts w:ascii="Times New Roman" w:eastAsia="Times New Roman" w:hAnsi="Times New Roman" w:cs="Times New Roman"/>
          <w:color w:val="000000"/>
        </w:rPr>
        <w:t xml:space="preserve">an allocation of </w:t>
      </w:r>
      <w:r>
        <w:rPr>
          <w:rFonts w:ascii="Times New Roman" w:eastAsia="Times New Roman" w:hAnsi="Times New Roman" w:cs="Times New Roman"/>
          <w:color w:val="000000"/>
        </w:rPr>
        <w:t>monoclonal antibody therapies</w:t>
      </w:r>
      <w:r w:rsidR="00FE0C46" w:rsidRPr="00665B71">
        <w:rPr>
          <w:rFonts w:ascii="Times New Roman" w:eastAsia="Times New Roman" w:hAnsi="Times New Roman" w:cs="Times New Roman"/>
          <w:color w:val="000000"/>
        </w:rPr>
        <w:t xml:space="preserve"> will be expected to operate a delivery system and allocation framework that </w:t>
      </w:r>
      <w:r w:rsidR="006C0184" w:rsidRPr="00665B71">
        <w:rPr>
          <w:rFonts w:ascii="Times New Roman" w:eastAsia="Times New Roman" w:hAnsi="Times New Roman" w:cs="Times New Roman"/>
          <w:color w:val="000000"/>
        </w:rPr>
        <w:t xml:space="preserve">intends </w:t>
      </w:r>
      <w:r w:rsidR="00FE0C46" w:rsidRPr="00665B71">
        <w:rPr>
          <w:rFonts w:ascii="Times New Roman" w:eastAsia="Times New Roman" w:hAnsi="Times New Roman" w:cs="Times New Roman"/>
          <w:color w:val="000000"/>
        </w:rPr>
        <w:t xml:space="preserve">to meet </w:t>
      </w:r>
      <w:r w:rsidR="00944C73" w:rsidRPr="00665B71">
        <w:rPr>
          <w:rFonts w:ascii="Times New Roman" w:eastAsia="Times New Roman" w:hAnsi="Times New Roman" w:cs="Times New Roman"/>
          <w:color w:val="000000"/>
        </w:rPr>
        <w:t xml:space="preserve">the </w:t>
      </w:r>
      <w:r w:rsidR="00FE0C46" w:rsidRPr="00665B71">
        <w:rPr>
          <w:rFonts w:ascii="Times New Roman" w:eastAsia="Times New Roman" w:hAnsi="Times New Roman" w:cs="Times New Roman"/>
          <w:color w:val="000000"/>
        </w:rPr>
        <w:t>goal</w:t>
      </w:r>
      <w:r w:rsidR="00944C73" w:rsidRPr="00665B71">
        <w:rPr>
          <w:rFonts w:ascii="Times New Roman" w:eastAsia="Times New Roman" w:hAnsi="Times New Roman" w:cs="Times New Roman"/>
          <w:color w:val="000000"/>
        </w:rPr>
        <w:t xml:space="preserve"> of equitable distribution</w:t>
      </w:r>
      <w:r w:rsidR="00FE0C46" w:rsidRPr="00665B71">
        <w:rPr>
          <w:rFonts w:ascii="Times New Roman" w:eastAsia="Times New Roman" w:hAnsi="Times New Roman" w:cs="Times New Roman"/>
          <w:color w:val="000000"/>
        </w:rPr>
        <w:t xml:space="preserve"> and will be required to produce regular reporting with relevant</w:t>
      </w:r>
      <w:r>
        <w:rPr>
          <w:rFonts w:ascii="Times New Roman" w:eastAsia="Times New Roman" w:hAnsi="Times New Roman" w:cs="Times New Roman"/>
          <w:color w:val="000000"/>
        </w:rPr>
        <w:t xml:space="preserve"> aggregate</w:t>
      </w:r>
      <w:r w:rsidR="00FE0C46" w:rsidRPr="00665B71">
        <w:rPr>
          <w:rFonts w:ascii="Times New Roman" w:eastAsia="Times New Roman" w:hAnsi="Times New Roman" w:cs="Times New Roman"/>
          <w:color w:val="000000"/>
        </w:rPr>
        <w:t xml:space="preserve"> metrics.</w:t>
      </w:r>
      <w:r w:rsidR="00485A98" w:rsidRPr="00665B71">
        <w:rPr>
          <w:rFonts w:ascii="Times New Roman" w:eastAsia="Times New Roman" w:hAnsi="Times New Roman" w:cs="Times New Roman"/>
          <w:color w:val="000000"/>
        </w:rPr>
        <w:t xml:space="preserve">    </w:t>
      </w:r>
      <w:r w:rsidR="00FE0C46" w:rsidRPr="00665B71">
        <w:rPr>
          <w:rFonts w:ascii="Times New Roman" w:eastAsia="Times New Roman" w:hAnsi="Times New Roman" w:cs="Times New Roman"/>
          <w:color w:val="000000"/>
        </w:rPr>
        <w:t xml:space="preserve"> </w:t>
      </w:r>
    </w:p>
    <w:p w14:paraId="3286D586" w14:textId="77777777" w:rsidR="00956631" w:rsidRPr="00665B71" w:rsidRDefault="00956631" w:rsidP="00956631">
      <w:pPr>
        <w:textAlignment w:val="baseline"/>
        <w:rPr>
          <w:rFonts w:ascii="Times New Roman" w:eastAsia="Times New Roman" w:hAnsi="Times New Roman" w:cs="Times New Roman"/>
          <w:color w:val="000000"/>
        </w:rPr>
      </w:pPr>
    </w:p>
    <w:p w14:paraId="0E198AD5" w14:textId="0BF7BDBB" w:rsidR="003B1103" w:rsidRPr="00665B71" w:rsidRDefault="004D3CD6" w:rsidP="00944C73">
      <w:pPr>
        <w:keepNext/>
        <w:textAlignment w:val="baseline"/>
        <w:rPr>
          <w:rFonts w:ascii="Times New Roman" w:eastAsia="Times New Roman" w:hAnsi="Times New Roman" w:cs="Times New Roman"/>
          <w:color w:val="000000"/>
        </w:rPr>
      </w:pPr>
      <w:r w:rsidRPr="00665B71">
        <w:rPr>
          <w:rFonts w:ascii="Times New Roman" w:eastAsia="Times New Roman" w:hAnsi="Times New Roman" w:cs="Times New Roman"/>
          <w:color w:val="000000"/>
        </w:rPr>
        <w:t>V.</w:t>
      </w:r>
      <w:r w:rsidRPr="00665B71">
        <w:rPr>
          <w:rFonts w:ascii="Times New Roman" w:eastAsia="Times New Roman" w:hAnsi="Times New Roman" w:cs="Times New Roman"/>
          <w:color w:val="000000"/>
        </w:rPr>
        <w:tab/>
      </w:r>
      <w:r w:rsidR="00EA7BA6" w:rsidRPr="00EA7BA6">
        <w:rPr>
          <w:rFonts w:ascii="Times New Roman" w:eastAsia="Times New Roman" w:hAnsi="Times New Roman" w:cs="Times New Roman"/>
          <w:color w:val="000000"/>
          <w:u w:val="single"/>
        </w:rPr>
        <w:t>Ordering and</w:t>
      </w:r>
      <w:r w:rsidR="00EA7BA6">
        <w:rPr>
          <w:rFonts w:ascii="Times New Roman" w:eastAsia="Times New Roman" w:hAnsi="Times New Roman" w:cs="Times New Roman"/>
          <w:color w:val="000000"/>
        </w:rPr>
        <w:t xml:space="preserve"> </w:t>
      </w:r>
      <w:r w:rsidR="003B1103" w:rsidRPr="00665B71">
        <w:rPr>
          <w:rFonts w:ascii="Times New Roman" w:eastAsia="Times New Roman" w:hAnsi="Times New Roman" w:cs="Times New Roman"/>
          <w:color w:val="000000"/>
          <w:u w:val="single"/>
        </w:rPr>
        <w:t>Reporting</w:t>
      </w:r>
    </w:p>
    <w:p w14:paraId="7DEB9609" w14:textId="77777777" w:rsidR="003B1103" w:rsidRPr="00665B71" w:rsidRDefault="003B1103" w:rsidP="00671921">
      <w:pPr>
        <w:keepNext/>
        <w:textAlignment w:val="baseline"/>
        <w:rPr>
          <w:rFonts w:ascii="Times New Roman" w:eastAsia="Times New Roman" w:hAnsi="Times New Roman" w:cs="Times New Roman"/>
          <w:color w:val="000000"/>
        </w:rPr>
      </w:pPr>
    </w:p>
    <w:p w14:paraId="626FE04E" w14:textId="2F2CA773" w:rsidR="00F917EB" w:rsidRDefault="001E3C46" w:rsidP="00373C6F">
      <w:pPr>
        <w:keepNext/>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As part of the weekly ordering process, a</w:t>
      </w:r>
      <w:r w:rsidR="007F57BC" w:rsidRPr="00665B71">
        <w:rPr>
          <w:rFonts w:ascii="Times New Roman" w:eastAsia="Times New Roman" w:hAnsi="Times New Roman" w:cs="Times New Roman"/>
          <w:color w:val="000000"/>
        </w:rPr>
        <w:t xml:space="preserve">ll </w:t>
      </w:r>
      <w:r w:rsidR="00EA7BA6">
        <w:rPr>
          <w:rFonts w:ascii="Times New Roman" w:eastAsia="Times New Roman" w:hAnsi="Times New Roman" w:cs="Times New Roman"/>
          <w:color w:val="000000"/>
        </w:rPr>
        <w:t>providers</w:t>
      </w:r>
      <w:r w:rsidR="007F57BC" w:rsidRPr="00665B71">
        <w:rPr>
          <w:rFonts w:ascii="Times New Roman" w:eastAsia="Times New Roman" w:hAnsi="Times New Roman" w:cs="Times New Roman"/>
          <w:color w:val="000000"/>
        </w:rPr>
        <w:t xml:space="preserve"> will be required to report </w:t>
      </w:r>
      <w:r w:rsidR="002324E5">
        <w:rPr>
          <w:rFonts w:ascii="Times New Roman" w:eastAsia="Times New Roman" w:hAnsi="Times New Roman" w:cs="Times New Roman"/>
          <w:color w:val="000000"/>
        </w:rPr>
        <w:t xml:space="preserve">inventory data, </w:t>
      </w:r>
      <w:r w:rsidR="00665B71" w:rsidRPr="00665B71">
        <w:rPr>
          <w:rFonts w:ascii="Times New Roman" w:eastAsia="Times New Roman" w:hAnsi="Times New Roman" w:cs="Times New Roman"/>
          <w:color w:val="000000"/>
        </w:rPr>
        <w:t>the number of courses administered in the previous week</w:t>
      </w:r>
      <w:r w:rsidR="002324E5">
        <w:rPr>
          <w:rFonts w:ascii="Times New Roman" w:eastAsia="Times New Roman" w:hAnsi="Times New Roman" w:cs="Times New Roman"/>
          <w:color w:val="000000"/>
        </w:rPr>
        <w:t>,</w:t>
      </w:r>
      <w:r w:rsidR="00665B71" w:rsidRPr="00665B71">
        <w:rPr>
          <w:rFonts w:ascii="Times New Roman" w:eastAsia="Times New Roman" w:hAnsi="Times New Roman" w:cs="Times New Roman"/>
          <w:color w:val="000000"/>
        </w:rPr>
        <w:t xml:space="preserve"> and </w:t>
      </w:r>
      <w:r>
        <w:rPr>
          <w:rFonts w:ascii="Times New Roman" w:eastAsia="Times New Roman" w:hAnsi="Times New Roman" w:cs="Times New Roman"/>
          <w:color w:val="000000"/>
        </w:rPr>
        <w:t xml:space="preserve">other requested </w:t>
      </w:r>
      <w:r w:rsidR="00665B71" w:rsidRPr="00665B71">
        <w:rPr>
          <w:rFonts w:ascii="Times New Roman" w:eastAsia="Times New Roman" w:hAnsi="Times New Roman" w:cs="Times New Roman"/>
          <w:color w:val="000000"/>
        </w:rPr>
        <w:t xml:space="preserve">aggregate data </w:t>
      </w:r>
      <w:r w:rsidR="002324E5">
        <w:rPr>
          <w:rFonts w:ascii="Times New Roman" w:eastAsia="Times New Roman" w:hAnsi="Times New Roman" w:cs="Times New Roman"/>
          <w:color w:val="000000"/>
        </w:rPr>
        <w:t>as directed by</w:t>
      </w:r>
      <w:r w:rsidR="00EE7DFD" w:rsidRPr="00665B71">
        <w:rPr>
          <w:rFonts w:ascii="Times New Roman" w:eastAsia="Times New Roman" w:hAnsi="Times New Roman" w:cs="Times New Roman"/>
          <w:color w:val="000000"/>
        </w:rPr>
        <w:t xml:space="preserve"> the </w:t>
      </w:r>
      <w:r w:rsidR="00665B71" w:rsidRPr="00665B71">
        <w:rPr>
          <w:rFonts w:ascii="Times New Roman" w:eastAsia="Times New Roman" w:hAnsi="Times New Roman" w:cs="Times New Roman"/>
          <w:color w:val="000000"/>
        </w:rPr>
        <w:t xml:space="preserve">Office of Preparedness and Emergency Management </w:t>
      </w:r>
      <w:r w:rsidR="00EA7BA6">
        <w:rPr>
          <w:rFonts w:ascii="Times New Roman" w:eastAsia="Times New Roman" w:hAnsi="Times New Roman" w:cs="Times New Roman"/>
          <w:color w:val="000000"/>
        </w:rPr>
        <w:t>(OPEM)</w:t>
      </w:r>
      <w:r w:rsidR="0004403C">
        <w:rPr>
          <w:rFonts w:ascii="Times New Roman" w:eastAsia="Times New Roman" w:hAnsi="Times New Roman" w:cs="Times New Roman"/>
          <w:color w:val="000000"/>
        </w:rPr>
        <w:t xml:space="preserve"> </w:t>
      </w:r>
      <w:r w:rsidR="00F030BC" w:rsidRPr="00665B71">
        <w:rPr>
          <w:rFonts w:ascii="Times New Roman" w:eastAsia="Times New Roman" w:hAnsi="Times New Roman" w:cs="Times New Roman"/>
          <w:color w:val="000000"/>
        </w:rPr>
        <w:t xml:space="preserve">to allow for identification of barriers </w:t>
      </w:r>
      <w:r w:rsidR="006C0184" w:rsidRPr="00665B71">
        <w:rPr>
          <w:rFonts w:ascii="Times New Roman" w:eastAsia="Times New Roman" w:hAnsi="Times New Roman" w:cs="Times New Roman"/>
          <w:color w:val="000000"/>
        </w:rPr>
        <w:t xml:space="preserve">to equitable distribution and possible </w:t>
      </w:r>
      <w:r w:rsidR="00A01A42" w:rsidRPr="00665B71">
        <w:rPr>
          <w:rFonts w:ascii="Times New Roman" w:eastAsia="Times New Roman" w:hAnsi="Times New Roman" w:cs="Times New Roman"/>
          <w:color w:val="000000"/>
        </w:rPr>
        <w:t>system improvements</w:t>
      </w:r>
      <w:r w:rsidR="006C0184" w:rsidRPr="00665B71">
        <w:rPr>
          <w:rFonts w:ascii="Times New Roman" w:eastAsia="Times New Roman" w:hAnsi="Times New Roman" w:cs="Times New Roman"/>
          <w:color w:val="000000"/>
        </w:rPr>
        <w:t xml:space="preserve">. </w:t>
      </w:r>
      <w:r w:rsidR="00EA7BA6">
        <w:rPr>
          <w:rFonts w:ascii="Times New Roman" w:eastAsia="Times New Roman" w:hAnsi="Times New Roman" w:cs="Times New Roman"/>
          <w:color w:val="000000"/>
        </w:rPr>
        <w:t xml:space="preserve">Fulfillment of any future </w:t>
      </w:r>
      <w:r w:rsidR="00EE5CB5">
        <w:rPr>
          <w:rFonts w:ascii="Times New Roman" w:eastAsia="Times New Roman" w:hAnsi="Times New Roman" w:cs="Times New Roman"/>
          <w:color w:val="000000"/>
        </w:rPr>
        <w:t xml:space="preserve">requests </w:t>
      </w:r>
      <w:r w:rsidR="00EA7BA6">
        <w:rPr>
          <w:rFonts w:ascii="Times New Roman" w:eastAsia="Times New Roman" w:hAnsi="Times New Roman" w:cs="Times New Roman"/>
          <w:color w:val="000000"/>
        </w:rPr>
        <w:t xml:space="preserve">will be dependent on the provider complying with this reporting requirement.  </w:t>
      </w:r>
    </w:p>
    <w:p w14:paraId="00A185B0" w14:textId="4F92640A" w:rsidR="00EA7BA6" w:rsidRDefault="00EA7BA6" w:rsidP="00373C6F">
      <w:pPr>
        <w:keepNext/>
        <w:textAlignment w:val="baseline"/>
        <w:rPr>
          <w:rFonts w:ascii="Times New Roman" w:eastAsia="Times New Roman" w:hAnsi="Times New Roman" w:cs="Times New Roman"/>
          <w:color w:val="000000"/>
        </w:rPr>
      </w:pPr>
    </w:p>
    <w:p w14:paraId="3E14A8D4" w14:textId="23DA6453" w:rsidR="00EA7BA6" w:rsidRDefault="00EA7BA6" w:rsidP="00373C6F">
      <w:pPr>
        <w:keepNext/>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 xml:space="preserve">Providers should </w:t>
      </w:r>
      <w:r w:rsidR="0004403C">
        <w:rPr>
          <w:rFonts w:ascii="Times New Roman" w:eastAsia="Times New Roman" w:hAnsi="Times New Roman" w:cs="Times New Roman"/>
          <w:color w:val="000000"/>
        </w:rPr>
        <w:t xml:space="preserve">submit the completed ordering and reporting form, found attached to this guidance, to the following </w:t>
      </w:r>
      <w:r w:rsidR="008F4968">
        <w:rPr>
          <w:rFonts w:ascii="Times New Roman" w:eastAsia="Times New Roman" w:hAnsi="Times New Roman" w:cs="Times New Roman"/>
          <w:color w:val="000000"/>
        </w:rPr>
        <w:t xml:space="preserve">email </w:t>
      </w:r>
      <w:r w:rsidR="0004403C">
        <w:rPr>
          <w:rFonts w:ascii="Times New Roman" w:eastAsia="Times New Roman" w:hAnsi="Times New Roman" w:cs="Times New Roman"/>
          <w:color w:val="000000"/>
        </w:rPr>
        <w:t xml:space="preserve">address: </w:t>
      </w:r>
      <w:hyperlink r:id="rId11" w:history="1">
        <w:r w:rsidR="008F4968">
          <w:rPr>
            <w:rStyle w:val="Hyperlink"/>
            <w:rFonts w:ascii="Times New Roman" w:eastAsia="Times New Roman" w:hAnsi="Times New Roman" w:cs="Times New Roman"/>
          </w:rPr>
          <w:t>covid19.resource.request</w:t>
        </w:r>
        <w:r w:rsidR="008F4968" w:rsidRPr="00785218" w:rsidDel="008F4968">
          <w:rPr>
            <w:rStyle w:val="Hyperlink"/>
            <w:rFonts w:ascii="Times New Roman" w:eastAsia="Times New Roman" w:hAnsi="Times New Roman" w:cs="Times New Roman"/>
          </w:rPr>
          <w:t xml:space="preserve"> </w:t>
        </w:r>
        <w:r w:rsidR="008F4968" w:rsidRPr="00785218">
          <w:rPr>
            <w:rStyle w:val="Hyperlink"/>
            <w:rFonts w:ascii="Times New Roman" w:eastAsia="Times New Roman" w:hAnsi="Times New Roman" w:cs="Times New Roman"/>
          </w:rPr>
          <w:t>@Mass.gov</w:t>
        </w:r>
      </w:hyperlink>
      <w:r w:rsidR="008F4968">
        <w:rPr>
          <w:rFonts w:ascii="Times New Roman" w:eastAsia="Times New Roman" w:hAnsi="Times New Roman" w:cs="Times New Roman"/>
          <w:color w:val="000000"/>
        </w:rPr>
        <w:t xml:space="preserve"> </w:t>
      </w:r>
      <w:r w:rsidR="0004403C">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Providers should submit this request no later than Wednesday at 5 pm</w:t>
      </w:r>
      <w:r w:rsidR="001E3C46">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DPH will notify providers if their requested number of courses cannot be fulfilled as soon as possible.  </w:t>
      </w:r>
    </w:p>
    <w:p w14:paraId="2CCF7FC4" w14:textId="2F655E97" w:rsidR="00EA7BA6" w:rsidRDefault="00EA7BA6" w:rsidP="00373C6F">
      <w:pPr>
        <w:keepNext/>
        <w:textAlignment w:val="baseline"/>
        <w:rPr>
          <w:rFonts w:ascii="Times New Roman" w:eastAsia="Times New Roman" w:hAnsi="Times New Roman" w:cs="Times New Roman"/>
          <w:color w:val="000000"/>
        </w:rPr>
      </w:pPr>
    </w:p>
    <w:p w14:paraId="5EEA9F45" w14:textId="30454431" w:rsidR="00EA7BA6" w:rsidRDefault="00EA7BA6" w:rsidP="00373C6F">
      <w:pPr>
        <w:keepNext/>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 xml:space="preserve">Providers that identify that they need an urgent or unanticipated allocation of monoclonal antibody therapies due to newly identified COVID-19 clusters or outbreaks should also notify </w:t>
      </w:r>
      <w:hyperlink r:id="rId12" w:history="1">
        <w:r w:rsidRPr="00730F39">
          <w:rPr>
            <w:rStyle w:val="Hyperlink"/>
            <w:rFonts w:ascii="Times New Roman" w:eastAsia="Times New Roman" w:hAnsi="Times New Roman" w:cs="Times New Roman"/>
          </w:rPr>
          <w:t>covid19.resource.request@mass.gov</w:t>
        </w:r>
      </w:hyperlink>
      <w:r>
        <w:rPr>
          <w:rFonts w:ascii="Times New Roman" w:eastAsia="Times New Roman" w:hAnsi="Times New Roman" w:cs="Times New Roman"/>
          <w:color w:val="000000"/>
        </w:rPr>
        <w:t xml:space="preserve"> as soon as possible and DPH will make every effort to address this request in a timely manner.</w:t>
      </w:r>
    </w:p>
    <w:p w14:paraId="6C55E8B6" w14:textId="36CD70F3" w:rsidR="001024C4" w:rsidRDefault="001024C4" w:rsidP="00373C6F">
      <w:pPr>
        <w:keepNext/>
        <w:textAlignment w:val="baseline"/>
        <w:rPr>
          <w:rFonts w:ascii="Times New Roman" w:eastAsia="Times New Roman" w:hAnsi="Times New Roman" w:cs="Times New Roman"/>
          <w:color w:val="000000"/>
        </w:rPr>
      </w:pPr>
    </w:p>
    <w:p w14:paraId="49656F47" w14:textId="60356BCA" w:rsidR="001024C4" w:rsidRDefault="001024C4" w:rsidP="00373C6F">
      <w:pPr>
        <w:keepNext/>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HHS provides this directory of mAb infusion sites:</w:t>
      </w:r>
    </w:p>
    <w:p w14:paraId="0272E43C" w14:textId="33C1AF5B" w:rsidR="001024C4" w:rsidRDefault="0004403C" w:rsidP="00373C6F">
      <w:pPr>
        <w:keepNext/>
        <w:textAlignment w:val="baseline"/>
        <w:rPr>
          <w:rFonts w:ascii="Times New Roman" w:eastAsia="Times New Roman" w:hAnsi="Times New Roman" w:cs="Times New Roman"/>
          <w:color w:val="000000"/>
        </w:rPr>
      </w:pPr>
      <w:hyperlink r:id="rId13" w:history="1">
        <w:r w:rsidRPr="00D06997">
          <w:rPr>
            <w:rStyle w:val="Hyperlink"/>
            <w:rFonts w:ascii="Times New Roman" w:eastAsia="Times New Roman" w:hAnsi="Times New Roman" w:cs="Times New Roman"/>
          </w:rPr>
          <w:t>https://protect-public.hhs.gov/pages/therapeutics-distribution</w:t>
        </w:r>
      </w:hyperlink>
    </w:p>
    <w:p w14:paraId="502B2126" w14:textId="40D50F10" w:rsidR="00F127E7" w:rsidRPr="00665B71" w:rsidRDefault="00F127E7">
      <w:pPr>
        <w:rPr>
          <w:rFonts w:ascii="Times New Roman" w:eastAsia="Times New Roman" w:hAnsi="Times New Roman" w:cs="Times New Roman"/>
          <w:color w:val="050505"/>
        </w:rPr>
      </w:pPr>
    </w:p>
    <w:p w14:paraId="48AFAF94" w14:textId="0E36A576" w:rsidR="00E14EFC" w:rsidRPr="00665B71" w:rsidRDefault="0004403C">
      <w:pPr>
        <w:rPr>
          <w:rFonts w:ascii="Times New Roman" w:eastAsia="Times New Roman" w:hAnsi="Times New Roman" w:cs="Times New Roman"/>
          <w:color w:val="050505"/>
        </w:rPr>
      </w:pPr>
      <w:r>
        <w:rPr>
          <w:rFonts w:ascii="Times New Roman" w:eastAsia="Times New Roman" w:hAnsi="Times New Roman" w:cs="Times New Roman"/>
          <w:color w:val="050505"/>
        </w:rPr>
        <w:t xml:space="preserve">Attachment A: </w:t>
      </w:r>
      <w:r w:rsidR="00E3024F">
        <w:rPr>
          <w:rFonts w:ascii="Times New Roman" w:eastAsia="Times New Roman" w:hAnsi="Times New Roman" w:cs="Times New Roman"/>
          <w:color w:val="000000"/>
        </w:rPr>
        <w:t>OPEM Resource Request COVID-19 mAb O</w:t>
      </w:r>
      <w:r>
        <w:rPr>
          <w:rFonts w:ascii="Times New Roman" w:eastAsia="Times New Roman" w:hAnsi="Times New Roman" w:cs="Times New Roman"/>
          <w:color w:val="000000"/>
        </w:rPr>
        <w:t xml:space="preserve">rdering and </w:t>
      </w:r>
      <w:r w:rsidR="00E3024F">
        <w:rPr>
          <w:rFonts w:ascii="Times New Roman" w:eastAsia="Times New Roman" w:hAnsi="Times New Roman" w:cs="Times New Roman"/>
          <w:color w:val="000000"/>
        </w:rPr>
        <w:t>R</w:t>
      </w:r>
      <w:r>
        <w:rPr>
          <w:rFonts w:ascii="Times New Roman" w:eastAsia="Times New Roman" w:hAnsi="Times New Roman" w:cs="Times New Roman"/>
          <w:color w:val="000000"/>
        </w:rPr>
        <w:t xml:space="preserve">eporting </w:t>
      </w:r>
      <w:r w:rsidR="00E3024F">
        <w:rPr>
          <w:rFonts w:ascii="Times New Roman" w:eastAsia="Times New Roman" w:hAnsi="Times New Roman" w:cs="Times New Roman"/>
          <w:color w:val="000000"/>
        </w:rPr>
        <w:t>F</w:t>
      </w:r>
      <w:r>
        <w:rPr>
          <w:rFonts w:ascii="Times New Roman" w:eastAsia="Times New Roman" w:hAnsi="Times New Roman" w:cs="Times New Roman"/>
          <w:color w:val="000000"/>
        </w:rPr>
        <w:t>orm</w:t>
      </w:r>
      <w:bookmarkStart w:id="4" w:name="_GoBack"/>
      <w:bookmarkEnd w:id="4"/>
    </w:p>
    <w:sectPr w:rsidR="00E14EFC" w:rsidRPr="00665B71" w:rsidSect="00176AEF">
      <w:headerReference w:type="default" r:id="rId14"/>
      <w:footerReference w:type="even" r:id="rId15"/>
      <w:footerReference w:type="default" r:id="rId16"/>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FC7EC7" w16cex:dateUtc="2021-09-27T21:32:00Z"/>
  <w16cex:commentExtensible w16cex:durableId="24FCA4F2" w16cex:dateUtc="2021-09-28T00:15:00Z"/>
  <w16cex:commentExtensible w16cex:durableId="24FC8BF9" w16cex:dateUtc="2021-09-27T22:29:00Z"/>
  <w16cex:commentExtensible w16cex:durableId="24FCA3AF" w16cex:dateUtc="2021-09-28T00:10:00Z"/>
  <w16cex:commentExtensible w16cex:durableId="24FC7FDC" w16cex:dateUtc="2021-09-27T21:37:00Z"/>
  <w16cex:commentExtensible w16cex:durableId="24FAC4D3" w16cex:dateUtc="2021-09-26T14:07:00Z"/>
  <w16cex:commentExtensible w16cex:durableId="24FC62DA" w16cex:dateUtc="2021-09-27T19:33:00Z"/>
  <w16cex:commentExtensible w16cex:durableId="24FC8EA7" w16cex:dateUtc="2021-09-27T22:40:00Z"/>
  <w16cex:commentExtensible w16cex:durableId="24FC90B2" w16cex:dateUtc="2021-09-27T22:49:00Z"/>
  <w16cex:commentExtensible w16cex:durableId="24FCA863" w16cex:dateUtc="2021-09-28T00:30:00Z"/>
  <w16cex:commentExtensible w16cex:durableId="24FC8EFF" w16cex:dateUtc="2021-09-27T22:42:00Z"/>
  <w16cex:commentExtensible w16cex:durableId="24FCA644" w16cex:dateUtc="2021-09-28T00:21:00Z"/>
  <w16cex:commentExtensible w16cex:durableId="24FC8F77" w16cex:dateUtc="2021-09-27T22:44:00Z"/>
  <w16cex:commentExtensible w16cex:durableId="24FCA781" w16cex:dateUtc="2021-09-28T00:26:00Z"/>
  <w16cex:commentExtensible w16cex:durableId="24FC8694" w16cex:dateUtc="2021-09-27T22:06:00Z"/>
  <w16cex:commentExtensible w16cex:durableId="24FC8296" w16cex:dateUtc="2021-09-27T21:4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799E66" w14:textId="77777777" w:rsidR="00242AEF" w:rsidRDefault="00242AEF" w:rsidP="00C932F0">
      <w:r>
        <w:separator/>
      </w:r>
    </w:p>
  </w:endnote>
  <w:endnote w:type="continuationSeparator" w:id="0">
    <w:p w14:paraId="0F7F8BE7" w14:textId="77777777" w:rsidR="00242AEF" w:rsidRDefault="00242AEF" w:rsidP="00C93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49119104"/>
      <w:docPartObj>
        <w:docPartGallery w:val="Page Numbers (Bottom of Page)"/>
        <w:docPartUnique/>
      </w:docPartObj>
    </w:sdtPr>
    <w:sdtEndPr>
      <w:rPr>
        <w:rStyle w:val="PageNumber"/>
      </w:rPr>
    </w:sdtEndPr>
    <w:sdtContent>
      <w:p w14:paraId="70CD9C8A" w14:textId="3510A63B" w:rsidR="002621CA" w:rsidRDefault="002621CA" w:rsidP="0018133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237F0B" w14:textId="77777777" w:rsidR="002621CA" w:rsidRDefault="002621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27913257"/>
      <w:docPartObj>
        <w:docPartGallery w:val="Page Numbers (Bottom of Page)"/>
        <w:docPartUnique/>
      </w:docPartObj>
    </w:sdtPr>
    <w:sdtEndPr>
      <w:rPr>
        <w:rStyle w:val="PageNumber"/>
      </w:rPr>
    </w:sdtEndPr>
    <w:sdtContent>
      <w:p w14:paraId="30B65B3C" w14:textId="68AA9E32" w:rsidR="002621CA" w:rsidRDefault="002621CA" w:rsidP="0018133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08674C">
          <w:rPr>
            <w:rStyle w:val="PageNumber"/>
            <w:noProof/>
          </w:rPr>
          <w:t>1</w:t>
        </w:r>
        <w:r>
          <w:rPr>
            <w:rStyle w:val="PageNumber"/>
          </w:rPr>
          <w:fldChar w:fldCharType="end"/>
        </w:r>
      </w:p>
    </w:sdtContent>
  </w:sdt>
  <w:p w14:paraId="0FD670E9" w14:textId="77777777" w:rsidR="002621CA" w:rsidRDefault="002621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4D8683" w14:textId="77777777" w:rsidR="00242AEF" w:rsidRDefault="00242AEF" w:rsidP="00C932F0">
      <w:r>
        <w:separator/>
      </w:r>
    </w:p>
  </w:footnote>
  <w:footnote w:type="continuationSeparator" w:id="0">
    <w:p w14:paraId="092BF04F" w14:textId="77777777" w:rsidR="00242AEF" w:rsidRDefault="00242AEF" w:rsidP="00C932F0">
      <w:r>
        <w:continuationSeparator/>
      </w:r>
    </w:p>
  </w:footnote>
  <w:footnote w:id="1">
    <w:p w14:paraId="48B133FD" w14:textId="51D6DB3D" w:rsidR="00FF6E6E" w:rsidRDefault="00FF6E6E">
      <w:pPr>
        <w:pStyle w:val="FootnoteText"/>
      </w:pPr>
      <w:r>
        <w:rPr>
          <w:rStyle w:val="FootnoteReference"/>
        </w:rPr>
        <w:footnoteRef/>
      </w:r>
      <w:r>
        <w:t xml:space="preserve"> </w:t>
      </w:r>
      <w:r>
        <w:rPr>
          <w:rFonts w:ascii="Times New Roman" w:eastAsia="Times New Roman" w:hAnsi="Times New Roman" w:cs="Times New Roman"/>
          <w:bCs/>
          <w:color w:val="212121"/>
        </w:rPr>
        <w:t>T</w:t>
      </w:r>
      <w:r w:rsidRPr="009664FD">
        <w:rPr>
          <w:rFonts w:ascii="Times New Roman" w:eastAsia="Times New Roman" w:hAnsi="Times New Roman" w:cs="Times New Roman"/>
          <w:bCs/>
          <w:color w:val="212121"/>
        </w:rPr>
        <w:t xml:space="preserve">he U.S. Food and Drug Administration </w:t>
      </w:r>
      <w:r>
        <w:rPr>
          <w:rFonts w:ascii="Times New Roman" w:eastAsia="Times New Roman" w:hAnsi="Times New Roman" w:cs="Times New Roman"/>
          <w:bCs/>
          <w:color w:val="212121"/>
        </w:rPr>
        <w:t xml:space="preserve">has also </w:t>
      </w:r>
      <w:r w:rsidRPr="009664FD">
        <w:rPr>
          <w:rFonts w:ascii="Times New Roman" w:eastAsia="Times New Roman" w:hAnsi="Times New Roman" w:cs="Times New Roman"/>
          <w:bCs/>
          <w:color w:val="212121"/>
        </w:rPr>
        <w:t>issued an emergency use authorization (EUA) for the investigational monoclonal antibody therapy</w:t>
      </w:r>
      <w:r>
        <w:rPr>
          <w:rFonts w:ascii="Times New Roman" w:eastAsia="Times New Roman" w:hAnsi="Times New Roman" w:cs="Times New Roman"/>
          <w:bCs/>
          <w:color w:val="212121"/>
        </w:rPr>
        <w:t xml:space="preserve">, </w:t>
      </w:r>
      <w:r w:rsidRPr="009664FD">
        <w:rPr>
          <w:rFonts w:ascii="Times New Roman" w:eastAsia="Times New Roman" w:hAnsi="Times New Roman" w:cs="Times New Roman"/>
          <w:bCs/>
          <w:color w:val="212121"/>
        </w:rPr>
        <w:t>sotrovimab</w:t>
      </w:r>
      <w:r w:rsidR="0004403C">
        <w:rPr>
          <w:rFonts w:ascii="Times New Roman" w:eastAsia="Times New Roman" w:hAnsi="Times New Roman" w:cs="Times New Roman"/>
          <w:bCs/>
          <w:color w:val="212121"/>
        </w:rPr>
        <w:t xml:space="preserve">.  DPH is awaiting further guidance from the FDA as to whether this therapy will be available for states to supply providers.  </w:t>
      </w:r>
    </w:p>
  </w:footnote>
  <w:footnote w:id="2">
    <w:p w14:paraId="32742EF5" w14:textId="77777777" w:rsidR="00462716" w:rsidRPr="007B5D74" w:rsidRDefault="00462716" w:rsidP="00462716">
      <w:pPr>
        <w:textAlignment w:val="baseline"/>
        <w:rPr>
          <w:rFonts w:ascii="Calibri" w:eastAsia="Times New Roman" w:hAnsi="Calibri" w:cs="Calibri"/>
          <w:color w:val="000000"/>
          <w:sz w:val="20"/>
          <w:szCs w:val="20"/>
        </w:rPr>
      </w:pPr>
      <w:r>
        <w:rPr>
          <w:rStyle w:val="FootnoteReference"/>
        </w:rPr>
        <w:footnoteRef/>
      </w:r>
      <w:r>
        <w:t xml:space="preserve"> </w:t>
      </w:r>
      <w:r w:rsidRPr="00EA7BA6">
        <w:rPr>
          <w:rFonts w:ascii="Times New Roman" w:eastAsia="Times New Roman" w:hAnsi="Times New Roman" w:cs="Times New Roman"/>
          <w:color w:val="000000"/>
          <w:sz w:val="20"/>
          <w:szCs w:val="20"/>
        </w:rPr>
        <w:t>The prioritization of socially vulnerable patients is based on multiple considerations, including substantially higher risk of hospitalization and death from COVID-19 in these patients and public health considerations that favor mitigating disease in the hardest hit areas.  In the state of Massachusetts, for the two weeks ending November 11, 2020, people from a census tract with SVI &gt;50% represented 60.3% of the total COVID-19 cases (and 46% of the population). People from a census tract with SVI &gt; 75% represented 33.2% of the total cases (and 18.7% of the population).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E4776" w14:textId="30BB278D" w:rsidR="00BC48AA" w:rsidRPr="00C932F0" w:rsidRDefault="004568E2">
    <w:pPr>
      <w:pStyle w:val="Header"/>
      <w:rPr>
        <w:i/>
        <w:iCs/>
      </w:rPr>
    </w:pPr>
    <w:r>
      <w:rPr>
        <w:i/>
        <w:i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94F31"/>
    <w:multiLevelType w:val="hybridMultilevel"/>
    <w:tmpl w:val="001A4C8C"/>
    <w:lvl w:ilvl="0" w:tplc="E9422F60">
      <w:start w:val="1"/>
      <w:numFmt w:val="upperRoman"/>
      <w:lvlText w:val="%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3C7E68"/>
    <w:multiLevelType w:val="multilevel"/>
    <w:tmpl w:val="758847E2"/>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7A4A78"/>
    <w:multiLevelType w:val="hybridMultilevel"/>
    <w:tmpl w:val="B8F4EA16"/>
    <w:lvl w:ilvl="0" w:tplc="88546E16">
      <w:start w:val="3"/>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522845"/>
    <w:multiLevelType w:val="hybridMultilevel"/>
    <w:tmpl w:val="7F5C9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9178B4"/>
    <w:multiLevelType w:val="hybridMultilevel"/>
    <w:tmpl w:val="1F9AD82E"/>
    <w:lvl w:ilvl="0" w:tplc="4066FA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6A5EBE"/>
    <w:multiLevelType w:val="hybridMultilevel"/>
    <w:tmpl w:val="FEE09662"/>
    <w:lvl w:ilvl="0" w:tplc="04E042A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A0A71D8"/>
    <w:multiLevelType w:val="multilevel"/>
    <w:tmpl w:val="78640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F41A6F"/>
    <w:multiLevelType w:val="hybridMultilevel"/>
    <w:tmpl w:val="710A26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B020AF9"/>
    <w:multiLevelType w:val="hybridMultilevel"/>
    <w:tmpl w:val="3EBC26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6003218"/>
    <w:multiLevelType w:val="hybridMultilevel"/>
    <w:tmpl w:val="D9983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3727E0"/>
    <w:multiLevelType w:val="hybridMultilevel"/>
    <w:tmpl w:val="6A629FA2"/>
    <w:lvl w:ilvl="0" w:tplc="76F63A4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454EFF"/>
    <w:multiLevelType w:val="hybridMultilevel"/>
    <w:tmpl w:val="82940BB6"/>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4C411C4"/>
    <w:multiLevelType w:val="hybridMultilevel"/>
    <w:tmpl w:val="A380FB72"/>
    <w:lvl w:ilvl="0" w:tplc="1F763458">
      <w:start w:val="8"/>
      <w:numFmt w:val="bullet"/>
      <w:lvlText w:val=""/>
      <w:lvlJc w:val="left"/>
      <w:pPr>
        <w:ind w:left="720" w:hanging="360"/>
      </w:pPr>
      <w:rPr>
        <w:rFonts w:ascii="Symbol" w:eastAsiaTheme="minorHAnsi" w:hAnsi="Symbol" w:cstheme="minorBidi"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E66C0C"/>
    <w:multiLevelType w:val="hybridMultilevel"/>
    <w:tmpl w:val="C9C87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990439"/>
    <w:multiLevelType w:val="hybridMultilevel"/>
    <w:tmpl w:val="9B0C9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842226"/>
    <w:multiLevelType w:val="multilevel"/>
    <w:tmpl w:val="63345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A42630"/>
    <w:multiLevelType w:val="hybridMultilevel"/>
    <w:tmpl w:val="49B40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5"/>
  </w:num>
  <w:num w:numId="3">
    <w:abstractNumId w:val="3"/>
  </w:num>
  <w:num w:numId="4">
    <w:abstractNumId w:val="10"/>
  </w:num>
  <w:num w:numId="5">
    <w:abstractNumId w:val="14"/>
  </w:num>
  <w:num w:numId="6">
    <w:abstractNumId w:val="2"/>
  </w:num>
  <w:num w:numId="7">
    <w:abstractNumId w:val="11"/>
  </w:num>
  <w:num w:numId="8">
    <w:abstractNumId w:val="4"/>
  </w:num>
  <w:num w:numId="9">
    <w:abstractNumId w:val="0"/>
  </w:num>
  <w:num w:numId="10">
    <w:abstractNumId w:val="1"/>
  </w:num>
  <w:num w:numId="11">
    <w:abstractNumId w:val="13"/>
  </w:num>
  <w:num w:numId="12">
    <w:abstractNumId w:val="5"/>
  </w:num>
  <w:num w:numId="13">
    <w:abstractNumId w:val="12"/>
  </w:num>
  <w:num w:numId="14">
    <w:abstractNumId w:val="16"/>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631"/>
    <w:rsid w:val="00004F5D"/>
    <w:rsid w:val="0004403C"/>
    <w:rsid w:val="00066B18"/>
    <w:rsid w:val="00071207"/>
    <w:rsid w:val="0008674C"/>
    <w:rsid w:val="0009316B"/>
    <w:rsid w:val="00096D6D"/>
    <w:rsid w:val="000A1886"/>
    <w:rsid w:val="000C37CB"/>
    <w:rsid w:val="000F141B"/>
    <w:rsid w:val="000F23A0"/>
    <w:rsid w:val="001024C4"/>
    <w:rsid w:val="00121DF0"/>
    <w:rsid w:val="001226BF"/>
    <w:rsid w:val="001271B2"/>
    <w:rsid w:val="00176AEF"/>
    <w:rsid w:val="001846C0"/>
    <w:rsid w:val="00186EA6"/>
    <w:rsid w:val="001A2DB9"/>
    <w:rsid w:val="001B5021"/>
    <w:rsid w:val="001D6224"/>
    <w:rsid w:val="001E3C46"/>
    <w:rsid w:val="001F39AE"/>
    <w:rsid w:val="001F41C0"/>
    <w:rsid w:val="002065D3"/>
    <w:rsid w:val="00213EC2"/>
    <w:rsid w:val="00215689"/>
    <w:rsid w:val="00221610"/>
    <w:rsid w:val="002324E5"/>
    <w:rsid w:val="00242AEF"/>
    <w:rsid w:val="002621CA"/>
    <w:rsid w:val="002A2677"/>
    <w:rsid w:val="002C6563"/>
    <w:rsid w:val="002E3DFF"/>
    <w:rsid w:val="002F0AE5"/>
    <w:rsid w:val="002F53B0"/>
    <w:rsid w:val="00317A03"/>
    <w:rsid w:val="0036026B"/>
    <w:rsid w:val="0036558B"/>
    <w:rsid w:val="003662FD"/>
    <w:rsid w:val="0037223E"/>
    <w:rsid w:val="00373C6F"/>
    <w:rsid w:val="00373D0E"/>
    <w:rsid w:val="00381047"/>
    <w:rsid w:val="0039046C"/>
    <w:rsid w:val="00393D24"/>
    <w:rsid w:val="0039706D"/>
    <w:rsid w:val="003978B0"/>
    <w:rsid w:val="003A4586"/>
    <w:rsid w:val="003B1103"/>
    <w:rsid w:val="003C4502"/>
    <w:rsid w:val="003D2743"/>
    <w:rsid w:val="003E08B1"/>
    <w:rsid w:val="00400A1E"/>
    <w:rsid w:val="00424A6E"/>
    <w:rsid w:val="00431207"/>
    <w:rsid w:val="004346A1"/>
    <w:rsid w:val="00437991"/>
    <w:rsid w:val="004568E2"/>
    <w:rsid w:val="00456A00"/>
    <w:rsid w:val="00462716"/>
    <w:rsid w:val="00485A98"/>
    <w:rsid w:val="004B16E1"/>
    <w:rsid w:val="004D2560"/>
    <w:rsid w:val="004D3CD6"/>
    <w:rsid w:val="004D6C46"/>
    <w:rsid w:val="004E70E1"/>
    <w:rsid w:val="004F58F5"/>
    <w:rsid w:val="005124E6"/>
    <w:rsid w:val="00520CC6"/>
    <w:rsid w:val="0053252C"/>
    <w:rsid w:val="00564669"/>
    <w:rsid w:val="00572639"/>
    <w:rsid w:val="005A7016"/>
    <w:rsid w:val="005E3BF0"/>
    <w:rsid w:val="005F3812"/>
    <w:rsid w:val="00620D35"/>
    <w:rsid w:val="00622552"/>
    <w:rsid w:val="0064066E"/>
    <w:rsid w:val="00657D00"/>
    <w:rsid w:val="00663876"/>
    <w:rsid w:val="00665B71"/>
    <w:rsid w:val="00666392"/>
    <w:rsid w:val="00671921"/>
    <w:rsid w:val="0067553D"/>
    <w:rsid w:val="00690424"/>
    <w:rsid w:val="006B7C7C"/>
    <w:rsid w:val="006C0184"/>
    <w:rsid w:val="006D0397"/>
    <w:rsid w:val="006D796E"/>
    <w:rsid w:val="00712E23"/>
    <w:rsid w:val="00712E91"/>
    <w:rsid w:val="0071401B"/>
    <w:rsid w:val="00737DF8"/>
    <w:rsid w:val="00741237"/>
    <w:rsid w:val="00752AEA"/>
    <w:rsid w:val="00756BA0"/>
    <w:rsid w:val="0075716F"/>
    <w:rsid w:val="00772EB4"/>
    <w:rsid w:val="00777479"/>
    <w:rsid w:val="007803DE"/>
    <w:rsid w:val="00781DC3"/>
    <w:rsid w:val="00781E6A"/>
    <w:rsid w:val="007936B6"/>
    <w:rsid w:val="007B44DB"/>
    <w:rsid w:val="007B5D74"/>
    <w:rsid w:val="007D2931"/>
    <w:rsid w:val="007E6B83"/>
    <w:rsid w:val="007F0538"/>
    <w:rsid w:val="007F0CE6"/>
    <w:rsid w:val="007F57BC"/>
    <w:rsid w:val="00807CAB"/>
    <w:rsid w:val="00842DB0"/>
    <w:rsid w:val="00854E7E"/>
    <w:rsid w:val="008605B7"/>
    <w:rsid w:val="00866FCC"/>
    <w:rsid w:val="008738D1"/>
    <w:rsid w:val="008A0024"/>
    <w:rsid w:val="008C54A1"/>
    <w:rsid w:val="008E3070"/>
    <w:rsid w:val="008F4968"/>
    <w:rsid w:val="00901AEC"/>
    <w:rsid w:val="00903652"/>
    <w:rsid w:val="009048B7"/>
    <w:rsid w:val="009212FA"/>
    <w:rsid w:val="00944C73"/>
    <w:rsid w:val="009516D6"/>
    <w:rsid w:val="00953DC8"/>
    <w:rsid w:val="00956631"/>
    <w:rsid w:val="0095730E"/>
    <w:rsid w:val="00964498"/>
    <w:rsid w:val="009664FD"/>
    <w:rsid w:val="00966EA9"/>
    <w:rsid w:val="009675ED"/>
    <w:rsid w:val="009831C4"/>
    <w:rsid w:val="009946BF"/>
    <w:rsid w:val="00997DAE"/>
    <w:rsid w:val="009E430C"/>
    <w:rsid w:val="00A01A42"/>
    <w:rsid w:val="00A07F16"/>
    <w:rsid w:val="00A37DB2"/>
    <w:rsid w:val="00A53C4E"/>
    <w:rsid w:val="00A8264F"/>
    <w:rsid w:val="00A85F30"/>
    <w:rsid w:val="00A95CB3"/>
    <w:rsid w:val="00AA5345"/>
    <w:rsid w:val="00AB1DB7"/>
    <w:rsid w:val="00AB33FD"/>
    <w:rsid w:val="00AD0CA5"/>
    <w:rsid w:val="00AD2BFF"/>
    <w:rsid w:val="00AE12F9"/>
    <w:rsid w:val="00AF499B"/>
    <w:rsid w:val="00B02CC8"/>
    <w:rsid w:val="00B11C6C"/>
    <w:rsid w:val="00B1556F"/>
    <w:rsid w:val="00B1599C"/>
    <w:rsid w:val="00B4613C"/>
    <w:rsid w:val="00B57994"/>
    <w:rsid w:val="00B6110F"/>
    <w:rsid w:val="00BB13F6"/>
    <w:rsid w:val="00BC48AA"/>
    <w:rsid w:val="00BC6772"/>
    <w:rsid w:val="00BC6EAF"/>
    <w:rsid w:val="00C137EF"/>
    <w:rsid w:val="00C53BDA"/>
    <w:rsid w:val="00C86CE1"/>
    <w:rsid w:val="00C932F0"/>
    <w:rsid w:val="00C949EA"/>
    <w:rsid w:val="00C96F8B"/>
    <w:rsid w:val="00CA0FE8"/>
    <w:rsid w:val="00CA2EF9"/>
    <w:rsid w:val="00CB2153"/>
    <w:rsid w:val="00CB2AB6"/>
    <w:rsid w:val="00CC6F33"/>
    <w:rsid w:val="00CC76E5"/>
    <w:rsid w:val="00CD19AE"/>
    <w:rsid w:val="00CF5044"/>
    <w:rsid w:val="00D0109A"/>
    <w:rsid w:val="00D11F54"/>
    <w:rsid w:val="00D17B4D"/>
    <w:rsid w:val="00D314B0"/>
    <w:rsid w:val="00D371EF"/>
    <w:rsid w:val="00D464B8"/>
    <w:rsid w:val="00D66D54"/>
    <w:rsid w:val="00D822C9"/>
    <w:rsid w:val="00DD4A74"/>
    <w:rsid w:val="00DE7CE6"/>
    <w:rsid w:val="00DF02C9"/>
    <w:rsid w:val="00E14334"/>
    <w:rsid w:val="00E14EFC"/>
    <w:rsid w:val="00E23B38"/>
    <w:rsid w:val="00E3024F"/>
    <w:rsid w:val="00E322B3"/>
    <w:rsid w:val="00E758BA"/>
    <w:rsid w:val="00E81BC5"/>
    <w:rsid w:val="00E90D7D"/>
    <w:rsid w:val="00EA7BA6"/>
    <w:rsid w:val="00EC78ED"/>
    <w:rsid w:val="00ED1F36"/>
    <w:rsid w:val="00ED22F6"/>
    <w:rsid w:val="00ED7AE2"/>
    <w:rsid w:val="00EE2CC9"/>
    <w:rsid w:val="00EE5CB5"/>
    <w:rsid w:val="00EE7DFD"/>
    <w:rsid w:val="00F030BC"/>
    <w:rsid w:val="00F031E1"/>
    <w:rsid w:val="00F05A16"/>
    <w:rsid w:val="00F127E7"/>
    <w:rsid w:val="00F41035"/>
    <w:rsid w:val="00F6073A"/>
    <w:rsid w:val="00F646D6"/>
    <w:rsid w:val="00F73077"/>
    <w:rsid w:val="00F82956"/>
    <w:rsid w:val="00F917EB"/>
    <w:rsid w:val="00F9313A"/>
    <w:rsid w:val="00FB1056"/>
    <w:rsid w:val="00FC49D6"/>
    <w:rsid w:val="00FC57BB"/>
    <w:rsid w:val="00FD24CF"/>
    <w:rsid w:val="00FE0C46"/>
    <w:rsid w:val="00FF0122"/>
    <w:rsid w:val="00FF4060"/>
    <w:rsid w:val="00FF5F15"/>
    <w:rsid w:val="00FF6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33EF2"/>
  <w15:docId w15:val="{2FA704C9-F5AE-4CF3-828C-00A842D1D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6631"/>
    <w:pPr>
      <w:ind w:left="720"/>
      <w:contextualSpacing/>
    </w:pPr>
  </w:style>
  <w:style w:type="paragraph" w:styleId="Header">
    <w:name w:val="header"/>
    <w:basedOn w:val="Normal"/>
    <w:link w:val="HeaderChar"/>
    <w:uiPriority w:val="99"/>
    <w:unhideWhenUsed/>
    <w:rsid w:val="00C932F0"/>
    <w:pPr>
      <w:tabs>
        <w:tab w:val="center" w:pos="4680"/>
        <w:tab w:val="right" w:pos="9360"/>
      </w:tabs>
    </w:pPr>
  </w:style>
  <w:style w:type="character" w:customStyle="1" w:styleId="HeaderChar">
    <w:name w:val="Header Char"/>
    <w:basedOn w:val="DefaultParagraphFont"/>
    <w:link w:val="Header"/>
    <w:uiPriority w:val="99"/>
    <w:rsid w:val="00C932F0"/>
  </w:style>
  <w:style w:type="paragraph" w:styleId="Footer">
    <w:name w:val="footer"/>
    <w:basedOn w:val="Normal"/>
    <w:link w:val="FooterChar"/>
    <w:uiPriority w:val="99"/>
    <w:unhideWhenUsed/>
    <w:rsid w:val="00C932F0"/>
    <w:pPr>
      <w:tabs>
        <w:tab w:val="center" w:pos="4680"/>
        <w:tab w:val="right" w:pos="9360"/>
      </w:tabs>
    </w:pPr>
  </w:style>
  <w:style w:type="character" w:customStyle="1" w:styleId="FooterChar">
    <w:name w:val="Footer Char"/>
    <w:basedOn w:val="DefaultParagraphFont"/>
    <w:link w:val="Footer"/>
    <w:uiPriority w:val="99"/>
    <w:rsid w:val="00C932F0"/>
  </w:style>
  <w:style w:type="character" w:styleId="Hyperlink">
    <w:name w:val="Hyperlink"/>
    <w:basedOn w:val="DefaultParagraphFont"/>
    <w:uiPriority w:val="99"/>
    <w:unhideWhenUsed/>
    <w:rsid w:val="00F030BC"/>
    <w:rPr>
      <w:color w:val="0563C1" w:themeColor="hyperlink"/>
      <w:u w:val="single"/>
    </w:rPr>
  </w:style>
  <w:style w:type="character" w:customStyle="1" w:styleId="UnresolvedMention1">
    <w:name w:val="Unresolved Mention1"/>
    <w:basedOn w:val="DefaultParagraphFont"/>
    <w:uiPriority w:val="99"/>
    <w:semiHidden/>
    <w:unhideWhenUsed/>
    <w:rsid w:val="00F030BC"/>
    <w:rPr>
      <w:color w:val="605E5C"/>
      <w:shd w:val="clear" w:color="auto" w:fill="E1DFDD"/>
    </w:rPr>
  </w:style>
  <w:style w:type="character" w:styleId="FollowedHyperlink">
    <w:name w:val="FollowedHyperlink"/>
    <w:basedOn w:val="DefaultParagraphFont"/>
    <w:uiPriority w:val="99"/>
    <w:semiHidden/>
    <w:unhideWhenUsed/>
    <w:rsid w:val="00F030BC"/>
    <w:rPr>
      <w:color w:val="954F72" w:themeColor="followedHyperlink"/>
      <w:u w:val="single"/>
    </w:rPr>
  </w:style>
  <w:style w:type="character" w:styleId="PageNumber">
    <w:name w:val="page number"/>
    <w:basedOn w:val="DefaultParagraphFont"/>
    <w:uiPriority w:val="99"/>
    <w:semiHidden/>
    <w:unhideWhenUsed/>
    <w:rsid w:val="002621CA"/>
  </w:style>
  <w:style w:type="paragraph" w:styleId="NormalWeb">
    <w:name w:val="Normal (Web)"/>
    <w:basedOn w:val="Normal"/>
    <w:uiPriority w:val="99"/>
    <w:unhideWhenUsed/>
    <w:rsid w:val="00ED1F36"/>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6C018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C0184"/>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F05A16"/>
    <w:rPr>
      <w:sz w:val="16"/>
      <w:szCs w:val="16"/>
    </w:rPr>
  </w:style>
  <w:style w:type="paragraph" w:styleId="CommentText">
    <w:name w:val="annotation text"/>
    <w:basedOn w:val="Normal"/>
    <w:link w:val="CommentTextChar"/>
    <w:uiPriority w:val="99"/>
    <w:semiHidden/>
    <w:unhideWhenUsed/>
    <w:rsid w:val="00F05A16"/>
    <w:rPr>
      <w:sz w:val="20"/>
      <w:szCs w:val="20"/>
    </w:rPr>
  </w:style>
  <w:style w:type="character" w:customStyle="1" w:styleId="CommentTextChar">
    <w:name w:val="Comment Text Char"/>
    <w:basedOn w:val="DefaultParagraphFont"/>
    <w:link w:val="CommentText"/>
    <w:uiPriority w:val="99"/>
    <w:semiHidden/>
    <w:rsid w:val="00F05A16"/>
    <w:rPr>
      <w:sz w:val="20"/>
      <w:szCs w:val="20"/>
    </w:rPr>
  </w:style>
  <w:style w:type="paragraph" w:styleId="CommentSubject">
    <w:name w:val="annotation subject"/>
    <w:basedOn w:val="CommentText"/>
    <w:next w:val="CommentText"/>
    <w:link w:val="CommentSubjectChar"/>
    <w:uiPriority w:val="99"/>
    <w:semiHidden/>
    <w:unhideWhenUsed/>
    <w:rsid w:val="00F05A16"/>
    <w:rPr>
      <w:b/>
      <w:bCs/>
    </w:rPr>
  </w:style>
  <w:style w:type="character" w:customStyle="1" w:styleId="CommentSubjectChar">
    <w:name w:val="Comment Subject Char"/>
    <w:basedOn w:val="CommentTextChar"/>
    <w:link w:val="CommentSubject"/>
    <w:uiPriority w:val="99"/>
    <w:semiHidden/>
    <w:rsid w:val="00F05A16"/>
    <w:rPr>
      <w:b/>
      <w:bCs/>
      <w:sz w:val="20"/>
      <w:szCs w:val="20"/>
    </w:rPr>
  </w:style>
  <w:style w:type="paragraph" w:styleId="FootnoteText">
    <w:name w:val="footnote text"/>
    <w:basedOn w:val="Normal"/>
    <w:link w:val="FootnoteTextChar"/>
    <w:uiPriority w:val="99"/>
    <w:semiHidden/>
    <w:unhideWhenUsed/>
    <w:rsid w:val="004D3CD6"/>
    <w:rPr>
      <w:sz w:val="20"/>
      <w:szCs w:val="20"/>
    </w:rPr>
  </w:style>
  <w:style w:type="character" w:customStyle="1" w:styleId="FootnoteTextChar">
    <w:name w:val="Footnote Text Char"/>
    <w:basedOn w:val="DefaultParagraphFont"/>
    <w:link w:val="FootnoteText"/>
    <w:uiPriority w:val="99"/>
    <w:semiHidden/>
    <w:rsid w:val="004D3CD6"/>
    <w:rPr>
      <w:sz w:val="20"/>
      <w:szCs w:val="20"/>
    </w:rPr>
  </w:style>
  <w:style w:type="character" w:styleId="FootnoteReference">
    <w:name w:val="footnote reference"/>
    <w:basedOn w:val="DefaultParagraphFont"/>
    <w:uiPriority w:val="99"/>
    <w:semiHidden/>
    <w:unhideWhenUsed/>
    <w:rsid w:val="004D3CD6"/>
    <w:rPr>
      <w:vertAlign w:val="superscript"/>
    </w:rPr>
  </w:style>
  <w:style w:type="character" w:customStyle="1" w:styleId="UnresolvedMention2">
    <w:name w:val="Unresolved Mention2"/>
    <w:basedOn w:val="DefaultParagraphFont"/>
    <w:uiPriority w:val="99"/>
    <w:semiHidden/>
    <w:unhideWhenUsed/>
    <w:rsid w:val="00966EA9"/>
    <w:rPr>
      <w:color w:val="605E5C"/>
      <w:shd w:val="clear" w:color="auto" w:fill="E1DFDD"/>
    </w:rPr>
  </w:style>
  <w:style w:type="character" w:styleId="Strong">
    <w:name w:val="Strong"/>
    <w:basedOn w:val="DefaultParagraphFont"/>
    <w:uiPriority w:val="22"/>
    <w:qFormat/>
    <w:rsid w:val="009664FD"/>
    <w:rPr>
      <w:b/>
      <w:bCs/>
    </w:rPr>
  </w:style>
  <w:style w:type="character" w:styleId="UnresolvedMention">
    <w:name w:val="Unresolved Mention"/>
    <w:basedOn w:val="DefaultParagraphFont"/>
    <w:uiPriority w:val="99"/>
    <w:semiHidden/>
    <w:unhideWhenUsed/>
    <w:rsid w:val="00DD4A7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840568">
      <w:bodyDiv w:val="1"/>
      <w:marLeft w:val="0"/>
      <w:marRight w:val="0"/>
      <w:marTop w:val="0"/>
      <w:marBottom w:val="0"/>
      <w:divBdr>
        <w:top w:val="none" w:sz="0" w:space="0" w:color="auto"/>
        <w:left w:val="none" w:sz="0" w:space="0" w:color="auto"/>
        <w:bottom w:val="none" w:sz="0" w:space="0" w:color="auto"/>
        <w:right w:val="none" w:sz="0" w:space="0" w:color="auto"/>
      </w:divBdr>
      <w:divsChild>
        <w:div w:id="160970572">
          <w:marLeft w:val="0"/>
          <w:marRight w:val="0"/>
          <w:marTop w:val="0"/>
          <w:marBottom w:val="0"/>
          <w:divBdr>
            <w:top w:val="none" w:sz="0" w:space="0" w:color="auto"/>
            <w:left w:val="none" w:sz="0" w:space="0" w:color="auto"/>
            <w:bottom w:val="none" w:sz="0" w:space="0" w:color="auto"/>
            <w:right w:val="none" w:sz="0" w:space="0" w:color="auto"/>
          </w:divBdr>
          <w:divsChild>
            <w:div w:id="1375497941">
              <w:marLeft w:val="0"/>
              <w:marRight w:val="0"/>
              <w:marTop w:val="0"/>
              <w:marBottom w:val="0"/>
              <w:divBdr>
                <w:top w:val="none" w:sz="0" w:space="0" w:color="auto"/>
                <w:left w:val="none" w:sz="0" w:space="0" w:color="auto"/>
                <w:bottom w:val="none" w:sz="0" w:space="0" w:color="auto"/>
                <w:right w:val="none" w:sz="0" w:space="0" w:color="auto"/>
              </w:divBdr>
              <w:divsChild>
                <w:div w:id="93325578">
                  <w:marLeft w:val="0"/>
                  <w:marRight w:val="0"/>
                  <w:marTop w:val="0"/>
                  <w:marBottom w:val="0"/>
                  <w:divBdr>
                    <w:top w:val="none" w:sz="0" w:space="0" w:color="auto"/>
                    <w:left w:val="none" w:sz="0" w:space="0" w:color="auto"/>
                    <w:bottom w:val="none" w:sz="0" w:space="0" w:color="auto"/>
                    <w:right w:val="none" w:sz="0" w:space="0" w:color="auto"/>
                  </w:divBdr>
                  <w:divsChild>
                    <w:div w:id="10839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10495">
      <w:bodyDiv w:val="1"/>
      <w:marLeft w:val="0"/>
      <w:marRight w:val="0"/>
      <w:marTop w:val="0"/>
      <w:marBottom w:val="0"/>
      <w:divBdr>
        <w:top w:val="none" w:sz="0" w:space="0" w:color="auto"/>
        <w:left w:val="none" w:sz="0" w:space="0" w:color="auto"/>
        <w:bottom w:val="none" w:sz="0" w:space="0" w:color="auto"/>
        <w:right w:val="none" w:sz="0" w:space="0" w:color="auto"/>
      </w:divBdr>
    </w:div>
    <w:div w:id="237323485">
      <w:bodyDiv w:val="1"/>
      <w:marLeft w:val="0"/>
      <w:marRight w:val="0"/>
      <w:marTop w:val="0"/>
      <w:marBottom w:val="0"/>
      <w:divBdr>
        <w:top w:val="none" w:sz="0" w:space="0" w:color="auto"/>
        <w:left w:val="none" w:sz="0" w:space="0" w:color="auto"/>
        <w:bottom w:val="none" w:sz="0" w:space="0" w:color="auto"/>
        <w:right w:val="none" w:sz="0" w:space="0" w:color="auto"/>
      </w:divBdr>
    </w:div>
    <w:div w:id="562788399">
      <w:bodyDiv w:val="1"/>
      <w:marLeft w:val="0"/>
      <w:marRight w:val="0"/>
      <w:marTop w:val="0"/>
      <w:marBottom w:val="0"/>
      <w:divBdr>
        <w:top w:val="none" w:sz="0" w:space="0" w:color="auto"/>
        <w:left w:val="none" w:sz="0" w:space="0" w:color="auto"/>
        <w:bottom w:val="none" w:sz="0" w:space="0" w:color="auto"/>
        <w:right w:val="none" w:sz="0" w:space="0" w:color="auto"/>
      </w:divBdr>
    </w:div>
    <w:div w:id="721714752">
      <w:bodyDiv w:val="1"/>
      <w:marLeft w:val="0"/>
      <w:marRight w:val="0"/>
      <w:marTop w:val="0"/>
      <w:marBottom w:val="0"/>
      <w:divBdr>
        <w:top w:val="none" w:sz="0" w:space="0" w:color="auto"/>
        <w:left w:val="none" w:sz="0" w:space="0" w:color="auto"/>
        <w:bottom w:val="none" w:sz="0" w:space="0" w:color="auto"/>
        <w:right w:val="none" w:sz="0" w:space="0" w:color="auto"/>
      </w:divBdr>
    </w:div>
    <w:div w:id="1342010382">
      <w:bodyDiv w:val="1"/>
      <w:marLeft w:val="0"/>
      <w:marRight w:val="0"/>
      <w:marTop w:val="0"/>
      <w:marBottom w:val="0"/>
      <w:divBdr>
        <w:top w:val="none" w:sz="0" w:space="0" w:color="auto"/>
        <w:left w:val="none" w:sz="0" w:space="0" w:color="auto"/>
        <w:bottom w:val="none" w:sz="0" w:space="0" w:color="auto"/>
        <w:right w:val="none" w:sz="0" w:space="0" w:color="auto"/>
      </w:divBdr>
      <w:divsChild>
        <w:div w:id="1434402948">
          <w:marLeft w:val="0"/>
          <w:marRight w:val="0"/>
          <w:marTop w:val="0"/>
          <w:marBottom w:val="0"/>
          <w:divBdr>
            <w:top w:val="none" w:sz="0" w:space="0" w:color="auto"/>
            <w:left w:val="none" w:sz="0" w:space="0" w:color="auto"/>
            <w:bottom w:val="none" w:sz="0" w:space="0" w:color="auto"/>
            <w:right w:val="none" w:sz="0" w:space="0" w:color="auto"/>
          </w:divBdr>
          <w:divsChild>
            <w:div w:id="892348317">
              <w:marLeft w:val="0"/>
              <w:marRight w:val="0"/>
              <w:marTop w:val="0"/>
              <w:marBottom w:val="0"/>
              <w:divBdr>
                <w:top w:val="none" w:sz="0" w:space="0" w:color="auto"/>
                <w:left w:val="none" w:sz="0" w:space="0" w:color="auto"/>
                <w:bottom w:val="none" w:sz="0" w:space="0" w:color="auto"/>
                <w:right w:val="none" w:sz="0" w:space="0" w:color="auto"/>
              </w:divBdr>
            </w:div>
          </w:divsChild>
        </w:div>
        <w:div w:id="277224432">
          <w:marLeft w:val="0"/>
          <w:marRight w:val="0"/>
          <w:marTop w:val="0"/>
          <w:marBottom w:val="0"/>
          <w:divBdr>
            <w:top w:val="none" w:sz="0" w:space="0" w:color="auto"/>
            <w:left w:val="none" w:sz="0" w:space="0" w:color="auto"/>
            <w:bottom w:val="none" w:sz="0" w:space="0" w:color="auto"/>
            <w:right w:val="none" w:sz="0" w:space="0" w:color="auto"/>
          </w:divBdr>
        </w:div>
        <w:div w:id="1246955845">
          <w:marLeft w:val="0"/>
          <w:marRight w:val="0"/>
          <w:marTop w:val="0"/>
          <w:marBottom w:val="0"/>
          <w:divBdr>
            <w:top w:val="none" w:sz="0" w:space="0" w:color="auto"/>
            <w:left w:val="none" w:sz="0" w:space="0" w:color="auto"/>
            <w:bottom w:val="none" w:sz="0" w:space="0" w:color="auto"/>
            <w:right w:val="none" w:sz="0" w:space="0" w:color="auto"/>
          </w:divBdr>
        </w:div>
        <w:div w:id="386496211">
          <w:marLeft w:val="0"/>
          <w:marRight w:val="0"/>
          <w:marTop w:val="0"/>
          <w:marBottom w:val="0"/>
          <w:divBdr>
            <w:top w:val="none" w:sz="0" w:space="0" w:color="auto"/>
            <w:left w:val="none" w:sz="0" w:space="0" w:color="auto"/>
            <w:bottom w:val="none" w:sz="0" w:space="0" w:color="auto"/>
            <w:right w:val="none" w:sz="0" w:space="0" w:color="auto"/>
          </w:divBdr>
        </w:div>
        <w:div w:id="597181177">
          <w:marLeft w:val="0"/>
          <w:marRight w:val="0"/>
          <w:marTop w:val="0"/>
          <w:marBottom w:val="0"/>
          <w:divBdr>
            <w:top w:val="none" w:sz="0" w:space="0" w:color="auto"/>
            <w:left w:val="none" w:sz="0" w:space="0" w:color="auto"/>
            <w:bottom w:val="none" w:sz="0" w:space="0" w:color="auto"/>
            <w:right w:val="none" w:sz="0" w:space="0" w:color="auto"/>
          </w:divBdr>
        </w:div>
        <w:div w:id="1981229656">
          <w:marLeft w:val="0"/>
          <w:marRight w:val="0"/>
          <w:marTop w:val="0"/>
          <w:marBottom w:val="0"/>
          <w:divBdr>
            <w:top w:val="none" w:sz="0" w:space="0" w:color="auto"/>
            <w:left w:val="none" w:sz="0" w:space="0" w:color="auto"/>
            <w:bottom w:val="none" w:sz="0" w:space="0" w:color="auto"/>
            <w:right w:val="none" w:sz="0" w:space="0" w:color="auto"/>
          </w:divBdr>
        </w:div>
        <w:div w:id="254556763">
          <w:marLeft w:val="0"/>
          <w:marRight w:val="0"/>
          <w:marTop w:val="0"/>
          <w:marBottom w:val="0"/>
          <w:divBdr>
            <w:top w:val="none" w:sz="0" w:space="0" w:color="auto"/>
            <w:left w:val="none" w:sz="0" w:space="0" w:color="auto"/>
            <w:bottom w:val="none" w:sz="0" w:space="0" w:color="auto"/>
            <w:right w:val="none" w:sz="0" w:space="0" w:color="auto"/>
          </w:divBdr>
        </w:div>
        <w:div w:id="1617566708">
          <w:marLeft w:val="0"/>
          <w:marRight w:val="0"/>
          <w:marTop w:val="0"/>
          <w:marBottom w:val="0"/>
          <w:divBdr>
            <w:top w:val="none" w:sz="0" w:space="0" w:color="auto"/>
            <w:left w:val="none" w:sz="0" w:space="0" w:color="auto"/>
            <w:bottom w:val="none" w:sz="0" w:space="0" w:color="auto"/>
            <w:right w:val="none" w:sz="0" w:space="0" w:color="auto"/>
          </w:divBdr>
        </w:div>
        <w:div w:id="2059161481">
          <w:marLeft w:val="0"/>
          <w:marRight w:val="0"/>
          <w:marTop w:val="0"/>
          <w:marBottom w:val="0"/>
          <w:divBdr>
            <w:top w:val="none" w:sz="0" w:space="0" w:color="auto"/>
            <w:left w:val="none" w:sz="0" w:space="0" w:color="auto"/>
            <w:bottom w:val="none" w:sz="0" w:space="0" w:color="auto"/>
            <w:right w:val="none" w:sz="0" w:space="0" w:color="auto"/>
          </w:divBdr>
        </w:div>
        <w:div w:id="1722249684">
          <w:marLeft w:val="0"/>
          <w:marRight w:val="0"/>
          <w:marTop w:val="0"/>
          <w:marBottom w:val="0"/>
          <w:divBdr>
            <w:top w:val="none" w:sz="0" w:space="0" w:color="auto"/>
            <w:left w:val="none" w:sz="0" w:space="0" w:color="auto"/>
            <w:bottom w:val="none" w:sz="0" w:space="0" w:color="auto"/>
            <w:right w:val="none" w:sz="0" w:space="0" w:color="auto"/>
          </w:divBdr>
        </w:div>
        <w:div w:id="1804034340">
          <w:marLeft w:val="0"/>
          <w:marRight w:val="0"/>
          <w:marTop w:val="0"/>
          <w:marBottom w:val="0"/>
          <w:divBdr>
            <w:top w:val="none" w:sz="0" w:space="0" w:color="auto"/>
            <w:left w:val="none" w:sz="0" w:space="0" w:color="auto"/>
            <w:bottom w:val="none" w:sz="0" w:space="0" w:color="auto"/>
            <w:right w:val="none" w:sz="0" w:space="0" w:color="auto"/>
          </w:divBdr>
        </w:div>
      </w:divsChild>
    </w:div>
    <w:div w:id="1358311012">
      <w:bodyDiv w:val="1"/>
      <w:marLeft w:val="0"/>
      <w:marRight w:val="0"/>
      <w:marTop w:val="0"/>
      <w:marBottom w:val="0"/>
      <w:divBdr>
        <w:top w:val="none" w:sz="0" w:space="0" w:color="auto"/>
        <w:left w:val="none" w:sz="0" w:space="0" w:color="auto"/>
        <w:bottom w:val="none" w:sz="0" w:space="0" w:color="auto"/>
        <w:right w:val="none" w:sz="0" w:space="0" w:color="auto"/>
      </w:divBdr>
    </w:div>
    <w:div w:id="1468083149">
      <w:bodyDiv w:val="1"/>
      <w:marLeft w:val="0"/>
      <w:marRight w:val="0"/>
      <w:marTop w:val="0"/>
      <w:marBottom w:val="0"/>
      <w:divBdr>
        <w:top w:val="none" w:sz="0" w:space="0" w:color="auto"/>
        <w:left w:val="none" w:sz="0" w:space="0" w:color="auto"/>
        <w:bottom w:val="none" w:sz="0" w:space="0" w:color="auto"/>
        <w:right w:val="none" w:sz="0" w:space="0" w:color="auto"/>
      </w:divBdr>
    </w:div>
    <w:div w:id="204559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rotect-public.hhs.gov/pages/therapeutics-distribut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vid19.resource.request@mass.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VID19.RESOURCE.REQUEST@Mass.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fda.gov/emergency-preparedness-and-response/mcm-legal-regulatory-and-policy-framework/emergency-use-authorization" TargetMode="External"/><Relationship Id="rId4" Type="http://schemas.openxmlformats.org/officeDocument/2006/relationships/settings" Target="settings.xml"/><Relationship Id="rId9" Type="http://schemas.openxmlformats.org/officeDocument/2006/relationships/hyperlink" Target="https://www.fda.gov/emergency-preparedness-and-response/mcm-legal-regulatory-and-policy-framework/emergency-use-authorization" TargetMode="External"/><Relationship Id="rId14" Type="http://schemas.openxmlformats.org/officeDocument/2006/relationships/header" Target="header1.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F428F-8C44-4BB4-AB20-2CCA4BDA4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1660</Words>
  <Characters>9465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DPH</dc:creator>
  <cp:lastModifiedBy>Fillo, Katherine (DPH)</cp:lastModifiedBy>
  <cp:revision>2</cp:revision>
  <dcterms:created xsi:type="dcterms:W3CDTF">2021-10-01T14:07:00Z</dcterms:created>
  <dcterms:modified xsi:type="dcterms:W3CDTF">2021-10-01T14:07:00Z</dcterms:modified>
</cp:coreProperties>
</file>