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ACF0" w14:textId="77777777" w:rsidR="00FD1B30" w:rsidRDefault="00FD1B30">
      <w:pPr>
        <w:pStyle w:val="Title"/>
      </w:pPr>
      <w:r>
        <w:t>COMMONWEALTH OF MASSACHUSETTS</w:t>
      </w:r>
    </w:p>
    <w:p w14:paraId="2BD0C22A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672A6659" w14:textId="77777777" w:rsidR="00FD1B30" w:rsidRDefault="00FD1B30">
      <w:pPr>
        <w:rPr>
          <w:sz w:val="24"/>
        </w:rPr>
      </w:pPr>
    </w:p>
    <w:p w14:paraId="0B72DF87" w14:textId="6FC98253" w:rsidR="00FD1B30" w:rsidRDefault="00FD1B30" w:rsidP="399FBD1B">
      <w:pPr>
        <w:rPr>
          <w:sz w:val="24"/>
          <w:szCs w:val="24"/>
        </w:rPr>
      </w:pPr>
      <w:r w:rsidRPr="76D46868">
        <w:rPr>
          <w:sz w:val="24"/>
          <w:szCs w:val="24"/>
        </w:rP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D46868">
        <w:rPr>
          <w:sz w:val="24"/>
          <w:szCs w:val="24"/>
        </w:rPr>
        <w:t>Adjudicatory Case No.</w:t>
      </w:r>
      <w:r w:rsidR="0022116E" w:rsidRPr="76D46868">
        <w:rPr>
          <w:sz w:val="24"/>
          <w:szCs w:val="24"/>
        </w:rPr>
        <w:t xml:space="preserve"> </w:t>
      </w:r>
      <w:r w:rsidR="00661E54">
        <w:rPr>
          <w:sz w:val="24"/>
          <w:szCs w:val="24"/>
        </w:rPr>
        <w:t>2020-035</w:t>
      </w:r>
    </w:p>
    <w:p w14:paraId="6CB0FEDE" w14:textId="026F3E60" w:rsidR="00FD1B30" w:rsidRDefault="399FBD1B" w:rsidP="76D46868">
      <w:pPr>
        <w:ind w:left="5040" w:firstLine="720"/>
        <w:rPr>
          <w:sz w:val="24"/>
          <w:szCs w:val="24"/>
        </w:rPr>
      </w:pPr>
      <w:r w:rsidRPr="76D46868">
        <w:rPr>
          <w:sz w:val="24"/>
          <w:szCs w:val="24"/>
        </w:rPr>
        <w:t>(RM-</w:t>
      </w:r>
      <w:r w:rsidR="00661E54">
        <w:rPr>
          <w:sz w:val="24"/>
          <w:szCs w:val="24"/>
        </w:rPr>
        <w:t>20</w:t>
      </w:r>
      <w:r w:rsidRPr="76D46868">
        <w:rPr>
          <w:sz w:val="24"/>
          <w:szCs w:val="24"/>
        </w:rPr>
        <w:t>-</w:t>
      </w:r>
      <w:r w:rsidR="00661E54">
        <w:rPr>
          <w:sz w:val="24"/>
          <w:szCs w:val="24"/>
        </w:rPr>
        <w:t>0300</w:t>
      </w:r>
      <w:r w:rsidRPr="76D46868">
        <w:rPr>
          <w:sz w:val="24"/>
          <w:szCs w:val="24"/>
        </w:rPr>
        <w:t>)</w:t>
      </w:r>
    </w:p>
    <w:p w14:paraId="5DAB6C7B" w14:textId="77777777" w:rsidR="00FD1B30" w:rsidRDefault="00FD1B30" w:rsidP="76D46868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D49DFA7" w14:textId="4D570F57" w:rsidR="00FD1B30" w:rsidRDefault="00FD1B30" w:rsidP="399FBD1B">
      <w:pPr>
        <w:rPr>
          <w:sz w:val="24"/>
          <w:szCs w:val="24"/>
        </w:rPr>
      </w:pPr>
      <w:r w:rsidRPr="399FBD1B">
        <w:rPr>
          <w:sz w:val="24"/>
          <w:szCs w:val="24"/>
        </w:rPr>
        <w:t>____________________________</w:t>
      </w:r>
    </w:p>
    <w:p w14:paraId="2CEAEE8A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6BD5E67" w14:textId="589D5B9E" w:rsidR="00FD1B30" w:rsidRDefault="00FD1B30" w:rsidP="00471C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80"/>
        </w:tabs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 w:rsidR="00471C55">
        <w:rPr>
          <w:sz w:val="24"/>
        </w:rPr>
        <w:tab/>
      </w:r>
      <w:r w:rsidR="00471C55">
        <w:rPr>
          <w:sz w:val="24"/>
        </w:rPr>
        <w:tab/>
        <w:t xml:space="preserve">      </w:t>
      </w:r>
      <w:r w:rsidR="00471C55" w:rsidRPr="00471C55">
        <w:rPr>
          <w:b/>
          <w:bCs/>
          <w:sz w:val="24"/>
          <w:u w:val="single"/>
        </w:rPr>
        <w:t>AMENDED</w:t>
      </w:r>
    </w:p>
    <w:p w14:paraId="5E17111D" w14:textId="7FA1E0F9" w:rsidR="00FD1B30" w:rsidRDefault="00FD1B30" w:rsidP="399FBD1B">
      <w:pPr>
        <w:rPr>
          <w:b/>
          <w:bCs/>
          <w:sz w:val="24"/>
          <w:szCs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399FBD1B">
        <w:rPr>
          <w:sz w:val="24"/>
          <w:szCs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 w:rsidR="399FBD1B" w:rsidRPr="399FBD1B">
        <w:rPr>
          <w:b/>
          <w:bCs/>
          <w:sz w:val="24"/>
          <w:szCs w:val="24"/>
          <w:u w:val="single"/>
        </w:rPr>
        <w:t>FINAL DECISION AND ORDER</w:t>
      </w:r>
    </w:p>
    <w:p w14:paraId="4B42A2A9" w14:textId="1AA9E678" w:rsidR="00FD1B30" w:rsidRDefault="00661E54" w:rsidP="399FBD1B">
      <w:pPr>
        <w:rPr>
          <w:sz w:val="24"/>
          <w:szCs w:val="24"/>
        </w:rPr>
      </w:pPr>
      <w:r>
        <w:rPr>
          <w:sz w:val="24"/>
          <w:szCs w:val="24"/>
        </w:rPr>
        <w:t xml:space="preserve">Flora S. </w:t>
      </w:r>
      <w:proofErr w:type="spellStart"/>
      <w:r>
        <w:rPr>
          <w:sz w:val="24"/>
          <w:szCs w:val="24"/>
        </w:rPr>
        <w:t>Pirquet</w:t>
      </w:r>
      <w:proofErr w:type="spellEnd"/>
      <w:r w:rsidR="00063F91" w:rsidRPr="399FBD1B">
        <w:rPr>
          <w:sz w:val="24"/>
          <w:szCs w:val="24"/>
        </w:rPr>
        <w:t>, M.D.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="00FD1B30">
        <w:tab/>
      </w:r>
      <w:r w:rsidR="00FD1B30" w:rsidRPr="399FBD1B">
        <w:rPr>
          <w:sz w:val="24"/>
          <w:szCs w:val="24"/>
        </w:rPr>
        <w:t>)</w:t>
      </w:r>
    </w:p>
    <w:p w14:paraId="5828436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1CA0D57E" w14:textId="15F13D19" w:rsidR="76D46868" w:rsidRDefault="76D46868" w:rsidP="76D46868">
      <w:pPr>
        <w:rPr>
          <w:sz w:val="24"/>
          <w:szCs w:val="24"/>
        </w:rPr>
      </w:pPr>
    </w:p>
    <w:p w14:paraId="7290F376" w14:textId="77777777" w:rsidR="00EE36DB" w:rsidRDefault="00EE36DB" w:rsidP="76D46868">
      <w:pPr>
        <w:jc w:val="center"/>
        <w:rPr>
          <w:b/>
          <w:bCs/>
          <w:sz w:val="24"/>
          <w:szCs w:val="24"/>
          <w:u w:val="single"/>
        </w:rPr>
      </w:pPr>
    </w:p>
    <w:p w14:paraId="55C7DD66" w14:textId="3CA7205A" w:rsidR="00FD1B30" w:rsidRDefault="76D46868" w:rsidP="76D46868">
      <w:pPr>
        <w:jc w:val="center"/>
        <w:rPr>
          <w:b/>
          <w:bCs/>
          <w:sz w:val="24"/>
          <w:szCs w:val="24"/>
          <w:u w:val="single"/>
        </w:rPr>
      </w:pPr>
      <w:r w:rsidRPr="76D46868">
        <w:rPr>
          <w:b/>
          <w:bCs/>
          <w:sz w:val="24"/>
          <w:szCs w:val="24"/>
          <w:u w:val="single"/>
        </w:rPr>
        <w:t>Procedural History</w:t>
      </w:r>
    </w:p>
    <w:p w14:paraId="20CB91DA" w14:textId="77777777" w:rsidR="00EE36DB" w:rsidRDefault="00EE36DB" w:rsidP="76D46868">
      <w:pPr>
        <w:jc w:val="center"/>
        <w:rPr>
          <w:b/>
          <w:bCs/>
          <w:sz w:val="24"/>
          <w:szCs w:val="24"/>
          <w:u w:val="single"/>
        </w:rPr>
      </w:pPr>
    </w:p>
    <w:p w14:paraId="61989E18" w14:textId="34CF2205" w:rsidR="00FD1B30" w:rsidRDefault="00FD1B30" w:rsidP="76D46868"/>
    <w:p w14:paraId="2AC5561C" w14:textId="2F4A2FA7" w:rsidR="00FD1B30" w:rsidRPr="001E6E0F" w:rsidRDefault="76D46868" w:rsidP="002C776E">
      <w:pPr>
        <w:spacing w:line="480" w:lineRule="auto"/>
        <w:ind w:firstLine="720"/>
        <w:rPr>
          <w:b/>
          <w:bCs/>
          <w:sz w:val="24"/>
          <w:szCs w:val="24"/>
        </w:rPr>
      </w:pPr>
      <w:r w:rsidRPr="76D46868">
        <w:rPr>
          <w:sz w:val="24"/>
          <w:szCs w:val="24"/>
        </w:rPr>
        <w:t>The Board initiated this matter by issuing a Statement of Allegations (SOA) against the Respondent on Ju</w:t>
      </w:r>
      <w:r w:rsidR="00661E54">
        <w:rPr>
          <w:sz w:val="24"/>
          <w:szCs w:val="24"/>
        </w:rPr>
        <w:t xml:space="preserve">ly 16, 2020 </w:t>
      </w:r>
      <w:r w:rsidRPr="76D46868">
        <w:rPr>
          <w:sz w:val="24"/>
          <w:szCs w:val="24"/>
        </w:rPr>
        <w:t xml:space="preserve">and referring the matter to the Division of Administrative Law Appeals (DALA). </w:t>
      </w:r>
      <w:r w:rsidR="002C776E">
        <w:rPr>
          <w:sz w:val="24"/>
          <w:szCs w:val="24"/>
        </w:rPr>
        <w:t xml:space="preserve"> The Respondent filed an Answer on June 13, 2022.</w:t>
      </w:r>
    </w:p>
    <w:p w14:paraId="199D884E" w14:textId="4F163440" w:rsidR="002C776E" w:rsidRPr="002C776E" w:rsidRDefault="76D46868" w:rsidP="002C776E">
      <w:pPr>
        <w:spacing w:line="480" w:lineRule="auto"/>
        <w:ind w:firstLine="720"/>
        <w:rPr>
          <w:b/>
          <w:bCs/>
          <w:sz w:val="24"/>
          <w:szCs w:val="24"/>
        </w:rPr>
      </w:pPr>
      <w:r w:rsidRPr="76D46868">
        <w:rPr>
          <w:sz w:val="24"/>
          <w:szCs w:val="24"/>
        </w:rPr>
        <w:t xml:space="preserve">On </w:t>
      </w:r>
      <w:r w:rsidR="002C776E">
        <w:rPr>
          <w:sz w:val="24"/>
          <w:szCs w:val="24"/>
        </w:rPr>
        <w:t>July 7</w:t>
      </w:r>
      <w:r w:rsidRPr="76D46868">
        <w:rPr>
          <w:sz w:val="24"/>
          <w:szCs w:val="24"/>
        </w:rPr>
        <w:t>, 20</w:t>
      </w:r>
      <w:r w:rsidR="002C776E">
        <w:rPr>
          <w:sz w:val="24"/>
          <w:szCs w:val="24"/>
        </w:rPr>
        <w:t>22</w:t>
      </w:r>
      <w:r w:rsidRPr="76D46868">
        <w:rPr>
          <w:sz w:val="24"/>
          <w:szCs w:val="24"/>
        </w:rPr>
        <w:t>, Complaint Counsel filed a Motion for Summary Decision.  On</w:t>
      </w:r>
      <w:r w:rsidR="002C776E">
        <w:rPr>
          <w:sz w:val="24"/>
          <w:szCs w:val="24"/>
        </w:rPr>
        <w:t xml:space="preserve"> August 1, 2022</w:t>
      </w:r>
      <w:r w:rsidRPr="76D46868">
        <w:rPr>
          <w:sz w:val="24"/>
          <w:szCs w:val="24"/>
        </w:rPr>
        <w:t>, the Respondent filed a</w:t>
      </w:r>
      <w:r w:rsidR="002C776E">
        <w:rPr>
          <w:sz w:val="24"/>
          <w:szCs w:val="24"/>
        </w:rPr>
        <w:t>n Opposition to the Motion for Summary Decision.</w:t>
      </w:r>
      <w:r w:rsidRPr="76D46868">
        <w:rPr>
          <w:sz w:val="24"/>
          <w:szCs w:val="24"/>
        </w:rPr>
        <w:t xml:space="preserve"> </w:t>
      </w:r>
      <w:r w:rsidR="00EE36DB">
        <w:rPr>
          <w:sz w:val="24"/>
          <w:szCs w:val="24"/>
        </w:rPr>
        <w:t xml:space="preserve"> </w:t>
      </w:r>
      <w:r w:rsidR="002C776E" w:rsidRPr="76D46868">
        <w:rPr>
          <w:sz w:val="24"/>
          <w:szCs w:val="24"/>
        </w:rPr>
        <w:t xml:space="preserve">The DALA Magistrate conducted a prehearing conference on </w:t>
      </w:r>
      <w:r w:rsidR="002C776E">
        <w:rPr>
          <w:sz w:val="24"/>
          <w:szCs w:val="24"/>
        </w:rPr>
        <w:t>October 11, 2022</w:t>
      </w:r>
      <w:r w:rsidR="002C776E" w:rsidRPr="76D46868">
        <w:rPr>
          <w:sz w:val="24"/>
          <w:szCs w:val="24"/>
        </w:rPr>
        <w:t xml:space="preserve">. </w:t>
      </w:r>
      <w:r w:rsidR="00EE36DB">
        <w:rPr>
          <w:sz w:val="24"/>
          <w:szCs w:val="24"/>
        </w:rPr>
        <w:t xml:space="preserve"> </w:t>
      </w:r>
    </w:p>
    <w:p w14:paraId="69B5AB81" w14:textId="473C0FC1" w:rsidR="00FD1B30" w:rsidRDefault="00EE36DB" w:rsidP="007800E1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November 4, 2022, Complaint Counsel filed a Request for Dismissal on behalf of the Board.  </w:t>
      </w:r>
      <w:r w:rsidR="76D46868" w:rsidRPr="76D46868">
        <w:rPr>
          <w:sz w:val="24"/>
          <w:szCs w:val="24"/>
        </w:rPr>
        <w:t xml:space="preserve">On </w:t>
      </w:r>
      <w:r w:rsidR="002C776E">
        <w:rPr>
          <w:sz w:val="24"/>
          <w:szCs w:val="24"/>
        </w:rPr>
        <w:t>November 7, 2022</w:t>
      </w:r>
      <w:r w:rsidR="76D46868" w:rsidRPr="76D46868">
        <w:rPr>
          <w:sz w:val="24"/>
          <w:szCs w:val="24"/>
        </w:rPr>
        <w:t xml:space="preserve">, the DALA Magistrate </w:t>
      </w:r>
      <w:r w:rsidR="002C776E">
        <w:rPr>
          <w:sz w:val="24"/>
          <w:szCs w:val="24"/>
        </w:rPr>
        <w:t>allowed Complaint Counsel’s Request for Dismissal.</w:t>
      </w:r>
    </w:p>
    <w:p w14:paraId="69FC17E2" w14:textId="31D09F04" w:rsidR="001B06E1" w:rsidRPr="001B06E1" w:rsidRDefault="007800E1" w:rsidP="001B06E1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7800E1">
        <w:rPr>
          <w:b/>
          <w:bCs/>
          <w:sz w:val="24"/>
          <w:szCs w:val="24"/>
          <w:u w:val="single"/>
        </w:rPr>
        <w:t>Discussion</w:t>
      </w:r>
    </w:p>
    <w:p w14:paraId="6AA41BD1" w14:textId="77777777" w:rsidR="00471C55" w:rsidRPr="00471C55" w:rsidRDefault="00EE36DB" w:rsidP="00471C5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Statement of Allegations asserts that</w:t>
      </w:r>
      <w:r w:rsidR="00F67055">
        <w:rPr>
          <w:sz w:val="24"/>
          <w:szCs w:val="24"/>
        </w:rPr>
        <w:t xml:space="preserve"> in 2019</w:t>
      </w:r>
      <w:r>
        <w:rPr>
          <w:sz w:val="24"/>
          <w:szCs w:val="24"/>
        </w:rPr>
        <w:t xml:space="preserve"> the Respondent failed to </w:t>
      </w:r>
      <w:r w:rsidR="00F67055">
        <w:rPr>
          <w:sz w:val="24"/>
          <w:szCs w:val="24"/>
        </w:rPr>
        <w:t>submit</w:t>
      </w:r>
      <w:r>
        <w:rPr>
          <w:sz w:val="24"/>
          <w:szCs w:val="24"/>
        </w:rPr>
        <w:t xml:space="preserve"> a timely response to written communications from the Board and failed to provide information to which the Board is legally entitled. </w:t>
      </w:r>
      <w:r w:rsidR="00F67055">
        <w:rPr>
          <w:sz w:val="24"/>
          <w:szCs w:val="24"/>
        </w:rPr>
        <w:t xml:space="preserve"> There remain questions of material fact as to whether Respondent did or did not fail to submit a timely response or provide information to which the Board is legally entitled.  </w:t>
      </w:r>
      <w:r w:rsidR="00C40605">
        <w:rPr>
          <w:sz w:val="24"/>
          <w:szCs w:val="24"/>
        </w:rPr>
        <w:t xml:space="preserve">After consideration of the </w:t>
      </w:r>
      <w:r w:rsidR="00DC35F3">
        <w:rPr>
          <w:sz w:val="24"/>
          <w:szCs w:val="24"/>
        </w:rPr>
        <w:t xml:space="preserve">information submitted with Respondent’s </w:t>
      </w:r>
      <w:r w:rsidR="00DC35F3">
        <w:rPr>
          <w:sz w:val="24"/>
          <w:szCs w:val="24"/>
        </w:rPr>
        <w:lastRenderedPageBreak/>
        <w:t>opposition to Complaint Counsel’s motion for summary decision</w:t>
      </w:r>
      <w:r w:rsidR="00F67055">
        <w:rPr>
          <w:sz w:val="24"/>
          <w:szCs w:val="24"/>
        </w:rPr>
        <w:t xml:space="preserve">, </w:t>
      </w:r>
      <w:r w:rsidR="0044728F">
        <w:rPr>
          <w:sz w:val="24"/>
          <w:szCs w:val="24"/>
        </w:rPr>
        <w:t xml:space="preserve">the Board has determined that even if it were to prevail on the disputed facts, </w:t>
      </w:r>
      <w:r w:rsidR="00514258">
        <w:rPr>
          <w:sz w:val="24"/>
          <w:szCs w:val="24"/>
        </w:rPr>
        <w:t xml:space="preserve">there is </w:t>
      </w:r>
      <w:r w:rsidR="00A61BAF">
        <w:rPr>
          <w:sz w:val="24"/>
          <w:szCs w:val="24"/>
        </w:rPr>
        <w:t xml:space="preserve">creditable </w:t>
      </w:r>
      <w:r w:rsidR="00514258">
        <w:rPr>
          <w:sz w:val="24"/>
          <w:szCs w:val="24"/>
        </w:rPr>
        <w:t xml:space="preserve">evidence </w:t>
      </w:r>
      <w:r w:rsidR="00C27B42">
        <w:rPr>
          <w:sz w:val="24"/>
          <w:szCs w:val="24"/>
        </w:rPr>
        <w:t xml:space="preserve">that Respondent made attempts to comply with the Board’s requests and </w:t>
      </w:r>
      <w:r w:rsidR="009B6E96">
        <w:rPr>
          <w:sz w:val="24"/>
          <w:szCs w:val="24"/>
        </w:rPr>
        <w:t>that she had reason to believe that she had complied</w:t>
      </w:r>
      <w:r w:rsidR="009B4BCA">
        <w:rPr>
          <w:sz w:val="24"/>
          <w:szCs w:val="24"/>
        </w:rPr>
        <w:t xml:space="preserve">.  </w:t>
      </w:r>
      <w:r w:rsidR="0079478B">
        <w:rPr>
          <w:sz w:val="24"/>
          <w:szCs w:val="24"/>
        </w:rPr>
        <w:t>Upon consideration of these</w:t>
      </w:r>
      <w:r w:rsidR="009B4BCA">
        <w:rPr>
          <w:sz w:val="24"/>
          <w:szCs w:val="24"/>
        </w:rPr>
        <w:t xml:space="preserve"> mitigating</w:t>
      </w:r>
      <w:r w:rsidR="008E2248">
        <w:rPr>
          <w:sz w:val="24"/>
          <w:szCs w:val="24"/>
        </w:rPr>
        <w:t xml:space="preserve"> circumstances</w:t>
      </w:r>
      <w:r w:rsidR="003E6A83">
        <w:rPr>
          <w:sz w:val="24"/>
          <w:szCs w:val="24"/>
        </w:rPr>
        <w:t>, the Board concludes</w:t>
      </w:r>
      <w:r w:rsidR="00527B4F">
        <w:rPr>
          <w:sz w:val="24"/>
          <w:szCs w:val="24"/>
        </w:rPr>
        <w:t xml:space="preserve"> that even if it prevailed,</w:t>
      </w:r>
      <w:r w:rsidR="008E2248">
        <w:rPr>
          <w:sz w:val="24"/>
          <w:szCs w:val="24"/>
        </w:rPr>
        <w:t xml:space="preserve"> </w:t>
      </w:r>
      <w:r w:rsidR="0044728F">
        <w:rPr>
          <w:sz w:val="24"/>
          <w:szCs w:val="24"/>
        </w:rPr>
        <w:t xml:space="preserve">discipline would not be warranted.  </w:t>
      </w:r>
      <w:r w:rsidR="00723CAD">
        <w:rPr>
          <w:sz w:val="24"/>
          <w:szCs w:val="24"/>
        </w:rPr>
        <w:t>Accordingly</w:t>
      </w:r>
      <w:r w:rsidR="399FBD1B" w:rsidRPr="399FBD1B">
        <w:rPr>
          <w:sz w:val="24"/>
          <w:szCs w:val="24"/>
        </w:rPr>
        <w:t>, the Board ADOPTS th</w:t>
      </w:r>
      <w:r w:rsidR="00723CAD">
        <w:rPr>
          <w:sz w:val="24"/>
          <w:szCs w:val="24"/>
        </w:rPr>
        <w:t>e</w:t>
      </w:r>
      <w:r w:rsidR="399FBD1B" w:rsidRPr="399FBD1B">
        <w:rPr>
          <w:sz w:val="24"/>
          <w:szCs w:val="24"/>
        </w:rPr>
        <w:t xml:space="preserve"> Order</w:t>
      </w:r>
      <w:r w:rsidR="00723CAD">
        <w:rPr>
          <w:sz w:val="24"/>
          <w:szCs w:val="24"/>
        </w:rPr>
        <w:t xml:space="preserve"> of Dismissal </w:t>
      </w:r>
      <w:r w:rsidR="399FBD1B" w:rsidRPr="399FBD1B">
        <w:rPr>
          <w:sz w:val="24"/>
          <w:szCs w:val="24"/>
        </w:rPr>
        <w:t>and DISMISSE</w:t>
      </w:r>
      <w:r w:rsidR="00723CAD">
        <w:rPr>
          <w:sz w:val="24"/>
          <w:szCs w:val="24"/>
        </w:rPr>
        <w:t>S</w:t>
      </w:r>
      <w:r w:rsidR="399FBD1B" w:rsidRPr="399FBD1B">
        <w:rPr>
          <w:sz w:val="24"/>
          <w:szCs w:val="24"/>
        </w:rPr>
        <w:t xml:space="preserve"> the</w:t>
      </w:r>
      <w:r w:rsidR="001B06E1">
        <w:rPr>
          <w:sz w:val="24"/>
          <w:szCs w:val="24"/>
        </w:rPr>
        <w:t xml:space="preserve"> July 16, 2020</w:t>
      </w:r>
      <w:r w:rsidR="399FBD1B" w:rsidRPr="399FBD1B">
        <w:rPr>
          <w:sz w:val="24"/>
          <w:szCs w:val="24"/>
        </w:rPr>
        <w:t>,</w:t>
      </w:r>
      <w:r w:rsidR="001B06E1">
        <w:rPr>
          <w:sz w:val="24"/>
          <w:szCs w:val="24"/>
        </w:rPr>
        <w:t xml:space="preserve"> </w:t>
      </w:r>
      <w:r w:rsidR="399FBD1B" w:rsidRPr="399FBD1B">
        <w:rPr>
          <w:sz w:val="24"/>
          <w:szCs w:val="24"/>
        </w:rPr>
        <w:t>Statement of Allegations</w:t>
      </w:r>
      <w:r w:rsidR="00471C55" w:rsidRPr="00471C55">
        <w:rPr>
          <w:sz w:val="24"/>
          <w:szCs w:val="24"/>
        </w:rPr>
        <w:t>, and, in accordance with M.G.L. c. 112, § 5, exonerates the Respondent.</w:t>
      </w:r>
    </w:p>
    <w:p w14:paraId="34CBFF56" w14:textId="77777777" w:rsidR="00471C55" w:rsidRDefault="00471C55" w:rsidP="00471C55">
      <w:pPr>
        <w:ind w:firstLine="720"/>
        <w:rPr>
          <w:sz w:val="24"/>
          <w:szCs w:val="24"/>
        </w:rPr>
      </w:pPr>
    </w:p>
    <w:p w14:paraId="0B7E1385" w14:textId="77777777" w:rsidR="00471C55" w:rsidRPr="00471C55" w:rsidRDefault="00471C55" w:rsidP="00471C55">
      <w:pPr>
        <w:ind w:firstLine="720"/>
        <w:rPr>
          <w:sz w:val="24"/>
          <w:szCs w:val="24"/>
        </w:rPr>
      </w:pPr>
    </w:p>
    <w:p w14:paraId="110F5AFD" w14:textId="1918ECF2" w:rsidR="00471C55" w:rsidRPr="00F876B4" w:rsidRDefault="00471C55" w:rsidP="00471C55">
      <w:pPr>
        <w:rPr>
          <w:sz w:val="24"/>
          <w:szCs w:val="24"/>
          <w:u w:val="single"/>
        </w:rPr>
      </w:pPr>
      <w:r w:rsidRPr="00471C55">
        <w:rPr>
          <w:sz w:val="24"/>
          <w:szCs w:val="24"/>
        </w:rPr>
        <w:t xml:space="preserve">Date:  </w:t>
      </w:r>
      <w:r w:rsidRPr="00471C55">
        <w:rPr>
          <w:sz w:val="24"/>
          <w:szCs w:val="24"/>
        </w:rPr>
        <w:tab/>
        <w:t>October 19, 202</w:t>
      </w:r>
      <w:r w:rsidR="00EE2A6F">
        <w:rPr>
          <w:sz w:val="24"/>
          <w:szCs w:val="24"/>
        </w:rPr>
        <w:t>3</w:t>
      </w:r>
      <w:r w:rsidRPr="00471C55">
        <w:rPr>
          <w:sz w:val="24"/>
          <w:szCs w:val="24"/>
        </w:rPr>
        <w:t>,</w:t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</w:r>
      <w:r w:rsidR="00F876B4">
        <w:rPr>
          <w:sz w:val="24"/>
          <w:szCs w:val="24"/>
          <w:u w:val="single"/>
        </w:rPr>
        <w:t>Signed by Julian Robinson, M.D.</w:t>
      </w:r>
      <w:r w:rsidR="00F876B4">
        <w:rPr>
          <w:sz w:val="24"/>
          <w:szCs w:val="24"/>
          <w:u w:val="single"/>
        </w:rPr>
        <w:tab/>
      </w:r>
    </w:p>
    <w:p w14:paraId="15226019" w14:textId="77777777" w:rsidR="00471C55" w:rsidRPr="00471C55" w:rsidRDefault="00471C55" w:rsidP="00471C55">
      <w:pPr>
        <w:ind w:firstLine="720"/>
        <w:rPr>
          <w:sz w:val="24"/>
          <w:szCs w:val="24"/>
        </w:rPr>
      </w:pPr>
      <w:proofErr w:type="spellStart"/>
      <w:r w:rsidRPr="00471C55">
        <w:rPr>
          <w:sz w:val="24"/>
          <w:szCs w:val="24"/>
        </w:rPr>
        <w:t>nunc</w:t>
      </w:r>
      <w:proofErr w:type="spellEnd"/>
      <w:r w:rsidRPr="00471C55">
        <w:rPr>
          <w:sz w:val="24"/>
          <w:szCs w:val="24"/>
        </w:rPr>
        <w:t xml:space="preserve"> pro </w:t>
      </w:r>
      <w:proofErr w:type="spellStart"/>
      <w:r w:rsidRPr="00471C55">
        <w:rPr>
          <w:sz w:val="24"/>
          <w:szCs w:val="24"/>
        </w:rPr>
        <w:t>tunc</w:t>
      </w:r>
      <w:proofErr w:type="spellEnd"/>
      <w:r w:rsidRPr="00471C55">
        <w:rPr>
          <w:sz w:val="24"/>
          <w:szCs w:val="24"/>
        </w:rPr>
        <w:t xml:space="preserve">, </w:t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  <w:t>Julian Robinson, M.D.</w:t>
      </w:r>
    </w:p>
    <w:p w14:paraId="62CD5DCC" w14:textId="715AA6C2" w:rsidR="00471C55" w:rsidRPr="00471C55" w:rsidRDefault="00471C55" w:rsidP="00471C55">
      <w:pPr>
        <w:ind w:firstLine="720"/>
        <w:rPr>
          <w:sz w:val="24"/>
          <w:szCs w:val="24"/>
        </w:rPr>
      </w:pPr>
      <w:r>
        <w:rPr>
          <w:sz w:val="24"/>
          <w:szCs w:val="24"/>
        </w:rPr>
        <w:t>December 15</w:t>
      </w:r>
      <w:r w:rsidRPr="00471C55">
        <w:rPr>
          <w:sz w:val="24"/>
          <w:szCs w:val="24"/>
        </w:rPr>
        <w:t>, 2022</w:t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  <w:t>Chair</w:t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</w:r>
    </w:p>
    <w:p w14:paraId="5116F1E9" w14:textId="3DBC5DD5" w:rsidR="00FD1B30" w:rsidRDefault="00471C55" w:rsidP="00471C55">
      <w:pPr>
        <w:ind w:firstLine="720"/>
        <w:rPr>
          <w:sz w:val="24"/>
          <w:szCs w:val="24"/>
        </w:rPr>
      </w:pP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</w:r>
      <w:r w:rsidRPr="00471C55">
        <w:rPr>
          <w:sz w:val="24"/>
          <w:szCs w:val="24"/>
        </w:rPr>
        <w:tab/>
        <w:t>Board of Registration in Medicine</w:t>
      </w:r>
      <w:r w:rsidR="399FBD1B" w:rsidRPr="399FBD1B">
        <w:rPr>
          <w:sz w:val="24"/>
          <w:szCs w:val="24"/>
        </w:rPr>
        <w:t>.</w:t>
      </w:r>
    </w:p>
    <w:p w14:paraId="44EAFD9C" w14:textId="77777777" w:rsidR="00FD1B30" w:rsidRDefault="00FD1B30" w:rsidP="00471C55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ABD1" w14:textId="77777777" w:rsidR="00A421FE" w:rsidRDefault="00A421FE" w:rsidP="00A421FE">
      <w:r>
        <w:separator/>
      </w:r>
    </w:p>
  </w:endnote>
  <w:endnote w:type="continuationSeparator" w:id="0">
    <w:p w14:paraId="5E91B0FC" w14:textId="77777777" w:rsidR="00A421FE" w:rsidRDefault="00A421FE" w:rsidP="00A4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E671" w14:textId="77777777" w:rsidR="00A421FE" w:rsidRDefault="00A421FE" w:rsidP="00A421FE">
      <w:r>
        <w:separator/>
      </w:r>
    </w:p>
  </w:footnote>
  <w:footnote w:type="continuationSeparator" w:id="0">
    <w:p w14:paraId="0E9B6CBF" w14:textId="77777777" w:rsidR="00A421FE" w:rsidRDefault="00A421FE" w:rsidP="00A4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7E"/>
    <w:rsid w:val="00004B2D"/>
    <w:rsid w:val="00063F91"/>
    <w:rsid w:val="00077B9C"/>
    <w:rsid w:val="000C701B"/>
    <w:rsid w:val="001B06E1"/>
    <w:rsid w:val="001E6E0F"/>
    <w:rsid w:val="0020231F"/>
    <w:rsid w:val="0022116E"/>
    <w:rsid w:val="002B781B"/>
    <w:rsid w:val="002C776E"/>
    <w:rsid w:val="002D52D5"/>
    <w:rsid w:val="00321263"/>
    <w:rsid w:val="00321AE9"/>
    <w:rsid w:val="003228F0"/>
    <w:rsid w:val="0037473A"/>
    <w:rsid w:val="003755A1"/>
    <w:rsid w:val="003E6A83"/>
    <w:rsid w:val="004423E6"/>
    <w:rsid w:val="0044728F"/>
    <w:rsid w:val="00471C55"/>
    <w:rsid w:val="004B2311"/>
    <w:rsid w:val="00514258"/>
    <w:rsid w:val="00527B4F"/>
    <w:rsid w:val="005341CE"/>
    <w:rsid w:val="00540A9A"/>
    <w:rsid w:val="00570DF2"/>
    <w:rsid w:val="005B7403"/>
    <w:rsid w:val="00610566"/>
    <w:rsid w:val="00640DDC"/>
    <w:rsid w:val="00661E54"/>
    <w:rsid w:val="00670C36"/>
    <w:rsid w:val="00723CAD"/>
    <w:rsid w:val="00753A42"/>
    <w:rsid w:val="007669B0"/>
    <w:rsid w:val="007800E1"/>
    <w:rsid w:val="0079478B"/>
    <w:rsid w:val="0083625C"/>
    <w:rsid w:val="008D7854"/>
    <w:rsid w:val="008E2248"/>
    <w:rsid w:val="0097747E"/>
    <w:rsid w:val="009B4BCA"/>
    <w:rsid w:val="009B6E96"/>
    <w:rsid w:val="009C2802"/>
    <w:rsid w:val="00A22560"/>
    <w:rsid w:val="00A421FE"/>
    <w:rsid w:val="00A61BAF"/>
    <w:rsid w:val="00B30256"/>
    <w:rsid w:val="00B70B8B"/>
    <w:rsid w:val="00B73B86"/>
    <w:rsid w:val="00BF6353"/>
    <w:rsid w:val="00C27B42"/>
    <w:rsid w:val="00C40605"/>
    <w:rsid w:val="00C668BC"/>
    <w:rsid w:val="00C92DE5"/>
    <w:rsid w:val="00C9488C"/>
    <w:rsid w:val="00CB6750"/>
    <w:rsid w:val="00D317BC"/>
    <w:rsid w:val="00D579BE"/>
    <w:rsid w:val="00D6332D"/>
    <w:rsid w:val="00D7695F"/>
    <w:rsid w:val="00DC35F3"/>
    <w:rsid w:val="00DE60B4"/>
    <w:rsid w:val="00E224C9"/>
    <w:rsid w:val="00E27A68"/>
    <w:rsid w:val="00EA204C"/>
    <w:rsid w:val="00EB7A71"/>
    <w:rsid w:val="00EE2A6F"/>
    <w:rsid w:val="00EE36DB"/>
    <w:rsid w:val="00F36D6C"/>
    <w:rsid w:val="00F43DEB"/>
    <w:rsid w:val="00F67055"/>
    <w:rsid w:val="00F876B4"/>
    <w:rsid w:val="00F93C3A"/>
    <w:rsid w:val="00F9574D"/>
    <w:rsid w:val="00FD1B30"/>
    <w:rsid w:val="0262391D"/>
    <w:rsid w:val="04707BCF"/>
    <w:rsid w:val="11205485"/>
    <w:rsid w:val="1352F77D"/>
    <w:rsid w:val="16FD0A90"/>
    <w:rsid w:val="1A34AB52"/>
    <w:rsid w:val="22A7E57C"/>
    <w:rsid w:val="245CDE3A"/>
    <w:rsid w:val="2AB2F761"/>
    <w:rsid w:val="2C67F01F"/>
    <w:rsid w:val="30A8D5C9"/>
    <w:rsid w:val="33E0768B"/>
    <w:rsid w:val="362C41E0"/>
    <w:rsid w:val="399FBD1B"/>
    <w:rsid w:val="3A85EAA4"/>
    <w:rsid w:val="3C21BB05"/>
    <w:rsid w:val="3DD0CA0E"/>
    <w:rsid w:val="407726E4"/>
    <w:rsid w:val="45FA92FB"/>
    <w:rsid w:val="51C4D5A0"/>
    <w:rsid w:val="636999A4"/>
    <w:rsid w:val="66A13A66"/>
    <w:rsid w:val="67017525"/>
    <w:rsid w:val="68B66DE3"/>
    <w:rsid w:val="6D107BEA"/>
    <w:rsid w:val="6D89DF06"/>
    <w:rsid w:val="6F0C870A"/>
    <w:rsid w:val="724427CC"/>
    <w:rsid w:val="76D46868"/>
    <w:rsid w:val="771798EF"/>
    <w:rsid w:val="771F8675"/>
    <w:rsid w:val="780B5BE2"/>
    <w:rsid w:val="792DC927"/>
    <w:rsid w:val="7E5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D444B2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unhideWhenUsed/>
    <w:rsid w:val="00A421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21FE"/>
  </w:style>
  <w:style w:type="paragraph" w:styleId="Footer">
    <w:name w:val="footer"/>
    <w:basedOn w:val="Normal"/>
    <w:link w:val="FooterChar"/>
    <w:unhideWhenUsed/>
    <w:rsid w:val="00A421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7</cp:revision>
  <cp:lastPrinted>2016-09-07T18:07:00Z</cp:lastPrinted>
  <dcterms:created xsi:type="dcterms:W3CDTF">2023-10-17T13:30:00Z</dcterms:created>
  <dcterms:modified xsi:type="dcterms:W3CDTF">2023-10-23T12:51:00Z</dcterms:modified>
</cp:coreProperties>
</file>