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62" w:type="pct"/>
        <w:jc w:val="center"/>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457"/>
        <w:gridCol w:w="5335"/>
      </w:tblGrid>
      <w:tr w:rsidR="008C0709" w:rsidRPr="0016671D" w14:paraId="5E2173C9" w14:textId="77777777" w:rsidTr="6CE004FB">
        <w:trPr>
          <w:trHeight w:val="686"/>
          <w:tblHeader/>
          <w:jc w:val="center"/>
        </w:trPr>
        <w:tc>
          <w:tcPr>
            <w:tcW w:w="5000" w:type="pct"/>
            <w:gridSpan w:val="2"/>
            <w:shd w:val="clear" w:color="auto" w:fill="D7F9FD"/>
            <w:vAlign w:val="center"/>
          </w:tcPr>
          <w:p w14:paraId="1B8C4D3E" w14:textId="54A2E6DE" w:rsidR="008C0709" w:rsidRPr="0016671D" w:rsidRDefault="00B02CF4" w:rsidP="58A96A0F">
            <w:pPr>
              <w:pStyle w:val="NoSpacing"/>
              <w:ind w:right="540"/>
              <w:contextualSpacing/>
              <w:jc w:val="center"/>
              <w:rPr>
                <w:b/>
                <w:bCs/>
              </w:rPr>
            </w:pPr>
            <w:r w:rsidRPr="2840621B">
              <w:rPr>
                <w:b/>
                <w:bCs/>
              </w:rPr>
              <w:t>S</w:t>
            </w:r>
            <w:r w:rsidR="008C0709" w:rsidRPr="2840621B">
              <w:rPr>
                <w:b/>
                <w:bCs/>
              </w:rPr>
              <w:t>TAFF REPORT TO THE PUBLIC HEALTH COUNCIL</w:t>
            </w:r>
          </w:p>
          <w:p w14:paraId="707BF2E0" w14:textId="309672D9" w:rsidR="008C0709" w:rsidRPr="0016671D" w:rsidRDefault="10E5935A" w:rsidP="282949F7">
            <w:pPr>
              <w:pStyle w:val="Header"/>
              <w:ind w:right="540"/>
              <w:contextualSpacing/>
              <w:jc w:val="center"/>
              <w:rPr>
                <w:b/>
                <w:bCs/>
                <w:sz w:val="24"/>
                <w:szCs w:val="24"/>
              </w:rPr>
            </w:pPr>
            <w:r w:rsidRPr="6CE004FB">
              <w:rPr>
                <w:b/>
                <w:bCs/>
                <w:sz w:val="24"/>
                <w:szCs w:val="24"/>
              </w:rPr>
              <w:t>FOR A DETERMINATION OF NEED</w:t>
            </w:r>
            <w:r w:rsidR="003B4E57">
              <w:rPr>
                <w:b/>
                <w:bCs/>
                <w:sz w:val="24"/>
                <w:szCs w:val="24"/>
              </w:rPr>
              <w:t>- Amended</w:t>
            </w:r>
          </w:p>
        </w:tc>
      </w:tr>
      <w:tr w:rsidR="004313D9" w:rsidRPr="0016671D" w14:paraId="37A21A4B" w14:textId="77777777" w:rsidTr="6CE004FB">
        <w:trPr>
          <w:trHeight w:val="368"/>
          <w:jc w:val="center"/>
        </w:trPr>
        <w:tc>
          <w:tcPr>
            <w:tcW w:w="2276" w:type="pct"/>
            <w:shd w:val="clear" w:color="auto" w:fill="auto"/>
            <w:vAlign w:val="center"/>
          </w:tcPr>
          <w:p w14:paraId="4463BBF6" w14:textId="77777777" w:rsidR="004313D9" w:rsidRPr="0016671D" w:rsidRDefault="004313D9" w:rsidP="004313D9">
            <w:pPr>
              <w:ind w:right="540"/>
              <w:contextualSpacing/>
            </w:pPr>
            <w:r w:rsidRPr="0016671D">
              <w:t xml:space="preserve">Applicant Name </w:t>
            </w:r>
          </w:p>
        </w:tc>
        <w:tc>
          <w:tcPr>
            <w:tcW w:w="2724" w:type="pct"/>
            <w:shd w:val="clear" w:color="auto" w:fill="auto"/>
            <w:vAlign w:val="center"/>
          </w:tcPr>
          <w:p w14:paraId="412EB352" w14:textId="4406A109" w:rsidR="004313D9" w:rsidRPr="002738AD" w:rsidRDefault="777621C6" w:rsidP="004313D9">
            <w:pPr>
              <w:ind w:right="540"/>
              <w:contextualSpacing/>
            </w:pPr>
            <w:r>
              <w:t>UMass Memorial Health Care, Inc.</w:t>
            </w:r>
          </w:p>
        </w:tc>
      </w:tr>
      <w:tr w:rsidR="004313D9" w:rsidRPr="0016671D" w14:paraId="7D5C8C8A" w14:textId="77777777" w:rsidTr="6CE004FB">
        <w:trPr>
          <w:trHeight w:val="306"/>
          <w:jc w:val="center"/>
        </w:trPr>
        <w:tc>
          <w:tcPr>
            <w:tcW w:w="2276" w:type="pct"/>
            <w:shd w:val="clear" w:color="auto" w:fill="auto"/>
            <w:vAlign w:val="center"/>
          </w:tcPr>
          <w:p w14:paraId="60D7905A" w14:textId="77777777" w:rsidR="004313D9" w:rsidRPr="0016671D" w:rsidRDefault="004313D9" w:rsidP="004313D9">
            <w:pPr>
              <w:ind w:right="540"/>
              <w:contextualSpacing/>
            </w:pPr>
            <w:r w:rsidRPr="0016671D">
              <w:t xml:space="preserve">Applicant Address </w:t>
            </w:r>
          </w:p>
        </w:tc>
        <w:tc>
          <w:tcPr>
            <w:tcW w:w="2724" w:type="pct"/>
            <w:shd w:val="clear" w:color="auto" w:fill="auto"/>
            <w:vAlign w:val="center"/>
          </w:tcPr>
          <w:p w14:paraId="48C9B61F" w14:textId="16ED2341" w:rsidR="004313D9" w:rsidRPr="002738AD" w:rsidRDefault="00186479" w:rsidP="00440274">
            <w:pPr>
              <w:ind w:right="-20"/>
              <w:contextualSpacing/>
              <w:rPr>
                <w:lang w:val="fr-FR"/>
              </w:rPr>
            </w:pPr>
            <w:r>
              <w:rPr>
                <w:lang w:val="fr-FR"/>
              </w:rPr>
              <w:t xml:space="preserve">One Biotech </w:t>
            </w:r>
            <w:r w:rsidR="004C77A1">
              <w:rPr>
                <w:lang w:val="fr-FR"/>
              </w:rPr>
              <w:t>Park, #</w:t>
            </w:r>
            <w:r>
              <w:rPr>
                <w:lang w:val="fr-FR"/>
              </w:rPr>
              <w:t>65 Plantation Street, Worcester, MA 01605</w:t>
            </w:r>
          </w:p>
        </w:tc>
      </w:tr>
      <w:tr w:rsidR="004313D9" w:rsidRPr="0016671D" w14:paraId="7F48402A" w14:textId="77777777" w:rsidTr="6CE004FB">
        <w:trPr>
          <w:trHeight w:val="323"/>
          <w:jc w:val="center"/>
        </w:trPr>
        <w:tc>
          <w:tcPr>
            <w:tcW w:w="2276" w:type="pct"/>
            <w:shd w:val="clear" w:color="auto" w:fill="auto"/>
            <w:vAlign w:val="center"/>
          </w:tcPr>
          <w:p w14:paraId="62887CB2" w14:textId="77777777" w:rsidR="004313D9" w:rsidRPr="0016671D" w:rsidRDefault="004313D9" w:rsidP="004313D9">
            <w:pPr>
              <w:ind w:right="540"/>
              <w:contextualSpacing/>
            </w:pPr>
            <w:r w:rsidRPr="0016671D">
              <w:t>Filing Date</w:t>
            </w:r>
          </w:p>
        </w:tc>
        <w:tc>
          <w:tcPr>
            <w:tcW w:w="2724" w:type="pct"/>
            <w:shd w:val="clear" w:color="auto" w:fill="auto"/>
            <w:vAlign w:val="center"/>
          </w:tcPr>
          <w:p w14:paraId="2924AE87" w14:textId="7103C67E" w:rsidR="004313D9" w:rsidRPr="002738AD" w:rsidRDefault="00691C3E" w:rsidP="004313D9">
            <w:pPr>
              <w:ind w:right="540"/>
              <w:contextualSpacing/>
            </w:pPr>
            <w:r>
              <w:t>March 12, 2024</w:t>
            </w:r>
          </w:p>
        </w:tc>
      </w:tr>
      <w:tr w:rsidR="004313D9" w:rsidRPr="0016671D" w14:paraId="45BF54E4" w14:textId="77777777" w:rsidTr="6CE004FB">
        <w:trPr>
          <w:trHeight w:val="300"/>
          <w:jc w:val="center"/>
        </w:trPr>
        <w:tc>
          <w:tcPr>
            <w:tcW w:w="2276" w:type="pct"/>
            <w:shd w:val="clear" w:color="auto" w:fill="auto"/>
            <w:vAlign w:val="center"/>
          </w:tcPr>
          <w:p w14:paraId="11D28445" w14:textId="77777777" w:rsidR="004313D9" w:rsidRPr="0016671D" w:rsidRDefault="004313D9" w:rsidP="004313D9">
            <w:pPr>
              <w:ind w:right="540"/>
              <w:contextualSpacing/>
            </w:pPr>
            <w:r w:rsidRPr="0016671D">
              <w:t>Type of DoN Application</w:t>
            </w:r>
          </w:p>
        </w:tc>
        <w:tc>
          <w:tcPr>
            <w:tcW w:w="2724" w:type="pct"/>
            <w:shd w:val="clear" w:color="auto" w:fill="auto"/>
            <w:vAlign w:val="center"/>
          </w:tcPr>
          <w:p w14:paraId="54290C07" w14:textId="132A3296" w:rsidR="004313D9" w:rsidRPr="002738AD" w:rsidRDefault="00186479" w:rsidP="004313D9">
            <w:pPr>
              <w:ind w:right="540"/>
              <w:contextualSpacing/>
            </w:pPr>
            <w:r>
              <w:t>Transfer Of Ownership</w:t>
            </w:r>
          </w:p>
        </w:tc>
      </w:tr>
      <w:tr w:rsidR="004313D9" w:rsidRPr="0016671D" w14:paraId="1C2D799A" w14:textId="77777777" w:rsidTr="6CE004FB">
        <w:trPr>
          <w:trHeight w:val="300"/>
          <w:jc w:val="center"/>
        </w:trPr>
        <w:tc>
          <w:tcPr>
            <w:tcW w:w="2276" w:type="pct"/>
            <w:shd w:val="clear" w:color="auto" w:fill="auto"/>
            <w:vAlign w:val="center"/>
          </w:tcPr>
          <w:p w14:paraId="58287B54" w14:textId="77777777" w:rsidR="004313D9" w:rsidRPr="0016671D" w:rsidRDefault="004313D9" w:rsidP="004313D9">
            <w:pPr>
              <w:ind w:right="540"/>
              <w:contextualSpacing/>
            </w:pPr>
            <w:r w:rsidRPr="0016671D">
              <w:t>Total Value</w:t>
            </w:r>
          </w:p>
        </w:tc>
        <w:tc>
          <w:tcPr>
            <w:tcW w:w="2724" w:type="pct"/>
            <w:shd w:val="clear" w:color="auto" w:fill="auto"/>
            <w:vAlign w:val="center"/>
          </w:tcPr>
          <w:p w14:paraId="241030D1" w14:textId="294AF6F4" w:rsidR="004313D9" w:rsidRPr="002738AD" w:rsidRDefault="007C317A" w:rsidP="004313D9">
            <w:pPr>
              <w:ind w:right="540"/>
              <w:contextualSpacing/>
            </w:pPr>
            <w:r>
              <w:t>$368,744,992.00</w:t>
            </w:r>
          </w:p>
        </w:tc>
      </w:tr>
      <w:tr w:rsidR="004313D9" w:rsidRPr="0016671D" w14:paraId="375F89F8" w14:textId="77777777" w:rsidTr="6CE004FB">
        <w:trPr>
          <w:trHeight w:val="300"/>
          <w:jc w:val="center"/>
        </w:trPr>
        <w:tc>
          <w:tcPr>
            <w:tcW w:w="2276" w:type="pct"/>
            <w:shd w:val="clear" w:color="auto" w:fill="auto"/>
            <w:vAlign w:val="center"/>
          </w:tcPr>
          <w:p w14:paraId="179EBADA" w14:textId="77777777" w:rsidR="004313D9" w:rsidRPr="0016671D" w:rsidRDefault="004313D9" w:rsidP="004313D9">
            <w:pPr>
              <w:ind w:right="540"/>
              <w:contextualSpacing/>
            </w:pPr>
            <w:r w:rsidRPr="0016671D">
              <w:t>Project Number</w:t>
            </w:r>
          </w:p>
        </w:tc>
        <w:tc>
          <w:tcPr>
            <w:tcW w:w="2724" w:type="pct"/>
            <w:shd w:val="clear" w:color="auto" w:fill="auto"/>
            <w:vAlign w:val="center"/>
          </w:tcPr>
          <w:p w14:paraId="3F72EF9F" w14:textId="33E805AF" w:rsidR="004313D9" w:rsidRPr="002738AD" w:rsidRDefault="007C317A" w:rsidP="004313D9">
            <w:pPr>
              <w:ind w:right="540"/>
              <w:contextualSpacing/>
            </w:pPr>
            <w:r>
              <w:t>UMMHC-24021420</w:t>
            </w:r>
          </w:p>
        </w:tc>
      </w:tr>
      <w:tr w:rsidR="004313D9" w:rsidRPr="0016671D" w14:paraId="5AB437F4" w14:textId="77777777" w:rsidTr="6CE004FB">
        <w:trPr>
          <w:trHeight w:val="300"/>
          <w:jc w:val="center"/>
        </w:trPr>
        <w:tc>
          <w:tcPr>
            <w:tcW w:w="2276" w:type="pct"/>
            <w:shd w:val="clear" w:color="auto" w:fill="auto"/>
            <w:vAlign w:val="center"/>
          </w:tcPr>
          <w:p w14:paraId="673CB573" w14:textId="77777777" w:rsidR="004313D9" w:rsidRPr="0016671D" w:rsidRDefault="004313D9" w:rsidP="004313D9">
            <w:pPr>
              <w:ind w:right="540"/>
              <w:contextualSpacing/>
            </w:pPr>
            <w:r w:rsidRPr="0016671D">
              <w:t>Ten Taxpayer Groups (TTG)</w:t>
            </w:r>
          </w:p>
        </w:tc>
        <w:tc>
          <w:tcPr>
            <w:tcW w:w="2724" w:type="pct"/>
            <w:shd w:val="clear" w:color="auto" w:fill="auto"/>
            <w:vAlign w:val="center"/>
          </w:tcPr>
          <w:p w14:paraId="1F09EC20" w14:textId="3F0DCAE3" w:rsidR="004313D9" w:rsidRPr="002738AD" w:rsidRDefault="005A11EB" w:rsidP="004313D9">
            <w:pPr>
              <w:ind w:right="540"/>
              <w:contextualSpacing/>
            </w:pPr>
            <w:r>
              <w:t>NONE</w:t>
            </w:r>
          </w:p>
        </w:tc>
      </w:tr>
      <w:tr w:rsidR="004313D9" w:rsidRPr="0016671D" w14:paraId="4DC78A97" w14:textId="77777777" w:rsidTr="6CE004FB">
        <w:trPr>
          <w:trHeight w:val="300"/>
          <w:jc w:val="center"/>
        </w:trPr>
        <w:tc>
          <w:tcPr>
            <w:tcW w:w="2276" w:type="pct"/>
            <w:shd w:val="clear" w:color="auto" w:fill="auto"/>
            <w:vAlign w:val="center"/>
          </w:tcPr>
          <w:p w14:paraId="4ED36B8C" w14:textId="77777777" w:rsidR="004313D9" w:rsidRPr="0016671D" w:rsidRDefault="004313D9" w:rsidP="004313D9">
            <w:pPr>
              <w:ind w:right="540"/>
              <w:contextualSpacing/>
            </w:pPr>
            <w:r w:rsidRPr="0016671D">
              <w:t>Community Health Initiative (CHI)</w:t>
            </w:r>
            <w:r w:rsidRPr="0016671D" w:rsidDel="00FB532E">
              <w:t xml:space="preserve"> </w:t>
            </w:r>
          </w:p>
        </w:tc>
        <w:tc>
          <w:tcPr>
            <w:tcW w:w="2724" w:type="pct"/>
            <w:shd w:val="clear" w:color="auto" w:fill="auto"/>
            <w:vAlign w:val="center"/>
          </w:tcPr>
          <w:p w14:paraId="1FD1C6E2" w14:textId="4E217E28" w:rsidR="004313D9" w:rsidRPr="002738AD" w:rsidRDefault="004C77A1" w:rsidP="004313D9">
            <w:pPr>
              <w:ind w:right="540"/>
              <w:contextualSpacing/>
            </w:pPr>
            <w:r>
              <w:t>Exempt from Factor 6</w:t>
            </w:r>
          </w:p>
        </w:tc>
      </w:tr>
      <w:tr w:rsidR="004313D9" w:rsidRPr="0016671D" w14:paraId="328C674C" w14:textId="77777777" w:rsidTr="6CE004FB">
        <w:trPr>
          <w:trHeight w:val="300"/>
          <w:jc w:val="center"/>
        </w:trPr>
        <w:tc>
          <w:tcPr>
            <w:tcW w:w="2276" w:type="pct"/>
            <w:shd w:val="clear" w:color="auto" w:fill="auto"/>
            <w:vAlign w:val="center"/>
          </w:tcPr>
          <w:p w14:paraId="7B1CAF6C" w14:textId="77777777" w:rsidR="004313D9" w:rsidRPr="0016671D" w:rsidRDefault="004313D9" w:rsidP="004313D9">
            <w:pPr>
              <w:ind w:right="540"/>
              <w:contextualSpacing/>
            </w:pPr>
            <w:r w:rsidRPr="0016671D">
              <w:t>Staff Recommendation</w:t>
            </w:r>
          </w:p>
        </w:tc>
        <w:tc>
          <w:tcPr>
            <w:tcW w:w="2724" w:type="pct"/>
            <w:shd w:val="clear" w:color="auto" w:fill="auto"/>
            <w:vAlign w:val="center"/>
          </w:tcPr>
          <w:p w14:paraId="1682CA02" w14:textId="6A4CAFE8" w:rsidR="004313D9" w:rsidRPr="002738AD" w:rsidRDefault="00186479" w:rsidP="004313D9">
            <w:pPr>
              <w:ind w:right="540"/>
              <w:contextualSpacing/>
            </w:pPr>
            <w:r>
              <w:t>Approval</w:t>
            </w:r>
            <w:r w:rsidR="00691C3E">
              <w:t xml:space="preserve"> with Conditions</w:t>
            </w:r>
          </w:p>
        </w:tc>
      </w:tr>
      <w:tr w:rsidR="004313D9" w:rsidRPr="0016671D" w14:paraId="40C51467" w14:textId="77777777" w:rsidTr="6CE004FB">
        <w:trPr>
          <w:trHeight w:val="300"/>
          <w:jc w:val="center"/>
        </w:trPr>
        <w:tc>
          <w:tcPr>
            <w:tcW w:w="2276" w:type="pct"/>
            <w:shd w:val="clear" w:color="auto" w:fill="auto"/>
            <w:vAlign w:val="center"/>
          </w:tcPr>
          <w:p w14:paraId="4F63ADC5" w14:textId="50D08DEE" w:rsidR="004313D9" w:rsidRPr="0016671D" w:rsidRDefault="00C40991" w:rsidP="004313D9">
            <w:pPr>
              <w:ind w:right="540"/>
              <w:contextualSpacing/>
            </w:pPr>
            <w:r w:rsidRPr="0016671D">
              <w:t>Public Health Council</w:t>
            </w:r>
          </w:p>
        </w:tc>
        <w:tc>
          <w:tcPr>
            <w:tcW w:w="2724" w:type="pct"/>
            <w:shd w:val="clear" w:color="auto" w:fill="auto"/>
            <w:vAlign w:val="center"/>
          </w:tcPr>
          <w:p w14:paraId="3E0E2C44" w14:textId="0BF5038E" w:rsidR="004313D9" w:rsidRPr="002738AD" w:rsidRDefault="0059055E" w:rsidP="004313D9">
            <w:pPr>
              <w:ind w:right="540"/>
              <w:contextualSpacing/>
            </w:pPr>
            <w:r w:rsidRPr="005C4580">
              <w:t>July 17</w:t>
            </w:r>
            <w:r w:rsidR="00691C3E" w:rsidRPr="005C4580">
              <w:t>, 2024</w:t>
            </w:r>
          </w:p>
        </w:tc>
      </w:tr>
      <w:tr w:rsidR="00D113E6" w:rsidRPr="0016671D" w14:paraId="5B8B03D1" w14:textId="77777777" w:rsidTr="6CE004FB">
        <w:trPr>
          <w:trHeight w:val="300"/>
          <w:jc w:val="center"/>
        </w:trPr>
        <w:tc>
          <w:tcPr>
            <w:tcW w:w="5000" w:type="pct"/>
            <w:gridSpan w:val="2"/>
            <w:shd w:val="clear" w:color="auto" w:fill="auto"/>
            <w:vAlign w:val="center"/>
          </w:tcPr>
          <w:p w14:paraId="115595BA" w14:textId="77777777" w:rsidR="00D113E6" w:rsidRPr="0016671D" w:rsidRDefault="00D113E6" w:rsidP="00D113E6">
            <w:pPr>
              <w:spacing w:before="240" w:after="200"/>
              <w:ind w:left="108" w:right="70"/>
              <w:jc w:val="center"/>
              <w:rPr>
                <w:rFonts w:eastAsia="Calibri"/>
                <w:b/>
              </w:rPr>
            </w:pPr>
            <w:r w:rsidRPr="0016671D">
              <w:rPr>
                <w:rFonts w:eastAsia="Calibri"/>
                <w:b/>
                <w:u w:val="single"/>
              </w:rPr>
              <w:t>Project Summary and Regulatory Review</w:t>
            </w:r>
          </w:p>
          <w:p w14:paraId="69EEC28F" w14:textId="378AF744" w:rsidR="00186479" w:rsidRDefault="1EAFB079" w:rsidP="00186479">
            <w:pPr>
              <w:ind w:left="108" w:right="70"/>
              <w:rPr>
                <w:rFonts w:eastAsia="Calibri"/>
              </w:rPr>
            </w:pPr>
            <w:r w:rsidRPr="62E0F396">
              <w:rPr>
                <w:rFonts w:eastAsia="Calibri"/>
              </w:rPr>
              <w:t>UMass Memorial Health Care, Inc. (</w:t>
            </w:r>
            <w:r w:rsidR="67B38194" w:rsidRPr="62E0F396">
              <w:rPr>
                <w:rFonts w:eastAsia="Calibri"/>
              </w:rPr>
              <w:t>“</w:t>
            </w:r>
            <w:r w:rsidRPr="62E0F396">
              <w:rPr>
                <w:rFonts w:eastAsia="Calibri"/>
              </w:rPr>
              <w:t>UMMHC</w:t>
            </w:r>
            <w:r w:rsidR="67B38194" w:rsidRPr="62E0F396">
              <w:rPr>
                <w:rFonts w:eastAsia="Calibri"/>
              </w:rPr>
              <w:t>”</w:t>
            </w:r>
            <w:r w:rsidRPr="62E0F396">
              <w:rPr>
                <w:rFonts w:eastAsia="Calibri"/>
              </w:rPr>
              <w:t xml:space="preserve"> or </w:t>
            </w:r>
            <w:r w:rsidR="67B38194" w:rsidRPr="62E0F396">
              <w:rPr>
                <w:rFonts w:eastAsia="Calibri"/>
              </w:rPr>
              <w:t>“</w:t>
            </w:r>
            <w:r w:rsidRPr="62E0F396">
              <w:rPr>
                <w:rFonts w:eastAsia="Calibri"/>
              </w:rPr>
              <w:t>Applicant</w:t>
            </w:r>
            <w:r w:rsidR="67B38194" w:rsidRPr="62E0F396">
              <w:rPr>
                <w:rFonts w:eastAsia="Calibri"/>
              </w:rPr>
              <w:t>”</w:t>
            </w:r>
            <w:r w:rsidRPr="62E0F396">
              <w:rPr>
                <w:rFonts w:eastAsia="Calibri"/>
              </w:rPr>
              <w:t>), the sole corporate member of UMass Memorial Community Hospitals, Inc. (</w:t>
            </w:r>
            <w:r w:rsidR="67B38194" w:rsidRPr="62E0F396">
              <w:rPr>
                <w:rFonts w:eastAsia="Calibri"/>
              </w:rPr>
              <w:t>“</w:t>
            </w:r>
            <w:r w:rsidRPr="62E0F396">
              <w:rPr>
                <w:rFonts w:eastAsia="Calibri"/>
              </w:rPr>
              <w:t>UMMCH</w:t>
            </w:r>
            <w:r w:rsidR="67B38194" w:rsidRPr="62E0F396">
              <w:rPr>
                <w:rFonts w:eastAsia="Calibri"/>
              </w:rPr>
              <w:t>”</w:t>
            </w:r>
            <w:r w:rsidRPr="62E0F396">
              <w:rPr>
                <w:rFonts w:eastAsia="Calibri"/>
              </w:rPr>
              <w:t>) and other affiliates is proposing to become the sole corporate member</w:t>
            </w:r>
            <w:r w:rsidR="3F15C0E6" w:rsidRPr="62E0F396">
              <w:rPr>
                <w:rFonts w:eastAsia="Calibri"/>
              </w:rPr>
              <w:t xml:space="preserve"> </w:t>
            </w:r>
            <w:r w:rsidR="4FA6DCF4" w:rsidRPr="62E0F396">
              <w:rPr>
                <w:rFonts w:eastAsia="Calibri"/>
              </w:rPr>
              <w:t xml:space="preserve">of </w:t>
            </w:r>
            <w:r w:rsidR="2363A6AB" w:rsidRPr="62E0F396">
              <w:rPr>
                <w:rFonts w:eastAsia="Calibri"/>
              </w:rPr>
              <w:t>Milford Regional Medical Center, Inc</w:t>
            </w:r>
            <w:r w:rsidR="3F15C0E6" w:rsidRPr="62E0F396">
              <w:rPr>
                <w:rFonts w:eastAsia="Calibri"/>
              </w:rPr>
              <w:t>.</w:t>
            </w:r>
            <w:r w:rsidR="05FD9CC5" w:rsidRPr="62E0F396">
              <w:rPr>
                <w:rFonts w:eastAsia="Calibri"/>
              </w:rPr>
              <w:t xml:space="preserve"> (“MRMC”)</w:t>
            </w:r>
            <w:r w:rsidR="3F15C0E6" w:rsidRPr="62E0F396">
              <w:rPr>
                <w:rFonts w:eastAsia="Calibri"/>
              </w:rPr>
              <w:t xml:space="preserve">, </w:t>
            </w:r>
            <w:r w:rsidR="23B63224" w:rsidRPr="62E0F396">
              <w:rPr>
                <w:rFonts w:eastAsia="Calibri"/>
              </w:rPr>
              <w:t xml:space="preserve">located at </w:t>
            </w:r>
            <w:r w:rsidR="05FD9CC5" w:rsidRPr="62E0F396">
              <w:rPr>
                <w:rFonts w:eastAsia="Calibri"/>
              </w:rPr>
              <w:t>14 Prospect St., Milford, MA</w:t>
            </w:r>
            <w:r w:rsidR="67B38194" w:rsidRPr="62E0F396">
              <w:rPr>
                <w:rFonts w:eastAsia="Calibri"/>
              </w:rPr>
              <w:t xml:space="preserve"> </w:t>
            </w:r>
            <w:r w:rsidR="05FD9CC5" w:rsidRPr="62E0F396">
              <w:rPr>
                <w:rFonts w:eastAsia="Calibri"/>
              </w:rPr>
              <w:t>01757 and</w:t>
            </w:r>
            <w:r w:rsidR="3A17EAD6" w:rsidRPr="62E0F396">
              <w:rPr>
                <w:rFonts w:eastAsia="Calibri"/>
              </w:rPr>
              <w:t xml:space="preserve"> its affiliated physician organization and foundation</w:t>
            </w:r>
            <w:r w:rsidRPr="62E0F396">
              <w:rPr>
                <w:rFonts w:eastAsia="Calibri"/>
              </w:rPr>
              <w:t>. The Proposed Project represents a change in the Hospital</w:t>
            </w:r>
            <w:r w:rsidR="614ECD74" w:rsidRPr="62E0F396">
              <w:rPr>
                <w:rFonts w:eastAsia="Calibri"/>
              </w:rPr>
              <w:t>’s</w:t>
            </w:r>
            <w:r w:rsidRPr="62E0F396">
              <w:rPr>
                <w:rFonts w:eastAsia="Calibri"/>
              </w:rPr>
              <w:t xml:space="preserve"> parent organization(s), such that the change results in a shift in control of the operation of the Hospital.</w:t>
            </w:r>
            <w:r w:rsidR="74FEF468" w:rsidRPr="62E0F396">
              <w:rPr>
                <w:rFonts w:eastAsia="Calibri"/>
              </w:rPr>
              <w:t xml:space="preserve"> </w:t>
            </w:r>
          </w:p>
          <w:p w14:paraId="10CDFED1" w14:textId="77777777" w:rsidR="00645329" w:rsidRPr="00186479" w:rsidRDefault="00645329" w:rsidP="00186479">
            <w:pPr>
              <w:ind w:left="108" w:right="70"/>
              <w:rPr>
                <w:rFonts w:eastAsia="Calibri"/>
              </w:rPr>
            </w:pPr>
          </w:p>
          <w:p w14:paraId="07AAE77B" w14:textId="6D374824" w:rsidR="00186479" w:rsidRDefault="067B7C5E" w:rsidP="00186479">
            <w:pPr>
              <w:ind w:left="108" w:right="70"/>
              <w:rPr>
                <w:rFonts w:eastAsia="Calibri"/>
              </w:rPr>
            </w:pPr>
            <w:r w:rsidRPr="779763D6">
              <w:rPr>
                <w:rFonts w:eastAsia="Calibri"/>
              </w:rPr>
              <w:t>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DoN Factor set forth within 105 CMR 100.210. A DoN Application for a Transfer of Ownership is subject to factors 1, 2, 3, and 4 of the DoN regulation. This staff report addresses each of the</w:t>
            </w:r>
            <w:r w:rsidR="7A00C802" w:rsidRPr="779763D6">
              <w:rPr>
                <w:rFonts w:eastAsia="Calibri"/>
              </w:rPr>
              <w:t xml:space="preserve"> required</w:t>
            </w:r>
            <w:r w:rsidRPr="779763D6">
              <w:rPr>
                <w:rFonts w:eastAsia="Calibri"/>
              </w:rPr>
              <w:t xml:space="preserve"> four factors set forth in the regulation.</w:t>
            </w:r>
          </w:p>
          <w:p w14:paraId="075B3A6B" w14:textId="77777777" w:rsidR="00097826" w:rsidRDefault="00097826" w:rsidP="00186479">
            <w:pPr>
              <w:ind w:left="108" w:right="70"/>
              <w:rPr>
                <w:rFonts w:eastAsia="Calibri"/>
              </w:rPr>
            </w:pPr>
          </w:p>
          <w:p w14:paraId="1D49F080" w14:textId="62DA3519" w:rsidR="00097826" w:rsidRPr="00186479" w:rsidRDefault="00097826" w:rsidP="00186479">
            <w:pPr>
              <w:ind w:left="108" w:right="70"/>
              <w:rPr>
                <w:rFonts w:eastAsia="Calibri"/>
              </w:rPr>
            </w:pPr>
            <w:r w:rsidRPr="00097826">
              <w:rPr>
                <w:rFonts w:eastAsia="Calibri"/>
              </w:rPr>
              <w:t xml:space="preserve">This Amended Staff Report Replaces the Original Staff Report. The changes are </w:t>
            </w:r>
            <w:r w:rsidR="002E2F4A">
              <w:rPr>
                <w:rFonts w:eastAsia="Calibri"/>
              </w:rPr>
              <w:t xml:space="preserve">to the conditions and </w:t>
            </w:r>
            <w:r w:rsidRPr="00097826">
              <w:rPr>
                <w:rFonts w:eastAsia="Calibri"/>
              </w:rPr>
              <w:t xml:space="preserve">appear in </w:t>
            </w:r>
            <w:r w:rsidRPr="00097826">
              <w:rPr>
                <w:rFonts w:eastAsia="Calibri"/>
                <w:color w:val="FF0000"/>
              </w:rPr>
              <w:t>red</w:t>
            </w:r>
            <w:r w:rsidRPr="00097826">
              <w:rPr>
                <w:rFonts w:eastAsia="Calibri"/>
              </w:rPr>
              <w:t>.</w:t>
            </w:r>
          </w:p>
          <w:p w14:paraId="53897644" w14:textId="247A58B4" w:rsidR="00D113E6" w:rsidRPr="00D113E6" w:rsidRDefault="00D113E6" w:rsidP="00186479">
            <w:pPr>
              <w:ind w:left="108" w:right="70"/>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3157A547" w14:textId="77777777" w:rsidR="00486F29" w:rsidRPr="00486F29" w:rsidRDefault="00486F29" w:rsidP="00486F29"/>
    <w:p w14:paraId="13429CFF" w14:textId="77777777" w:rsidR="003A6B26" w:rsidRDefault="003A6B26"/>
    <w:p w14:paraId="2ED41BF7" w14:textId="3D1BCDF6" w:rsidR="009E7016" w:rsidRDefault="0057782D">
      <w:pPr>
        <w:pStyle w:val="TOC1"/>
        <w:rPr>
          <w:rFonts w:asciiTheme="minorHAnsi" w:eastAsiaTheme="minorEastAsia" w:hAnsiTheme="minorHAnsi" w:cstheme="minorBidi"/>
          <w:kern w:val="2"/>
          <w:szCs w:val="24"/>
          <w14:ligatures w14:val="standardContextual"/>
        </w:rPr>
      </w:pPr>
      <w:r>
        <w:fldChar w:fldCharType="begin"/>
      </w:r>
      <w:r w:rsidR="00A13015">
        <w:instrText>TOC \o "1-3" \h \z \u</w:instrText>
      </w:r>
      <w:r>
        <w:fldChar w:fldCharType="separate"/>
      </w:r>
      <w:hyperlink w:anchor="_Toc169264784" w:history="1">
        <w:r w:rsidR="009E7016" w:rsidRPr="0022488A">
          <w:rPr>
            <w:rStyle w:val="Hyperlink"/>
          </w:rPr>
          <w:t>Background and Application Overview</w:t>
        </w:r>
        <w:r w:rsidR="009E7016">
          <w:rPr>
            <w:webHidden/>
          </w:rPr>
          <w:tab/>
        </w:r>
        <w:r w:rsidR="009E7016">
          <w:rPr>
            <w:webHidden/>
          </w:rPr>
          <w:fldChar w:fldCharType="begin"/>
        </w:r>
        <w:r w:rsidR="009E7016">
          <w:rPr>
            <w:webHidden/>
          </w:rPr>
          <w:instrText xml:space="preserve"> PAGEREF _Toc169264784 \h </w:instrText>
        </w:r>
        <w:r w:rsidR="009E7016">
          <w:rPr>
            <w:webHidden/>
          </w:rPr>
        </w:r>
        <w:r w:rsidR="009E7016">
          <w:rPr>
            <w:webHidden/>
          </w:rPr>
          <w:fldChar w:fldCharType="separate"/>
        </w:r>
        <w:r w:rsidR="009E7016">
          <w:rPr>
            <w:webHidden/>
          </w:rPr>
          <w:t>3</w:t>
        </w:r>
        <w:r w:rsidR="009E7016">
          <w:rPr>
            <w:webHidden/>
          </w:rPr>
          <w:fldChar w:fldCharType="end"/>
        </w:r>
      </w:hyperlink>
    </w:p>
    <w:p w14:paraId="1A419F89" w14:textId="31A365D4" w:rsidR="009E7016" w:rsidRDefault="003E5EA3">
      <w:pPr>
        <w:pStyle w:val="TOC1"/>
        <w:rPr>
          <w:rFonts w:asciiTheme="minorHAnsi" w:eastAsiaTheme="minorEastAsia" w:hAnsiTheme="minorHAnsi" w:cstheme="minorBidi"/>
          <w:kern w:val="2"/>
          <w:szCs w:val="24"/>
          <w14:ligatures w14:val="standardContextual"/>
        </w:rPr>
      </w:pPr>
      <w:hyperlink w:anchor="_Toc169264785" w:history="1">
        <w:r w:rsidR="009E7016" w:rsidRPr="0022488A">
          <w:rPr>
            <w:rStyle w:val="Hyperlink"/>
          </w:rPr>
          <w:t>Patient Panel</w:t>
        </w:r>
        <w:r w:rsidR="009E7016">
          <w:rPr>
            <w:webHidden/>
          </w:rPr>
          <w:tab/>
        </w:r>
        <w:r w:rsidR="009E7016">
          <w:rPr>
            <w:webHidden/>
          </w:rPr>
          <w:fldChar w:fldCharType="begin"/>
        </w:r>
        <w:r w:rsidR="009E7016">
          <w:rPr>
            <w:webHidden/>
          </w:rPr>
          <w:instrText xml:space="preserve"> PAGEREF _Toc169264785 \h </w:instrText>
        </w:r>
        <w:r w:rsidR="009E7016">
          <w:rPr>
            <w:webHidden/>
          </w:rPr>
        </w:r>
        <w:r w:rsidR="009E7016">
          <w:rPr>
            <w:webHidden/>
          </w:rPr>
          <w:fldChar w:fldCharType="separate"/>
        </w:r>
        <w:r w:rsidR="009E7016">
          <w:rPr>
            <w:webHidden/>
          </w:rPr>
          <w:t>4</w:t>
        </w:r>
        <w:r w:rsidR="009E7016">
          <w:rPr>
            <w:webHidden/>
          </w:rPr>
          <w:fldChar w:fldCharType="end"/>
        </w:r>
      </w:hyperlink>
    </w:p>
    <w:p w14:paraId="62921C37" w14:textId="12F2A0ED" w:rsidR="009E7016" w:rsidRDefault="003E5EA3">
      <w:pPr>
        <w:pStyle w:val="TOC1"/>
        <w:rPr>
          <w:rFonts w:asciiTheme="minorHAnsi" w:eastAsiaTheme="minorEastAsia" w:hAnsiTheme="minorHAnsi" w:cstheme="minorBidi"/>
          <w:kern w:val="2"/>
          <w:szCs w:val="24"/>
          <w14:ligatures w14:val="standardContextual"/>
        </w:rPr>
      </w:pPr>
      <w:hyperlink w:anchor="_Toc169264786" w:history="1">
        <w:r w:rsidR="009E7016" w:rsidRPr="0022488A">
          <w:rPr>
            <w:rStyle w:val="Hyperlink"/>
            <w:rFonts w:eastAsia="Calibri"/>
          </w:rPr>
          <w:t>Factor 1a: Patient Panel Need</w:t>
        </w:r>
        <w:r w:rsidR="009E7016">
          <w:rPr>
            <w:webHidden/>
          </w:rPr>
          <w:tab/>
        </w:r>
        <w:r w:rsidR="009E7016">
          <w:rPr>
            <w:webHidden/>
          </w:rPr>
          <w:fldChar w:fldCharType="begin"/>
        </w:r>
        <w:r w:rsidR="009E7016">
          <w:rPr>
            <w:webHidden/>
          </w:rPr>
          <w:instrText xml:space="preserve"> PAGEREF _Toc169264786 \h </w:instrText>
        </w:r>
        <w:r w:rsidR="009E7016">
          <w:rPr>
            <w:webHidden/>
          </w:rPr>
        </w:r>
        <w:r w:rsidR="009E7016">
          <w:rPr>
            <w:webHidden/>
          </w:rPr>
          <w:fldChar w:fldCharType="separate"/>
        </w:r>
        <w:r w:rsidR="009E7016">
          <w:rPr>
            <w:webHidden/>
          </w:rPr>
          <w:t>7</w:t>
        </w:r>
        <w:r w:rsidR="009E7016">
          <w:rPr>
            <w:webHidden/>
          </w:rPr>
          <w:fldChar w:fldCharType="end"/>
        </w:r>
      </w:hyperlink>
    </w:p>
    <w:p w14:paraId="1A5154D5" w14:textId="43898BCC" w:rsidR="009E7016" w:rsidRDefault="003E5EA3">
      <w:pPr>
        <w:pStyle w:val="TOC2"/>
        <w:rPr>
          <w:rFonts w:eastAsiaTheme="minorEastAsia" w:cstheme="minorBidi"/>
          <w:color w:val="auto"/>
          <w:kern w:val="2"/>
          <w14:ligatures w14:val="standardContextual"/>
        </w:rPr>
      </w:pPr>
      <w:hyperlink w:anchor="_Toc169264787" w:history="1">
        <w:r w:rsidR="009E7016" w:rsidRPr="0022488A">
          <w:rPr>
            <w:rStyle w:val="Hyperlink"/>
          </w:rPr>
          <w:t>Factor 1: b) Public health value, improved health outcomes and quality of life; assurances of health equity</w:t>
        </w:r>
        <w:r w:rsidR="009E7016">
          <w:rPr>
            <w:webHidden/>
          </w:rPr>
          <w:tab/>
        </w:r>
        <w:r w:rsidR="009E7016">
          <w:rPr>
            <w:webHidden/>
          </w:rPr>
          <w:fldChar w:fldCharType="begin"/>
        </w:r>
        <w:r w:rsidR="009E7016">
          <w:rPr>
            <w:webHidden/>
          </w:rPr>
          <w:instrText xml:space="preserve"> PAGEREF _Toc169264787 \h </w:instrText>
        </w:r>
        <w:r w:rsidR="009E7016">
          <w:rPr>
            <w:webHidden/>
          </w:rPr>
        </w:r>
        <w:r w:rsidR="009E7016">
          <w:rPr>
            <w:webHidden/>
          </w:rPr>
          <w:fldChar w:fldCharType="separate"/>
        </w:r>
        <w:r w:rsidR="009E7016">
          <w:rPr>
            <w:webHidden/>
          </w:rPr>
          <w:t>13</w:t>
        </w:r>
        <w:r w:rsidR="009E7016">
          <w:rPr>
            <w:webHidden/>
          </w:rPr>
          <w:fldChar w:fldCharType="end"/>
        </w:r>
      </w:hyperlink>
    </w:p>
    <w:p w14:paraId="3D30239B" w14:textId="651910AB" w:rsidR="009E7016" w:rsidRDefault="003E5EA3">
      <w:pPr>
        <w:pStyle w:val="TOC1"/>
        <w:rPr>
          <w:rFonts w:asciiTheme="minorHAnsi" w:eastAsiaTheme="minorEastAsia" w:hAnsiTheme="minorHAnsi" w:cstheme="minorBidi"/>
          <w:kern w:val="2"/>
          <w:szCs w:val="24"/>
          <w14:ligatures w14:val="standardContextual"/>
        </w:rPr>
      </w:pPr>
      <w:hyperlink w:anchor="_Toc169264788" w:history="1">
        <w:r w:rsidR="009E7016" w:rsidRPr="0022488A">
          <w:rPr>
            <w:rStyle w:val="Hyperlink"/>
          </w:rPr>
          <w:t>Factor 1: c) Efficiency, Continuity of Care, Coordination of Care</w:t>
        </w:r>
        <w:r w:rsidR="009E7016">
          <w:rPr>
            <w:webHidden/>
          </w:rPr>
          <w:tab/>
        </w:r>
        <w:r w:rsidR="009E7016">
          <w:rPr>
            <w:webHidden/>
          </w:rPr>
          <w:fldChar w:fldCharType="begin"/>
        </w:r>
        <w:r w:rsidR="009E7016">
          <w:rPr>
            <w:webHidden/>
          </w:rPr>
          <w:instrText xml:space="preserve"> PAGEREF _Toc169264788 \h </w:instrText>
        </w:r>
        <w:r w:rsidR="009E7016">
          <w:rPr>
            <w:webHidden/>
          </w:rPr>
        </w:r>
        <w:r w:rsidR="009E7016">
          <w:rPr>
            <w:webHidden/>
          </w:rPr>
          <w:fldChar w:fldCharType="separate"/>
        </w:r>
        <w:r w:rsidR="009E7016">
          <w:rPr>
            <w:webHidden/>
          </w:rPr>
          <w:t>18</w:t>
        </w:r>
        <w:r w:rsidR="009E7016">
          <w:rPr>
            <w:webHidden/>
          </w:rPr>
          <w:fldChar w:fldCharType="end"/>
        </w:r>
      </w:hyperlink>
    </w:p>
    <w:p w14:paraId="7AD2BBEF" w14:textId="2E8809BA" w:rsidR="009E7016" w:rsidRDefault="003E5EA3">
      <w:pPr>
        <w:pStyle w:val="TOC1"/>
        <w:rPr>
          <w:rFonts w:asciiTheme="minorHAnsi" w:eastAsiaTheme="minorEastAsia" w:hAnsiTheme="minorHAnsi" w:cstheme="minorBidi"/>
          <w:kern w:val="2"/>
          <w:szCs w:val="24"/>
          <w14:ligatures w14:val="standardContextual"/>
        </w:rPr>
      </w:pPr>
      <w:hyperlink w:anchor="_Toc169264789" w:history="1">
        <w:r w:rsidR="009E7016" w:rsidRPr="0022488A">
          <w:rPr>
            <w:rStyle w:val="Hyperlink"/>
          </w:rPr>
          <w:t>Factor 1: d) Consultation</w:t>
        </w:r>
        <w:r w:rsidR="009E7016">
          <w:rPr>
            <w:webHidden/>
          </w:rPr>
          <w:tab/>
        </w:r>
        <w:r w:rsidR="009E7016">
          <w:rPr>
            <w:webHidden/>
          </w:rPr>
          <w:fldChar w:fldCharType="begin"/>
        </w:r>
        <w:r w:rsidR="009E7016">
          <w:rPr>
            <w:webHidden/>
          </w:rPr>
          <w:instrText xml:space="preserve"> PAGEREF _Toc169264789 \h </w:instrText>
        </w:r>
        <w:r w:rsidR="009E7016">
          <w:rPr>
            <w:webHidden/>
          </w:rPr>
        </w:r>
        <w:r w:rsidR="009E7016">
          <w:rPr>
            <w:webHidden/>
          </w:rPr>
          <w:fldChar w:fldCharType="separate"/>
        </w:r>
        <w:r w:rsidR="009E7016">
          <w:rPr>
            <w:webHidden/>
          </w:rPr>
          <w:t>20</w:t>
        </w:r>
        <w:r w:rsidR="009E7016">
          <w:rPr>
            <w:webHidden/>
          </w:rPr>
          <w:fldChar w:fldCharType="end"/>
        </w:r>
      </w:hyperlink>
    </w:p>
    <w:p w14:paraId="0180BCBC" w14:textId="276194B3" w:rsidR="009E7016" w:rsidRDefault="003E5EA3">
      <w:pPr>
        <w:pStyle w:val="TOC1"/>
        <w:rPr>
          <w:rFonts w:asciiTheme="minorHAnsi" w:eastAsiaTheme="minorEastAsia" w:hAnsiTheme="minorHAnsi" w:cstheme="minorBidi"/>
          <w:kern w:val="2"/>
          <w:szCs w:val="24"/>
          <w14:ligatures w14:val="standardContextual"/>
        </w:rPr>
      </w:pPr>
      <w:hyperlink w:anchor="_Toc169264790" w:history="1">
        <w:r w:rsidR="009E7016" w:rsidRPr="0022488A">
          <w:rPr>
            <w:rStyle w:val="Hyperlink"/>
          </w:rPr>
          <w:t>Factor 1: e) Evidence of Sound Community Engagement through the Patient Panel</w:t>
        </w:r>
        <w:r w:rsidR="009E7016">
          <w:rPr>
            <w:webHidden/>
          </w:rPr>
          <w:tab/>
        </w:r>
        <w:r w:rsidR="009E7016">
          <w:rPr>
            <w:webHidden/>
          </w:rPr>
          <w:fldChar w:fldCharType="begin"/>
        </w:r>
        <w:r w:rsidR="009E7016">
          <w:rPr>
            <w:webHidden/>
          </w:rPr>
          <w:instrText xml:space="preserve"> PAGEREF _Toc169264790 \h </w:instrText>
        </w:r>
        <w:r w:rsidR="009E7016">
          <w:rPr>
            <w:webHidden/>
          </w:rPr>
        </w:r>
        <w:r w:rsidR="009E7016">
          <w:rPr>
            <w:webHidden/>
          </w:rPr>
          <w:fldChar w:fldCharType="separate"/>
        </w:r>
        <w:r w:rsidR="009E7016">
          <w:rPr>
            <w:webHidden/>
          </w:rPr>
          <w:t>20</w:t>
        </w:r>
        <w:r w:rsidR="009E7016">
          <w:rPr>
            <w:webHidden/>
          </w:rPr>
          <w:fldChar w:fldCharType="end"/>
        </w:r>
      </w:hyperlink>
    </w:p>
    <w:p w14:paraId="42D523FB" w14:textId="471B5013" w:rsidR="009E7016" w:rsidRDefault="003E5EA3">
      <w:pPr>
        <w:pStyle w:val="TOC1"/>
        <w:rPr>
          <w:rFonts w:asciiTheme="minorHAnsi" w:eastAsiaTheme="minorEastAsia" w:hAnsiTheme="minorHAnsi" w:cstheme="minorBidi"/>
          <w:kern w:val="2"/>
          <w:szCs w:val="24"/>
          <w14:ligatures w14:val="standardContextual"/>
        </w:rPr>
      </w:pPr>
      <w:hyperlink w:anchor="_Toc169264791" w:history="1">
        <w:r w:rsidR="009E7016" w:rsidRPr="0022488A">
          <w:rPr>
            <w:rStyle w:val="Hyperlink"/>
          </w:rPr>
          <w:t>Factor 1: f) Competition on Price, Total Medical Expenses (TME), Costs and Other Measures of Health Care Spending</w:t>
        </w:r>
        <w:r w:rsidR="009E7016">
          <w:rPr>
            <w:webHidden/>
          </w:rPr>
          <w:tab/>
        </w:r>
        <w:r w:rsidR="009E7016">
          <w:rPr>
            <w:webHidden/>
          </w:rPr>
          <w:fldChar w:fldCharType="begin"/>
        </w:r>
        <w:r w:rsidR="009E7016">
          <w:rPr>
            <w:webHidden/>
          </w:rPr>
          <w:instrText xml:space="preserve"> PAGEREF _Toc169264791 \h </w:instrText>
        </w:r>
        <w:r w:rsidR="009E7016">
          <w:rPr>
            <w:webHidden/>
          </w:rPr>
        </w:r>
        <w:r w:rsidR="009E7016">
          <w:rPr>
            <w:webHidden/>
          </w:rPr>
          <w:fldChar w:fldCharType="separate"/>
        </w:r>
        <w:r w:rsidR="009E7016">
          <w:rPr>
            <w:webHidden/>
          </w:rPr>
          <w:t>22</w:t>
        </w:r>
        <w:r w:rsidR="009E7016">
          <w:rPr>
            <w:webHidden/>
          </w:rPr>
          <w:fldChar w:fldCharType="end"/>
        </w:r>
      </w:hyperlink>
    </w:p>
    <w:p w14:paraId="05D22A0E" w14:textId="73712F9E" w:rsidR="009E7016" w:rsidRDefault="003E5EA3">
      <w:pPr>
        <w:pStyle w:val="TOC1"/>
        <w:rPr>
          <w:rFonts w:asciiTheme="minorHAnsi" w:eastAsiaTheme="minorEastAsia" w:hAnsiTheme="minorHAnsi" w:cstheme="minorBidi"/>
          <w:kern w:val="2"/>
          <w:szCs w:val="24"/>
          <w14:ligatures w14:val="standardContextual"/>
        </w:rPr>
      </w:pPr>
      <w:hyperlink w:anchor="_Toc169264792" w:history="1">
        <w:r w:rsidR="009E7016" w:rsidRPr="0022488A">
          <w:rPr>
            <w:rStyle w:val="Hyperlink"/>
          </w:rPr>
          <w:t>Factor 2: Cost Containment, Improved Public Health Outcomes and Delivery System Transformation</w:t>
        </w:r>
        <w:r w:rsidR="009E7016">
          <w:rPr>
            <w:webHidden/>
          </w:rPr>
          <w:tab/>
        </w:r>
        <w:r w:rsidR="009E7016">
          <w:rPr>
            <w:webHidden/>
          </w:rPr>
          <w:fldChar w:fldCharType="begin"/>
        </w:r>
        <w:r w:rsidR="009E7016">
          <w:rPr>
            <w:webHidden/>
          </w:rPr>
          <w:instrText xml:space="preserve"> PAGEREF _Toc169264792 \h </w:instrText>
        </w:r>
        <w:r w:rsidR="009E7016">
          <w:rPr>
            <w:webHidden/>
          </w:rPr>
        </w:r>
        <w:r w:rsidR="009E7016">
          <w:rPr>
            <w:webHidden/>
          </w:rPr>
          <w:fldChar w:fldCharType="separate"/>
        </w:r>
        <w:r w:rsidR="009E7016">
          <w:rPr>
            <w:webHidden/>
          </w:rPr>
          <w:t>25</w:t>
        </w:r>
        <w:r w:rsidR="009E7016">
          <w:rPr>
            <w:webHidden/>
          </w:rPr>
          <w:fldChar w:fldCharType="end"/>
        </w:r>
      </w:hyperlink>
    </w:p>
    <w:p w14:paraId="6AA4202B" w14:textId="05DDD7BE" w:rsidR="009E7016" w:rsidRDefault="003E5EA3">
      <w:pPr>
        <w:pStyle w:val="TOC1"/>
        <w:rPr>
          <w:rFonts w:asciiTheme="minorHAnsi" w:eastAsiaTheme="minorEastAsia" w:hAnsiTheme="minorHAnsi" w:cstheme="minorBidi"/>
          <w:kern w:val="2"/>
          <w:szCs w:val="24"/>
          <w14:ligatures w14:val="standardContextual"/>
        </w:rPr>
      </w:pPr>
      <w:hyperlink w:anchor="_Toc169264793" w:history="1">
        <w:r w:rsidR="009E7016" w:rsidRPr="0022488A">
          <w:rPr>
            <w:rStyle w:val="Hyperlink"/>
          </w:rPr>
          <w:t>Factor 3: Relevant Licensure/Oversight Compliance</w:t>
        </w:r>
        <w:r w:rsidR="009E7016">
          <w:rPr>
            <w:webHidden/>
          </w:rPr>
          <w:tab/>
        </w:r>
        <w:r w:rsidR="009E7016">
          <w:rPr>
            <w:webHidden/>
          </w:rPr>
          <w:fldChar w:fldCharType="begin"/>
        </w:r>
        <w:r w:rsidR="009E7016">
          <w:rPr>
            <w:webHidden/>
          </w:rPr>
          <w:instrText xml:space="preserve"> PAGEREF _Toc169264793 \h </w:instrText>
        </w:r>
        <w:r w:rsidR="009E7016">
          <w:rPr>
            <w:webHidden/>
          </w:rPr>
        </w:r>
        <w:r w:rsidR="009E7016">
          <w:rPr>
            <w:webHidden/>
          </w:rPr>
          <w:fldChar w:fldCharType="separate"/>
        </w:r>
        <w:r w:rsidR="009E7016">
          <w:rPr>
            <w:webHidden/>
          </w:rPr>
          <w:t>27</w:t>
        </w:r>
        <w:r w:rsidR="009E7016">
          <w:rPr>
            <w:webHidden/>
          </w:rPr>
          <w:fldChar w:fldCharType="end"/>
        </w:r>
      </w:hyperlink>
    </w:p>
    <w:p w14:paraId="3572FD98" w14:textId="6085F3D1" w:rsidR="009E7016" w:rsidRDefault="003E5EA3">
      <w:pPr>
        <w:pStyle w:val="TOC1"/>
        <w:rPr>
          <w:rFonts w:asciiTheme="minorHAnsi" w:eastAsiaTheme="minorEastAsia" w:hAnsiTheme="minorHAnsi" w:cstheme="minorBidi"/>
          <w:kern w:val="2"/>
          <w:szCs w:val="24"/>
          <w14:ligatures w14:val="standardContextual"/>
        </w:rPr>
      </w:pPr>
      <w:hyperlink w:anchor="_Toc169264794" w:history="1">
        <w:r w:rsidR="009E7016" w:rsidRPr="0022488A">
          <w:rPr>
            <w:rStyle w:val="Hyperlink"/>
          </w:rPr>
          <w:t>Factor 4: Demonstration of Sufficient Funds Independent CPA Analysis</w:t>
        </w:r>
        <w:r w:rsidR="009E7016">
          <w:rPr>
            <w:webHidden/>
          </w:rPr>
          <w:tab/>
        </w:r>
        <w:r w:rsidR="009E7016">
          <w:rPr>
            <w:webHidden/>
          </w:rPr>
          <w:fldChar w:fldCharType="begin"/>
        </w:r>
        <w:r w:rsidR="009E7016">
          <w:rPr>
            <w:webHidden/>
          </w:rPr>
          <w:instrText xml:space="preserve"> PAGEREF _Toc169264794 \h </w:instrText>
        </w:r>
        <w:r w:rsidR="009E7016">
          <w:rPr>
            <w:webHidden/>
          </w:rPr>
        </w:r>
        <w:r w:rsidR="009E7016">
          <w:rPr>
            <w:webHidden/>
          </w:rPr>
          <w:fldChar w:fldCharType="separate"/>
        </w:r>
        <w:r w:rsidR="009E7016">
          <w:rPr>
            <w:webHidden/>
          </w:rPr>
          <w:t>27</w:t>
        </w:r>
        <w:r w:rsidR="009E7016">
          <w:rPr>
            <w:webHidden/>
          </w:rPr>
          <w:fldChar w:fldCharType="end"/>
        </w:r>
      </w:hyperlink>
    </w:p>
    <w:p w14:paraId="1777803F" w14:textId="2D9B48EB" w:rsidR="009E7016" w:rsidRDefault="003E5EA3">
      <w:pPr>
        <w:pStyle w:val="TOC1"/>
        <w:rPr>
          <w:rFonts w:asciiTheme="minorHAnsi" w:eastAsiaTheme="minorEastAsia" w:hAnsiTheme="minorHAnsi" w:cstheme="minorBidi"/>
          <w:kern w:val="2"/>
          <w:szCs w:val="24"/>
          <w14:ligatures w14:val="standardContextual"/>
        </w:rPr>
      </w:pPr>
      <w:hyperlink w:anchor="_Toc169264795" w:history="1">
        <w:r w:rsidR="009E7016" w:rsidRPr="0022488A">
          <w:rPr>
            <w:rStyle w:val="Hyperlink"/>
          </w:rPr>
          <w:t>Factor 5: Relative Merit</w:t>
        </w:r>
        <w:r w:rsidR="009E7016">
          <w:rPr>
            <w:webHidden/>
          </w:rPr>
          <w:tab/>
        </w:r>
        <w:r w:rsidR="009E7016">
          <w:rPr>
            <w:webHidden/>
          </w:rPr>
          <w:fldChar w:fldCharType="begin"/>
        </w:r>
        <w:r w:rsidR="009E7016">
          <w:rPr>
            <w:webHidden/>
          </w:rPr>
          <w:instrText xml:space="preserve"> PAGEREF _Toc169264795 \h </w:instrText>
        </w:r>
        <w:r w:rsidR="009E7016">
          <w:rPr>
            <w:webHidden/>
          </w:rPr>
        </w:r>
        <w:r w:rsidR="009E7016">
          <w:rPr>
            <w:webHidden/>
          </w:rPr>
          <w:fldChar w:fldCharType="separate"/>
        </w:r>
        <w:r w:rsidR="009E7016">
          <w:rPr>
            <w:webHidden/>
          </w:rPr>
          <w:t>30</w:t>
        </w:r>
        <w:r w:rsidR="009E7016">
          <w:rPr>
            <w:webHidden/>
          </w:rPr>
          <w:fldChar w:fldCharType="end"/>
        </w:r>
      </w:hyperlink>
    </w:p>
    <w:p w14:paraId="5E7FA410" w14:textId="2F2E7DEB" w:rsidR="009E7016" w:rsidRDefault="003E5EA3">
      <w:pPr>
        <w:pStyle w:val="TOC1"/>
        <w:rPr>
          <w:rFonts w:asciiTheme="minorHAnsi" w:eastAsiaTheme="minorEastAsia" w:hAnsiTheme="minorHAnsi" w:cstheme="minorBidi"/>
          <w:kern w:val="2"/>
          <w:szCs w:val="24"/>
          <w14:ligatures w14:val="standardContextual"/>
        </w:rPr>
      </w:pPr>
      <w:hyperlink w:anchor="_Toc169264796" w:history="1">
        <w:r w:rsidR="009E7016" w:rsidRPr="0022488A">
          <w:rPr>
            <w:rStyle w:val="Hyperlink"/>
            <w:i/>
            <w:iCs/>
          </w:rPr>
          <w:t>Transfers of Ownership are exempt from this factor.</w:t>
        </w:r>
        <w:r w:rsidR="009E7016">
          <w:rPr>
            <w:webHidden/>
          </w:rPr>
          <w:tab/>
        </w:r>
        <w:r w:rsidR="009E7016">
          <w:rPr>
            <w:webHidden/>
          </w:rPr>
          <w:fldChar w:fldCharType="begin"/>
        </w:r>
        <w:r w:rsidR="009E7016">
          <w:rPr>
            <w:webHidden/>
          </w:rPr>
          <w:instrText xml:space="preserve"> PAGEREF _Toc169264796 \h </w:instrText>
        </w:r>
        <w:r w:rsidR="009E7016">
          <w:rPr>
            <w:webHidden/>
          </w:rPr>
        </w:r>
        <w:r w:rsidR="009E7016">
          <w:rPr>
            <w:webHidden/>
          </w:rPr>
          <w:fldChar w:fldCharType="separate"/>
        </w:r>
        <w:r w:rsidR="009E7016">
          <w:rPr>
            <w:webHidden/>
          </w:rPr>
          <w:t>30</w:t>
        </w:r>
        <w:r w:rsidR="009E7016">
          <w:rPr>
            <w:webHidden/>
          </w:rPr>
          <w:fldChar w:fldCharType="end"/>
        </w:r>
      </w:hyperlink>
    </w:p>
    <w:p w14:paraId="61C5D5F9" w14:textId="12A46080" w:rsidR="009E7016" w:rsidRDefault="003E5EA3">
      <w:pPr>
        <w:pStyle w:val="TOC1"/>
        <w:rPr>
          <w:rFonts w:asciiTheme="minorHAnsi" w:eastAsiaTheme="minorEastAsia" w:hAnsiTheme="minorHAnsi" w:cstheme="minorBidi"/>
          <w:kern w:val="2"/>
          <w:szCs w:val="24"/>
          <w14:ligatures w14:val="standardContextual"/>
        </w:rPr>
      </w:pPr>
      <w:hyperlink w:anchor="_Toc169264797" w:history="1">
        <w:r w:rsidR="009E7016" w:rsidRPr="0022488A">
          <w:rPr>
            <w:rStyle w:val="Hyperlink"/>
            <w:rFonts w:eastAsia="Times New Roman"/>
          </w:rPr>
          <w:t>Factor 6: Community-based Health Initiatives</w:t>
        </w:r>
        <w:r w:rsidR="009E7016">
          <w:rPr>
            <w:webHidden/>
          </w:rPr>
          <w:tab/>
        </w:r>
        <w:r w:rsidR="009E7016">
          <w:rPr>
            <w:webHidden/>
          </w:rPr>
          <w:fldChar w:fldCharType="begin"/>
        </w:r>
        <w:r w:rsidR="009E7016">
          <w:rPr>
            <w:webHidden/>
          </w:rPr>
          <w:instrText xml:space="preserve"> PAGEREF _Toc169264797 \h </w:instrText>
        </w:r>
        <w:r w:rsidR="009E7016">
          <w:rPr>
            <w:webHidden/>
          </w:rPr>
        </w:r>
        <w:r w:rsidR="009E7016">
          <w:rPr>
            <w:webHidden/>
          </w:rPr>
          <w:fldChar w:fldCharType="separate"/>
        </w:r>
        <w:r w:rsidR="009E7016">
          <w:rPr>
            <w:webHidden/>
          </w:rPr>
          <w:t>30</w:t>
        </w:r>
        <w:r w:rsidR="009E7016">
          <w:rPr>
            <w:webHidden/>
          </w:rPr>
          <w:fldChar w:fldCharType="end"/>
        </w:r>
      </w:hyperlink>
    </w:p>
    <w:p w14:paraId="7DAE9B54" w14:textId="24D6AD4C" w:rsidR="009E7016" w:rsidRDefault="003E5EA3">
      <w:pPr>
        <w:pStyle w:val="TOC1"/>
        <w:rPr>
          <w:rFonts w:asciiTheme="minorHAnsi" w:eastAsiaTheme="minorEastAsia" w:hAnsiTheme="minorHAnsi" w:cstheme="minorBidi"/>
          <w:kern w:val="2"/>
          <w:szCs w:val="24"/>
          <w14:ligatures w14:val="standardContextual"/>
        </w:rPr>
      </w:pPr>
      <w:hyperlink w:anchor="_Toc169264798" w:history="1">
        <w:r w:rsidR="009E7016" w:rsidRPr="0022488A">
          <w:rPr>
            <w:rStyle w:val="Hyperlink"/>
            <w:i/>
            <w:iCs/>
          </w:rPr>
          <w:t>Transfers of Ownership are exempt from this factor.</w:t>
        </w:r>
        <w:r w:rsidR="009E7016">
          <w:rPr>
            <w:webHidden/>
          </w:rPr>
          <w:tab/>
        </w:r>
        <w:r w:rsidR="009E7016">
          <w:rPr>
            <w:webHidden/>
          </w:rPr>
          <w:fldChar w:fldCharType="begin"/>
        </w:r>
        <w:r w:rsidR="009E7016">
          <w:rPr>
            <w:webHidden/>
          </w:rPr>
          <w:instrText xml:space="preserve"> PAGEREF _Toc169264798 \h </w:instrText>
        </w:r>
        <w:r w:rsidR="009E7016">
          <w:rPr>
            <w:webHidden/>
          </w:rPr>
        </w:r>
        <w:r w:rsidR="009E7016">
          <w:rPr>
            <w:webHidden/>
          </w:rPr>
          <w:fldChar w:fldCharType="separate"/>
        </w:r>
        <w:r w:rsidR="009E7016">
          <w:rPr>
            <w:webHidden/>
          </w:rPr>
          <w:t>30</w:t>
        </w:r>
        <w:r w:rsidR="009E7016">
          <w:rPr>
            <w:webHidden/>
          </w:rPr>
          <w:fldChar w:fldCharType="end"/>
        </w:r>
      </w:hyperlink>
    </w:p>
    <w:p w14:paraId="2E89D89B" w14:textId="2C20ACBA" w:rsidR="009E7016" w:rsidRDefault="003E5EA3">
      <w:pPr>
        <w:pStyle w:val="TOC1"/>
        <w:rPr>
          <w:rFonts w:asciiTheme="minorHAnsi" w:eastAsiaTheme="minorEastAsia" w:hAnsiTheme="minorHAnsi" w:cstheme="minorBidi"/>
          <w:kern w:val="2"/>
          <w:szCs w:val="24"/>
          <w14:ligatures w14:val="standardContextual"/>
        </w:rPr>
      </w:pPr>
      <w:hyperlink w:anchor="_Toc169264799" w:history="1">
        <w:r w:rsidR="009E7016" w:rsidRPr="0022488A">
          <w:rPr>
            <w:rStyle w:val="Hyperlink"/>
          </w:rPr>
          <w:t>Findings and Recommendations</w:t>
        </w:r>
        <w:r w:rsidR="009E7016">
          <w:rPr>
            <w:webHidden/>
          </w:rPr>
          <w:tab/>
        </w:r>
        <w:r w:rsidR="009E7016">
          <w:rPr>
            <w:webHidden/>
          </w:rPr>
          <w:fldChar w:fldCharType="begin"/>
        </w:r>
        <w:r w:rsidR="009E7016">
          <w:rPr>
            <w:webHidden/>
          </w:rPr>
          <w:instrText xml:space="preserve"> PAGEREF _Toc169264799 \h </w:instrText>
        </w:r>
        <w:r w:rsidR="009E7016">
          <w:rPr>
            <w:webHidden/>
          </w:rPr>
        </w:r>
        <w:r w:rsidR="009E7016">
          <w:rPr>
            <w:webHidden/>
          </w:rPr>
          <w:fldChar w:fldCharType="separate"/>
        </w:r>
        <w:r w:rsidR="009E7016">
          <w:rPr>
            <w:webHidden/>
          </w:rPr>
          <w:t>30</w:t>
        </w:r>
        <w:r w:rsidR="009E7016">
          <w:rPr>
            <w:webHidden/>
          </w:rPr>
          <w:fldChar w:fldCharType="end"/>
        </w:r>
      </w:hyperlink>
    </w:p>
    <w:p w14:paraId="79478C25" w14:textId="7E49C727" w:rsidR="009E7016" w:rsidRDefault="003E5EA3">
      <w:pPr>
        <w:pStyle w:val="TOC1"/>
        <w:rPr>
          <w:rFonts w:asciiTheme="minorHAnsi" w:eastAsiaTheme="minorEastAsia" w:hAnsiTheme="minorHAnsi" w:cstheme="minorBidi"/>
          <w:kern w:val="2"/>
          <w:szCs w:val="24"/>
          <w14:ligatures w14:val="standardContextual"/>
        </w:rPr>
      </w:pPr>
      <w:hyperlink w:anchor="_Toc169264800" w:history="1">
        <w:r w:rsidR="009E7016" w:rsidRPr="0022488A">
          <w:rPr>
            <w:rStyle w:val="Hyperlink"/>
            <w:rFonts w:cs="Calibri"/>
          </w:rPr>
          <w:t>Other Conditions</w:t>
        </w:r>
        <w:r w:rsidR="009E7016">
          <w:rPr>
            <w:webHidden/>
          </w:rPr>
          <w:tab/>
        </w:r>
        <w:r w:rsidR="009E7016">
          <w:rPr>
            <w:webHidden/>
          </w:rPr>
          <w:fldChar w:fldCharType="begin"/>
        </w:r>
        <w:r w:rsidR="009E7016">
          <w:rPr>
            <w:webHidden/>
          </w:rPr>
          <w:instrText xml:space="preserve"> PAGEREF _Toc169264800 \h </w:instrText>
        </w:r>
        <w:r w:rsidR="009E7016">
          <w:rPr>
            <w:webHidden/>
          </w:rPr>
        </w:r>
        <w:r w:rsidR="009E7016">
          <w:rPr>
            <w:webHidden/>
          </w:rPr>
          <w:fldChar w:fldCharType="separate"/>
        </w:r>
        <w:r w:rsidR="009E7016">
          <w:rPr>
            <w:webHidden/>
          </w:rPr>
          <w:t>30</w:t>
        </w:r>
        <w:r w:rsidR="009E7016">
          <w:rPr>
            <w:webHidden/>
          </w:rPr>
          <w:fldChar w:fldCharType="end"/>
        </w:r>
      </w:hyperlink>
    </w:p>
    <w:p w14:paraId="08573DDD" w14:textId="48D85F7A" w:rsidR="00583DF3" w:rsidRDefault="0057782D" w:rsidP="005C4580">
      <w:pPr>
        <w:pStyle w:val="TOC1"/>
        <w:rPr>
          <w:rFonts w:eastAsiaTheme="minorEastAsia" w:cstheme="minorBidi"/>
          <w:kern w:val="2"/>
          <w14:ligatures w14:val="standardContextual"/>
        </w:rPr>
      </w:pPr>
      <w:r>
        <w:fldChar w:fldCharType="end"/>
      </w:r>
    </w:p>
    <w:p w14:paraId="7FC25410" w14:textId="15ECFAFD" w:rsidR="00486F29" w:rsidRDefault="00486F29" w:rsidP="00486F29"/>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538C1D0B" w14:textId="16F598C8" w:rsidR="00D113E6" w:rsidRDefault="00D113E6">
      <w:r>
        <w:br w:type="page"/>
      </w:r>
    </w:p>
    <w:p w14:paraId="47730871" w14:textId="32CFB61F" w:rsidR="00583DF3" w:rsidRPr="002070BE" w:rsidRDefault="006B4303" w:rsidP="002070BE">
      <w:pPr>
        <w:pStyle w:val="Heading1"/>
        <w:rPr>
          <w:rFonts w:asciiTheme="minorHAnsi" w:hAnsiTheme="minorHAnsi" w:cstheme="minorBidi"/>
        </w:rPr>
      </w:pPr>
      <w:bookmarkStart w:id="0" w:name="_Toc27567688"/>
      <w:bookmarkStart w:id="1" w:name="_Toc17151134"/>
      <w:bookmarkStart w:id="2" w:name="_Toc17228947"/>
      <w:bookmarkStart w:id="3" w:name="_Toc17731303"/>
      <w:bookmarkStart w:id="4" w:name="_Toc17748221"/>
      <w:bookmarkStart w:id="5" w:name="_Toc17748448"/>
      <w:bookmarkStart w:id="6" w:name="_Toc17748692"/>
      <w:bookmarkStart w:id="7" w:name="_Toc18922392"/>
      <w:bookmarkStart w:id="8" w:name="_Toc23110213"/>
      <w:bookmarkStart w:id="9" w:name="_Toc23157976"/>
      <w:bookmarkStart w:id="10" w:name="_Toc23323238"/>
      <w:bookmarkStart w:id="11" w:name="_Toc23324244"/>
      <w:bookmarkStart w:id="12" w:name="_Toc23424528"/>
      <w:bookmarkStart w:id="13" w:name="_Toc169264784"/>
      <w:r w:rsidRPr="6CE004FB">
        <w:rPr>
          <w:rFonts w:asciiTheme="minorHAnsi" w:hAnsiTheme="minorHAnsi" w:cstheme="minorBidi"/>
        </w:rPr>
        <w:lastRenderedPageBreak/>
        <w:t>B</w:t>
      </w:r>
      <w:r w:rsidR="00234964" w:rsidRPr="6CE004FB">
        <w:rPr>
          <w:rFonts w:asciiTheme="minorHAnsi" w:hAnsiTheme="minorHAnsi" w:cstheme="minorBidi"/>
        </w:rPr>
        <w:t>ackground</w:t>
      </w:r>
      <w:bookmarkEnd w:id="0"/>
      <w:bookmarkEnd w:id="1"/>
      <w:bookmarkEnd w:id="2"/>
      <w:bookmarkEnd w:id="3"/>
      <w:bookmarkEnd w:id="4"/>
      <w:bookmarkEnd w:id="5"/>
      <w:bookmarkEnd w:id="6"/>
      <w:bookmarkEnd w:id="7"/>
      <w:bookmarkEnd w:id="8"/>
      <w:bookmarkEnd w:id="9"/>
      <w:bookmarkEnd w:id="10"/>
      <w:bookmarkEnd w:id="11"/>
      <w:bookmarkEnd w:id="12"/>
      <w:r w:rsidR="008A5727" w:rsidRPr="6CE004FB">
        <w:rPr>
          <w:rFonts w:asciiTheme="minorHAnsi" w:hAnsiTheme="minorHAnsi" w:cstheme="minorBidi"/>
        </w:rPr>
        <w:t xml:space="preserve"> </w:t>
      </w:r>
      <w:r w:rsidRPr="6CE004FB">
        <w:rPr>
          <w:rFonts w:asciiTheme="minorHAnsi" w:hAnsiTheme="minorHAnsi" w:cstheme="minorBidi"/>
        </w:rPr>
        <w:t>and Application Overview</w:t>
      </w:r>
      <w:bookmarkStart w:id="14" w:name="_Toc17474921"/>
      <w:bookmarkEnd w:id="13"/>
    </w:p>
    <w:p w14:paraId="0189DFEE" w14:textId="25BFBAEE" w:rsidR="002A6C16" w:rsidRPr="002A6C16" w:rsidRDefault="002A6C16" w:rsidP="002070BE">
      <w:pPr>
        <w:spacing w:before="240" w:after="240"/>
        <w:jc w:val="both"/>
        <w:rPr>
          <w:rFonts w:ascii="Calibri" w:eastAsia="PMingLiU" w:hAnsi="Calibri" w:cs="Times New Roman"/>
          <w:b/>
          <w:bCs/>
          <w:szCs w:val="22"/>
        </w:rPr>
      </w:pPr>
      <w:r w:rsidRPr="004C77A1">
        <w:rPr>
          <w:rFonts w:ascii="Calibri" w:eastAsia="PMingLiU" w:hAnsi="Calibri" w:cs="Times New Roman"/>
          <w:b/>
          <w:bCs/>
          <w:szCs w:val="22"/>
        </w:rPr>
        <w:t>UMass Memorial Health Care, Inc.</w:t>
      </w:r>
    </w:p>
    <w:p w14:paraId="2AC7518F" w14:textId="51A193A1" w:rsidR="00D75A79" w:rsidRDefault="0F60098D" w:rsidP="468D1D2F">
      <w:pPr>
        <w:spacing w:after="200"/>
        <w:rPr>
          <w:rFonts w:ascii="Calibri" w:eastAsia="Calibri" w:hAnsi="Calibri" w:cs="Calibri"/>
        </w:rPr>
      </w:pPr>
      <w:r w:rsidRPr="468D1D2F">
        <w:rPr>
          <w:rFonts w:ascii="Calibri" w:eastAsia="PMingLiU" w:hAnsi="Calibri" w:cs="Times New Roman"/>
        </w:rPr>
        <w:t>The Applicant, UMass Memorial Health Care, Inc. (“UMMHC”), is a Massachusetts nonprofit corporation</w:t>
      </w:r>
      <w:r w:rsidR="18C38724" w:rsidRPr="468D1D2F">
        <w:rPr>
          <w:rFonts w:ascii="Calibri" w:eastAsia="PMingLiU" w:hAnsi="Calibri" w:cs="Times New Roman"/>
        </w:rPr>
        <w:t>.</w:t>
      </w:r>
      <w:r w:rsidRPr="468D1D2F">
        <w:rPr>
          <w:rFonts w:ascii="Calibri" w:eastAsia="PMingLiU" w:hAnsi="Calibri" w:cs="Times New Roman"/>
        </w:rPr>
        <w:t xml:space="preserve"> </w:t>
      </w:r>
      <w:r w:rsidR="664E0E46" w:rsidRPr="468D1D2F">
        <w:rPr>
          <w:rFonts w:ascii="Calibri" w:eastAsia="PMingLiU" w:hAnsi="Calibri" w:cs="Times New Roman"/>
        </w:rPr>
        <w:t xml:space="preserve">UMMHC </w:t>
      </w:r>
      <w:r w:rsidRPr="468D1D2F">
        <w:rPr>
          <w:rFonts w:ascii="Calibri" w:eastAsia="PMingLiU" w:hAnsi="Calibri" w:cs="Times New Roman"/>
        </w:rPr>
        <w:t xml:space="preserve">owns and operates an integrated health care system comprised of a network of </w:t>
      </w:r>
      <w:r w:rsidR="342D87BF" w:rsidRPr="468D1D2F">
        <w:rPr>
          <w:rFonts w:ascii="Calibri" w:eastAsia="PMingLiU" w:hAnsi="Calibri" w:cs="Times New Roman"/>
        </w:rPr>
        <w:t xml:space="preserve">4 </w:t>
      </w:r>
      <w:r w:rsidRPr="468D1D2F">
        <w:rPr>
          <w:rFonts w:ascii="Calibri" w:eastAsia="PMingLiU" w:hAnsi="Calibri" w:cs="Times New Roman"/>
        </w:rPr>
        <w:t>hospitals</w:t>
      </w:r>
      <w:r w:rsidR="72E36BE3" w:rsidRPr="468D1D2F">
        <w:rPr>
          <w:rFonts w:ascii="Calibri" w:eastAsia="PMingLiU" w:hAnsi="Calibri" w:cs="Times New Roman"/>
        </w:rPr>
        <w:t xml:space="preserve"> </w:t>
      </w:r>
      <w:r w:rsidR="4A57F6AE" w:rsidRPr="468D1D2F">
        <w:rPr>
          <w:rFonts w:ascii="Calibri" w:eastAsia="PMingLiU" w:hAnsi="Calibri" w:cs="Times New Roman"/>
        </w:rPr>
        <w:t>(</w:t>
      </w:r>
      <w:r w:rsidR="72E36BE3" w:rsidRPr="468D1D2F">
        <w:rPr>
          <w:rFonts w:ascii="Calibri" w:eastAsia="PMingLiU" w:hAnsi="Calibri" w:cs="Times New Roman"/>
        </w:rPr>
        <w:t xml:space="preserve">on </w:t>
      </w:r>
      <w:r w:rsidR="4A57F6AE" w:rsidRPr="468D1D2F">
        <w:rPr>
          <w:rFonts w:ascii="Calibri" w:eastAsia="PMingLiU" w:hAnsi="Calibri" w:cs="Times New Roman"/>
        </w:rPr>
        <w:t>8 campuses)</w:t>
      </w:r>
      <w:r w:rsidRPr="468D1D2F">
        <w:rPr>
          <w:rFonts w:ascii="Calibri" w:eastAsia="PMingLiU" w:hAnsi="Calibri" w:cs="Times New Roman"/>
        </w:rPr>
        <w:t>, including one academic teaching hospital and three community hospitals</w:t>
      </w:r>
      <w:r w:rsidR="60DC0900" w:rsidRPr="468D1D2F">
        <w:rPr>
          <w:rFonts w:ascii="Calibri" w:eastAsia="PMingLiU" w:hAnsi="Calibri" w:cs="Times New Roman"/>
        </w:rPr>
        <w:t xml:space="preserve"> under</w:t>
      </w:r>
      <w:r w:rsidR="2657BB28" w:rsidRPr="468D1D2F">
        <w:rPr>
          <w:rFonts w:ascii="Calibri" w:eastAsia="PMingLiU" w:hAnsi="Calibri" w:cs="Times New Roman"/>
        </w:rPr>
        <w:t xml:space="preserve"> UMass Memorial Community Hospitals, Inc. (“UMMCH”)</w:t>
      </w:r>
      <w:r w:rsidRPr="468D1D2F">
        <w:rPr>
          <w:rFonts w:ascii="Calibri" w:eastAsia="PMingLiU" w:hAnsi="Calibri" w:cs="Times New Roman"/>
        </w:rPr>
        <w:t>,</w:t>
      </w:r>
      <w:r w:rsidR="008E6269" w:rsidRPr="468D1D2F">
        <w:rPr>
          <w:rStyle w:val="FootnoteReference"/>
          <w:rFonts w:ascii="Calibri" w:eastAsia="PMingLiU" w:hAnsi="Calibri" w:cs="Times New Roman"/>
        </w:rPr>
        <w:footnoteReference w:id="2"/>
      </w:r>
      <w:r w:rsidRPr="468D1D2F">
        <w:rPr>
          <w:rFonts w:ascii="Calibri" w:eastAsia="PMingLiU" w:hAnsi="Calibri" w:cs="Times New Roman"/>
        </w:rPr>
        <w:t xml:space="preserve"> as well as other health care providers</w:t>
      </w:r>
      <w:r w:rsidR="00187D4D" w:rsidRPr="468D1D2F">
        <w:rPr>
          <w:rStyle w:val="FootnoteReference"/>
          <w:rFonts w:ascii="Calibri" w:eastAsia="PMingLiU" w:hAnsi="Calibri" w:cs="Times New Roman"/>
        </w:rPr>
        <w:footnoteReference w:id="3"/>
      </w:r>
      <w:r w:rsidRPr="468D1D2F">
        <w:rPr>
          <w:rFonts w:ascii="Calibri" w:eastAsia="PMingLiU" w:hAnsi="Calibri" w:cs="Times New Roman"/>
        </w:rPr>
        <w:t xml:space="preserve"> that serve the residents of Central Massachusetts. </w:t>
      </w:r>
      <w:r w:rsidR="636D20C9" w:rsidRPr="468D1D2F">
        <w:rPr>
          <w:rFonts w:ascii="Calibri" w:eastAsia="Calibri" w:hAnsi="Calibri" w:cs="Calibri"/>
        </w:rPr>
        <w:t xml:space="preserve">The </w:t>
      </w:r>
      <w:r w:rsidR="45BBEE8E" w:rsidRPr="468D1D2F">
        <w:rPr>
          <w:rFonts w:ascii="Calibri" w:eastAsia="Calibri" w:hAnsi="Calibri" w:cs="Calibri"/>
        </w:rPr>
        <w:t xml:space="preserve">chart below depicts the </w:t>
      </w:r>
      <w:r w:rsidR="636D20C9" w:rsidRPr="468D1D2F">
        <w:rPr>
          <w:rFonts w:ascii="Calibri" w:eastAsia="Calibri" w:hAnsi="Calibri" w:cs="Calibri"/>
        </w:rPr>
        <w:t>acute care facilities by type:</w:t>
      </w:r>
    </w:p>
    <w:tbl>
      <w:tblPr>
        <w:tblW w:w="0" w:type="auto"/>
        <w:jc w:val="center"/>
        <w:tblLayout w:type="fixed"/>
        <w:tblLook w:val="06A0" w:firstRow="1" w:lastRow="0" w:firstColumn="1" w:lastColumn="0" w:noHBand="1" w:noVBand="1"/>
      </w:tblPr>
      <w:tblGrid>
        <w:gridCol w:w="3700"/>
        <w:gridCol w:w="4083"/>
        <w:gridCol w:w="1247"/>
      </w:tblGrid>
      <w:tr w:rsidR="468D1D2F" w14:paraId="060F0598" w14:textId="77777777" w:rsidTr="00726E90">
        <w:trPr>
          <w:trHeight w:val="510"/>
          <w:jc w:val="center"/>
        </w:trPr>
        <w:tc>
          <w:tcPr>
            <w:tcW w:w="3700" w:type="dxa"/>
            <w:tcBorders>
              <w:top w:val="single" w:sz="4" w:space="0" w:color="auto"/>
              <w:left w:val="single" w:sz="4" w:space="0" w:color="auto"/>
              <w:bottom w:val="single" w:sz="4" w:space="0" w:color="auto"/>
              <w:right w:val="single" w:sz="4" w:space="0" w:color="auto"/>
            </w:tcBorders>
            <w:shd w:val="clear" w:color="auto" w:fill="CCFFFF"/>
            <w:tcMar>
              <w:top w:w="15" w:type="dxa"/>
              <w:left w:w="15" w:type="dxa"/>
              <w:right w:w="15" w:type="dxa"/>
            </w:tcMar>
            <w:vAlign w:val="center"/>
          </w:tcPr>
          <w:p w14:paraId="45FFB527" w14:textId="56E4A5F9" w:rsidR="468D1D2F" w:rsidRDefault="468D1D2F" w:rsidP="5326C409">
            <w:pPr>
              <w:jc w:val="center"/>
              <w:rPr>
                <w:rFonts w:ascii="Calibri" w:eastAsia="Calibri" w:hAnsi="Calibri" w:cs="Calibri"/>
                <w:color w:val="000000" w:themeColor="text1"/>
              </w:rPr>
            </w:pPr>
            <w:r w:rsidRPr="5326C409">
              <w:rPr>
                <w:rFonts w:ascii="Calibri" w:eastAsia="Calibri" w:hAnsi="Calibri" w:cs="Calibri"/>
                <w:color w:val="000000" w:themeColor="text1"/>
              </w:rPr>
              <w:t>Acute Hospital</w:t>
            </w:r>
          </w:p>
        </w:tc>
        <w:tc>
          <w:tcPr>
            <w:tcW w:w="4083" w:type="dxa"/>
            <w:tcBorders>
              <w:top w:val="single" w:sz="4" w:space="0" w:color="auto"/>
              <w:left w:val="single" w:sz="4" w:space="0" w:color="auto"/>
              <w:bottom w:val="single" w:sz="4" w:space="0" w:color="auto"/>
              <w:right w:val="single" w:sz="4" w:space="0" w:color="auto"/>
            </w:tcBorders>
            <w:shd w:val="clear" w:color="auto" w:fill="CCFFFF"/>
            <w:tcMar>
              <w:top w:w="15" w:type="dxa"/>
              <w:left w:w="15" w:type="dxa"/>
              <w:right w:w="15" w:type="dxa"/>
            </w:tcMar>
            <w:vAlign w:val="center"/>
          </w:tcPr>
          <w:p w14:paraId="00047788" w14:textId="22EAF117" w:rsidR="468D1D2F" w:rsidRDefault="468D1D2F" w:rsidP="5326C409">
            <w:pPr>
              <w:jc w:val="center"/>
              <w:rPr>
                <w:rFonts w:ascii="Calibri" w:eastAsia="Calibri" w:hAnsi="Calibri" w:cs="Calibri"/>
                <w:color w:val="000000" w:themeColor="text1"/>
              </w:rPr>
            </w:pPr>
            <w:r w:rsidRPr="6CE004FB">
              <w:rPr>
                <w:rFonts w:ascii="Calibri" w:eastAsia="Calibri" w:hAnsi="Calibri" w:cs="Calibri"/>
                <w:color w:val="000000" w:themeColor="text1"/>
              </w:rPr>
              <w:t>Type (Per CHIA Category[i])</w:t>
            </w:r>
          </w:p>
        </w:tc>
        <w:tc>
          <w:tcPr>
            <w:tcW w:w="1247" w:type="dxa"/>
            <w:tcBorders>
              <w:top w:val="single" w:sz="4" w:space="0" w:color="auto"/>
              <w:left w:val="single" w:sz="4" w:space="0" w:color="auto"/>
              <w:bottom w:val="single" w:sz="4" w:space="0" w:color="auto"/>
              <w:right w:val="single" w:sz="4" w:space="0" w:color="auto"/>
            </w:tcBorders>
            <w:shd w:val="clear" w:color="auto" w:fill="CCFFFF"/>
            <w:tcMar>
              <w:top w:w="15" w:type="dxa"/>
              <w:left w:w="15" w:type="dxa"/>
              <w:right w:w="15" w:type="dxa"/>
            </w:tcMar>
            <w:vAlign w:val="center"/>
          </w:tcPr>
          <w:p w14:paraId="470018DC" w14:textId="7D844556" w:rsidR="468D1D2F" w:rsidRDefault="468D1D2F" w:rsidP="5326C409">
            <w:pPr>
              <w:jc w:val="center"/>
              <w:rPr>
                <w:rFonts w:ascii="Calibri" w:eastAsia="Calibri" w:hAnsi="Calibri" w:cs="Calibri"/>
                <w:color w:val="000000" w:themeColor="text1"/>
              </w:rPr>
            </w:pPr>
            <w:r w:rsidRPr="5326C409">
              <w:rPr>
                <w:rFonts w:ascii="Calibri" w:eastAsia="Calibri" w:hAnsi="Calibri" w:cs="Calibri"/>
                <w:color w:val="000000" w:themeColor="text1"/>
              </w:rPr>
              <w:t>HPP %</w:t>
            </w:r>
          </w:p>
        </w:tc>
      </w:tr>
      <w:tr w:rsidR="468D1D2F" w14:paraId="71B20855" w14:textId="77777777" w:rsidTr="6CE004FB">
        <w:trPr>
          <w:trHeight w:val="345"/>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95EC7D" w14:textId="2EB0AA31"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UMass Memorial Medical Center</w:t>
            </w:r>
          </w:p>
        </w:tc>
        <w:tc>
          <w:tcPr>
            <w:tcW w:w="40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B9569E" w14:textId="3E38E588"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Academic Medical Center</w:t>
            </w:r>
          </w:p>
        </w:tc>
        <w:tc>
          <w:tcPr>
            <w:tcW w:w="124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C3ABB9" w14:textId="42C2B098" w:rsidR="468D1D2F" w:rsidRDefault="468D1D2F" w:rsidP="5326C409">
            <w:pPr>
              <w:jc w:val="center"/>
              <w:rPr>
                <w:rFonts w:ascii="Calibri" w:eastAsia="Calibri" w:hAnsi="Calibri" w:cs="Calibri"/>
                <w:color w:val="000000" w:themeColor="text1"/>
              </w:rPr>
            </w:pPr>
            <w:r w:rsidRPr="5326C409">
              <w:rPr>
                <w:rFonts w:ascii="Calibri" w:eastAsia="Calibri" w:hAnsi="Calibri" w:cs="Calibri"/>
                <w:color w:val="000000" w:themeColor="text1"/>
              </w:rPr>
              <w:t>66.7%</w:t>
            </w:r>
          </w:p>
        </w:tc>
      </w:tr>
      <w:tr w:rsidR="468D1D2F" w14:paraId="0DC17BF5" w14:textId="77777777" w:rsidTr="6CE004FB">
        <w:trPr>
          <w:trHeight w:val="345"/>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1F7E73" w14:textId="0894F045"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Harrington Memorial Hospital</w:t>
            </w:r>
          </w:p>
        </w:tc>
        <w:tc>
          <w:tcPr>
            <w:tcW w:w="40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FBFE9E" w14:textId="05781257"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Community High Public Payer</w:t>
            </w:r>
          </w:p>
        </w:tc>
        <w:tc>
          <w:tcPr>
            <w:tcW w:w="124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8FB0D7" w14:textId="24E44D15" w:rsidR="468D1D2F" w:rsidRDefault="468D1D2F" w:rsidP="5326C409">
            <w:pPr>
              <w:jc w:val="center"/>
              <w:rPr>
                <w:rFonts w:ascii="Calibri" w:eastAsia="Calibri" w:hAnsi="Calibri" w:cs="Calibri"/>
                <w:color w:val="000000" w:themeColor="text1"/>
              </w:rPr>
            </w:pPr>
            <w:r w:rsidRPr="5326C409">
              <w:rPr>
                <w:rFonts w:ascii="Calibri" w:eastAsia="Calibri" w:hAnsi="Calibri" w:cs="Calibri"/>
                <w:color w:val="000000" w:themeColor="text1"/>
              </w:rPr>
              <w:t>68.8%</w:t>
            </w:r>
          </w:p>
        </w:tc>
      </w:tr>
      <w:tr w:rsidR="468D1D2F" w14:paraId="269D63B6" w14:textId="77777777" w:rsidTr="6CE004FB">
        <w:trPr>
          <w:trHeight w:val="375"/>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7CCC62" w14:textId="36B434C3"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HealthAlliance Clinton</w:t>
            </w:r>
          </w:p>
        </w:tc>
        <w:tc>
          <w:tcPr>
            <w:tcW w:w="40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DAEE8F" w14:textId="48506916"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Community High Public Payer</w:t>
            </w:r>
          </w:p>
        </w:tc>
        <w:tc>
          <w:tcPr>
            <w:tcW w:w="124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5B8C19" w14:textId="6BA2A191" w:rsidR="468D1D2F" w:rsidRDefault="468D1D2F" w:rsidP="5326C409">
            <w:pPr>
              <w:jc w:val="center"/>
              <w:rPr>
                <w:rFonts w:ascii="Calibri" w:eastAsia="Calibri" w:hAnsi="Calibri" w:cs="Calibri"/>
                <w:color w:val="000000" w:themeColor="text1"/>
              </w:rPr>
            </w:pPr>
            <w:r w:rsidRPr="5326C409">
              <w:rPr>
                <w:rFonts w:ascii="Calibri" w:eastAsia="Calibri" w:hAnsi="Calibri" w:cs="Calibri"/>
                <w:color w:val="000000" w:themeColor="text1"/>
              </w:rPr>
              <w:t>72.8%</w:t>
            </w:r>
          </w:p>
        </w:tc>
      </w:tr>
      <w:tr w:rsidR="468D1D2F" w14:paraId="5EBCBBEC" w14:textId="77777777" w:rsidTr="6CE004FB">
        <w:trPr>
          <w:trHeight w:val="315"/>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D7521F" w14:textId="70752B6C"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Marlborough Hospital</w:t>
            </w:r>
          </w:p>
        </w:tc>
        <w:tc>
          <w:tcPr>
            <w:tcW w:w="40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DC0AAC" w14:textId="10D1322F" w:rsidR="468D1D2F" w:rsidRDefault="468D1D2F">
            <w:pPr>
              <w:rPr>
                <w:rFonts w:ascii="Calibri" w:eastAsia="Calibri" w:hAnsi="Calibri" w:cs="Calibri"/>
                <w:color w:val="000000" w:themeColor="text1"/>
              </w:rPr>
            </w:pPr>
            <w:r w:rsidRPr="5326C409">
              <w:rPr>
                <w:rFonts w:ascii="Calibri" w:eastAsia="Calibri" w:hAnsi="Calibri" w:cs="Calibri"/>
                <w:color w:val="000000" w:themeColor="text1"/>
              </w:rPr>
              <w:t>Community High Public Payer</w:t>
            </w:r>
          </w:p>
        </w:tc>
        <w:tc>
          <w:tcPr>
            <w:tcW w:w="124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D8F828" w14:textId="53A395E4" w:rsidR="468D1D2F" w:rsidRDefault="468D1D2F" w:rsidP="5326C409">
            <w:pPr>
              <w:jc w:val="center"/>
              <w:rPr>
                <w:rFonts w:ascii="Calibri" w:eastAsia="Calibri" w:hAnsi="Calibri" w:cs="Calibri"/>
                <w:color w:val="000000" w:themeColor="text1"/>
              </w:rPr>
            </w:pPr>
            <w:r w:rsidRPr="5326C409">
              <w:rPr>
                <w:rFonts w:ascii="Calibri" w:eastAsia="Calibri" w:hAnsi="Calibri" w:cs="Calibri"/>
                <w:color w:val="000000" w:themeColor="text1"/>
              </w:rPr>
              <w:t>66.1%</w:t>
            </w:r>
          </w:p>
        </w:tc>
      </w:tr>
      <w:tr w:rsidR="468D1D2F" w14:paraId="0EE4F908" w14:textId="77777777" w:rsidTr="6CE004FB">
        <w:trPr>
          <w:trHeight w:val="705"/>
          <w:jc w:val="center"/>
        </w:trPr>
        <w:tc>
          <w:tcPr>
            <w:tcW w:w="9030"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316C23" w14:textId="3B6D58FA" w:rsidR="468D1D2F" w:rsidRDefault="468D1D2F">
            <w:pPr>
              <w:rPr>
                <w:rFonts w:ascii="Calibri" w:eastAsia="Calibri" w:hAnsi="Calibri" w:cs="Calibri"/>
                <w:color w:val="000000" w:themeColor="text1"/>
              </w:rPr>
            </w:pPr>
            <w:r w:rsidRPr="6CE004FB">
              <w:rPr>
                <w:rFonts w:ascii="Calibri" w:eastAsia="Calibri" w:hAnsi="Calibri" w:cs="Calibri"/>
                <w:color w:val="000000" w:themeColor="text1"/>
              </w:rPr>
              <w:t xml:space="preserve">[i] Center for Health Information and Analysis. Massachusetts Hospital Profiles. </w:t>
            </w:r>
            <w:hyperlink r:id="rId11" w:history="1">
              <w:r w:rsidR="09F07154" w:rsidRPr="6CE004FB">
                <w:rPr>
                  <w:rStyle w:val="Hyperlink"/>
                  <w:rFonts w:ascii="Calibri" w:eastAsia="Calibri" w:hAnsi="Calibri" w:cs="Calibri"/>
                </w:rPr>
                <w:t>https://www.chiamass.gov/assets/docs/r/hospital-profiles/2022/ummc.pdf</w:t>
              </w:r>
            </w:hyperlink>
            <w:r w:rsidR="09F07154" w:rsidRPr="6CE004FB">
              <w:rPr>
                <w:rFonts w:ascii="Calibri" w:eastAsia="Calibri" w:hAnsi="Calibri" w:cs="Calibri"/>
                <w:color w:val="000000" w:themeColor="text1"/>
              </w:rPr>
              <w:t xml:space="preserve"> </w:t>
            </w:r>
          </w:p>
        </w:tc>
      </w:tr>
    </w:tbl>
    <w:p w14:paraId="2B9CD217" w14:textId="1DABDC49" w:rsidR="004C77A1" w:rsidRPr="004C77A1" w:rsidDel="00FE4E96" w:rsidRDefault="0F60098D" w:rsidP="00726E90">
      <w:pPr>
        <w:spacing w:before="240" w:after="240"/>
        <w:rPr>
          <w:rFonts w:ascii="Calibri" w:eastAsia="PMingLiU" w:hAnsi="Calibri" w:cs="Times New Roman"/>
        </w:rPr>
      </w:pPr>
      <w:r w:rsidRPr="468D1D2F">
        <w:rPr>
          <w:rFonts w:ascii="Calibri" w:eastAsia="PMingLiU" w:hAnsi="Calibri" w:cs="Times New Roman"/>
        </w:rPr>
        <w:t xml:space="preserve">UMMHC’s mission is to care for the diverse communities of Central Massachusetts, provide health care services to indigent patient populations, and serve as the clinical partner to UMass Chan Medical School, the only public medical school in the state. </w:t>
      </w:r>
    </w:p>
    <w:p w14:paraId="2F70F03B" w14:textId="08F8D474" w:rsidR="0085736E" w:rsidRDefault="0085736E" w:rsidP="001600D5">
      <w:pPr>
        <w:tabs>
          <w:tab w:val="left" w:pos="10080"/>
        </w:tabs>
        <w:rPr>
          <w:b/>
          <w:bCs/>
        </w:rPr>
      </w:pPr>
      <w:r>
        <w:rPr>
          <w:b/>
          <w:bCs/>
        </w:rPr>
        <w:t xml:space="preserve">Milford Hospital </w:t>
      </w:r>
    </w:p>
    <w:p w14:paraId="36D80C95" w14:textId="77777777" w:rsidR="00667CA6" w:rsidRDefault="00667CA6" w:rsidP="001600D5">
      <w:pPr>
        <w:tabs>
          <w:tab w:val="left" w:pos="10080"/>
        </w:tabs>
        <w:rPr>
          <w:b/>
          <w:bCs/>
        </w:rPr>
      </w:pPr>
    </w:p>
    <w:p w14:paraId="04C1C05D" w14:textId="651F9413" w:rsidR="00C2761A" w:rsidRDefault="00D06D9C" w:rsidP="7974A61C">
      <w:pPr>
        <w:rPr>
          <w:rFonts w:ascii="Calibri" w:eastAsia="PMingLiU" w:hAnsi="Calibri" w:cs="Times New Roman"/>
        </w:rPr>
      </w:pPr>
      <w:r w:rsidRPr="7974A61C">
        <w:rPr>
          <w:rFonts w:ascii="Calibri" w:eastAsia="PMingLiU" w:hAnsi="Calibri" w:cs="Times New Roman"/>
        </w:rPr>
        <w:t>Milford Regional Medical Center, Inc. (“MRMC”</w:t>
      </w:r>
      <w:r w:rsidR="00C514FE" w:rsidRPr="7974A61C">
        <w:rPr>
          <w:rFonts w:ascii="Calibri" w:eastAsia="PMingLiU" w:hAnsi="Calibri" w:cs="Times New Roman"/>
        </w:rPr>
        <w:t>, “Milford”</w:t>
      </w:r>
      <w:r w:rsidRPr="7974A61C">
        <w:rPr>
          <w:rFonts w:ascii="Calibri" w:eastAsia="PMingLiU" w:hAnsi="Calibri" w:cs="Times New Roman"/>
        </w:rPr>
        <w:t>) is a Massachusetts nonprofit corporation that operates a</w:t>
      </w:r>
      <w:r w:rsidR="002B1607" w:rsidRPr="7974A61C">
        <w:rPr>
          <w:rFonts w:ascii="Calibri" w:eastAsia="PMingLiU" w:hAnsi="Calibri" w:cs="Times New Roman"/>
        </w:rPr>
        <w:t xml:space="preserve"> licensed 148 bed</w:t>
      </w:r>
      <w:r w:rsidR="00631675" w:rsidRPr="7974A61C">
        <w:rPr>
          <w:rStyle w:val="FootnoteReference"/>
          <w:rFonts w:ascii="Calibri" w:eastAsia="PMingLiU" w:hAnsi="Calibri" w:cs="Times New Roman"/>
        </w:rPr>
        <w:footnoteReference w:id="4"/>
      </w:r>
      <w:r w:rsidRPr="7974A61C">
        <w:rPr>
          <w:rFonts w:ascii="Calibri" w:eastAsia="PMingLiU" w:hAnsi="Calibri" w:cs="Times New Roman"/>
        </w:rPr>
        <w:t xml:space="preserve"> acute care community hospital located in Milford. MRMC is comprised of the following affiliates: (1) Milford Regional Physician Group, Inc. (“MRPG”), which operates as a primary care and multi-specialty community medical practice in the MRMC service area; (2) Milford Regional Healthcare Foundation, Inc., a Massachusetts nonprofit organization established to conduct fundraising activities to support MRMC; and (3) MRHC Management Services, Inc., a Massachusetts nonprofit organization which does not currently conduct any business activities. </w:t>
      </w:r>
      <w:r w:rsidR="00E209C4" w:rsidRPr="7974A61C">
        <w:rPr>
          <w:rFonts w:ascii="Calibri" w:eastAsia="PMingLiU" w:hAnsi="Calibri" w:cs="Times New Roman"/>
        </w:rPr>
        <w:t>MR</w:t>
      </w:r>
      <w:r w:rsidR="4FFB5A34" w:rsidRPr="2840621B">
        <w:rPr>
          <w:rFonts w:ascii="Calibri" w:eastAsia="PMingLiU" w:hAnsi="Calibri" w:cs="Times New Roman"/>
        </w:rPr>
        <w:t>M</w:t>
      </w:r>
      <w:r w:rsidR="00E209C4" w:rsidRPr="7974A61C">
        <w:rPr>
          <w:rFonts w:ascii="Calibri" w:eastAsia="PMingLiU" w:hAnsi="Calibri" w:cs="Times New Roman"/>
        </w:rPr>
        <w:t xml:space="preserve">C </w:t>
      </w:r>
      <w:r w:rsidR="00EE2582" w:rsidRPr="7974A61C">
        <w:rPr>
          <w:rFonts w:ascii="Calibri" w:eastAsia="PMingLiU" w:hAnsi="Calibri" w:cs="Times New Roman"/>
        </w:rPr>
        <w:t xml:space="preserve">offers a broad range of clinical </w:t>
      </w:r>
      <w:r w:rsidR="00E209C4" w:rsidRPr="7974A61C">
        <w:rPr>
          <w:rFonts w:ascii="Calibri" w:eastAsia="PMingLiU" w:hAnsi="Calibri" w:cs="Times New Roman"/>
        </w:rPr>
        <w:t xml:space="preserve">specialty </w:t>
      </w:r>
      <w:r w:rsidR="00EE2582" w:rsidRPr="7974A61C">
        <w:rPr>
          <w:rFonts w:ascii="Calibri" w:eastAsia="PMingLiU" w:hAnsi="Calibri" w:cs="Times New Roman"/>
        </w:rPr>
        <w:t>services including</w:t>
      </w:r>
      <w:r w:rsidR="00E34DD8" w:rsidRPr="7974A61C">
        <w:rPr>
          <w:rFonts w:ascii="Calibri" w:eastAsia="PMingLiU" w:hAnsi="Calibri" w:cs="Times New Roman"/>
        </w:rPr>
        <w:t>,</w:t>
      </w:r>
      <w:r w:rsidR="00EE2582" w:rsidRPr="7974A61C">
        <w:rPr>
          <w:rFonts w:ascii="Calibri" w:eastAsia="PMingLiU" w:hAnsi="Calibri" w:cs="Times New Roman"/>
        </w:rPr>
        <w:t xml:space="preserve"> but not limited to</w:t>
      </w:r>
      <w:r w:rsidR="00E34DD8" w:rsidRPr="7974A61C">
        <w:rPr>
          <w:rFonts w:ascii="Calibri" w:eastAsia="PMingLiU" w:hAnsi="Calibri" w:cs="Times New Roman"/>
        </w:rPr>
        <w:t>,</w:t>
      </w:r>
      <w:r w:rsidR="00EE2582" w:rsidRPr="7974A61C">
        <w:rPr>
          <w:rFonts w:ascii="Calibri" w:eastAsia="PMingLiU" w:hAnsi="Calibri" w:cs="Times New Roman"/>
        </w:rPr>
        <w:t xml:space="preserve"> </w:t>
      </w:r>
      <w:r w:rsidR="003D3AC5" w:rsidRPr="7974A61C">
        <w:rPr>
          <w:rFonts w:ascii="Calibri" w:eastAsia="PMingLiU" w:hAnsi="Calibri" w:cs="Times New Roman"/>
        </w:rPr>
        <w:t xml:space="preserve">Oncology, Cardiovascular, Orthopedics, </w:t>
      </w:r>
      <w:r w:rsidR="00124798" w:rsidRPr="7974A61C">
        <w:rPr>
          <w:rFonts w:ascii="Calibri" w:eastAsia="PMingLiU" w:hAnsi="Calibri" w:cs="Times New Roman"/>
        </w:rPr>
        <w:t xml:space="preserve">Women’s Health, Maternity, Surgical (including subspecialties), and Pediatrics. </w:t>
      </w:r>
    </w:p>
    <w:p w14:paraId="6DD03EC7" w14:textId="77777777" w:rsidR="00C2761A" w:rsidRDefault="00C2761A" w:rsidP="00C514FE">
      <w:pPr>
        <w:rPr>
          <w:rFonts w:ascii="Calibri" w:eastAsia="PMingLiU" w:hAnsi="Calibri" w:cs="Times New Roman"/>
          <w:szCs w:val="22"/>
        </w:rPr>
      </w:pPr>
    </w:p>
    <w:p w14:paraId="7ADF1B08" w14:textId="14C740B4" w:rsidR="00D06D9C" w:rsidDel="00FE4E96" w:rsidRDefault="00D06D9C" w:rsidP="6CE004FB">
      <w:pPr>
        <w:rPr>
          <w:rFonts w:ascii="Calibri" w:eastAsia="PMingLiU" w:hAnsi="Calibri" w:cs="Times New Roman"/>
        </w:rPr>
      </w:pPr>
      <w:r w:rsidRPr="282949F7" w:rsidDel="00FE4E96">
        <w:rPr>
          <w:rFonts w:ascii="Calibri" w:eastAsia="PMingLiU" w:hAnsi="Calibri" w:cs="Times New Roman"/>
        </w:rPr>
        <w:t>MRMC operates a community health system that serves an 18-town service area in South Worcester County</w:t>
      </w:r>
      <w:r w:rsidR="008F4507" w:rsidRPr="282949F7" w:rsidDel="00FE4E96">
        <w:rPr>
          <w:rFonts w:ascii="Calibri" w:eastAsia="PMingLiU" w:hAnsi="Calibri" w:cs="Times New Roman"/>
        </w:rPr>
        <w:t>.</w:t>
      </w:r>
    </w:p>
    <w:p w14:paraId="7F1C85D7" w14:textId="77777777" w:rsidR="001052CE" w:rsidRPr="001052CE" w:rsidRDefault="001052CE" w:rsidP="00726E90">
      <w:pPr>
        <w:spacing w:before="240" w:after="240"/>
        <w:jc w:val="both"/>
        <w:rPr>
          <w:rFonts w:ascii="Calibri" w:eastAsia="PMingLiU" w:hAnsi="Calibri" w:cs="Times New Roman"/>
          <w:b/>
          <w:bCs/>
          <w:szCs w:val="22"/>
        </w:rPr>
      </w:pPr>
      <w:r w:rsidRPr="001052CE">
        <w:rPr>
          <w:rFonts w:ascii="Calibri" w:eastAsia="PMingLiU" w:hAnsi="Calibri" w:cs="Times New Roman"/>
          <w:b/>
          <w:bCs/>
          <w:szCs w:val="22"/>
        </w:rPr>
        <w:t>The Proposed Project</w:t>
      </w:r>
    </w:p>
    <w:p w14:paraId="32C34729" w14:textId="3C5B6BE5" w:rsidR="00667CA6" w:rsidRPr="00667CA6" w:rsidRDefault="00D06D9C" w:rsidP="00C15BDE">
      <w:pPr>
        <w:spacing w:after="240"/>
        <w:rPr>
          <w:rFonts w:ascii="Calibri" w:eastAsia="PMingLiU" w:hAnsi="Calibri" w:cs="Times New Roman"/>
          <w:szCs w:val="22"/>
        </w:rPr>
      </w:pPr>
      <w:r w:rsidRPr="00D06D9C">
        <w:rPr>
          <w:rFonts w:ascii="Calibri" w:eastAsia="PMingLiU" w:hAnsi="Calibri" w:cs="Times New Roman"/>
          <w:szCs w:val="22"/>
        </w:rPr>
        <w:t xml:space="preserve">On January 12, 2024, MRMC and UMMHC entered into an Affiliation Agreement </w:t>
      </w:r>
      <w:r w:rsidR="006B3971">
        <w:rPr>
          <w:rFonts w:ascii="Calibri" w:eastAsia="PMingLiU" w:hAnsi="Calibri" w:cs="Times New Roman"/>
          <w:szCs w:val="22"/>
        </w:rPr>
        <w:t>(</w:t>
      </w:r>
      <w:r w:rsidRPr="00D06D9C">
        <w:rPr>
          <w:rFonts w:ascii="Calibri" w:eastAsia="PMingLiU" w:hAnsi="Calibri" w:cs="Times New Roman"/>
          <w:szCs w:val="22"/>
        </w:rPr>
        <w:t>following all required regulatory approvals</w:t>
      </w:r>
      <w:r w:rsidR="006B3971">
        <w:rPr>
          <w:rFonts w:ascii="Calibri" w:eastAsia="PMingLiU" w:hAnsi="Calibri" w:cs="Times New Roman"/>
          <w:szCs w:val="22"/>
        </w:rPr>
        <w:t>)</w:t>
      </w:r>
      <w:r w:rsidRPr="00D06D9C">
        <w:rPr>
          <w:rFonts w:ascii="Calibri" w:eastAsia="PMingLiU" w:hAnsi="Calibri" w:cs="Times New Roman"/>
          <w:szCs w:val="22"/>
        </w:rPr>
        <w:t xml:space="preserve"> </w:t>
      </w:r>
      <w:r w:rsidR="006B3971">
        <w:rPr>
          <w:rFonts w:ascii="Calibri" w:eastAsia="PMingLiU" w:hAnsi="Calibri" w:cs="Times New Roman"/>
          <w:szCs w:val="22"/>
        </w:rPr>
        <w:t xml:space="preserve">whereby </w:t>
      </w:r>
      <w:r w:rsidRPr="00D06D9C">
        <w:rPr>
          <w:rFonts w:ascii="Calibri" w:eastAsia="PMingLiU" w:hAnsi="Calibri" w:cs="Times New Roman"/>
          <w:szCs w:val="22"/>
        </w:rPr>
        <w:t xml:space="preserve">UMMCH will become the sole corporate member of MRMC. </w:t>
      </w:r>
    </w:p>
    <w:p w14:paraId="38828AA0" w14:textId="77777777" w:rsidR="00C514FE" w:rsidRDefault="00D06D9C" w:rsidP="00C15BDE">
      <w:pPr>
        <w:rPr>
          <w:rFonts w:ascii="Calibri" w:eastAsia="PMingLiU" w:hAnsi="Calibri" w:cs="Times New Roman"/>
          <w:szCs w:val="22"/>
        </w:rPr>
      </w:pPr>
      <w:r w:rsidRPr="00D06D9C">
        <w:rPr>
          <w:rFonts w:ascii="Calibri" w:eastAsia="PMingLiU" w:hAnsi="Calibri" w:cs="Times New Roman"/>
          <w:szCs w:val="22"/>
        </w:rPr>
        <w:t>MRMC and UMMHC anticipate that the proposed corporate affiliation (</w:t>
      </w:r>
      <w:r w:rsidR="000B361F">
        <w:rPr>
          <w:rFonts w:ascii="Calibri" w:eastAsia="PMingLiU" w:hAnsi="Calibri" w:cs="Times New Roman"/>
          <w:szCs w:val="22"/>
        </w:rPr>
        <w:t>“Proposed Affiliation”</w:t>
      </w:r>
      <w:r w:rsidRPr="00D06D9C">
        <w:rPr>
          <w:rFonts w:ascii="Calibri" w:eastAsia="PMingLiU" w:hAnsi="Calibri" w:cs="Times New Roman"/>
          <w:szCs w:val="22"/>
        </w:rPr>
        <w:t>), which builds on the longstanding relationship between the parties, will allow the parties to further their common nonprofit missions of promoting the health of the communities they serve in Central Massachusetts. They expect the Project will enhance MRMC’s ability to maintain its status as a high quality, financially secure community hospital, which will allow it to continue to meet and better respond to the health care needs of patients and the communities in its service area.</w:t>
      </w:r>
      <w:r w:rsidR="00C514FE">
        <w:rPr>
          <w:rFonts w:ascii="Calibri" w:eastAsia="PMingLiU" w:hAnsi="Calibri" w:cs="Times New Roman"/>
          <w:szCs w:val="22"/>
        </w:rPr>
        <w:t xml:space="preserve"> </w:t>
      </w:r>
    </w:p>
    <w:p w14:paraId="227E7F54" w14:textId="77777777" w:rsidR="00C514FE" w:rsidRDefault="00C514FE" w:rsidP="00C15BDE">
      <w:pPr>
        <w:rPr>
          <w:rFonts w:ascii="Calibri" w:eastAsia="PMingLiU" w:hAnsi="Calibri" w:cs="Times New Roman"/>
          <w:szCs w:val="22"/>
        </w:rPr>
      </w:pPr>
    </w:p>
    <w:p w14:paraId="6392862C" w14:textId="030CF0CC" w:rsidR="00D06D9C" w:rsidRPr="00D06D9C" w:rsidRDefault="00C514FE" w:rsidP="00C15BDE">
      <w:pPr>
        <w:spacing w:after="240"/>
        <w:rPr>
          <w:rFonts w:ascii="Calibri" w:eastAsia="PMingLiU" w:hAnsi="Calibri" w:cs="Times New Roman"/>
          <w:szCs w:val="22"/>
        </w:rPr>
      </w:pPr>
      <w:r w:rsidRPr="005C2815">
        <w:rPr>
          <w:rFonts w:ascii="Calibri" w:eastAsia="Aptos" w:hAnsi="Calibri" w:cs="Calibri"/>
        </w:rPr>
        <w:t>The Proposed Affiliation will address the need to strengthen the sustainability of MRMC as a comprehensive community-based acute care hospital with both inpatient and outpatient services, thereby maintaining local access to quality health care in the Milford service area.</w:t>
      </w:r>
    </w:p>
    <w:p w14:paraId="0AA04078" w14:textId="64F28059" w:rsidR="0060259B" w:rsidRPr="00C15BDE" w:rsidRDefault="00CE4434" w:rsidP="6CE004FB">
      <w:pPr>
        <w:pStyle w:val="Heading1"/>
        <w:spacing w:before="0"/>
        <w:rPr>
          <w:rFonts w:asciiTheme="minorHAnsi" w:hAnsiTheme="minorHAnsi" w:cstheme="minorBidi"/>
        </w:rPr>
      </w:pPr>
      <w:bookmarkStart w:id="17" w:name="_Toc157428826"/>
      <w:bookmarkStart w:id="18" w:name="_Toc169264785"/>
      <w:bookmarkStart w:id="19" w:name="_Toc17151135"/>
      <w:bookmarkStart w:id="20" w:name="_Toc17731308"/>
      <w:bookmarkStart w:id="21" w:name="_Toc18420176"/>
      <w:bookmarkStart w:id="22" w:name="_Toc18922397"/>
      <w:bookmarkStart w:id="23" w:name="_Toc27567690"/>
      <w:bookmarkStart w:id="24" w:name="_Toc17151137"/>
      <w:r w:rsidRPr="6CE004FB">
        <w:rPr>
          <w:rFonts w:asciiTheme="minorHAnsi" w:hAnsiTheme="minorHAnsi" w:cstheme="minorBidi"/>
        </w:rPr>
        <w:t>Pa</w:t>
      </w:r>
      <w:r w:rsidR="0060259B" w:rsidRPr="6CE004FB">
        <w:rPr>
          <w:rFonts w:asciiTheme="minorHAnsi" w:hAnsiTheme="minorHAnsi" w:cstheme="minorBidi"/>
        </w:rPr>
        <w:t>tient Panel</w:t>
      </w:r>
      <w:r w:rsidR="0060259B" w:rsidRPr="6CE004FB">
        <w:rPr>
          <w:rFonts w:asciiTheme="minorHAnsi" w:hAnsiTheme="minorHAnsi" w:cstheme="minorBidi"/>
          <w:vertAlign w:val="superscript"/>
        </w:rPr>
        <w:footnoteReference w:id="5"/>
      </w:r>
      <w:bookmarkEnd w:id="17"/>
      <w:bookmarkEnd w:id="18"/>
    </w:p>
    <w:p w14:paraId="495CE992" w14:textId="42DD4E4B" w:rsidR="0076534F" w:rsidRDefault="0076534F" w:rsidP="0076534F"/>
    <w:p w14:paraId="1F891AEF" w14:textId="33C4BE57" w:rsidR="00186790" w:rsidRPr="0076534F" w:rsidRDefault="005C6AEA" w:rsidP="0076534F">
      <w:r>
        <w:t xml:space="preserve">Table 1 </w:t>
      </w:r>
      <w:r w:rsidR="00374008">
        <w:t>show</w:t>
      </w:r>
      <w:r>
        <w:t xml:space="preserve">s </w:t>
      </w:r>
      <w:r w:rsidR="009F41A7">
        <w:t xml:space="preserve">six years of </w:t>
      </w:r>
      <w:r w:rsidR="00726E90">
        <w:t xml:space="preserve">Patient Panel </w:t>
      </w:r>
      <w:r w:rsidR="00374008">
        <w:t>information for the Applicant and for MRMC</w:t>
      </w:r>
      <w:r w:rsidR="007B731E">
        <w:t xml:space="preserve">. </w:t>
      </w:r>
      <w:r w:rsidR="003B1A44">
        <w:t>The table demonstrates that both entities experienced downturns i</w:t>
      </w:r>
      <w:r w:rsidR="00F45DFB">
        <w:t>n FY 2020 as a consequence of the COVID</w:t>
      </w:r>
      <w:r w:rsidR="00612C51">
        <w:t>-19 pandemic</w:t>
      </w:r>
      <w:r w:rsidR="00F45DFB">
        <w:t xml:space="preserve"> </w:t>
      </w:r>
      <w:r w:rsidR="009F74D0">
        <w:t>and</w:t>
      </w:r>
      <w:r w:rsidR="00F45DFB">
        <w:t xml:space="preserve"> </w:t>
      </w:r>
      <w:r w:rsidR="009F74D0">
        <w:t xml:space="preserve">subsequently </w:t>
      </w:r>
      <w:r w:rsidR="00311177">
        <w:t>regained their patients</w:t>
      </w:r>
      <w:r w:rsidR="00EE5236">
        <w:t xml:space="preserve">. </w:t>
      </w:r>
      <w:r w:rsidR="004318E9">
        <w:t xml:space="preserve">Both </w:t>
      </w:r>
      <w:r w:rsidR="007C6416">
        <w:t xml:space="preserve">UMMHC and MRMC’s </w:t>
      </w:r>
      <w:r w:rsidR="004318E9">
        <w:t>Patient Panels grew</w:t>
      </w:r>
      <w:r w:rsidR="007C6416">
        <w:t xml:space="preserve"> 3.9%</w:t>
      </w:r>
      <w:r w:rsidR="00323148">
        <w:t xml:space="preserve"> and </w:t>
      </w:r>
      <w:r w:rsidR="45689B7A">
        <w:t>21.7</w:t>
      </w:r>
      <w:r w:rsidR="00323148">
        <w:t>%, respectively,</w:t>
      </w:r>
      <w:r w:rsidR="004318E9">
        <w:t xml:space="preserve"> from 201</w:t>
      </w:r>
      <w:r w:rsidR="3389ADB4">
        <w:t>8</w:t>
      </w:r>
      <w:r w:rsidR="004318E9">
        <w:t>-2023</w:t>
      </w:r>
      <w:r w:rsidR="00323148">
        <w:t>.</w:t>
      </w:r>
      <w:r w:rsidR="004318E9">
        <w:t xml:space="preserve"> </w:t>
      </w:r>
    </w:p>
    <w:p w14:paraId="1B925C85" w14:textId="71C76EF2" w:rsidR="00D53BE5" w:rsidRPr="00AF6B9B" w:rsidRDefault="00D53BE5" w:rsidP="00685C18"/>
    <w:p w14:paraId="4E54C1AB" w14:textId="083866E8" w:rsidR="007265F0" w:rsidRDefault="007265F0" w:rsidP="00825271">
      <w:pPr>
        <w:jc w:val="center"/>
        <w:rPr>
          <w:b/>
          <w:bCs/>
        </w:rPr>
      </w:pPr>
      <w:bookmarkStart w:id="25" w:name="_Hlk151730381"/>
      <w:r w:rsidRPr="008E157F">
        <w:rPr>
          <w:b/>
          <w:bCs/>
        </w:rPr>
        <w:t xml:space="preserve">Table </w:t>
      </w:r>
      <w:r w:rsidR="0080092C">
        <w:rPr>
          <w:b/>
          <w:bCs/>
        </w:rPr>
        <w:t>1</w:t>
      </w:r>
      <w:r w:rsidR="00914391">
        <w:rPr>
          <w:b/>
          <w:bCs/>
        </w:rPr>
        <w:t>:</w:t>
      </w:r>
      <w:r w:rsidRPr="008E157F">
        <w:rPr>
          <w:b/>
          <w:bCs/>
        </w:rPr>
        <w:t xml:space="preserve"> Overview of </w:t>
      </w:r>
      <w:r w:rsidR="00BD5907">
        <w:rPr>
          <w:b/>
          <w:bCs/>
        </w:rPr>
        <w:t xml:space="preserve">UMMHC and MRMC’s </w:t>
      </w:r>
      <w:r w:rsidRPr="008E157F">
        <w:rPr>
          <w:b/>
          <w:bCs/>
        </w:rPr>
        <w:t>Patient Panel</w:t>
      </w:r>
      <w:r w:rsidR="00844B13" w:rsidRPr="008E157F">
        <w:rPr>
          <w:b/>
          <w:bCs/>
        </w:rPr>
        <w:t>s-</w:t>
      </w:r>
      <w:r w:rsidRPr="008E157F">
        <w:rPr>
          <w:b/>
          <w:bCs/>
        </w:rPr>
        <w:t xml:space="preserve"> FY</w:t>
      </w:r>
      <w:r w:rsidR="00974751">
        <w:rPr>
          <w:b/>
          <w:bCs/>
        </w:rPr>
        <w:t>1</w:t>
      </w:r>
      <w:r w:rsidR="000836A5">
        <w:rPr>
          <w:b/>
          <w:bCs/>
        </w:rPr>
        <w:t>8</w:t>
      </w:r>
      <w:r w:rsidRPr="008E157F">
        <w:rPr>
          <w:b/>
          <w:bCs/>
        </w:rPr>
        <w:t>-FY2</w:t>
      </w:r>
      <w:r w:rsidR="000836A5">
        <w:rPr>
          <w:b/>
          <w:bCs/>
        </w:rPr>
        <w:t>3</w:t>
      </w:r>
      <w:r w:rsidR="00F47250">
        <w:rPr>
          <w:b/>
          <w:bCs/>
        </w:rPr>
        <w:t xml:space="preserve"> </w:t>
      </w:r>
    </w:p>
    <w:p w14:paraId="22699D29" w14:textId="77777777" w:rsidR="000836A5" w:rsidRDefault="000836A5" w:rsidP="00825271">
      <w:pPr>
        <w:jc w:val="center"/>
        <w:rPr>
          <w:b/>
          <w:bCs/>
        </w:rPr>
      </w:pPr>
    </w:p>
    <w:tbl>
      <w:tblPr>
        <w:tblW w:w="9360" w:type="dxa"/>
        <w:jc w:val="center"/>
        <w:tblLook w:val="04A0" w:firstRow="1" w:lastRow="0" w:firstColumn="1" w:lastColumn="0" w:noHBand="0" w:noVBand="1"/>
      </w:tblPr>
      <w:tblGrid>
        <w:gridCol w:w="1821"/>
        <w:gridCol w:w="1006"/>
        <w:gridCol w:w="1006"/>
        <w:gridCol w:w="1006"/>
        <w:gridCol w:w="1006"/>
        <w:gridCol w:w="1006"/>
        <w:gridCol w:w="1006"/>
        <w:gridCol w:w="1503"/>
      </w:tblGrid>
      <w:tr w:rsidR="000836A5" w:rsidRPr="000836A5" w14:paraId="22A35421" w14:textId="77777777" w:rsidTr="00726E90">
        <w:trPr>
          <w:trHeight w:val="332"/>
          <w:jc w:val="center"/>
        </w:trPr>
        <w:tc>
          <w:tcPr>
            <w:tcW w:w="1821" w:type="dxa"/>
            <w:tcBorders>
              <w:top w:val="single" w:sz="4" w:space="0" w:color="auto"/>
              <w:left w:val="single" w:sz="4" w:space="0" w:color="auto"/>
              <w:bottom w:val="single" w:sz="4" w:space="0" w:color="auto"/>
              <w:right w:val="single" w:sz="4" w:space="0" w:color="auto"/>
            </w:tcBorders>
            <w:shd w:val="clear" w:color="auto" w:fill="E1FFFF"/>
            <w:noWrap/>
            <w:vAlign w:val="center"/>
            <w:hideMark/>
          </w:tcPr>
          <w:p w14:paraId="4D820C94" w14:textId="77777777" w:rsidR="000836A5" w:rsidRPr="000836A5" w:rsidRDefault="000836A5" w:rsidP="000836A5">
            <w:pPr>
              <w:rPr>
                <w:rFonts w:ascii="Calibri" w:eastAsia="Times New Roman" w:hAnsi="Calibri" w:cs="Calibri"/>
                <w:b/>
                <w:bCs/>
                <w:color w:val="000000"/>
              </w:rPr>
            </w:pPr>
            <w:r w:rsidRPr="000836A5">
              <w:rPr>
                <w:rFonts w:ascii="Calibri" w:eastAsia="Times New Roman" w:hAnsi="Calibri" w:cs="Calibri"/>
                <w:b/>
                <w:bCs/>
                <w:color w:val="000000"/>
              </w:rPr>
              <w:t>Year</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1129591E"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FY 18</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7A4C9515"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FY 19</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670047E1"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FY 20</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10D26951"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FY21</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731F1573"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FY 22</w:t>
            </w:r>
          </w:p>
        </w:tc>
        <w:tc>
          <w:tcPr>
            <w:tcW w:w="1006" w:type="dxa"/>
            <w:tcBorders>
              <w:top w:val="single" w:sz="4" w:space="0" w:color="auto"/>
              <w:left w:val="nil"/>
              <w:bottom w:val="single" w:sz="4" w:space="0" w:color="auto"/>
              <w:right w:val="single" w:sz="4" w:space="0" w:color="auto"/>
            </w:tcBorders>
            <w:shd w:val="clear" w:color="auto" w:fill="E1FFFF"/>
            <w:noWrap/>
            <w:vAlign w:val="center"/>
            <w:hideMark/>
          </w:tcPr>
          <w:p w14:paraId="0A86D27E"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FY 23</w:t>
            </w:r>
          </w:p>
        </w:tc>
        <w:tc>
          <w:tcPr>
            <w:tcW w:w="1503" w:type="dxa"/>
            <w:tcBorders>
              <w:top w:val="single" w:sz="4" w:space="0" w:color="auto"/>
              <w:left w:val="nil"/>
              <w:bottom w:val="single" w:sz="4" w:space="0" w:color="auto"/>
              <w:right w:val="single" w:sz="4" w:space="0" w:color="auto"/>
            </w:tcBorders>
            <w:shd w:val="clear" w:color="auto" w:fill="E1FFFF"/>
            <w:noWrap/>
            <w:vAlign w:val="center"/>
            <w:hideMark/>
          </w:tcPr>
          <w:p w14:paraId="7145ED09" w14:textId="540D58C5" w:rsidR="000836A5" w:rsidRPr="000836A5" w:rsidRDefault="000836A5" w:rsidP="000836A5">
            <w:pPr>
              <w:rPr>
                <w:rFonts w:ascii="Calibri" w:eastAsia="Times New Roman" w:hAnsi="Calibri" w:cs="Calibri"/>
                <w:b/>
                <w:bCs/>
                <w:color w:val="000000"/>
              </w:rPr>
            </w:pPr>
            <w:r w:rsidRPr="779763D6">
              <w:rPr>
                <w:rFonts w:ascii="Calibri" w:eastAsia="Times New Roman" w:hAnsi="Calibri" w:cs="Calibri"/>
                <w:b/>
                <w:bCs/>
                <w:color w:val="000000" w:themeColor="text1"/>
              </w:rPr>
              <w:t>FY 1</w:t>
            </w:r>
            <w:r w:rsidR="43A93B1E" w:rsidRPr="779763D6">
              <w:rPr>
                <w:rFonts w:ascii="Calibri" w:eastAsia="Times New Roman" w:hAnsi="Calibri" w:cs="Calibri"/>
                <w:b/>
                <w:bCs/>
                <w:color w:val="000000" w:themeColor="text1"/>
              </w:rPr>
              <w:t>8</w:t>
            </w:r>
            <w:r w:rsidRPr="779763D6">
              <w:rPr>
                <w:rFonts w:ascii="Calibri" w:eastAsia="Times New Roman" w:hAnsi="Calibri" w:cs="Calibri"/>
                <w:b/>
                <w:bCs/>
                <w:color w:val="000000" w:themeColor="text1"/>
              </w:rPr>
              <w:t xml:space="preserve"> </w:t>
            </w:r>
            <w:proofErr w:type="spellStart"/>
            <w:r w:rsidRPr="779763D6">
              <w:rPr>
                <w:rFonts w:ascii="Calibri" w:eastAsia="Times New Roman" w:hAnsi="Calibri" w:cs="Calibri"/>
                <w:b/>
                <w:bCs/>
                <w:color w:val="000000" w:themeColor="text1"/>
              </w:rPr>
              <w:t>v.s</w:t>
            </w:r>
            <w:proofErr w:type="spellEnd"/>
            <w:r w:rsidRPr="779763D6">
              <w:rPr>
                <w:rFonts w:ascii="Calibri" w:eastAsia="Times New Roman" w:hAnsi="Calibri" w:cs="Calibri"/>
                <w:b/>
                <w:bCs/>
                <w:color w:val="000000" w:themeColor="text1"/>
              </w:rPr>
              <w:t>. 23</w:t>
            </w:r>
          </w:p>
        </w:tc>
      </w:tr>
      <w:tr w:rsidR="000836A5" w:rsidRPr="000836A5" w14:paraId="4700E120" w14:textId="77777777" w:rsidTr="00186790">
        <w:trPr>
          <w:trHeight w:val="296"/>
          <w:jc w:val="center"/>
        </w:trPr>
        <w:tc>
          <w:tcPr>
            <w:tcW w:w="1821" w:type="dxa"/>
            <w:tcBorders>
              <w:top w:val="nil"/>
              <w:left w:val="single" w:sz="4" w:space="0" w:color="auto"/>
              <w:bottom w:val="single" w:sz="4" w:space="0" w:color="auto"/>
              <w:right w:val="single" w:sz="4" w:space="0" w:color="auto"/>
            </w:tcBorders>
            <w:shd w:val="clear" w:color="auto" w:fill="E1FFFF"/>
            <w:vAlign w:val="center"/>
            <w:hideMark/>
          </w:tcPr>
          <w:p w14:paraId="6EDF3227" w14:textId="77777777" w:rsidR="000836A5" w:rsidRPr="000836A5" w:rsidRDefault="000836A5" w:rsidP="000836A5">
            <w:pPr>
              <w:rPr>
                <w:rFonts w:ascii="Calibri" w:eastAsia="Times New Roman" w:hAnsi="Calibri" w:cs="Calibri"/>
                <w:b/>
                <w:bCs/>
                <w:color w:val="000000"/>
              </w:rPr>
            </w:pPr>
            <w:r w:rsidRPr="000836A5">
              <w:rPr>
                <w:rFonts w:ascii="Calibri" w:eastAsia="Times New Roman" w:hAnsi="Calibri" w:cs="Calibri"/>
                <w:b/>
                <w:bCs/>
                <w:color w:val="000000"/>
              </w:rPr>
              <w:t>Unique Patients</w:t>
            </w:r>
          </w:p>
        </w:tc>
        <w:tc>
          <w:tcPr>
            <w:tcW w:w="1006" w:type="dxa"/>
            <w:tcBorders>
              <w:top w:val="nil"/>
              <w:left w:val="nil"/>
              <w:bottom w:val="single" w:sz="4" w:space="0" w:color="auto"/>
              <w:right w:val="single" w:sz="4" w:space="0" w:color="auto"/>
            </w:tcBorders>
            <w:shd w:val="clear" w:color="auto" w:fill="E1FFFF"/>
            <w:noWrap/>
            <w:vAlign w:val="center"/>
            <w:hideMark/>
          </w:tcPr>
          <w:p w14:paraId="0393FCE8" w14:textId="77777777" w:rsidR="000836A5" w:rsidRPr="000836A5" w:rsidRDefault="000836A5" w:rsidP="000836A5">
            <w:pPr>
              <w:rPr>
                <w:rFonts w:ascii="Calibri" w:eastAsia="Times New Roman" w:hAnsi="Calibri" w:cs="Calibri"/>
                <w:b/>
                <w:bCs/>
                <w:color w:val="000000"/>
              </w:rPr>
            </w:pPr>
            <w:r w:rsidRPr="000836A5">
              <w:rPr>
                <w:rFonts w:ascii="Calibri" w:eastAsia="Times New Roman" w:hAnsi="Calibri" w:cs="Calibri"/>
                <w:b/>
                <w:bCs/>
                <w:color w:val="000000"/>
              </w:rPr>
              <w:t>Count</w:t>
            </w:r>
          </w:p>
        </w:tc>
        <w:tc>
          <w:tcPr>
            <w:tcW w:w="1006" w:type="dxa"/>
            <w:tcBorders>
              <w:top w:val="nil"/>
              <w:left w:val="nil"/>
              <w:bottom w:val="single" w:sz="4" w:space="0" w:color="auto"/>
              <w:right w:val="single" w:sz="4" w:space="0" w:color="auto"/>
            </w:tcBorders>
            <w:shd w:val="clear" w:color="auto" w:fill="E1FFFF"/>
            <w:noWrap/>
            <w:vAlign w:val="center"/>
            <w:hideMark/>
          </w:tcPr>
          <w:p w14:paraId="5F59F1C6" w14:textId="77777777" w:rsidR="000836A5" w:rsidRPr="000836A5" w:rsidRDefault="000836A5" w:rsidP="000836A5">
            <w:pPr>
              <w:rPr>
                <w:rFonts w:ascii="Calibri" w:eastAsia="Times New Roman" w:hAnsi="Calibri" w:cs="Calibri"/>
                <w:b/>
                <w:bCs/>
                <w:color w:val="000000"/>
              </w:rPr>
            </w:pPr>
            <w:r w:rsidRPr="000836A5">
              <w:rPr>
                <w:rFonts w:ascii="Calibri" w:eastAsia="Times New Roman" w:hAnsi="Calibri" w:cs="Calibri"/>
                <w:b/>
                <w:bCs/>
                <w:color w:val="000000"/>
              </w:rPr>
              <w:t>Count</w:t>
            </w:r>
          </w:p>
        </w:tc>
        <w:tc>
          <w:tcPr>
            <w:tcW w:w="1006" w:type="dxa"/>
            <w:tcBorders>
              <w:top w:val="nil"/>
              <w:left w:val="nil"/>
              <w:bottom w:val="single" w:sz="4" w:space="0" w:color="auto"/>
              <w:right w:val="single" w:sz="4" w:space="0" w:color="auto"/>
            </w:tcBorders>
            <w:shd w:val="clear" w:color="auto" w:fill="E1FFFF"/>
            <w:noWrap/>
            <w:vAlign w:val="center"/>
            <w:hideMark/>
          </w:tcPr>
          <w:p w14:paraId="189D1A30" w14:textId="77777777" w:rsidR="000836A5" w:rsidRPr="000836A5" w:rsidRDefault="000836A5" w:rsidP="000836A5">
            <w:pPr>
              <w:rPr>
                <w:rFonts w:ascii="Calibri" w:eastAsia="Times New Roman" w:hAnsi="Calibri" w:cs="Calibri"/>
                <w:b/>
                <w:bCs/>
                <w:color w:val="000000"/>
              </w:rPr>
            </w:pPr>
            <w:r w:rsidRPr="000836A5">
              <w:rPr>
                <w:rFonts w:ascii="Calibri" w:eastAsia="Times New Roman" w:hAnsi="Calibri" w:cs="Calibri"/>
                <w:b/>
                <w:bCs/>
                <w:color w:val="000000"/>
              </w:rPr>
              <w:t>Count</w:t>
            </w:r>
          </w:p>
        </w:tc>
        <w:tc>
          <w:tcPr>
            <w:tcW w:w="1006" w:type="dxa"/>
            <w:tcBorders>
              <w:top w:val="nil"/>
              <w:left w:val="nil"/>
              <w:bottom w:val="single" w:sz="4" w:space="0" w:color="auto"/>
              <w:right w:val="single" w:sz="4" w:space="0" w:color="auto"/>
            </w:tcBorders>
            <w:shd w:val="clear" w:color="auto" w:fill="E1FFFF"/>
            <w:noWrap/>
            <w:vAlign w:val="center"/>
            <w:hideMark/>
          </w:tcPr>
          <w:p w14:paraId="5E02746F"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Count</w:t>
            </w:r>
          </w:p>
        </w:tc>
        <w:tc>
          <w:tcPr>
            <w:tcW w:w="1006" w:type="dxa"/>
            <w:tcBorders>
              <w:top w:val="nil"/>
              <w:left w:val="nil"/>
              <w:bottom w:val="single" w:sz="4" w:space="0" w:color="auto"/>
              <w:right w:val="single" w:sz="4" w:space="0" w:color="auto"/>
            </w:tcBorders>
            <w:shd w:val="clear" w:color="auto" w:fill="E1FFFF"/>
            <w:noWrap/>
            <w:vAlign w:val="center"/>
            <w:hideMark/>
          </w:tcPr>
          <w:p w14:paraId="1F39ADBA"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Count</w:t>
            </w:r>
          </w:p>
        </w:tc>
        <w:tc>
          <w:tcPr>
            <w:tcW w:w="1006" w:type="dxa"/>
            <w:tcBorders>
              <w:top w:val="nil"/>
              <w:left w:val="nil"/>
              <w:bottom w:val="single" w:sz="4" w:space="0" w:color="auto"/>
              <w:right w:val="single" w:sz="4" w:space="0" w:color="auto"/>
            </w:tcBorders>
            <w:shd w:val="clear" w:color="auto" w:fill="E1FFFF"/>
            <w:noWrap/>
            <w:vAlign w:val="center"/>
            <w:hideMark/>
          </w:tcPr>
          <w:p w14:paraId="02CA8587"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Count</w:t>
            </w:r>
          </w:p>
        </w:tc>
        <w:tc>
          <w:tcPr>
            <w:tcW w:w="1503" w:type="dxa"/>
            <w:tcBorders>
              <w:top w:val="nil"/>
              <w:left w:val="nil"/>
              <w:bottom w:val="single" w:sz="4" w:space="0" w:color="auto"/>
              <w:right w:val="single" w:sz="4" w:space="0" w:color="auto"/>
            </w:tcBorders>
            <w:shd w:val="clear" w:color="auto" w:fill="E1FFFF"/>
            <w:noWrap/>
            <w:vAlign w:val="center"/>
            <w:hideMark/>
          </w:tcPr>
          <w:p w14:paraId="2E712E10" w14:textId="77777777" w:rsidR="000836A5" w:rsidRPr="000836A5" w:rsidRDefault="000836A5" w:rsidP="000836A5">
            <w:pPr>
              <w:jc w:val="center"/>
              <w:rPr>
                <w:rFonts w:ascii="Calibri" w:eastAsia="Times New Roman" w:hAnsi="Calibri" w:cs="Calibri"/>
                <w:b/>
                <w:bCs/>
                <w:color w:val="000000"/>
              </w:rPr>
            </w:pPr>
            <w:r w:rsidRPr="000836A5">
              <w:rPr>
                <w:rFonts w:ascii="Calibri" w:eastAsia="Times New Roman" w:hAnsi="Calibri" w:cs="Calibri"/>
                <w:b/>
                <w:bCs/>
                <w:color w:val="000000"/>
              </w:rPr>
              <w:t>% Change</w:t>
            </w:r>
          </w:p>
        </w:tc>
      </w:tr>
      <w:tr w:rsidR="000836A5" w:rsidRPr="000836A5" w14:paraId="3C0528E4" w14:textId="77777777" w:rsidTr="00186790">
        <w:trPr>
          <w:trHeight w:val="296"/>
          <w:jc w:val="center"/>
        </w:trPr>
        <w:tc>
          <w:tcPr>
            <w:tcW w:w="1821" w:type="dxa"/>
            <w:tcBorders>
              <w:top w:val="nil"/>
              <w:left w:val="single" w:sz="4" w:space="0" w:color="auto"/>
              <w:bottom w:val="single" w:sz="4" w:space="0" w:color="auto"/>
              <w:right w:val="single" w:sz="4" w:space="0" w:color="auto"/>
            </w:tcBorders>
            <w:shd w:val="clear" w:color="auto" w:fill="E5FFFF"/>
            <w:noWrap/>
            <w:vAlign w:val="center"/>
            <w:hideMark/>
          </w:tcPr>
          <w:p w14:paraId="07C953C8" w14:textId="77777777" w:rsidR="000836A5" w:rsidRPr="000836A5" w:rsidRDefault="000836A5" w:rsidP="000836A5">
            <w:pPr>
              <w:rPr>
                <w:rFonts w:ascii="Calibri" w:eastAsia="Times New Roman" w:hAnsi="Calibri" w:cs="Calibri"/>
                <w:color w:val="000000"/>
              </w:rPr>
            </w:pPr>
            <w:r w:rsidRPr="000836A5">
              <w:rPr>
                <w:rFonts w:ascii="Calibri" w:eastAsia="Times New Roman" w:hAnsi="Calibri" w:cs="Calibri"/>
                <w:color w:val="000000"/>
              </w:rPr>
              <w:t>UMMHC</w:t>
            </w:r>
          </w:p>
        </w:tc>
        <w:tc>
          <w:tcPr>
            <w:tcW w:w="1006" w:type="dxa"/>
            <w:tcBorders>
              <w:top w:val="nil"/>
              <w:left w:val="nil"/>
              <w:bottom w:val="single" w:sz="4" w:space="0" w:color="auto"/>
              <w:right w:val="single" w:sz="4" w:space="0" w:color="auto"/>
            </w:tcBorders>
            <w:shd w:val="clear" w:color="auto" w:fill="auto"/>
            <w:noWrap/>
            <w:vAlign w:val="center"/>
            <w:hideMark/>
          </w:tcPr>
          <w:p w14:paraId="519FDA40"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371,136</w:t>
            </w:r>
          </w:p>
        </w:tc>
        <w:tc>
          <w:tcPr>
            <w:tcW w:w="1006" w:type="dxa"/>
            <w:tcBorders>
              <w:top w:val="nil"/>
              <w:left w:val="nil"/>
              <w:bottom w:val="single" w:sz="4" w:space="0" w:color="auto"/>
              <w:right w:val="single" w:sz="4" w:space="0" w:color="auto"/>
            </w:tcBorders>
            <w:shd w:val="clear" w:color="auto" w:fill="auto"/>
            <w:noWrap/>
            <w:vAlign w:val="center"/>
            <w:hideMark/>
          </w:tcPr>
          <w:p w14:paraId="7C84A4BC"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371,488</w:t>
            </w:r>
          </w:p>
        </w:tc>
        <w:tc>
          <w:tcPr>
            <w:tcW w:w="1006" w:type="dxa"/>
            <w:tcBorders>
              <w:top w:val="nil"/>
              <w:left w:val="nil"/>
              <w:bottom w:val="single" w:sz="4" w:space="0" w:color="auto"/>
              <w:right w:val="single" w:sz="4" w:space="0" w:color="auto"/>
            </w:tcBorders>
            <w:shd w:val="clear" w:color="auto" w:fill="auto"/>
            <w:noWrap/>
            <w:vAlign w:val="center"/>
            <w:hideMark/>
          </w:tcPr>
          <w:p w14:paraId="07B0B830"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345,864</w:t>
            </w:r>
          </w:p>
        </w:tc>
        <w:tc>
          <w:tcPr>
            <w:tcW w:w="1006" w:type="dxa"/>
            <w:tcBorders>
              <w:top w:val="nil"/>
              <w:left w:val="nil"/>
              <w:bottom w:val="single" w:sz="4" w:space="0" w:color="auto"/>
              <w:right w:val="single" w:sz="4" w:space="0" w:color="auto"/>
            </w:tcBorders>
            <w:shd w:val="clear" w:color="auto" w:fill="auto"/>
            <w:noWrap/>
            <w:vAlign w:val="center"/>
            <w:hideMark/>
          </w:tcPr>
          <w:p w14:paraId="2196AE87"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393,429</w:t>
            </w:r>
          </w:p>
        </w:tc>
        <w:tc>
          <w:tcPr>
            <w:tcW w:w="1006" w:type="dxa"/>
            <w:tcBorders>
              <w:top w:val="nil"/>
              <w:left w:val="nil"/>
              <w:bottom w:val="single" w:sz="4" w:space="0" w:color="auto"/>
              <w:right w:val="single" w:sz="4" w:space="0" w:color="auto"/>
            </w:tcBorders>
            <w:shd w:val="clear" w:color="auto" w:fill="auto"/>
            <w:noWrap/>
            <w:vAlign w:val="center"/>
            <w:hideMark/>
          </w:tcPr>
          <w:p w14:paraId="2CB24783"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383,520</w:t>
            </w:r>
          </w:p>
        </w:tc>
        <w:tc>
          <w:tcPr>
            <w:tcW w:w="1006" w:type="dxa"/>
            <w:tcBorders>
              <w:top w:val="nil"/>
              <w:left w:val="nil"/>
              <w:bottom w:val="single" w:sz="4" w:space="0" w:color="auto"/>
              <w:right w:val="single" w:sz="4" w:space="0" w:color="auto"/>
            </w:tcBorders>
            <w:shd w:val="clear" w:color="auto" w:fill="auto"/>
            <w:noWrap/>
            <w:vAlign w:val="center"/>
            <w:hideMark/>
          </w:tcPr>
          <w:p w14:paraId="4E6E3798"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385,469</w:t>
            </w:r>
          </w:p>
        </w:tc>
        <w:tc>
          <w:tcPr>
            <w:tcW w:w="1498" w:type="dxa"/>
            <w:tcBorders>
              <w:top w:val="nil"/>
              <w:left w:val="nil"/>
              <w:bottom w:val="single" w:sz="4" w:space="0" w:color="auto"/>
              <w:right w:val="single" w:sz="4" w:space="0" w:color="auto"/>
            </w:tcBorders>
            <w:shd w:val="clear" w:color="auto" w:fill="auto"/>
            <w:noWrap/>
            <w:vAlign w:val="center"/>
            <w:hideMark/>
          </w:tcPr>
          <w:p w14:paraId="7557953D" w14:textId="27AED630" w:rsidR="000836A5" w:rsidRPr="000836A5" w:rsidRDefault="000836A5" w:rsidP="007D5F66">
            <w:pPr>
              <w:jc w:val="center"/>
              <w:rPr>
                <w:rFonts w:ascii="Calibri" w:eastAsia="Times New Roman" w:hAnsi="Calibri" w:cs="Calibri"/>
                <w:color w:val="000000"/>
              </w:rPr>
            </w:pPr>
            <w:r w:rsidRPr="779763D6">
              <w:rPr>
                <w:rFonts w:ascii="Calibri" w:eastAsia="Times New Roman" w:hAnsi="Calibri" w:cs="Calibri"/>
                <w:color w:val="000000" w:themeColor="text1"/>
              </w:rPr>
              <w:t>3.</w:t>
            </w:r>
            <w:r w:rsidR="46A916D5" w:rsidRPr="779763D6">
              <w:rPr>
                <w:rFonts w:ascii="Calibri" w:eastAsia="Times New Roman" w:hAnsi="Calibri" w:cs="Calibri"/>
                <w:color w:val="000000" w:themeColor="text1"/>
              </w:rPr>
              <w:t>9</w:t>
            </w:r>
            <w:r w:rsidRPr="779763D6">
              <w:rPr>
                <w:rFonts w:ascii="Calibri" w:eastAsia="Times New Roman" w:hAnsi="Calibri" w:cs="Calibri"/>
                <w:color w:val="000000" w:themeColor="text1"/>
              </w:rPr>
              <w:t>%</w:t>
            </w:r>
          </w:p>
        </w:tc>
      </w:tr>
      <w:tr w:rsidR="000836A5" w:rsidRPr="000836A5" w14:paraId="35051C6E" w14:textId="77777777" w:rsidTr="00726E90">
        <w:trPr>
          <w:trHeight w:val="242"/>
          <w:jc w:val="center"/>
        </w:trPr>
        <w:tc>
          <w:tcPr>
            <w:tcW w:w="1821" w:type="dxa"/>
            <w:tcBorders>
              <w:top w:val="nil"/>
              <w:left w:val="single" w:sz="4" w:space="0" w:color="auto"/>
              <w:bottom w:val="single" w:sz="4" w:space="0" w:color="auto"/>
              <w:right w:val="single" w:sz="4" w:space="0" w:color="auto"/>
            </w:tcBorders>
            <w:shd w:val="clear" w:color="auto" w:fill="EBFFFF"/>
            <w:vAlign w:val="center"/>
            <w:hideMark/>
          </w:tcPr>
          <w:p w14:paraId="2CFE83AD" w14:textId="22A1B707" w:rsidR="000836A5" w:rsidRPr="000836A5" w:rsidRDefault="008E27DB" w:rsidP="000836A5">
            <w:pPr>
              <w:rPr>
                <w:rFonts w:ascii="Calibri" w:eastAsia="Times New Roman" w:hAnsi="Calibri" w:cs="Calibri"/>
                <w:color w:val="000000"/>
              </w:rPr>
            </w:pPr>
            <w:r>
              <w:rPr>
                <w:rFonts w:ascii="Calibri" w:eastAsia="Times New Roman" w:hAnsi="Calibri" w:cs="Calibri"/>
                <w:color w:val="000000"/>
              </w:rPr>
              <w:t>MRMC</w:t>
            </w:r>
          </w:p>
        </w:tc>
        <w:tc>
          <w:tcPr>
            <w:tcW w:w="1006" w:type="dxa"/>
            <w:tcBorders>
              <w:top w:val="nil"/>
              <w:left w:val="nil"/>
              <w:bottom w:val="single" w:sz="4" w:space="0" w:color="auto"/>
              <w:right w:val="single" w:sz="4" w:space="0" w:color="auto"/>
            </w:tcBorders>
            <w:shd w:val="clear" w:color="auto" w:fill="auto"/>
            <w:vAlign w:val="center"/>
            <w:hideMark/>
          </w:tcPr>
          <w:p w14:paraId="3B0E5D50"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111,100</w:t>
            </w:r>
          </w:p>
        </w:tc>
        <w:tc>
          <w:tcPr>
            <w:tcW w:w="1006" w:type="dxa"/>
            <w:tcBorders>
              <w:top w:val="nil"/>
              <w:left w:val="nil"/>
              <w:bottom w:val="single" w:sz="4" w:space="0" w:color="auto"/>
              <w:right w:val="single" w:sz="4" w:space="0" w:color="auto"/>
            </w:tcBorders>
            <w:shd w:val="clear" w:color="auto" w:fill="auto"/>
            <w:vAlign w:val="center"/>
            <w:hideMark/>
          </w:tcPr>
          <w:p w14:paraId="311E9B42"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113,091</w:t>
            </w:r>
          </w:p>
        </w:tc>
        <w:tc>
          <w:tcPr>
            <w:tcW w:w="1006" w:type="dxa"/>
            <w:tcBorders>
              <w:top w:val="nil"/>
              <w:left w:val="nil"/>
              <w:bottom w:val="single" w:sz="4" w:space="0" w:color="auto"/>
              <w:right w:val="single" w:sz="4" w:space="0" w:color="auto"/>
            </w:tcBorders>
            <w:shd w:val="clear" w:color="auto" w:fill="auto"/>
            <w:vAlign w:val="center"/>
            <w:hideMark/>
          </w:tcPr>
          <w:p w14:paraId="7E36FA9B"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101,990</w:t>
            </w:r>
          </w:p>
        </w:tc>
        <w:tc>
          <w:tcPr>
            <w:tcW w:w="1006" w:type="dxa"/>
            <w:tcBorders>
              <w:top w:val="nil"/>
              <w:left w:val="nil"/>
              <w:bottom w:val="single" w:sz="4" w:space="0" w:color="auto"/>
              <w:right w:val="single" w:sz="4" w:space="0" w:color="auto"/>
            </w:tcBorders>
            <w:shd w:val="clear" w:color="auto" w:fill="auto"/>
            <w:vAlign w:val="center"/>
            <w:hideMark/>
          </w:tcPr>
          <w:p w14:paraId="1E38FF07"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124,387</w:t>
            </w:r>
          </w:p>
        </w:tc>
        <w:tc>
          <w:tcPr>
            <w:tcW w:w="1006" w:type="dxa"/>
            <w:tcBorders>
              <w:top w:val="nil"/>
              <w:left w:val="nil"/>
              <w:bottom w:val="single" w:sz="4" w:space="0" w:color="auto"/>
              <w:right w:val="single" w:sz="4" w:space="0" w:color="auto"/>
            </w:tcBorders>
            <w:shd w:val="clear" w:color="auto" w:fill="auto"/>
            <w:vAlign w:val="center"/>
            <w:hideMark/>
          </w:tcPr>
          <w:p w14:paraId="0B9C669E"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134,283</w:t>
            </w:r>
          </w:p>
        </w:tc>
        <w:tc>
          <w:tcPr>
            <w:tcW w:w="1006" w:type="dxa"/>
            <w:tcBorders>
              <w:top w:val="nil"/>
              <w:left w:val="nil"/>
              <w:bottom w:val="single" w:sz="4" w:space="0" w:color="auto"/>
              <w:right w:val="single" w:sz="4" w:space="0" w:color="auto"/>
            </w:tcBorders>
            <w:shd w:val="clear" w:color="auto" w:fill="auto"/>
            <w:vAlign w:val="center"/>
            <w:hideMark/>
          </w:tcPr>
          <w:p w14:paraId="0A198249" w14:textId="77777777" w:rsidR="000836A5" w:rsidRPr="000836A5" w:rsidRDefault="000836A5" w:rsidP="000836A5">
            <w:pPr>
              <w:jc w:val="center"/>
              <w:rPr>
                <w:rFonts w:ascii="Calibri" w:eastAsia="Times New Roman" w:hAnsi="Calibri" w:cs="Calibri"/>
                <w:color w:val="000000"/>
              </w:rPr>
            </w:pPr>
            <w:r w:rsidRPr="000836A5">
              <w:rPr>
                <w:rFonts w:ascii="Calibri" w:eastAsia="Times New Roman" w:hAnsi="Calibri" w:cs="Calibri"/>
                <w:color w:val="000000"/>
              </w:rPr>
              <w:t>134,836</w:t>
            </w:r>
          </w:p>
        </w:tc>
        <w:tc>
          <w:tcPr>
            <w:tcW w:w="1498" w:type="dxa"/>
            <w:tcBorders>
              <w:top w:val="nil"/>
              <w:left w:val="nil"/>
              <w:bottom w:val="single" w:sz="4" w:space="0" w:color="auto"/>
              <w:right w:val="single" w:sz="4" w:space="0" w:color="auto"/>
            </w:tcBorders>
            <w:shd w:val="clear" w:color="auto" w:fill="auto"/>
            <w:noWrap/>
            <w:vAlign w:val="bottom"/>
            <w:hideMark/>
          </w:tcPr>
          <w:p w14:paraId="0FA7D78E" w14:textId="32654450" w:rsidR="000836A5" w:rsidRPr="000836A5" w:rsidRDefault="686D0A63" w:rsidP="007D5F66">
            <w:pPr>
              <w:jc w:val="center"/>
              <w:rPr>
                <w:rFonts w:ascii="Calibri" w:eastAsia="Times New Roman" w:hAnsi="Calibri" w:cs="Calibri"/>
                <w:color w:val="000000"/>
              </w:rPr>
            </w:pPr>
            <w:r w:rsidRPr="282949F7">
              <w:rPr>
                <w:rFonts w:ascii="Calibri" w:eastAsia="Times New Roman" w:hAnsi="Calibri" w:cs="Calibri"/>
                <w:color w:val="000000" w:themeColor="text1"/>
              </w:rPr>
              <w:t>21.7</w:t>
            </w:r>
            <w:r w:rsidR="000836A5" w:rsidRPr="282949F7">
              <w:rPr>
                <w:rFonts w:ascii="Calibri" w:eastAsia="Times New Roman" w:hAnsi="Calibri" w:cs="Calibri"/>
                <w:color w:val="000000" w:themeColor="text1"/>
              </w:rPr>
              <w:t>%</w:t>
            </w:r>
          </w:p>
        </w:tc>
      </w:tr>
    </w:tbl>
    <w:p w14:paraId="0FF1185F" w14:textId="77777777" w:rsidR="009F74D0" w:rsidRDefault="009F74D0" w:rsidP="003134E9">
      <w:pPr>
        <w:jc w:val="center"/>
        <w:rPr>
          <w:b/>
          <w:bCs/>
        </w:rPr>
      </w:pPr>
      <w:bookmarkStart w:id="26" w:name="_Hlk151730467"/>
      <w:bookmarkStart w:id="27" w:name="_Hlk151730528"/>
      <w:bookmarkEnd w:id="25"/>
    </w:p>
    <w:p w14:paraId="786874A5" w14:textId="751A95C4" w:rsidR="00942B73" w:rsidRDefault="1B6FA5DA" w:rsidP="003134E9">
      <w:pPr>
        <w:jc w:val="center"/>
        <w:rPr>
          <w:b/>
          <w:bCs/>
        </w:rPr>
      </w:pPr>
      <w:r w:rsidRPr="6F80FCDD">
        <w:rPr>
          <w:b/>
          <w:bCs/>
        </w:rPr>
        <w:t>Table</w:t>
      </w:r>
      <w:r w:rsidR="3729CC64" w:rsidRPr="6F80FCDD">
        <w:rPr>
          <w:b/>
          <w:bCs/>
        </w:rPr>
        <w:t xml:space="preserve"> </w:t>
      </w:r>
      <w:r w:rsidR="00DF78F5">
        <w:rPr>
          <w:b/>
          <w:bCs/>
        </w:rPr>
        <w:t>2</w:t>
      </w:r>
      <w:r w:rsidRPr="6F80FCDD">
        <w:rPr>
          <w:b/>
          <w:bCs/>
        </w:rPr>
        <w:t>:</w:t>
      </w:r>
      <w:r w:rsidR="7646CA97" w:rsidRPr="6F80FCDD">
        <w:rPr>
          <w:b/>
          <w:bCs/>
        </w:rPr>
        <w:t xml:space="preserve"> </w:t>
      </w:r>
      <w:r w:rsidR="553C312A" w:rsidRPr="6F80FCDD">
        <w:rPr>
          <w:b/>
          <w:bCs/>
        </w:rPr>
        <w:t xml:space="preserve">Demographic Profile </w:t>
      </w:r>
      <w:r w:rsidRPr="6F80FCDD">
        <w:rPr>
          <w:b/>
          <w:bCs/>
        </w:rPr>
        <w:t xml:space="preserve">of </w:t>
      </w:r>
      <w:r w:rsidR="00E720F4">
        <w:rPr>
          <w:b/>
          <w:bCs/>
        </w:rPr>
        <w:t xml:space="preserve">UMMHC and </w:t>
      </w:r>
      <w:r w:rsidR="007D5F66">
        <w:rPr>
          <w:b/>
          <w:bCs/>
        </w:rPr>
        <w:t>MR</w:t>
      </w:r>
      <w:r w:rsidR="00265B00">
        <w:rPr>
          <w:b/>
          <w:bCs/>
        </w:rPr>
        <w:t>M</w:t>
      </w:r>
      <w:r w:rsidR="007D5F66">
        <w:rPr>
          <w:b/>
          <w:bCs/>
        </w:rPr>
        <w:t xml:space="preserve">C </w:t>
      </w:r>
      <w:r w:rsidRPr="6F80FCDD">
        <w:rPr>
          <w:b/>
          <w:bCs/>
        </w:rPr>
        <w:t>Patients- FY</w:t>
      </w:r>
      <w:r w:rsidR="253B5B35" w:rsidRPr="6F80FCDD">
        <w:rPr>
          <w:b/>
          <w:bCs/>
        </w:rPr>
        <w:t>21-</w:t>
      </w:r>
      <w:r w:rsidRPr="6F80FCDD">
        <w:rPr>
          <w:b/>
          <w:bCs/>
        </w:rPr>
        <w:t>2</w:t>
      </w:r>
      <w:r w:rsidR="7646CA97" w:rsidRPr="6F80FCDD">
        <w:rPr>
          <w:b/>
          <w:bCs/>
        </w:rPr>
        <w:t>2</w:t>
      </w:r>
    </w:p>
    <w:p w14:paraId="01634287" w14:textId="2C89B5FE" w:rsidR="00E92504" w:rsidRPr="008E157F" w:rsidRDefault="00E92504" w:rsidP="00825271">
      <w:pPr>
        <w:jc w:val="center"/>
        <w:rPr>
          <w:b/>
          <w:bCs/>
        </w:rPr>
      </w:pPr>
    </w:p>
    <w:tbl>
      <w:tblPr>
        <w:tblW w:w="7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900"/>
        <w:gridCol w:w="900"/>
        <w:gridCol w:w="981"/>
        <w:gridCol w:w="1080"/>
      </w:tblGrid>
      <w:tr w:rsidR="007D5F66" w:rsidRPr="000E4BF2" w14:paraId="4A6FBBAC" w14:textId="56E183E0" w:rsidTr="00186790">
        <w:trPr>
          <w:cantSplit/>
          <w:trHeight w:val="350"/>
          <w:tblHeader/>
          <w:jc w:val="center"/>
        </w:trPr>
        <w:tc>
          <w:tcPr>
            <w:tcW w:w="3610" w:type="dxa"/>
            <w:shd w:val="clear" w:color="auto" w:fill="auto"/>
            <w:vAlign w:val="center"/>
            <w:hideMark/>
          </w:tcPr>
          <w:bookmarkEnd w:id="26"/>
          <w:bookmarkEnd w:id="27"/>
          <w:p w14:paraId="75A5D997" w14:textId="792BCC03" w:rsidR="007D5F66" w:rsidRPr="007F5F46" w:rsidRDefault="007D5F66" w:rsidP="00CB7019">
            <w:pPr>
              <w:rPr>
                <w:b/>
                <w:bCs/>
              </w:rPr>
            </w:pPr>
            <w:r w:rsidRPr="007F5F46">
              <w:rPr>
                <w:b/>
                <w:bCs/>
              </w:rPr>
              <w:t>Facility</w:t>
            </w:r>
          </w:p>
        </w:tc>
        <w:tc>
          <w:tcPr>
            <w:tcW w:w="1800" w:type="dxa"/>
            <w:gridSpan w:val="2"/>
            <w:shd w:val="clear" w:color="auto" w:fill="E5FFFF"/>
            <w:noWrap/>
            <w:vAlign w:val="center"/>
            <w:hideMark/>
          </w:tcPr>
          <w:p w14:paraId="769965A5" w14:textId="675A32A0" w:rsidR="007D5F66" w:rsidRPr="00067789" w:rsidRDefault="007D5F66" w:rsidP="6F80FCDD">
            <w:pPr>
              <w:jc w:val="center"/>
              <w:rPr>
                <w:b/>
                <w:bCs/>
                <w:color w:val="000000"/>
              </w:rPr>
            </w:pPr>
            <w:r w:rsidRPr="00067789">
              <w:rPr>
                <w:b/>
                <w:bCs/>
                <w:color w:val="000000"/>
              </w:rPr>
              <w:t>UMM</w:t>
            </w:r>
            <w:r>
              <w:rPr>
                <w:b/>
                <w:bCs/>
                <w:color w:val="000000"/>
              </w:rPr>
              <w:t>H</w:t>
            </w:r>
            <w:r w:rsidRPr="00067789">
              <w:rPr>
                <w:b/>
                <w:bCs/>
                <w:color w:val="000000"/>
              </w:rPr>
              <w:t>C</w:t>
            </w:r>
          </w:p>
        </w:tc>
        <w:tc>
          <w:tcPr>
            <w:tcW w:w="2061" w:type="dxa"/>
            <w:gridSpan w:val="2"/>
            <w:shd w:val="clear" w:color="auto" w:fill="EBFFFF"/>
            <w:vAlign w:val="center"/>
          </w:tcPr>
          <w:p w14:paraId="53806849" w14:textId="562BE7B7" w:rsidR="007D5F66" w:rsidRPr="00067789" w:rsidRDefault="008E27DB" w:rsidP="00CB7019">
            <w:pPr>
              <w:jc w:val="center"/>
              <w:rPr>
                <w:b/>
                <w:bCs/>
              </w:rPr>
            </w:pPr>
            <w:r>
              <w:rPr>
                <w:b/>
                <w:bCs/>
              </w:rPr>
              <w:t>MRMC</w:t>
            </w:r>
          </w:p>
        </w:tc>
      </w:tr>
      <w:tr w:rsidR="007D5F66" w:rsidRPr="000E4BF2" w14:paraId="4CDAE9AA" w14:textId="30F8E23F" w:rsidTr="00186790">
        <w:trPr>
          <w:cantSplit/>
          <w:trHeight w:val="310"/>
          <w:jc w:val="center"/>
        </w:trPr>
        <w:tc>
          <w:tcPr>
            <w:tcW w:w="3610" w:type="dxa"/>
            <w:shd w:val="clear" w:color="auto" w:fill="auto"/>
            <w:noWrap/>
            <w:vAlign w:val="center"/>
          </w:tcPr>
          <w:p w14:paraId="10CE3424" w14:textId="1C6289D3" w:rsidR="007D5F66" w:rsidRPr="007F5F46" w:rsidRDefault="007D5F66" w:rsidP="00E212F6">
            <w:pPr>
              <w:rPr>
                <w:color w:val="000000"/>
              </w:rPr>
            </w:pPr>
          </w:p>
        </w:tc>
        <w:tc>
          <w:tcPr>
            <w:tcW w:w="900" w:type="dxa"/>
            <w:tcBorders>
              <w:bottom w:val="single" w:sz="4" w:space="0" w:color="auto"/>
            </w:tcBorders>
            <w:shd w:val="clear" w:color="auto" w:fill="E5FFFF"/>
            <w:noWrap/>
            <w:vAlign w:val="center"/>
          </w:tcPr>
          <w:p w14:paraId="51B2FA88" w14:textId="059527E6" w:rsidR="007D5F66" w:rsidRPr="00104664" w:rsidRDefault="007D5F66" w:rsidP="00E212F6">
            <w:pPr>
              <w:jc w:val="right"/>
              <w:rPr>
                <w:b/>
                <w:bCs/>
                <w:color w:val="000000"/>
              </w:rPr>
            </w:pPr>
            <w:r w:rsidRPr="00104664">
              <w:rPr>
                <w:b/>
                <w:bCs/>
                <w:color w:val="000000"/>
              </w:rPr>
              <w:t>FY 2</w:t>
            </w:r>
            <w:r>
              <w:rPr>
                <w:b/>
                <w:bCs/>
                <w:color w:val="000000"/>
              </w:rPr>
              <w:t>2</w:t>
            </w:r>
          </w:p>
        </w:tc>
        <w:tc>
          <w:tcPr>
            <w:tcW w:w="900" w:type="dxa"/>
            <w:tcBorders>
              <w:bottom w:val="single" w:sz="4" w:space="0" w:color="auto"/>
            </w:tcBorders>
            <w:shd w:val="clear" w:color="auto" w:fill="E5FFFF"/>
            <w:noWrap/>
            <w:vAlign w:val="center"/>
          </w:tcPr>
          <w:p w14:paraId="5A4208C0" w14:textId="1756419A" w:rsidR="007D5F66" w:rsidRPr="00104664" w:rsidRDefault="007D5F66" w:rsidP="00E212F6">
            <w:pPr>
              <w:jc w:val="right"/>
              <w:rPr>
                <w:b/>
                <w:bCs/>
                <w:color w:val="000000"/>
              </w:rPr>
            </w:pPr>
            <w:r w:rsidRPr="00104664">
              <w:rPr>
                <w:b/>
                <w:bCs/>
                <w:color w:val="000000"/>
              </w:rPr>
              <w:t>FY 2</w:t>
            </w:r>
            <w:r>
              <w:rPr>
                <w:b/>
                <w:bCs/>
                <w:color w:val="000000"/>
              </w:rPr>
              <w:t>3</w:t>
            </w:r>
          </w:p>
        </w:tc>
        <w:tc>
          <w:tcPr>
            <w:tcW w:w="981" w:type="dxa"/>
            <w:tcBorders>
              <w:bottom w:val="single" w:sz="4" w:space="0" w:color="auto"/>
            </w:tcBorders>
            <w:shd w:val="clear" w:color="auto" w:fill="EBFFFF"/>
            <w:vAlign w:val="center"/>
          </w:tcPr>
          <w:p w14:paraId="570C5E95" w14:textId="371E7518" w:rsidR="007D5F66" w:rsidRPr="00104664" w:rsidRDefault="007D5F66" w:rsidP="00E212F6">
            <w:pPr>
              <w:jc w:val="right"/>
              <w:rPr>
                <w:b/>
                <w:bCs/>
                <w:color w:val="000000"/>
              </w:rPr>
            </w:pPr>
            <w:r w:rsidRPr="00104664">
              <w:rPr>
                <w:b/>
                <w:bCs/>
                <w:color w:val="000000"/>
              </w:rPr>
              <w:t>FY 2</w:t>
            </w:r>
            <w:r>
              <w:rPr>
                <w:b/>
                <w:bCs/>
                <w:color w:val="000000"/>
              </w:rPr>
              <w:t>2</w:t>
            </w:r>
          </w:p>
        </w:tc>
        <w:tc>
          <w:tcPr>
            <w:tcW w:w="1080" w:type="dxa"/>
            <w:tcBorders>
              <w:bottom w:val="single" w:sz="4" w:space="0" w:color="auto"/>
            </w:tcBorders>
            <w:shd w:val="clear" w:color="auto" w:fill="EBFFFF"/>
            <w:vAlign w:val="center"/>
          </w:tcPr>
          <w:p w14:paraId="10954FDA" w14:textId="267EED0A" w:rsidR="007D5F66" w:rsidRPr="00104664" w:rsidRDefault="007D5F66" w:rsidP="00E212F6">
            <w:pPr>
              <w:jc w:val="right"/>
              <w:rPr>
                <w:b/>
                <w:bCs/>
                <w:color w:val="000000"/>
              </w:rPr>
            </w:pPr>
            <w:r w:rsidRPr="00104664">
              <w:rPr>
                <w:b/>
                <w:bCs/>
                <w:color w:val="000000"/>
              </w:rPr>
              <w:t>FY 2</w:t>
            </w:r>
            <w:r>
              <w:rPr>
                <w:b/>
                <w:bCs/>
                <w:color w:val="000000"/>
              </w:rPr>
              <w:t>3</w:t>
            </w:r>
          </w:p>
        </w:tc>
      </w:tr>
      <w:tr w:rsidR="007D5F66" w:rsidRPr="000E4BF2" w14:paraId="0FE443F2" w14:textId="0D785EE0" w:rsidTr="00186790">
        <w:trPr>
          <w:cantSplit/>
          <w:trHeight w:val="310"/>
          <w:jc w:val="center"/>
        </w:trPr>
        <w:tc>
          <w:tcPr>
            <w:tcW w:w="3610" w:type="dxa"/>
            <w:shd w:val="clear" w:color="auto" w:fill="auto"/>
            <w:noWrap/>
            <w:vAlign w:val="center"/>
          </w:tcPr>
          <w:p w14:paraId="5FD61258" w14:textId="0B4E2871" w:rsidR="007D5F66" w:rsidRPr="007F5F46" w:rsidRDefault="007D5F66" w:rsidP="00E212F6">
            <w:pPr>
              <w:rPr>
                <w:color w:val="000000"/>
              </w:rPr>
            </w:pPr>
            <w:r w:rsidRPr="007F5F46">
              <w:rPr>
                <w:b/>
                <w:bCs/>
                <w:color w:val="000000"/>
              </w:rPr>
              <w:t>Gender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28A9888" w14:textId="5AF37E45" w:rsidR="007D5F66" w:rsidRPr="001E6BC9" w:rsidRDefault="007D5F66" w:rsidP="00E212F6">
            <w:pPr>
              <w:jc w:val="right"/>
              <w:rPr>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A55BA" w14:textId="0A222509" w:rsidR="007D5F66" w:rsidRPr="001E6BC9" w:rsidRDefault="007D5F66" w:rsidP="00E212F6">
            <w:pPr>
              <w:jc w:val="right"/>
              <w:rPr>
                <w:color w:val="000000"/>
              </w:rPr>
            </w:pPr>
          </w:p>
        </w:tc>
        <w:tc>
          <w:tcPr>
            <w:tcW w:w="981" w:type="dxa"/>
            <w:tcBorders>
              <w:top w:val="single" w:sz="4" w:space="0" w:color="auto"/>
              <w:left w:val="single" w:sz="4" w:space="0" w:color="auto"/>
              <w:bottom w:val="single" w:sz="4" w:space="0" w:color="auto"/>
              <w:right w:val="single" w:sz="4" w:space="0" w:color="auto"/>
            </w:tcBorders>
          </w:tcPr>
          <w:p w14:paraId="5DDC71BE" w14:textId="77777777" w:rsidR="007D5F66" w:rsidRPr="001E6BC9" w:rsidRDefault="007D5F66" w:rsidP="00E212F6">
            <w:pPr>
              <w:jc w:val="right"/>
            </w:pPr>
          </w:p>
        </w:tc>
        <w:tc>
          <w:tcPr>
            <w:tcW w:w="1080" w:type="dxa"/>
            <w:tcBorders>
              <w:top w:val="single" w:sz="4" w:space="0" w:color="auto"/>
              <w:left w:val="single" w:sz="4" w:space="0" w:color="auto"/>
              <w:bottom w:val="single" w:sz="4" w:space="0" w:color="auto"/>
              <w:right w:val="single" w:sz="4" w:space="0" w:color="auto"/>
            </w:tcBorders>
          </w:tcPr>
          <w:p w14:paraId="6D0472F7" w14:textId="77777777" w:rsidR="007D5F66" w:rsidRPr="001E6BC9" w:rsidRDefault="007D5F66" w:rsidP="00E212F6">
            <w:pPr>
              <w:jc w:val="right"/>
            </w:pPr>
          </w:p>
        </w:tc>
      </w:tr>
      <w:tr w:rsidR="007D5F66" w:rsidRPr="000E4BF2" w14:paraId="141ED4F1" w14:textId="0E156E1D" w:rsidTr="00186790">
        <w:trPr>
          <w:cantSplit/>
          <w:trHeight w:val="310"/>
          <w:jc w:val="center"/>
        </w:trPr>
        <w:tc>
          <w:tcPr>
            <w:tcW w:w="3610" w:type="dxa"/>
            <w:shd w:val="clear" w:color="auto" w:fill="auto"/>
            <w:noWrap/>
            <w:vAlign w:val="center"/>
          </w:tcPr>
          <w:p w14:paraId="430F46E6" w14:textId="7D487E3D" w:rsidR="007D5F66" w:rsidRPr="007F5F46" w:rsidRDefault="007D5F66" w:rsidP="0050012E">
            <w:pPr>
              <w:rPr>
                <w:color w:val="000000"/>
              </w:rPr>
            </w:pPr>
            <w:r w:rsidRPr="007F5F46">
              <w:rPr>
                <w:color w:val="000000"/>
              </w:rPr>
              <w:t>Female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C1FB0EF" w14:textId="611FED48" w:rsidR="007D5F66" w:rsidRPr="001E6BC9" w:rsidRDefault="007D5F66" w:rsidP="0050012E">
            <w:pPr>
              <w:jc w:val="right"/>
              <w:rPr>
                <w:color w:val="000000"/>
              </w:rPr>
            </w:pPr>
            <w:r w:rsidRPr="001E6BC9">
              <w:rPr>
                <w:rFonts w:ascii="Calibri" w:eastAsia="PMingLiU" w:hAnsi="Calibri" w:cs="Calibri"/>
                <w:color w:val="000000"/>
              </w:rPr>
              <w:t>55.9%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39053" w14:textId="20DEDE91" w:rsidR="007D5F66" w:rsidRPr="001E6BC9" w:rsidRDefault="007D5F66" w:rsidP="0050012E">
            <w:pPr>
              <w:jc w:val="right"/>
              <w:rPr>
                <w:color w:val="000000"/>
              </w:rPr>
            </w:pPr>
            <w:r w:rsidRPr="001E6BC9">
              <w:rPr>
                <w:rFonts w:ascii="Calibri" w:eastAsia="PMingLiU" w:hAnsi="Calibri" w:cs="Calibri"/>
                <w:color w:val="000000"/>
              </w:rPr>
              <w:t>56.2%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672DF5F2" w14:textId="584E897D"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57.2%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9413395" w14:textId="688A4123"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57.6%</w:t>
            </w:r>
          </w:p>
        </w:tc>
      </w:tr>
      <w:tr w:rsidR="007D5F66" w:rsidRPr="000E4BF2" w14:paraId="5FDDFA1E" w14:textId="4527F1D8" w:rsidTr="00186790">
        <w:trPr>
          <w:cantSplit/>
          <w:trHeight w:val="278"/>
          <w:jc w:val="center"/>
        </w:trPr>
        <w:tc>
          <w:tcPr>
            <w:tcW w:w="3610" w:type="dxa"/>
            <w:shd w:val="clear" w:color="auto" w:fill="auto"/>
            <w:noWrap/>
            <w:vAlign w:val="center"/>
          </w:tcPr>
          <w:p w14:paraId="7DDBE090" w14:textId="7DE77F6B" w:rsidR="007D5F66" w:rsidRPr="007F5F46" w:rsidRDefault="007D5F66" w:rsidP="0050012E">
            <w:pPr>
              <w:rPr>
                <w:color w:val="000000"/>
              </w:rPr>
            </w:pPr>
            <w:r w:rsidRPr="007F5F46">
              <w:rPr>
                <w:color w:val="000000"/>
              </w:rPr>
              <w:t>Male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742EB4C" w14:textId="35101931" w:rsidR="007D5F66" w:rsidRPr="001E6BC9" w:rsidRDefault="007D5F66" w:rsidP="0050012E">
            <w:pPr>
              <w:jc w:val="right"/>
              <w:rPr>
                <w:color w:val="000000"/>
              </w:rPr>
            </w:pPr>
            <w:r w:rsidRPr="001E6BC9">
              <w:rPr>
                <w:rFonts w:ascii="Calibri" w:eastAsia="PMingLiU" w:hAnsi="Calibri" w:cs="Calibri"/>
                <w:color w:val="000000"/>
              </w:rPr>
              <w:t>44.0%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9AD88" w14:textId="45A3473D" w:rsidR="007D5F66" w:rsidRPr="001E6BC9" w:rsidRDefault="007D5F66" w:rsidP="0050012E">
            <w:pPr>
              <w:jc w:val="right"/>
              <w:rPr>
                <w:color w:val="000000"/>
              </w:rPr>
            </w:pPr>
            <w:r w:rsidRPr="001E6BC9">
              <w:rPr>
                <w:rFonts w:ascii="Calibri" w:eastAsia="PMingLiU" w:hAnsi="Calibri" w:cs="Calibri"/>
                <w:color w:val="000000"/>
              </w:rPr>
              <w:t>43.8%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875D1AC" w14:textId="57FD6051"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42.6%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AF98408" w14:textId="1AF1CC7C"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42.2%</w:t>
            </w:r>
          </w:p>
        </w:tc>
      </w:tr>
      <w:tr w:rsidR="007D5F66" w:rsidRPr="000E4BF2" w14:paraId="18706334" w14:textId="23E4C2B5" w:rsidTr="00186790">
        <w:trPr>
          <w:cantSplit/>
          <w:trHeight w:val="310"/>
          <w:jc w:val="center"/>
        </w:trPr>
        <w:tc>
          <w:tcPr>
            <w:tcW w:w="3610" w:type="dxa"/>
            <w:shd w:val="clear" w:color="auto" w:fill="auto"/>
            <w:noWrap/>
            <w:vAlign w:val="center"/>
          </w:tcPr>
          <w:p w14:paraId="61D12DA8" w14:textId="451C3E6D" w:rsidR="007D5F66" w:rsidRPr="007F5F46" w:rsidRDefault="007D5F66" w:rsidP="00186790">
            <w:pPr>
              <w:rPr>
                <w:b/>
                <w:bCs/>
                <w:color w:val="000000"/>
              </w:rPr>
            </w:pPr>
            <w:r w:rsidRPr="007F5F46">
              <w:rPr>
                <w:color w:val="000000"/>
              </w:rPr>
              <w:t>Unknown</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0D1814A" w14:textId="6793B18A" w:rsidR="007D5F66" w:rsidRPr="007F5F46" w:rsidRDefault="007D5F66" w:rsidP="00186790">
            <w:pPr>
              <w:jc w:val="right"/>
              <w:rPr>
                <w:b/>
                <w:bCs/>
                <w:color w:val="000000"/>
              </w:rPr>
            </w:pPr>
            <w:r w:rsidRPr="001E6BC9">
              <w:rPr>
                <w:rFonts w:ascii="Calibri" w:eastAsia="PMingLiU" w:hAnsi="Calibri" w:cs="Calibri"/>
                <w:color w:val="000000"/>
              </w:rPr>
              <w:t>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9C600" w14:textId="280EE216" w:rsidR="007D5F66" w:rsidRPr="007F5F46" w:rsidRDefault="007D5F66" w:rsidP="00186790">
            <w:pPr>
              <w:jc w:val="right"/>
              <w:rPr>
                <w:b/>
                <w:bCs/>
                <w:color w:val="000000"/>
              </w:rPr>
            </w:pPr>
            <w:r w:rsidRPr="001E6BC9">
              <w:rPr>
                <w:rFonts w:ascii="Calibri" w:eastAsia="PMingLiU" w:hAnsi="Calibri" w:cs="Calibri"/>
                <w:color w:val="000000"/>
              </w:rPr>
              <w:t>0.1%</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A0E5673" w14:textId="2E64F073" w:rsidR="007D5F66" w:rsidRPr="00202055" w:rsidRDefault="007D5F66" w:rsidP="00186790">
            <w:pPr>
              <w:jc w:val="right"/>
              <w:rPr>
                <w:rFonts w:ascii="Calibri" w:eastAsia="PMingLiU" w:hAnsi="Calibri" w:cs="Calibri"/>
                <w:color w:val="000000"/>
              </w:rPr>
            </w:pPr>
            <w:r w:rsidRPr="00202055">
              <w:rPr>
                <w:rFonts w:ascii="Calibri" w:eastAsia="Times New Roman" w:hAnsi="Calibri" w:cs="Calibri"/>
                <w:color w:val="000000"/>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173233" w14:textId="493E72AF" w:rsidR="007D5F66" w:rsidRPr="00202055" w:rsidRDefault="007D5F66" w:rsidP="00186790">
            <w:pPr>
              <w:jc w:val="right"/>
              <w:rPr>
                <w:rFonts w:ascii="Calibri" w:eastAsia="PMingLiU" w:hAnsi="Calibri" w:cs="Calibri"/>
                <w:color w:val="000000"/>
              </w:rPr>
            </w:pPr>
            <w:r w:rsidRPr="00202055">
              <w:rPr>
                <w:rFonts w:ascii="Calibri" w:eastAsia="Times New Roman" w:hAnsi="Calibri" w:cs="Calibri"/>
                <w:color w:val="000000"/>
              </w:rPr>
              <w:t>0.2%</w:t>
            </w:r>
          </w:p>
        </w:tc>
      </w:tr>
      <w:tr w:rsidR="007D5F66" w:rsidRPr="000E4BF2" w14:paraId="0FE38044" w14:textId="3F8CEE1E" w:rsidTr="00186790">
        <w:trPr>
          <w:cantSplit/>
          <w:trHeight w:val="310"/>
          <w:jc w:val="center"/>
        </w:trPr>
        <w:tc>
          <w:tcPr>
            <w:tcW w:w="3610" w:type="dxa"/>
            <w:tcBorders>
              <w:bottom w:val="single" w:sz="4" w:space="0" w:color="auto"/>
            </w:tcBorders>
            <w:shd w:val="clear" w:color="auto" w:fill="auto"/>
            <w:noWrap/>
            <w:vAlign w:val="center"/>
          </w:tcPr>
          <w:p w14:paraId="2A9A749E" w14:textId="2B3FBFF3" w:rsidR="007D5F66" w:rsidRPr="002824DF" w:rsidRDefault="007D5F66" w:rsidP="0050012E">
            <w:pPr>
              <w:rPr>
                <w:color w:val="000000"/>
              </w:rPr>
            </w:pPr>
            <w:r w:rsidRPr="007F5F46">
              <w:rPr>
                <w:b/>
                <w:bCs/>
                <w:color w:val="000000"/>
              </w:rPr>
              <w:t>Age</w:t>
            </w:r>
          </w:p>
        </w:tc>
        <w:tc>
          <w:tcPr>
            <w:tcW w:w="900" w:type="dxa"/>
            <w:tcBorders>
              <w:top w:val="single" w:sz="4" w:space="0" w:color="auto"/>
              <w:bottom w:val="single" w:sz="4" w:space="0" w:color="auto"/>
            </w:tcBorders>
            <w:shd w:val="clear" w:color="auto" w:fill="auto"/>
            <w:noWrap/>
            <w:vAlign w:val="center"/>
          </w:tcPr>
          <w:p w14:paraId="0278AA1E" w14:textId="0B8602F7" w:rsidR="007D5F66" w:rsidRPr="002824DF" w:rsidRDefault="007D5F66" w:rsidP="0050012E">
            <w:pPr>
              <w:jc w:val="right"/>
              <w:rPr>
                <w:color w:val="000000"/>
              </w:rPr>
            </w:pPr>
          </w:p>
        </w:tc>
        <w:tc>
          <w:tcPr>
            <w:tcW w:w="900" w:type="dxa"/>
            <w:tcBorders>
              <w:top w:val="single" w:sz="4" w:space="0" w:color="auto"/>
              <w:bottom w:val="single" w:sz="4" w:space="0" w:color="auto"/>
            </w:tcBorders>
            <w:shd w:val="clear" w:color="auto" w:fill="auto"/>
            <w:noWrap/>
            <w:vAlign w:val="center"/>
          </w:tcPr>
          <w:p w14:paraId="6A22F6C5" w14:textId="434D6770" w:rsidR="007D5F66" w:rsidRPr="002824DF" w:rsidRDefault="007D5F66" w:rsidP="0050012E">
            <w:pPr>
              <w:jc w:val="right"/>
              <w:rPr>
                <w:color w:val="000000"/>
              </w:rPr>
            </w:pPr>
          </w:p>
        </w:tc>
        <w:tc>
          <w:tcPr>
            <w:tcW w:w="981" w:type="dxa"/>
            <w:tcBorders>
              <w:top w:val="single" w:sz="4" w:space="0" w:color="auto"/>
              <w:left w:val="single" w:sz="4" w:space="0" w:color="auto"/>
              <w:bottom w:val="single" w:sz="4" w:space="0" w:color="auto"/>
              <w:right w:val="single" w:sz="4" w:space="0" w:color="auto"/>
            </w:tcBorders>
          </w:tcPr>
          <w:p w14:paraId="1C97D602" w14:textId="77777777" w:rsidR="007D5F66" w:rsidRPr="00202055" w:rsidRDefault="007D5F66" w:rsidP="00202055">
            <w:pPr>
              <w:jc w:val="right"/>
            </w:pPr>
          </w:p>
        </w:tc>
        <w:tc>
          <w:tcPr>
            <w:tcW w:w="1080" w:type="dxa"/>
            <w:tcBorders>
              <w:top w:val="single" w:sz="4" w:space="0" w:color="auto"/>
              <w:left w:val="single" w:sz="4" w:space="0" w:color="auto"/>
              <w:bottom w:val="single" w:sz="4" w:space="0" w:color="auto"/>
              <w:right w:val="single" w:sz="4" w:space="0" w:color="auto"/>
            </w:tcBorders>
          </w:tcPr>
          <w:p w14:paraId="07F9CDCB" w14:textId="77777777" w:rsidR="007D5F66" w:rsidRPr="00202055" w:rsidRDefault="007D5F66" w:rsidP="00202055">
            <w:pPr>
              <w:jc w:val="right"/>
            </w:pPr>
          </w:p>
        </w:tc>
      </w:tr>
      <w:tr w:rsidR="007D5F66" w:rsidRPr="000E4BF2" w14:paraId="3214D910" w14:textId="41EE7FE7"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C5964" w14:textId="47B3968F" w:rsidR="007D5F66" w:rsidRPr="002824DF" w:rsidRDefault="007D5F66" w:rsidP="004475DA">
            <w:pPr>
              <w:rPr>
                <w:color w:val="000000"/>
              </w:rPr>
            </w:pPr>
            <w:r w:rsidRPr="002824DF">
              <w:rPr>
                <w:rFonts w:ascii="Calibri" w:eastAsia="Times New Roman" w:hAnsi="Calibri" w:cs="Calibri"/>
                <w:color w:val="000000"/>
              </w:rPr>
              <w:t>0-17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E1D01" w14:textId="4FA3B827" w:rsidR="007D5F66" w:rsidRPr="002824DF" w:rsidRDefault="007D5F66" w:rsidP="004475DA">
            <w:pPr>
              <w:jc w:val="right"/>
              <w:rPr>
                <w:color w:val="000000"/>
              </w:rPr>
            </w:pPr>
            <w:r w:rsidRPr="002824DF">
              <w:rPr>
                <w:rFonts w:ascii="Calibri" w:eastAsia="PMingLiU" w:hAnsi="Calibri" w:cs="Calibri"/>
                <w:color w:val="000000"/>
              </w:rPr>
              <w:t>18.7%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B9ABD" w14:textId="56DC7F97" w:rsidR="007D5F66" w:rsidRPr="002824DF" w:rsidRDefault="007D5F66" w:rsidP="004475DA">
            <w:pPr>
              <w:jc w:val="right"/>
              <w:rPr>
                <w:color w:val="000000"/>
              </w:rPr>
            </w:pPr>
            <w:r w:rsidRPr="002824DF">
              <w:rPr>
                <w:rFonts w:ascii="Calibri" w:eastAsia="PMingLiU" w:hAnsi="Calibri" w:cs="Calibri"/>
                <w:color w:val="000000"/>
              </w:rPr>
              <w:t>18.0%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5ADA625" w14:textId="5AACF34C"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1CBC27E" w14:textId="58938C26"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7.6%</w:t>
            </w:r>
          </w:p>
        </w:tc>
      </w:tr>
      <w:tr w:rsidR="007D5F66" w:rsidRPr="000E4BF2" w14:paraId="7908A020" w14:textId="41E70CCA"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81AA5" w14:textId="6183F174" w:rsidR="007D5F66" w:rsidRPr="002824DF" w:rsidRDefault="007D5F66" w:rsidP="004475DA">
            <w:pPr>
              <w:rPr>
                <w:color w:val="000000"/>
              </w:rPr>
            </w:pPr>
            <w:r w:rsidRPr="002824DF">
              <w:rPr>
                <w:rFonts w:ascii="Calibri" w:eastAsia="Times New Roman" w:hAnsi="Calibri" w:cs="Calibri"/>
                <w:color w:val="000000"/>
              </w:rPr>
              <w:t>18-64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311FE" w14:textId="1DD2D81E" w:rsidR="007D5F66" w:rsidRPr="002824DF" w:rsidRDefault="007D5F66" w:rsidP="004475DA">
            <w:pPr>
              <w:jc w:val="right"/>
              <w:rPr>
                <w:color w:val="000000"/>
              </w:rPr>
            </w:pPr>
            <w:r w:rsidRPr="002824DF">
              <w:rPr>
                <w:rFonts w:ascii="Calibri" w:eastAsia="PMingLiU" w:hAnsi="Calibri" w:cs="Calibri"/>
                <w:color w:val="000000"/>
              </w:rPr>
              <w:t>58.2%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62640" w14:textId="3CB9BCBB" w:rsidR="007D5F66" w:rsidRPr="002824DF" w:rsidRDefault="007D5F66" w:rsidP="004475DA">
            <w:pPr>
              <w:jc w:val="right"/>
              <w:rPr>
                <w:color w:val="000000"/>
              </w:rPr>
            </w:pPr>
            <w:r w:rsidRPr="002824DF">
              <w:rPr>
                <w:rFonts w:ascii="Calibri" w:eastAsia="PMingLiU" w:hAnsi="Calibri" w:cs="Calibri"/>
                <w:color w:val="000000"/>
              </w:rPr>
              <w:t>57.8%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7E28B68" w14:textId="37FE8FC3"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65.2%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90AEF72" w14:textId="2F746B17"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65.1%</w:t>
            </w:r>
          </w:p>
        </w:tc>
      </w:tr>
      <w:tr w:rsidR="007D5F66" w:rsidRPr="000E4BF2" w14:paraId="1CB5C877" w14:textId="5C8C5891"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3D691" w14:textId="28115128" w:rsidR="007D5F66" w:rsidRPr="002824DF" w:rsidRDefault="007D5F66" w:rsidP="004475DA">
            <w:pPr>
              <w:rPr>
                <w:color w:val="000000"/>
              </w:rPr>
            </w:pPr>
            <w:r w:rsidRPr="002824DF">
              <w:rPr>
                <w:rFonts w:ascii="Calibri" w:eastAsia="Times New Roman" w:hAnsi="Calibri" w:cs="Calibri"/>
                <w:color w:val="000000"/>
              </w:rPr>
              <w:t>65+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B5284" w14:textId="3B63247A" w:rsidR="007D5F66" w:rsidRPr="002824DF" w:rsidRDefault="007D5F66" w:rsidP="004475DA">
            <w:pPr>
              <w:jc w:val="right"/>
              <w:rPr>
                <w:color w:val="000000"/>
              </w:rPr>
            </w:pPr>
            <w:r w:rsidRPr="002824DF">
              <w:rPr>
                <w:rFonts w:ascii="Calibri" w:eastAsia="PMingLiU" w:hAnsi="Calibri" w:cs="Calibri"/>
                <w:color w:val="000000"/>
              </w:rPr>
              <w:t>23.0%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963A0" w14:textId="657B37F5" w:rsidR="007D5F66" w:rsidRPr="002824DF" w:rsidRDefault="007D5F66" w:rsidP="004475DA">
            <w:pPr>
              <w:jc w:val="right"/>
              <w:rPr>
                <w:color w:val="000000"/>
              </w:rPr>
            </w:pPr>
            <w:r w:rsidRPr="002824DF">
              <w:rPr>
                <w:rFonts w:ascii="Calibri" w:eastAsia="PMingLiU" w:hAnsi="Calibri" w:cs="Calibri"/>
                <w:color w:val="000000"/>
              </w:rPr>
              <w:t>24.2%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F2E9942" w14:textId="3BDE0DEC"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27.3%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9BA1FA5" w14:textId="203D30AB"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27.4%</w:t>
            </w:r>
          </w:p>
        </w:tc>
      </w:tr>
      <w:tr w:rsidR="007D5F66" w:rsidRPr="000E4BF2" w14:paraId="27EE4EDA" w14:textId="3445694E"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84936" w14:textId="72D7D744" w:rsidR="007D5F66" w:rsidRPr="007F5F46" w:rsidRDefault="007D5F66" w:rsidP="004475DA">
            <w:pPr>
              <w:rPr>
                <w:color w:val="000000"/>
              </w:rPr>
            </w:pPr>
            <w:r w:rsidRPr="002824DF">
              <w:rPr>
                <w:rFonts w:ascii="Calibri" w:eastAsia="Times New Roman" w:hAnsi="Calibri" w:cs="Calibri"/>
                <w:color w:val="000000"/>
              </w:rPr>
              <w:t>Unknown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D5722" w14:textId="5D6A3606" w:rsidR="007D5F66" w:rsidRPr="007F5F46" w:rsidRDefault="007D5F66" w:rsidP="004475DA">
            <w:pPr>
              <w:jc w:val="right"/>
              <w:rPr>
                <w:color w:val="000000"/>
              </w:rPr>
            </w:pPr>
            <w:r w:rsidRPr="002824DF">
              <w:rPr>
                <w:rFonts w:ascii="Calibri" w:eastAsia="PMingLiU" w:hAnsi="Calibri" w:cs="Calibri"/>
                <w:color w:val="000000"/>
              </w:rPr>
              <w:t>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4AE3B" w14:textId="4EA77ACA" w:rsidR="007D5F66" w:rsidRPr="007F5F46" w:rsidRDefault="007D5F66" w:rsidP="004475DA">
            <w:pPr>
              <w:jc w:val="right"/>
              <w:rPr>
                <w:color w:val="000000"/>
              </w:rPr>
            </w:pPr>
            <w:r w:rsidRPr="002824DF">
              <w:rPr>
                <w:rFonts w:ascii="Calibri" w:eastAsia="PMingLiU" w:hAnsi="Calibri" w:cs="Calibri"/>
                <w:color w:val="000000"/>
              </w:rPr>
              <w:t>0.0%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65E59B64" w14:textId="50C8E7A8"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87452A" w14:textId="6680C565"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0.0%</w:t>
            </w:r>
          </w:p>
        </w:tc>
      </w:tr>
      <w:tr w:rsidR="007D5F66" w:rsidRPr="000E4BF2" w14:paraId="389F6E7A" w14:textId="33C52E5E" w:rsidTr="00186790">
        <w:trPr>
          <w:cantSplit/>
          <w:trHeight w:val="310"/>
          <w:jc w:val="center"/>
        </w:trPr>
        <w:tc>
          <w:tcPr>
            <w:tcW w:w="3610" w:type="dxa"/>
            <w:tcBorders>
              <w:bottom w:val="single" w:sz="4" w:space="0" w:color="auto"/>
            </w:tcBorders>
            <w:shd w:val="clear" w:color="auto" w:fill="auto"/>
            <w:noWrap/>
            <w:vAlign w:val="center"/>
          </w:tcPr>
          <w:p w14:paraId="7C53B677" w14:textId="5001BF88" w:rsidR="007D5F66" w:rsidRPr="007F5F46" w:rsidRDefault="007D5F66" w:rsidP="004475DA">
            <w:pPr>
              <w:rPr>
                <w:color w:val="000000"/>
              </w:rPr>
            </w:pPr>
            <w:r w:rsidRPr="007F5F46">
              <w:br w:type="page"/>
            </w:r>
            <w:r w:rsidRPr="007F5F46">
              <w:rPr>
                <w:b/>
                <w:bCs/>
                <w:color w:val="000000"/>
              </w:rPr>
              <w:t>Race/Ethnicity*</w:t>
            </w:r>
          </w:p>
        </w:tc>
        <w:tc>
          <w:tcPr>
            <w:tcW w:w="900" w:type="dxa"/>
            <w:tcBorders>
              <w:bottom w:val="single" w:sz="4" w:space="0" w:color="auto"/>
            </w:tcBorders>
            <w:shd w:val="clear" w:color="auto" w:fill="auto"/>
            <w:noWrap/>
            <w:vAlign w:val="center"/>
          </w:tcPr>
          <w:p w14:paraId="328BF90E" w14:textId="4D3A24EA" w:rsidR="007D5F66" w:rsidRPr="007F5F46" w:rsidRDefault="007D5F66" w:rsidP="004475DA">
            <w:pPr>
              <w:jc w:val="right"/>
              <w:rPr>
                <w:color w:val="000000"/>
              </w:rPr>
            </w:pPr>
          </w:p>
        </w:tc>
        <w:tc>
          <w:tcPr>
            <w:tcW w:w="900" w:type="dxa"/>
            <w:tcBorders>
              <w:bottom w:val="single" w:sz="4" w:space="0" w:color="auto"/>
            </w:tcBorders>
            <w:shd w:val="clear" w:color="auto" w:fill="auto"/>
            <w:noWrap/>
            <w:vAlign w:val="center"/>
          </w:tcPr>
          <w:p w14:paraId="3EDE5172" w14:textId="14098B85" w:rsidR="007D5F66" w:rsidRPr="007F5F46" w:rsidRDefault="007D5F66" w:rsidP="004475DA">
            <w:pPr>
              <w:jc w:val="right"/>
              <w:rPr>
                <w:color w:val="000000"/>
              </w:rPr>
            </w:pPr>
          </w:p>
        </w:tc>
        <w:tc>
          <w:tcPr>
            <w:tcW w:w="981" w:type="dxa"/>
            <w:tcBorders>
              <w:top w:val="single" w:sz="4" w:space="0" w:color="auto"/>
              <w:left w:val="single" w:sz="4" w:space="0" w:color="auto"/>
              <w:bottom w:val="single" w:sz="4" w:space="0" w:color="auto"/>
              <w:right w:val="single" w:sz="4" w:space="0" w:color="auto"/>
            </w:tcBorders>
          </w:tcPr>
          <w:p w14:paraId="2E908ADD" w14:textId="77777777" w:rsidR="007D5F66" w:rsidRPr="00202055" w:rsidRDefault="007D5F66" w:rsidP="00202055">
            <w:pPr>
              <w:jc w:val="right"/>
            </w:pPr>
          </w:p>
        </w:tc>
        <w:tc>
          <w:tcPr>
            <w:tcW w:w="1080" w:type="dxa"/>
            <w:tcBorders>
              <w:top w:val="single" w:sz="4" w:space="0" w:color="auto"/>
              <w:left w:val="single" w:sz="4" w:space="0" w:color="auto"/>
              <w:bottom w:val="single" w:sz="4" w:space="0" w:color="auto"/>
              <w:right w:val="single" w:sz="4" w:space="0" w:color="auto"/>
            </w:tcBorders>
          </w:tcPr>
          <w:p w14:paraId="7A2C1B65" w14:textId="77777777" w:rsidR="007D5F66" w:rsidRPr="00202055" w:rsidRDefault="007D5F66" w:rsidP="00202055">
            <w:pPr>
              <w:jc w:val="right"/>
            </w:pPr>
          </w:p>
        </w:tc>
      </w:tr>
      <w:tr w:rsidR="007D5F66" w:rsidRPr="000E4BF2" w14:paraId="211C070F" w14:textId="4FCD39FC" w:rsidTr="00186790">
        <w:trPr>
          <w:cantSplit/>
          <w:trHeight w:val="269"/>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D7744" w14:textId="75C4C641" w:rsidR="007D5F66" w:rsidRPr="007E5934" w:rsidRDefault="007D5F66" w:rsidP="00186790">
            <w:pPr>
              <w:rPr>
                <w:color w:val="000000"/>
              </w:rPr>
            </w:pPr>
            <w:r w:rsidRPr="007E5934">
              <w:rPr>
                <w:rFonts w:ascii="Calibri" w:eastAsia="Times New Roman" w:hAnsi="Calibri" w:cs="Calibri"/>
                <w:color w:val="000000"/>
              </w:rPr>
              <w:t>American Indian or Alaska Native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55248" w14:textId="49F26E8E" w:rsidR="007D5F66" w:rsidRPr="00C32D32" w:rsidRDefault="007D5F66" w:rsidP="00D46E0F">
            <w:pPr>
              <w:jc w:val="right"/>
              <w:rPr>
                <w:b/>
                <w:bCs/>
                <w:color w:val="000000"/>
              </w:rPr>
            </w:pPr>
            <w:r w:rsidRPr="00C32D32">
              <w:rPr>
                <w:rFonts w:ascii="Calibri" w:eastAsia="PMingLiU" w:hAnsi="Calibri" w:cs="Calibri"/>
                <w:color w:val="000000"/>
              </w:rPr>
              <w:t>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2612F" w14:textId="7B2D0332" w:rsidR="007D5F66" w:rsidRPr="00C32D32" w:rsidRDefault="007D5F66" w:rsidP="00D46E0F">
            <w:pPr>
              <w:jc w:val="right"/>
              <w:rPr>
                <w:b/>
                <w:bCs/>
                <w:color w:val="000000"/>
              </w:rPr>
            </w:pPr>
            <w:r w:rsidRPr="00C32D32">
              <w:rPr>
                <w:rFonts w:ascii="Calibri" w:eastAsia="PMingLiU" w:hAnsi="Calibri" w:cs="Calibri"/>
                <w:color w:val="000000"/>
              </w:rPr>
              <w:t>0.3%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F366652" w14:textId="1D92249D"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000F3D" w14:textId="5994104C"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0.1%</w:t>
            </w:r>
          </w:p>
        </w:tc>
      </w:tr>
      <w:tr w:rsidR="007D5F66" w:rsidRPr="000E4BF2" w14:paraId="11DBECEF" w14:textId="33B273C5"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DFF5B" w14:textId="49050FDD" w:rsidR="007D5F66" w:rsidRPr="007E5934" w:rsidRDefault="007D5F66" w:rsidP="00186790">
            <w:pPr>
              <w:rPr>
                <w:b/>
                <w:bCs/>
                <w:color w:val="000000"/>
              </w:rPr>
            </w:pPr>
            <w:bookmarkStart w:id="28" w:name="_Hlk106876141"/>
            <w:r w:rsidRPr="007E5934">
              <w:rPr>
                <w:rFonts w:ascii="Calibri" w:eastAsia="Times New Roman" w:hAnsi="Calibri" w:cs="Calibri"/>
                <w:color w:val="000000"/>
              </w:rPr>
              <w:t>Asian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A395F" w14:textId="7488291B" w:rsidR="007D5F66" w:rsidRPr="00C32D32" w:rsidRDefault="007D5F66" w:rsidP="00D46E0F">
            <w:pPr>
              <w:jc w:val="right"/>
              <w:rPr>
                <w:b/>
                <w:bCs/>
                <w:color w:val="000000"/>
              </w:rPr>
            </w:pPr>
            <w:r w:rsidRPr="00C32D32">
              <w:rPr>
                <w:rFonts w:ascii="Calibri" w:eastAsia="PMingLiU" w:hAnsi="Calibri" w:cs="Calibri"/>
                <w:color w:val="000000"/>
              </w:rPr>
              <w:t>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7E042" w14:textId="08E09C90" w:rsidR="007D5F66" w:rsidRPr="00C32D32" w:rsidRDefault="007D5F66" w:rsidP="00D46E0F">
            <w:pPr>
              <w:jc w:val="right"/>
              <w:rPr>
                <w:b/>
                <w:bCs/>
                <w:color w:val="000000"/>
              </w:rPr>
            </w:pPr>
            <w:r w:rsidRPr="00C32D32">
              <w:rPr>
                <w:rFonts w:ascii="Calibri" w:eastAsia="PMingLiU" w:hAnsi="Calibri" w:cs="Calibri"/>
                <w:color w:val="000000"/>
              </w:rPr>
              <w:t>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60102CFF" w14:textId="0A936A2A"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79B2A12" w14:textId="20422760"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2.8%</w:t>
            </w:r>
          </w:p>
        </w:tc>
      </w:tr>
      <w:bookmarkEnd w:id="28"/>
      <w:tr w:rsidR="007D5F66" w:rsidRPr="000E4BF2" w14:paraId="4A63E843" w14:textId="0E5AE322"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4120" w14:textId="105B53E5" w:rsidR="007D5F66" w:rsidRPr="007E5934" w:rsidRDefault="007D5F66" w:rsidP="00186790">
            <w:pPr>
              <w:rPr>
                <w:color w:val="000000"/>
              </w:rPr>
            </w:pPr>
            <w:r w:rsidRPr="007E5934">
              <w:rPr>
                <w:rFonts w:ascii="Calibri" w:eastAsia="Times New Roman" w:hAnsi="Calibri" w:cs="Calibri"/>
                <w:color w:val="000000"/>
              </w:rPr>
              <w:t>Black or African American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83A39" w14:textId="269DEF37" w:rsidR="007D5F66" w:rsidRPr="00C32D32" w:rsidRDefault="007D5F66" w:rsidP="00D46E0F">
            <w:pPr>
              <w:jc w:val="right"/>
              <w:rPr>
                <w:color w:val="000000"/>
              </w:rPr>
            </w:pPr>
            <w:r w:rsidRPr="00C32D32">
              <w:rPr>
                <w:rFonts w:ascii="Calibri" w:eastAsia="PMingLiU" w:hAnsi="Calibri" w:cs="Calibri"/>
                <w:color w:val="000000"/>
              </w:rPr>
              <w:t>6.5%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E6F21" w14:textId="2BE2FC7B" w:rsidR="007D5F66" w:rsidRPr="00C32D32" w:rsidRDefault="007D5F66" w:rsidP="00D46E0F">
            <w:pPr>
              <w:jc w:val="right"/>
              <w:rPr>
                <w:color w:val="000000"/>
              </w:rPr>
            </w:pPr>
            <w:r w:rsidRPr="00C32D32">
              <w:rPr>
                <w:rFonts w:ascii="Calibri" w:eastAsia="PMingLiU" w:hAnsi="Calibri" w:cs="Calibri"/>
                <w:color w:val="000000"/>
              </w:rPr>
              <w:t>6.8%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FC835DD" w14:textId="545C798A"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EC7470F" w14:textId="24ED59B4"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1.7%</w:t>
            </w:r>
          </w:p>
        </w:tc>
      </w:tr>
      <w:tr w:rsidR="007D5F66" w:rsidRPr="000E4BF2" w14:paraId="55EB86E0" w14:textId="1DD24C75"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2189" w14:textId="26D6B068" w:rsidR="007D5F66" w:rsidRPr="007E5934" w:rsidRDefault="007D5F66" w:rsidP="00186790">
            <w:pPr>
              <w:rPr>
                <w:color w:val="000000"/>
              </w:rPr>
            </w:pPr>
            <w:r w:rsidRPr="007E5934">
              <w:rPr>
                <w:rFonts w:ascii="Calibri" w:eastAsia="Times New Roman" w:hAnsi="Calibri" w:cs="Calibri"/>
                <w:color w:val="000000"/>
              </w:rPr>
              <w:t>Declined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D84C0" w14:textId="13EED4F2" w:rsidR="007D5F66" w:rsidRPr="00C32D32" w:rsidRDefault="007D5F66" w:rsidP="00D46E0F">
            <w:pPr>
              <w:jc w:val="right"/>
              <w:rPr>
                <w:color w:val="000000"/>
              </w:rPr>
            </w:pPr>
            <w:r w:rsidRPr="00C32D32">
              <w:rPr>
                <w:rFonts w:ascii="Calibri" w:eastAsia="PMingLiU" w:hAnsi="Calibri" w:cs="Calibri"/>
                <w:color w:val="000000"/>
              </w:rPr>
              <w:t>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A7685" w14:textId="3DFCCF0E" w:rsidR="007D5F66" w:rsidRPr="00C32D32" w:rsidRDefault="007D5F66" w:rsidP="00D46E0F">
            <w:pPr>
              <w:jc w:val="right"/>
              <w:rPr>
                <w:color w:val="000000"/>
              </w:rPr>
            </w:pPr>
            <w:r w:rsidRPr="00C32D32">
              <w:rPr>
                <w:rFonts w:ascii="Calibri" w:eastAsia="PMingLiU" w:hAnsi="Calibri" w:cs="Calibri"/>
                <w:color w:val="000000"/>
              </w:rPr>
              <w:t>1.0%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CBF44E" w14:textId="7AAF8A61"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66818F8" w14:textId="40972156"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0.3%</w:t>
            </w:r>
          </w:p>
        </w:tc>
      </w:tr>
      <w:tr w:rsidR="007D5F66" w:rsidRPr="000E4BF2" w14:paraId="067524F3" w14:textId="564DC6C0"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222CE" w14:textId="79879E8C" w:rsidR="007D5F66" w:rsidRPr="007E5934" w:rsidRDefault="007D5F66" w:rsidP="00186790">
            <w:pPr>
              <w:rPr>
                <w:color w:val="000000"/>
              </w:rPr>
            </w:pPr>
            <w:r w:rsidRPr="007E5934">
              <w:rPr>
                <w:rFonts w:ascii="Calibri" w:eastAsia="Times New Roman" w:hAnsi="Calibri" w:cs="Calibri"/>
                <w:color w:val="000000"/>
              </w:rPr>
              <w:t>Multi Racial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E141A" w14:textId="4C6BF1B9" w:rsidR="007D5F66" w:rsidRPr="00C32D32" w:rsidRDefault="007D5F66" w:rsidP="00D46E0F">
            <w:pPr>
              <w:jc w:val="right"/>
              <w:rPr>
                <w:color w:val="000000"/>
              </w:rPr>
            </w:pPr>
            <w:r w:rsidRPr="00C32D32">
              <w:rPr>
                <w:rFonts w:ascii="Calibri" w:eastAsia="PMingLiU" w:hAnsi="Calibri" w:cs="Calibri"/>
                <w:color w:val="000000"/>
              </w:rPr>
              <w:t>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5E610" w14:textId="26A013CB" w:rsidR="007D5F66" w:rsidRPr="00C32D32" w:rsidRDefault="007D5F66" w:rsidP="00D46E0F">
            <w:pPr>
              <w:jc w:val="right"/>
              <w:rPr>
                <w:color w:val="000000"/>
              </w:rPr>
            </w:pPr>
            <w:r w:rsidRPr="00C32D32">
              <w:rPr>
                <w:rFonts w:ascii="Calibri" w:eastAsia="PMingLiU" w:hAnsi="Calibri" w:cs="Calibri"/>
                <w:color w:val="000000"/>
              </w:rPr>
              <w:t>0.0%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CE9E14" w14:textId="3B5CB6FB"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1930F14" w14:textId="00E6BD02"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0.0%</w:t>
            </w:r>
          </w:p>
        </w:tc>
      </w:tr>
      <w:tr w:rsidR="007D5F66" w:rsidRPr="000E4BF2" w14:paraId="213AC5EA" w14:textId="374A7B7F"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74263" w14:textId="792FEC0D" w:rsidR="007D5F66" w:rsidRPr="007E5934" w:rsidRDefault="007D5F66" w:rsidP="00186790">
            <w:pPr>
              <w:rPr>
                <w:color w:val="000000"/>
              </w:rPr>
            </w:pPr>
            <w:r w:rsidRPr="007E5934">
              <w:rPr>
                <w:rFonts w:ascii="Calibri" w:eastAsia="Times New Roman" w:hAnsi="Calibri" w:cs="Calibri"/>
                <w:color w:val="000000"/>
              </w:rPr>
              <w:t>Native Hawaiian or Pacific Islander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AAE13" w14:textId="64252DAE" w:rsidR="007D5F66" w:rsidRPr="00C32D32" w:rsidRDefault="007D5F66" w:rsidP="00D46E0F">
            <w:pPr>
              <w:jc w:val="right"/>
              <w:rPr>
                <w:color w:val="000000"/>
              </w:rPr>
            </w:pPr>
            <w:r w:rsidRPr="00C32D32">
              <w:rPr>
                <w:rFonts w:ascii="Calibri" w:eastAsia="PMingLiU" w:hAnsi="Calibri" w:cs="Calibri"/>
                <w:color w:val="000000"/>
              </w:rPr>
              <w:t>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4EE23" w14:textId="66242610" w:rsidR="007D5F66" w:rsidRPr="00C32D32" w:rsidRDefault="007D5F66" w:rsidP="00D46E0F">
            <w:pPr>
              <w:jc w:val="right"/>
              <w:rPr>
                <w:color w:val="000000"/>
              </w:rPr>
            </w:pPr>
            <w:r w:rsidRPr="00C32D32">
              <w:rPr>
                <w:rFonts w:ascii="Calibri" w:eastAsia="PMingLiU" w:hAnsi="Calibri" w:cs="Calibri"/>
                <w:color w:val="000000"/>
              </w:rPr>
              <w:t>0.1%</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F709027" w14:textId="6EE48BE1"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C56F9EA" w14:textId="2EEDA442"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0.1%</w:t>
            </w:r>
          </w:p>
        </w:tc>
      </w:tr>
      <w:tr w:rsidR="007D5F66" w:rsidRPr="000E4BF2" w14:paraId="61C04BC1" w14:textId="2A90E47B"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75661" w14:textId="3FEF6222" w:rsidR="007D5F66" w:rsidRPr="007E5934" w:rsidRDefault="007D5F66" w:rsidP="00186790">
            <w:pPr>
              <w:rPr>
                <w:color w:val="000000"/>
              </w:rPr>
            </w:pPr>
            <w:r w:rsidRPr="007E5934">
              <w:rPr>
                <w:rFonts w:ascii="Calibri" w:eastAsia="Times New Roman" w:hAnsi="Calibri" w:cs="Calibri"/>
                <w:color w:val="000000"/>
              </w:rPr>
              <w:t>Other/Unknown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9C62C" w14:textId="01566680" w:rsidR="007D5F66" w:rsidRPr="00C32D32" w:rsidRDefault="007D5F66" w:rsidP="00D46E0F">
            <w:pPr>
              <w:jc w:val="right"/>
              <w:rPr>
                <w:color w:val="000000"/>
              </w:rPr>
            </w:pPr>
            <w:r w:rsidRPr="00C32D32">
              <w:rPr>
                <w:rFonts w:ascii="Calibri" w:eastAsia="PMingLiU" w:hAnsi="Calibri" w:cs="Calibri"/>
                <w:color w:val="000000"/>
              </w:rPr>
              <w:t>14.5%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42DED" w14:textId="13D5336B" w:rsidR="007D5F66" w:rsidRPr="00C32D32" w:rsidRDefault="007D5F66" w:rsidP="00D46E0F">
            <w:pPr>
              <w:jc w:val="right"/>
              <w:rPr>
                <w:color w:val="000000"/>
              </w:rPr>
            </w:pPr>
            <w:r w:rsidRPr="00C32D32">
              <w:rPr>
                <w:rFonts w:ascii="Calibri" w:eastAsia="PMingLiU" w:hAnsi="Calibri" w:cs="Calibri"/>
                <w:color w:val="000000"/>
              </w:rPr>
              <w:t>14.9%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39A0F0A" w14:textId="50D728A1"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83FA9A2" w14:textId="6DC34A19"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10.8%</w:t>
            </w:r>
          </w:p>
        </w:tc>
      </w:tr>
      <w:tr w:rsidR="007D5F66" w:rsidRPr="000E4BF2" w14:paraId="5DFA323C" w14:textId="3127B9E7"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0315" w14:textId="2812171F" w:rsidR="007D5F66" w:rsidRPr="007E5934" w:rsidRDefault="007D5F66" w:rsidP="00186790">
            <w:pPr>
              <w:rPr>
                <w:color w:val="000000"/>
              </w:rPr>
            </w:pPr>
            <w:r w:rsidRPr="007E5934">
              <w:rPr>
                <w:rFonts w:ascii="Calibri" w:eastAsia="Times New Roman" w:hAnsi="Calibri" w:cs="Calibri"/>
                <w:color w:val="000000"/>
              </w:rPr>
              <w:t>White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DF98B" w14:textId="6AA6DA65" w:rsidR="007D5F66" w:rsidRPr="00C32D32" w:rsidRDefault="007D5F66" w:rsidP="00D46E0F">
            <w:pPr>
              <w:jc w:val="right"/>
              <w:rPr>
                <w:color w:val="000000"/>
              </w:rPr>
            </w:pPr>
            <w:r w:rsidRPr="00C32D32">
              <w:rPr>
                <w:rFonts w:ascii="Calibri" w:eastAsia="PMingLiU" w:hAnsi="Calibri" w:cs="Calibri"/>
                <w:color w:val="000000"/>
              </w:rPr>
              <w:t>73.9%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B3D30" w14:textId="75225028" w:rsidR="007D5F66" w:rsidRPr="00C32D32" w:rsidRDefault="007D5F66" w:rsidP="00D46E0F">
            <w:pPr>
              <w:jc w:val="right"/>
              <w:rPr>
                <w:color w:val="000000"/>
              </w:rPr>
            </w:pPr>
            <w:r w:rsidRPr="00C32D32">
              <w:rPr>
                <w:rFonts w:ascii="Calibri" w:eastAsia="PMingLiU" w:hAnsi="Calibri" w:cs="Calibri"/>
                <w:color w:val="000000"/>
              </w:rPr>
              <w:t>73.0%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C139587" w14:textId="693E85EC"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84.9%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65C483D" w14:textId="77FE896B"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84.2%</w:t>
            </w:r>
          </w:p>
        </w:tc>
      </w:tr>
      <w:tr w:rsidR="007D5F66" w:rsidRPr="000E4BF2" w14:paraId="73CB9708" w14:textId="7EBEC1A6" w:rsidTr="00186790">
        <w:trPr>
          <w:cantSplit/>
          <w:trHeight w:val="310"/>
          <w:jc w:val="center"/>
        </w:trPr>
        <w:tc>
          <w:tcPr>
            <w:tcW w:w="3610" w:type="dxa"/>
            <w:tcBorders>
              <w:top w:val="single" w:sz="4" w:space="0" w:color="auto"/>
              <w:bottom w:val="single" w:sz="4" w:space="0" w:color="auto"/>
            </w:tcBorders>
            <w:shd w:val="clear" w:color="auto" w:fill="auto"/>
            <w:noWrap/>
            <w:vAlign w:val="center"/>
          </w:tcPr>
          <w:p w14:paraId="1A398D5C" w14:textId="5AE9B895" w:rsidR="007D5F66" w:rsidRPr="00BD5F6D" w:rsidRDefault="007D5F66" w:rsidP="00D46E0F">
            <w:pPr>
              <w:rPr>
                <w:b/>
                <w:bCs/>
                <w:color w:val="000000"/>
              </w:rPr>
            </w:pPr>
            <w:r w:rsidRPr="00BD5F6D">
              <w:rPr>
                <w:b/>
                <w:bCs/>
                <w:color w:val="000000"/>
              </w:rPr>
              <w:t>Patient Origin</w:t>
            </w:r>
            <w:r>
              <w:rPr>
                <w:rStyle w:val="FootnoteReference"/>
                <w:b/>
                <w:bCs/>
                <w:color w:val="000000"/>
              </w:rPr>
              <w:footnoteReference w:id="6"/>
            </w:r>
          </w:p>
        </w:tc>
        <w:tc>
          <w:tcPr>
            <w:tcW w:w="900" w:type="dxa"/>
            <w:tcBorders>
              <w:top w:val="single" w:sz="4" w:space="0" w:color="auto"/>
              <w:bottom w:val="single" w:sz="4" w:space="0" w:color="auto"/>
            </w:tcBorders>
            <w:shd w:val="clear" w:color="auto" w:fill="auto"/>
            <w:noWrap/>
            <w:vAlign w:val="center"/>
          </w:tcPr>
          <w:p w14:paraId="2CF0C197" w14:textId="77777777" w:rsidR="007D5F66" w:rsidRPr="007F5F46" w:rsidRDefault="007D5F66" w:rsidP="00D46E0F">
            <w:pPr>
              <w:rPr>
                <w:b/>
                <w:bCs/>
                <w:color w:val="000000"/>
              </w:rPr>
            </w:pPr>
          </w:p>
        </w:tc>
        <w:tc>
          <w:tcPr>
            <w:tcW w:w="900" w:type="dxa"/>
            <w:tcBorders>
              <w:top w:val="single" w:sz="4" w:space="0" w:color="auto"/>
              <w:bottom w:val="single" w:sz="4" w:space="0" w:color="auto"/>
            </w:tcBorders>
            <w:shd w:val="clear" w:color="auto" w:fill="auto"/>
            <w:noWrap/>
            <w:vAlign w:val="center"/>
          </w:tcPr>
          <w:p w14:paraId="2B3F760E" w14:textId="77777777" w:rsidR="007D5F66" w:rsidRPr="007F5F46" w:rsidRDefault="007D5F66" w:rsidP="00D46E0F">
            <w:pPr>
              <w:rPr>
                <w:b/>
                <w:bCs/>
                <w:color w:val="000000"/>
              </w:rPr>
            </w:pPr>
          </w:p>
        </w:tc>
        <w:tc>
          <w:tcPr>
            <w:tcW w:w="981" w:type="dxa"/>
            <w:tcBorders>
              <w:top w:val="single" w:sz="4" w:space="0" w:color="auto"/>
              <w:left w:val="single" w:sz="4" w:space="0" w:color="auto"/>
              <w:bottom w:val="single" w:sz="4" w:space="0" w:color="auto"/>
              <w:right w:val="single" w:sz="4" w:space="0" w:color="auto"/>
            </w:tcBorders>
          </w:tcPr>
          <w:p w14:paraId="7717E740" w14:textId="77777777" w:rsidR="007D5F66" w:rsidRPr="00202055" w:rsidRDefault="007D5F66" w:rsidP="00202055">
            <w:pPr>
              <w:jc w:val="right"/>
              <w:rPr>
                <w:b/>
                <w:bCs/>
              </w:rPr>
            </w:pPr>
          </w:p>
        </w:tc>
        <w:tc>
          <w:tcPr>
            <w:tcW w:w="1080" w:type="dxa"/>
            <w:tcBorders>
              <w:top w:val="single" w:sz="4" w:space="0" w:color="auto"/>
              <w:left w:val="single" w:sz="4" w:space="0" w:color="auto"/>
              <w:bottom w:val="single" w:sz="4" w:space="0" w:color="auto"/>
              <w:right w:val="single" w:sz="4" w:space="0" w:color="auto"/>
            </w:tcBorders>
          </w:tcPr>
          <w:p w14:paraId="6B0F7C75" w14:textId="77777777" w:rsidR="007D5F66" w:rsidRPr="00202055" w:rsidRDefault="007D5F66" w:rsidP="00202055">
            <w:pPr>
              <w:jc w:val="right"/>
              <w:rPr>
                <w:b/>
                <w:bCs/>
              </w:rPr>
            </w:pPr>
          </w:p>
        </w:tc>
      </w:tr>
      <w:tr w:rsidR="007D5F66" w:rsidRPr="000E4BF2" w14:paraId="5BBF0977" w14:textId="0D49E821"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60036" w14:textId="7D251EB7" w:rsidR="007D5F66" w:rsidRPr="00101EAD" w:rsidRDefault="007D5F66" w:rsidP="00202055">
            <w:pPr>
              <w:rPr>
                <w:b/>
                <w:bCs/>
                <w:color w:val="000000"/>
              </w:rPr>
            </w:pPr>
            <w:r w:rsidRPr="00101EAD">
              <w:rPr>
                <w:rFonts w:ascii="Calibri" w:eastAsia="Times New Roman" w:hAnsi="Calibri" w:cs="Calibri"/>
                <w:color w:val="000000"/>
              </w:rPr>
              <w:t>Central Mass</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E22FE57" w14:textId="1658ED65" w:rsidR="007D5F66" w:rsidRPr="000E4A2C" w:rsidRDefault="007D5F66" w:rsidP="00202055">
            <w:pPr>
              <w:jc w:val="right"/>
              <w:rPr>
                <w:b/>
                <w:bCs/>
                <w:color w:val="000000"/>
              </w:rPr>
            </w:pPr>
            <w:r w:rsidRPr="000E4A2C">
              <w:rPr>
                <w:rFonts w:ascii="Calibri" w:eastAsia="PMingLiU" w:hAnsi="Calibri" w:cs="Calibri"/>
                <w:color w:val="000000"/>
              </w:rPr>
              <w:t>89.8%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450EF" w14:textId="7E535B65" w:rsidR="007D5F66" w:rsidRPr="000E4A2C" w:rsidRDefault="007D5F66" w:rsidP="00202055">
            <w:pPr>
              <w:jc w:val="right"/>
              <w:rPr>
                <w:b/>
                <w:bCs/>
                <w:color w:val="000000"/>
              </w:rPr>
            </w:pPr>
            <w:r w:rsidRPr="000E4A2C">
              <w:rPr>
                <w:rFonts w:ascii="Calibri" w:eastAsia="PMingLiU" w:hAnsi="Calibri" w:cs="Calibri"/>
                <w:color w:val="000000"/>
              </w:rPr>
              <w:t>90.3%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675AE931" w14:textId="0B12924A"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57.9%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B0E747" w14:textId="5395BF51"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58.5%</w:t>
            </w:r>
          </w:p>
        </w:tc>
      </w:tr>
      <w:tr w:rsidR="007D5F66" w:rsidRPr="000E4BF2" w14:paraId="4BDEDB59" w14:textId="520A4AA8"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AFEA2" w14:textId="14184AAB" w:rsidR="007D5F66" w:rsidRPr="00101EAD" w:rsidRDefault="007D5F66" w:rsidP="00202055">
            <w:pPr>
              <w:rPr>
                <w:color w:val="000000"/>
              </w:rPr>
            </w:pPr>
            <w:r w:rsidRPr="00101EAD">
              <w:rPr>
                <w:rFonts w:ascii="Calibri" w:eastAsia="Times New Roman" w:hAnsi="Calibri" w:cs="Calibri"/>
                <w:color w:val="000000"/>
              </w:rPr>
              <w:t>Eastern Mass</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6775FA" w14:textId="6C980AD0" w:rsidR="007D5F66" w:rsidRPr="000E4A2C" w:rsidRDefault="007D5F66" w:rsidP="00202055">
            <w:pPr>
              <w:jc w:val="right"/>
              <w:rPr>
                <w:color w:val="000000"/>
              </w:rPr>
            </w:pPr>
            <w:r w:rsidRPr="000E4A2C">
              <w:rPr>
                <w:rFonts w:ascii="Calibri" w:eastAsia="PMingLiU" w:hAnsi="Calibri" w:cs="Calibri"/>
                <w:color w:val="000000"/>
              </w:rPr>
              <w:t>4.1%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5CB96" w14:textId="5EE62082" w:rsidR="007D5F66" w:rsidRPr="000E4A2C" w:rsidRDefault="007D5F66" w:rsidP="00202055">
            <w:pPr>
              <w:jc w:val="right"/>
              <w:rPr>
                <w:color w:val="000000"/>
              </w:rPr>
            </w:pPr>
            <w:r w:rsidRPr="000E4A2C">
              <w:rPr>
                <w:rFonts w:ascii="Calibri" w:eastAsia="PMingLiU" w:hAnsi="Calibri" w:cs="Calibri"/>
                <w:color w:val="000000"/>
              </w:rPr>
              <w:t>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6FDEDFCD" w14:textId="6282D5A1"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37.0%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43CB455" w14:textId="32D95AA5"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36.8%</w:t>
            </w:r>
          </w:p>
        </w:tc>
      </w:tr>
      <w:tr w:rsidR="007D5F66" w:rsidRPr="000E4BF2" w14:paraId="3399069C" w14:textId="5345FFFA"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1BDAC" w14:textId="02F54317" w:rsidR="007D5F66" w:rsidRPr="00101EAD" w:rsidRDefault="007D5F66" w:rsidP="00202055">
            <w:pPr>
              <w:rPr>
                <w:color w:val="000000"/>
              </w:rPr>
            </w:pPr>
            <w:r w:rsidRPr="00101EAD">
              <w:rPr>
                <w:rFonts w:ascii="Calibri" w:eastAsia="Times New Roman" w:hAnsi="Calibri" w:cs="Calibri"/>
                <w:color w:val="000000"/>
              </w:rPr>
              <w:t>Western Mass</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5264F3E" w14:textId="1FE3C693" w:rsidR="007D5F66" w:rsidRPr="000E4A2C" w:rsidRDefault="007D5F66" w:rsidP="00202055">
            <w:pPr>
              <w:jc w:val="right"/>
              <w:rPr>
                <w:color w:val="000000"/>
              </w:rPr>
            </w:pPr>
            <w:r w:rsidRPr="000E4A2C">
              <w:rPr>
                <w:rFonts w:ascii="Calibri" w:eastAsia="PMingLiU" w:hAnsi="Calibri" w:cs="Calibri"/>
                <w:color w:val="000000"/>
              </w:rPr>
              <w:t>2.4%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ADC9C" w14:textId="3D7A0DF1" w:rsidR="007D5F66" w:rsidRPr="000E4A2C" w:rsidRDefault="007D5F66" w:rsidP="00202055">
            <w:pPr>
              <w:jc w:val="right"/>
              <w:rPr>
                <w:color w:val="000000"/>
              </w:rPr>
            </w:pPr>
            <w:r w:rsidRPr="000E4A2C">
              <w:rPr>
                <w:rFonts w:ascii="Calibri" w:eastAsia="PMingLiU" w:hAnsi="Calibri" w:cs="Calibri"/>
                <w:color w:val="000000"/>
              </w:rPr>
              <w:t>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F7A0917" w14:textId="504A7CE5"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7BB8714" w14:textId="57774C13"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0.2%</w:t>
            </w:r>
          </w:p>
        </w:tc>
      </w:tr>
      <w:tr w:rsidR="007D5F66" w:rsidRPr="000E4BF2" w14:paraId="18119E5E" w14:textId="184F7218" w:rsidTr="00186790">
        <w:trPr>
          <w:cantSplit/>
          <w:trHeight w:val="310"/>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F7075" w14:textId="161B68FA" w:rsidR="007D5F66" w:rsidRPr="00101EAD" w:rsidRDefault="007D5F66" w:rsidP="00202055">
            <w:pPr>
              <w:rPr>
                <w:color w:val="000000"/>
              </w:rPr>
            </w:pPr>
            <w:r w:rsidRPr="00101EAD">
              <w:rPr>
                <w:rFonts w:ascii="Calibri" w:eastAsia="Times New Roman" w:hAnsi="Calibri" w:cs="Calibri"/>
                <w:color w:val="000000"/>
              </w:rPr>
              <w:t>Out of State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A9ED8D" w14:textId="0045B65F" w:rsidR="007D5F66" w:rsidRPr="000E4A2C" w:rsidRDefault="007D5F66" w:rsidP="00202055">
            <w:pPr>
              <w:jc w:val="right"/>
              <w:rPr>
                <w:color w:val="000000"/>
              </w:rPr>
            </w:pPr>
            <w:r w:rsidRPr="000E4A2C">
              <w:rPr>
                <w:rFonts w:ascii="Calibri" w:eastAsia="PMingLiU" w:hAnsi="Calibri" w:cs="Calibri"/>
                <w:color w:val="000000"/>
              </w:rPr>
              <w:t>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B2B24" w14:textId="0E75B3EA" w:rsidR="007D5F66" w:rsidRPr="000E4A2C" w:rsidRDefault="007D5F66" w:rsidP="00202055">
            <w:pPr>
              <w:jc w:val="right"/>
              <w:rPr>
                <w:color w:val="000000"/>
              </w:rPr>
            </w:pPr>
            <w:r w:rsidRPr="000E4A2C">
              <w:rPr>
                <w:rFonts w:ascii="Calibri" w:eastAsia="PMingLiU" w:hAnsi="Calibri" w:cs="Calibri"/>
                <w:color w:val="000000"/>
              </w:rPr>
              <w:t>3.4%</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AD8B718" w14:textId="54A63D40"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6F4EC49" w14:textId="16AE5078" w:rsidR="007D5F66" w:rsidRPr="00202055" w:rsidRDefault="007D5F66" w:rsidP="00202055">
            <w:pPr>
              <w:jc w:val="right"/>
              <w:rPr>
                <w:rFonts w:ascii="Calibri" w:eastAsia="PMingLiU" w:hAnsi="Calibri" w:cs="Calibri"/>
                <w:color w:val="000000"/>
              </w:rPr>
            </w:pPr>
            <w:r w:rsidRPr="00202055">
              <w:rPr>
                <w:rFonts w:ascii="Calibri" w:eastAsia="Times New Roman" w:hAnsi="Calibri" w:cs="Calibri"/>
                <w:color w:val="000000"/>
              </w:rPr>
              <w:t>4.6%</w:t>
            </w:r>
          </w:p>
        </w:tc>
      </w:tr>
    </w:tbl>
    <w:p w14:paraId="1439F1BB" w14:textId="77777777" w:rsidR="009C2EAA" w:rsidRDefault="009C2EAA" w:rsidP="007928A3">
      <w:pPr>
        <w:spacing w:after="160" w:line="259" w:lineRule="auto"/>
        <w:rPr>
          <w:rFonts w:ascii="Calibri" w:eastAsia="Calibri" w:hAnsi="Calibri"/>
          <w:b/>
          <w:bCs/>
        </w:rPr>
      </w:pPr>
      <w:bookmarkStart w:id="29" w:name="_9kMIH5YVt4886BFNelS"/>
      <w:bookmarkStart w:id="30" w:name="_Hlk92709500"/>
    </w:p>
    <w:p w14:paraId="44229312" w14:textId="1BC52B8E" w:rsidR="007928A3" w:rsidRPr="00067789" w:rsidRDefault="373FA9E1" w:rsidP="00E347B4">
      <w:pPr>
        <w:spacing w:after="160"/>
        <w:rPr>
          <w:rFonts w:ascii="Calibri" w:eastAsia="Calibri" w:hAnsi="Calibri"/>
        </w:rPr>
      </w:pPr>
      <w:r w:rsidRPr="007928A3">
        <w:rPr>
          <w:rFonts w:ascii="Calibri" w:eastAsia="Calibri" w:hAnsi="Calibri"/>
          <w:b/>
          <w:bCs/>
        </w:rPr>
        <w:t>Gender:</w:t>
      </w:r>
      <w:bookmarkEnd w:id="29"/>
      <w:r w:rsidR="0C24B4E0">
        <w:rPr>
          <w:rFonts w:ascii="Calibri" w:eastAsia="Calibri" w:hAnsi="Calibri"/>
          <w:b/>
          <w:bCs/>
        </w:rPr>
        <w:t xml:space="preserve"> </w:t>
      </w:r>
      <w:r w:rsidR="00067789" w:rsidRPr="00067789">
        <w:rPr>
          <w:rFonts w:ascii="Calibri" w:eastAsia="Calibri" w:hAnsi="Calibri"/>
        </w:rPr>
        <w:t>The UMMHC patient mix during FY21 through FY23 was approximately 56% female and 44% male.</w:t>
      </w:r>
      <w:r w:rsidR="0068307C">
        <w:rPr>
          <w:rFonts w:ascii="Calibri" w:eastAsia="Calibri" w:hAnsi="Calibri"/>
        </w:rPr>
        <w:t xml:space="preserve"> </w:t>
      </w:r>
      <w:r w:rsidR="0068307C" w:rsidRPr="0068307C">
        <w:rPr>
          <w:rFonts w:ascii="Calibri" w:eastAsia="Calibri" w:hAnsi="Calibri"/>
        </w:rPr>
        <w:t>Approximately 57% of the patients served by MRMC are female and approximately 43% are male.</w:t>
      </w:r>
    </w:p>
    <w:p w14:paraId="7D70E417" w14:textId="63798BC8" w:rsidR="007928A3" w:rsidRPr="0068307C" w:rsidRDefault="373FA9E1" w:rsidP="00E347B4">
      <w:pPr>
        <w:spacing w:after="240"/>
        <w:rPr>
          <w:rFonts w:eastAsia="Calibri"/>
        </w:rPr>
      </w:pPr>
      <w:bookmarkStart w:id="31" w:name="_Hlk151731082"/>
      <w:r w:rsidRPr="6CE004FB">
        <w:rPr>
          <w:rFonts w:ascii="Calibri" w:eastAsia="Calibri" w:hAnsi="Calibri" w:cs="Calibri"/>
          <w:b/>
          <w:bCs/>
        </w:rPr>
        <w:t xml:space="preserve">Age: </w:t>
      </w:r>
      <w:r w:rsidR="0068307C" w:rsidRPr="6CE004FB">
        <w:rPr>
          <w:rFonts w:ascii="Calibri" w:eastAsia="Calibri" w:hAnsi="Calibri" w:cs="Calibri"/>
        </w:rPr>
        <w:t xml:space="preserve">Age demographics show that ~59% of </w:t>
      </w:r>
      <w:r w:rsidR="000B526E" w:rsidRPr="6CE004FB">
        <w:rPr>
          <w:rFonts w:ascii="Calibri" w:eastAsia="Calibri" w:hAnsi="Calibri" w:cs="Calibri"/>
        </w:rPr>
        <w:t>UMMHC’s</w:t>
      </w:r>
      <w:r w:rsidR="0068307C" w:rsidRPr="6CE004FB">
        <w:rPr>
          <w:rFonts w:ascii="Calibri" w:eastAsia="Calibri" w:hAnsi="Calibri" w:cs="Calibri"/>
        </w:rPr>
        <w:t xml:space="preserve"> </w:t>
      </w:r>
      <w:r w:rsidR="000B526E" w:rsidRPr="6CE004FB">
        <w:rPr>
          <w:rFonts w:ascii="Calibri" w:eastAsia="Calibri" w:hAnsi="Calibri" w:cs="Calibri"/>
        </w:rPr>
        <w:t xml:space="preserve">patients </w:t>
      </w:r>
      <w:r w:rsidR="0068307C" w:rsidRPr="6CE004FB">
        <w:rPr>
          <w:rFonts w:ascii="Calibri" w:eastAsia="Calibri" w:hAnsi="Calibri" w:cs="Calibri"/>
        </w:rPr>
        <w:t xml:space="preserve">were ages 18-64; </w:t>
      </w:r>
      <w:r w:rsidR="000B526E" w:rsidRPr="6CE004FB">
        <w:rPr>
          <w:rFonts w:ascii="Calibri" w:eastAsia="Calibri" w:hAnsi="Calibri" w:cs="Calibri"/>
        </w:rPr>
        <w:t xml:space="preserve">~ 24.2% were </w:t>
      </w:r>
      <w:r w:rsidR="0068307C" w:rsidRPr="6CE004FB">
        <w:rPr>
          <w:rFonts w:ascii="Calibri" w:eastAsia="Calibri" w:hAnsi="Calibri" w:cs="Calibri"/>
        </w:rPr>
        <w:t>age</w:t>
      </w:r>
      <w:r w:rsidR="000B526E" w:rsidRPr="6CE004FB">
        <w:rPr>
          <w:rFonts w:ascii="Calibri" w:eastAsia="Calibri" w:hAnsi="Calibri" w:cs="Calibri"/>
        </w:rPr>
        <w:t>s</w:t>
      </w:r>
      <w:r w:rsidR="0068307C" w:rsidRPr="6CE004FB">
        <w:rPr>
          <w:rFonts w:ascii="Calibri" w:eastAsia="Calibri" w:hAnsi="Calibri" w:cs="Calibri"/>
        </w:rPr>
        <w:t xml:space="preserve"> 65 and older; ~18% of UMMHC’s patients are aged 0-17. A greater number </w:t>
      </w:r>
      <w:r w:rsidR="3C27BF06" w:rsidRPr="6CE004FB">
        <w:rPr>
          <w:rFonts w:ascii="Calibri" w:eastAsia="Calibri" w:hAnsi="Calibri" w:cs="Calibri"/>
        </w:rPr>
        <w:t xml:space="preserve">(than at UMMHC) </w:t>
      </w:r>
      <w:r w:rsidR="0068307C" w:rsidRPr="6CE004FB">
        <w:rPr>
          <w:rFonts w:ascii="Calibri" w:eastAsia="Calibri" w:hAnsi="Calibri" w:cs="Calibri"/>
        </w:rPr>
        <w:t>of patients cared for by MRMC are 18-64</w:t>
      </w:r>
      <w:r w:rsidR="005F7EA0" w:rsidRPr="6CE004FB">
        <w:rPr>
          <w:rFonts w:ascii="Calibri" w:eastAsia="Calibri" w:hAnsi="Calibri" w:cs="Calibri"/>
        </w:rPr>
        <w:t>, ~</w:t>
      </w:r>
      <w:r w:rsidR="0068307C" w:rsidRPr="6CE004FB">
        <w:rPr>
          <w:rFonts w:ascii="Calibri" w:eastAsia="Calibri" w:hAnsi="Calibri" w:cs="Calibri"/>
        </w:rPr>
        <w:t xml:space="preserve"> 65%</w:t>
      </w:r>
      <w:r w:rsidR="000B526E" w:rsidRPr="6CE004FB">
        <w:rPr>
          <w:rFonts w:ascii="Calibri" w:eastAsia="Calibri" w:hAnsi="Calibri" w:cs="Calibri"/>
        </w:rPr>
        <w:t>;</w:t>
      </w:r>
      <w:r w:rsidR="0068307C" w:rsidRPr="6CE004FB">
        <w:rPr>
          <w:rFonts w:ascii="Calibri" w:eastAsia="Calibri" w:hAnsi="Calibri" w:cs="Calibri"/>
        </w:rPr>
        <w:t xml:space="preserve"> </w:t>
      </w:r>
      <w:r w:rsidR="000B526E" w:rsidRPr="6CE004FB">
        <w:rPr>
          <w:rFonts w:ascii="Calibri" w:eastAsia="Calibri" w:hAnsi="Calibri" w:cs="Calibri"/>
        </w:rPr>
        <w:t>~</w:t>
      </w:r>
      <w:r w:rsidR="0068307C" w:rsidRPr="6CE004FB">
        <w:rPr>
          <w:rFonts w:ascii="Calibri" w:eastAsia="Calibri" w:hAnsi="Calibri" w:cs="Calibri"/>
        </w:rPr>
        <w:t>28% are age 65 and older</w:t>
      </w:r>
      <w:r w:rsidR="1BFBEC8D" w:rsidRPr="6CE004FB">
        <w:rPr>
          <w:rFonts w:ascii="Calibri" w:eastAsia="Calibri" w:hAnsi="Calibri" w:cs="Calibri"/>
        </w:rPr>
        <w:t>;</w:t>
      </w:r>
      <w:r w:rsidR="0068307C" w:rsidRPr="6CE004FB">
        <w:rPr>
          <w:rFonts w:ascii="Calibri" w:eastAsia="Calibri" w:hAnsi="Calibri" w:cs="Calibri"/>
        </w:rPr>
        <w:t xml:space="preserve"> and 7% are aged 0-17.</w:t>
      </w:r>
    </w:p>
    <w:bookmarkEnd w:id="31"/>
    <w:p w14:paraId="6EEB3C4A" w14:textId="38102A3F" w:rsidR="007928A3" w:rsidRPr="005F7EA0" w:rsidRDefault="373FA9E1" w:rsidP="00E347B4">
      <w:pPr>
        <w:spacing w:after="160"/>
        <w:rPr>
          <w:rFonts w:ascii="Calibri" w:eastAsia="Calibri" w:hAnsi="Calibri"/>
        </w:rPr>
      </w:pPr>
      <w:r w:rsidRPr="6F80FCDD">
        <w:rPr>
          <w:rFonts w:ascii="Calibri" w:eastAsia="Calibri" w:hAnsi="Calibri"/>
          <w:b/>
          <w:bCs/>
        </w:rPr>
        <w:t xml:space="preserve">Race: </w:t>
      </w:r>
      <w:bookmarkEnd w:id="30"/>
      <w:r w:rsidR="00186790">
        <w:rPr>
          <w:rFonts w:ascii="Calibri" w:eastAsia="Calibri" w:hAnsi="Calibri"/>
          <w:b/>
          <w:bCs/>
        </w:rPr>
        <w:t>T</w:t>
      </w:r>
      <w:r w:rsidR="005F7EA0">
        <w:rPr>
          <w:rFonts w:ascii="Calibri" w:eastAsia="Calibri" w:hAnsi="Calibri"/>
        </w:rPr>
        <w:t xml:space="preserve">he self-reported </w:t>
      </w:r>
      <w:r w:rsidR="005F7EA0" w:rsidRPr="00067789">
        <w:rPr>
          <w:rFonts w:ascii="Calibri" w:eastAsia="Calibri" w:hAnsi="Calibri"/>
        </w:rPr>
        <w:t xml:space="preserve">UMMHC </w:t>
      </w:r>
      <w:r w:rsidR="005F7EA0">
        <w:rPr>
          <w:rFonts w:ascii="Calibri" w:eastAsia="Calibri" w:hAnsi="Calibri"/>
        </w:rPr>
        <w:t xml:space="preserve">racial mix </w:t>
      </w:r>
      <w:r w:rsidR="005F7EA0" w:rsidRPr="00067789">
        <w:rPr>
          <w:rFonts w:ascii="Calibri" w:eastAsia="Calibri" w:hAnsi="Calibri"/>
        </w:rPr>
        <w:t xml:space="preserve">is </w:t>
      </w:r>
      <w:r w:rsidR="005F7EA0">
        <w:rPr>
          <w:rFonts w:ascii="Calibri" w:eastAsia="Calibri" w:hAnsi="Calibri"/>
        </w:rPr>
        <w:t xml:space="preserve">~73% </w:t>
      </w:r>
      <w:r w:rsidR="005F7EA0" w:rsidRPr="00067789">
        <w:rPr>
          <w:rFonts w:ascii="Calibri" w:eastAsia="Calibri" w:hAnsi="Calibri"/>
        </w:rPr>
        <w:t>white</w:t>
      </w:r>
      <w:r w:rsidR="005F7EA0">
        <w:rPr>
          <w:rFonts w:ascii="Calibri" w:eastAsia="Calibri" w:hAnsi="Calibri"/>
        </w:rPr>
        <w:t>, ~</w:t>
      </w:r>
      <w:r w:rsidR="005F7EA0" w:rsidRPr="00067789">
        <w:rPr>
          <w:rFonts w:ascii="Calibri" w:eastAsia="Calibri" w:hAnsi="Calibri"/>
        </w:rPr>
        <w:t xml:space="preserve">6.8% Black or African American, </w:t>
      </w:r>
      <w:r w:rsidR="005F7EA0">
        <w:rPr>
          <w:rFonts w:ascii="Calibri" w:eastAsia="Calibri" w:hAnsi="Calibri"/>
        </w:rPr>
        <w:t xml:space="preserve">~3.9% </w:t>
      </w:r>
      <w:r w:rsidR="005F7EA0" w:rsidRPr="00067789">
        <w:rPr>
          <w:rFonts w:ascii="Calibri" w:eastAsia="Calibri" w:hAnsi="Calibri"/>
        </w:rPr>
        <w:t>Asian</w:t>
      </w:r>
      <w:r w:rsidR="005F7EA0">
        <w:rPr>
          <w:rFonts w:ascii="Calibri" w:eastAsia="Calibri" w:hAnsi="Calibri"/>
        </w:rPr>
        <w:t xml:space="preserve">, ~17.2% </w:t>
      </w:r>
      <w:r w:rsidR="005F7EA0" w:rsidRPr="00067789">
        <w:rPr>
          <w:rFonts w:ascii="Calibri" w:eastAsia="Calibri" w:hAnsi="Calibri"/>
        </w:rPr>
        <w:t xml:space="preserve">Hispanic, and </w:t>
      </w:r>
      <w:r w:rsidR="005F7EA0">
        <w:rPr>
          <w:rFonts w:ascii="Calibri" w:eastAsia="Calibri" w:hAnsi="Calibri"/>
        </w:rPr>
        <w:t>~</w:t>
      </w:r>
      <w:r w:rsidR="005F7EA0" w:rsidRPr="00067789">
        <w:rPr>
          <w:rFonts w:ascii="Calibri" w:eastAsia="Calibri" w:hAnsi="Calibri"/>
        </w:rPr>
        <w:t>0.3%</w:t>
      </w:r>
      <w:r w:rsidR="005F7EA0">
        <w:rPr>
          <w:rFonts w:ascii="Calibri" w:eastAsia="Calibri" w:hAnsi="Calibri"/>
        </w:rPr>
        <w:t xml:space="preserve"> </w:t>
      </w:r>
      <w:r w:rsidR="005F7EA0" w:rsidRPr="00067789">
        <w:rPr>
          <w:rFonts w:ascii="Calibri" w:eastAsia="Calibri" w:hAnsi="Calibri"/>
        </w:rPr>
        <w:t>American Indian or Alaska Native. These are self-reported figures and there is a significant percentage (14.2% in FY21, 15.5% in FY22 and 15.9% in FY23) of the population that either chose not to report or reported in a category not reported here.</w:t>
      </w:r>
    </w:p>
    <w:p w14:paraId="2A8A683D" w14:textId="7D02AF90" w:rsidR="005F7EA0" w:rsidRPr="005F7EA0" w:rsidRDefault="005F7EA0" w:rsidP="00E347B4">
      <w:pPr>
        <w:spacing w:after="160"/>
        <w:rPr>
          <w:rFonts w:ascii="Calibri" w:eastAsia="Calibri" w:hAnsi="Calibri"/>
        </w:rPr>
      </w:pPr>
      <w:r w:rsidRPr="005F7EA0">
        <w:rPr>
          <w:rFonts w:ascii="Calibri" w:eastAsia="Calibri" w:hAnsi="Calibri" w:cs="Times New Roman"/>
          <w:color w:val="000000"/>
          <w:spacing w:val="1"/>
          <w:szCs w:val="22"/>
        </w:rPr>
        <w:t>The</w:t>
      </w:r>
      <w:r>
        <w:rPr>
          <w:rFonts w:ascii="Calibri" w:eastAsia="Calibri" w:hAnsi="Calibri" w:cs="Times New Roman"/>
          <w:color w:val="000000"/>
          <w:spacing w:val="1"/>
          <w:szCs w:val="22"/>
        </w:rPr>
        <w:t xml:space="preserve"> MR</w:t>
      </w:r>
      <w:r w:rsidR="00265B00">
        <w:rPr>
          <w:rFonts w:ascii="Calibri" w:eastAsia="Calibri" w:hAnsi="Calibri" w:cs="Times New Roman"/>
          <w:color w:val="000000"/>
          <w:spacing w:val="1"/>
          <w:szCs w:val="22"/>
        </w:rPr>
        <w:t>M</w:t>
      </w:r>
      <w:r>
        <w:rPr>
          <w:rFonts w:ascii="Calibri" w:eastAsia="Calibri" w:hAnsi="Calibri" w:cs="Times New Roman"/>
          <w:color w:val="000000"/>
          <w:spacing w:val="1"/>
          <w:szCs w:val="22"/>
        </w:rPr>
        <w:t>C</w:t>
      </w:r>
      <w:r w:rsidRPr="005F7EA0">
        <w:rPr>
          <w:rFonts w:ascii="Calibri" w:eastAsia="Calibri" w:hAnsi="Calibri" w:cs="Times New Roman"/>
          <w:color w:val="000000"/>
          <w:spacing w:val="1"/>
          <w:szCs w:val="22"/>
        </w:rPr>
        <w:t xml:space="preserve"> self-reported race </w:t>
      </w:r>
      <w:r w:rsidR="005A0CFE">
        <w:rPr>
          <w:rFonts w:ascii="Calibri" w:eastAsia="Calibri" w:hAnsi="Calibri" w:cs="Times New Roman"/>
          <w:color w:val="000000"/>
          <w:spacing w:val="1"/>
          <w:szCs w:val="22"/>
        </w:rPr>
        <w:t xml:space="preserve">profile </w:t>
      </w:r>
      <w:r w:rsidRPr="005F7EA0">
        <w:rPr>
          <w:rFonts w:ascii="Calibri" w:eastAsia="Calibri" w:hAnsi="Calibri" w:cs="Times New Roman"/>
          <w:color w:val="000000"/>
          <w:spacing w:val="1"/>
          <w:szCs w:val="22"/>
        </w:rPr>
        <w:t>is</w:t>
      </w:r>
      <w:r w:rsidR="00795807">
        <w:rPr>
          <w:rFonts w:ascii="Calibri" w:eastAsia="Calibri" w:hAnsi="Calibri" w:cs="Times New Roman"/>
          <w:color w:val="000000"/>
          <w:spacing w:val="1"/>
          <w:szCs w:val="22"/>
        </w:rPr>
        <w:t xml:space="preserve"> ~</w:t>
      </w:r>
      <w:r w:rsidR="00795807" w:rsidRPr="005F7EA0">
        <w:rPr>
          <w:rFonts w:ascii="Calibri" w:eastAsia="Calibri" w:hAnsi="Calibri" w:cs="Times New Roman"/>
          <w:color w:val="000000"/>
          <w:spacing w:val="1"/>
          <w:szCs w:val="22"/>
        </w:rPr>
        <w:t>85%</w:t>
      </w:r>
      <w:r w:rsidRPr="005F7EA0">
        <w:rPr>
          <w:rFonts w:ascii="Calibri" w:eastAsia="Calibri" w:hAnsi="Calibri" w:cs="Times New Roman"/>
          <w:color w:val="000000"/>
          <w:spacing w:val="1"/>
          <w:szCs w:val="22"/>
        </w:rPr>
        <w:t xml:space="preserve"> white</w:t>
      </w:r>
      <w:r>
        <w:rPr>
          <w:rFonts w:ascii="Calibri" w:eastAsia="Calibri" w:hAnsi="Calibri" w:cs="Times New Roman"/>
          <w:color w:val="000000"/>
          <w:spacing w:val="1"/>
          <w:szCs w:val="22"/>
        </w:rPr>
        <w:t>,</w:t>
      </w:r>
      <w:r w:rsidR="00795807">
        <w:rPr>
          <w:rFonts w:ascii="Calibri" w:eastAsia="Calibri" w:hAnsi="Calibri" w:cs="Times New Roman"/>
          <w:color w:val="000000"/>
          <w:spacing w:val="1"/>
          <w:szCs w:val="22"/>
        </w:rPr>
        <w:t xml:space="preserve"> ~1.7%</w:t>
      </w:r>
      <w:r>
        <w:rPr>
          <w:rFonts w:ascii="Calibri" w:eastAsia="Calibri" w:hAnsi="Calibri" w:cs="Times New Roman"/>
          <w:color w:val="000000"/>
          <w:spacing w:val="1"/>
          <w:szCs w:val="22"/>
        </w:rPr>
        <w:t xml:space="preserve"> </w:t>
      </w:r>
      <w:r w:rsidRPr="005F7EA0">
        <w:rPr>
          <w:rFonts w:ascii="Calibri" w:eastAsia="Calibri" w:hAnsi="Calibri" w:cs="Times New Roman"/>
          <w:color w:val="000000"/>
          <w:spacing w:val="1"/>
          <w:szCs w:val="22"/>
        </w:rPr>
        <w:t>Black or African American</w:t>
      </w:r>
      <w:r>
        <w:rPr>
          <w:rFonts w:ascii="Calibri" w:eastAsia="Calibri" w:hAnsi="Calibri" w:cs="Times New Roman"/>
          <w:color w:val="000000"/>
          <w:spacing w:val="1"/>
          <w:szCs w:val="22"/>
        </w:rPr>
        <w:t>,</w:t>
      </w:r>
      <w:r w:rsidRPr="005F7EA0">
        <w:rPr>
          <w:rFonts w:ascii="Calibri" w:eastAsia="Calibri" w:hAnsi="Calibri" w:cs="Times New Roman"/>
          <w:color w:val="000000"/>
          <w:spacing w:val="1"/>
          <w:szCs w:val="22"/>
        </w:rPr>
        <w:t xml:space="preserve"> </w:t>
      </w:r>
      <w:r w:rsidR="00795807">
        <w:rPr>
          <w:rFonts w:ascii="Calibri" w:eastAsia="Calibri" w:hAnsi="Calibri" w:cs="Times New Roman"/>
          <w:color w:val="000000"/>
          <w:spacing w:val="1"/>
          <w:szCs w:val="22"/>
        </w:rPr>
        <w:t xml:space="preserve">~2.8% </w:t>
      </w:r>
      <w:r w:rsidRPr="005F7EA0">
        <w:rPr>
          <w:rFonts w:ascii="Calibri" w:eastAsia="Calibri" w:hAnsi="Calibri" w:cs="Times New Roman"/>
          <w:color w:val="000000"/>
          <w:spacing w:val="1"/>
          <w:szCs w:val="22"/>
        </w:rPr>
        <w:t>Asian</w:t>
      </w:r>
      <w:r>
        <w:rPr>
          <w:rFonts w:ascii="Calibri" w:eastAsia="Calibri" w:hAnsi="Calibri" w:cs="Times New Roman"/>
          <w:color w:val="000000"/>
          <w:spacing w:val="1"/>
          <w:szCs w:val="22"/>
        </w:rPr>
        <w:t xml:space="preserve">, </w:t>
      </w:r>
      <w:r w:rsidR="00795807">
        <w:rPr>
          <w:rFonts w:ascii="Calibri" w:eastAsia="Calibri" w:hAnsi="Calibri" w:cs="Times New Roman"/>
          <w:color w:val="000000"/>
          <w:spacing w:val="1"/>
          <w:szCs w:val="22"/>
        </w:rPr>
        <w:t xml:space="preserve">~4.3% </w:t>
      </w:r>
      <w:r w:rsidRPr="005F7EA0">
        <w:rPr>
          <w:rFonts w:ascii="Calibri" w:eastAsia="Calibri" w:hAnsi="Calibri" w:cs="Times New Roman"/>
          <w:color w:val="000000"/>
          <w:spacing w:val="1"/>
          <w:szCs w:val="22"/>
        </w:rPr>
        <w:t>Hispanic</w:t>
      </w:r>
      <w:r w:rsidR="00795807">
        <w:rPr>
          <w:rFonts w:ascii="Calibri" w:eastAsia="Calibri" w:hAnsi="Calibri" w:cs="Times New Roman"/>
          <w:color w:val="000000"/>
          <w:spacing w:val="1"/>
          <w:szCs w:val="22"/>
        </w:rPr>
        <w:t>,</w:t>
      </w:r>
      <w:r w:rsidRPr="005F7EA0">
        <w:rPr>
          <w:rFonts w:ascii="Calibri" w:eastAsia="Calibri" w:hAnsi="Calibri" w:cs="Times New Roman"/>
          <w:color w:val="000000"/>
          <w:spacing w:val="1"/>
          <w:szCs w:val="22"/>
        </w:rPr>
        <w:t xml:space="preserve"> and </w:t>
      </w:r>
      <w:r w:rsidR="00795807">
        <w:rPr>
          <w:rFonts w:ascii="Calibri" w:eastAsia="Calibri" w:hAnsi="Calibri" w:cs="Times New Roman"/>
          <w:color w:val="000000"/>
          <w:spacing w:val="1"/>
          <w:szCs w:val="22"/>
        </w:rPr>
        <w:t>~</w:t>
      </w:r>
      <w:r w:rsidR="00795807" w:rsidRPr="00795807">
        <w:rPr>
          <w:rFonts w:ascii="Calibri" w:eastAsia="Calibri" w:hAnsi="Calibri" w:cs="Times New Roman"/>
          <w:color w:val="000000"/>
          <w:spacing w:val="1"/>
          <w:szCs w:val="22"/>
        </w:rPr>
        <w:t>0.1%</w:t>
      </w:r>
      <w:r w:rsidR="00795807">
        <w:rPr>
          <w:rFonts w:ascii="Calibri" w:eastAsia="Calibri" w:hAnsi="Calibri" w:cs="Times New Roman"/>
          <w:color w:val="000000"/>
          <w:spacing w:val="1"/>
          <w:szCs w:val="22"/>
        </w:rPr>
        <w:t xml:space="preserve"> </w:t>
      </w:r>
      <w:r w:rsidRPr="005F7EA0">
        <w:rPr>
          <w:rFonts w:ascii="Calibri" w:eastAsia="Calibri" w:hAnsi="Calibri" w:cs="Times New Roman"/>
          <w:color w:val="000000"/>
          <w:spacing w:val="1"/>
          <w:szCs w:val="22"/>
        </w:rPr>
        <w:t>American Indian or Alaska Native</w:t>
      </w:r>
      <w:r>
        <w:rPr>
          <w:rFonts w:ascii="Calibri" w:eastAsia="Calibri" w:hAnsi="Calibri" w:cs="Times New Roman"/>
          <w:color w:val="000000"/>
          <w:spacing w:val="1"/>
          <w:szCs w:val="22"/>
        </w:rPr>
        <w:t>s</w:t>
      </w:r>
      <w:r w:rsidRPr="005F7EA0">
        <w:rPr>
          <w:rFonts w:ascii="Calibri" w:eastAsia="Calibri" w:hAnsi="Calibri" w:cs="Times New Roman"/>
          <w:color w:val="000000"/>
          <w:spacing w:val="1"/>
          <w:szCs w:val="22"/>
        </w:rPr>
        <w:t>.</w:t>
      </w:r>
    </w:p>
    <w:p w14:paraId="27726AFE" w14:textId="6A6A6836" w:rsidR="00795807" w:rsidRPr="00067789" w:rsidRDefault="373FA9E1" w:rsidP="00795807">
      <w:pPr>
        <w:spacing w:after="160"/>
        <w:rPr>
          <w:rFonts w:ascii="Calibri" w:eastAsia="Calibri" w:hAnsi="Calibri"/>
        </w:rPr>
      </w:pPr>
      <w:r w:rsidRPr="6F80FCDD">
        <w:rPr>
          <w:rFonts w:ascii="Calibri" w:eastAsia="Calibri" w:hAnsi="Calibri"/>
          <w:b/>
          <w:bCs/>
        </w:rPr>
        <w:t>Patient Origin</w:t>
      </w:r>
      <w:r w:rsidRPr="6F80FCDD">
        <w:rPr>
          <w:rFonts w:ascii="Calibri" w:eastAsia="Calibri" w:hAnsi="Calibri"/>
        </w:rPr>
        <w:t xml:space="preserve"> </w:t>
      </w:r>
      <w:r w:rsidR="00795807" w:rsidRPr="00067789">
        <w:rPr>
          <w:rFonts w:ascii="Calibri" w:eastAsia="Calibri" w:hAnsi="Calibri"/>
        </w:rPr>
        <w:t>UMMHC provides care to patients primarily from Massachusetts (97%)</w:t>
      </w:r>
      <w:r w:rsidR="00795807">
        <w:rPr>
          <w:rFonts w:ascii="Calibri" w:eastAsia="Calibri" w:hAnsi="Calibri"/>
        </w:rPr>
        <w:t>, with</w:t>
      </w:r>
      <w:r w:rsidR="00795807" w:rsidRPr="00067789">
        <w:rPr>
          <w:rFonts w:ascii="Calibri" w:eastAsia="Calibri" w:hAnsi="Calibri"/>
        </w:rPr>
        <w:t xml:space="preserve"> </w:t>
      </w:r>
      <w:r w:rsidR="00795807">
        <w:rPr>
          <w:rFonts w:ascii="Calibri" w:eastAsia="Calibri" w:hAnsi="Calibri"/>
        </w:rPr>
        <w:t>~</w:t>
      </w:r>
      <w:r w:rsidR="00795807" w:rsidRPr="00067789">
        <w:rPr>
          <w:rFonts w:ascii="Calibri" w:eastAsia="Calibri" w:hAnsi="Calibri"/>
        </w:rPr>
        <w:t>90% resid</w:t>
      </w:r>
      <w:r w:rsidR="00795807">
        <w:rPr>
          <w:rFonts w:ascii="Calibri" w:eastAsia="Calibri" w:hAnsi="Calibri"/>
        </w:rPr>
        <w:t>ing</w:t>
      </w:r>
      <w:r w:rsidR="00795807" w:rsidRPr="00067789">
        <w:rPr>
          <w:rFonts w:ascii="Calibri" w:eastAsia="Calibri" w:hAnsi="Calibri"/>
        </w:rPr>
        <w:t xml:space="preserve"> in Central Massachusetts.</w:t>
      </w:r>
      <w:r w:rsidR="00795807">
        <w:rPr>
          <w:rFonts w:ascii="Calibri" w:eastAsia="Calibri" w:hAnsi="Calibri"/>
        </w:rPr>
        <w:t xml:space="preserve"> </w:t>
      </w:r>
      <w:r w:rsidR="00795807" w:rsidRPr="00795807">
        <w:rPr>
          <w:rFonts w:ascii="Calibri" w:eastAsia="Calibri" w:hAnsi="Calibri" w:cs="Times New Roman"/>
          <w:color w:val="000000"/>
          <w:szCs w:val="22"/>
        </w:rPr>
        <w:t>MRMC provides care to patients primarily from Massachusetts (95%)</w:t>
      </w:r>
      <w:r w:rsidR="00795807">
        <w:rPr>
          <w:rFonts w:ascii="Calibri" w:eastAsia="Calibri" w:hAnsi="Calibri" w:cs="Times New Roman"/>
          <w:color w:val="000000"/>
          <w:szCs w:val="22"/>
        </w:rPr>
        <w:t>,</w:t>
      </w:r>
      <w:r w:rsidR="00795807" w:rsidRPr="00795807">
        <w:rPr>
          <w:rFonts w:ascii="Calibri" w:eastAsia="Calibri" w:hAnsi="Calibri" w:cs="Times New Roman"/>
          <w:color w:val="000000"/>
          <w:szCs w:val="22"/>
        </w:rPr>
        <w:t xml:space="preserve"> </w:t>
      </w:r>
      <w:r w:rsidR="007A1186">
        <w:rPr>
          <w:rFonts w:ascii="Calibri" w:eastAsia="Calibri" w:hAnsi="Calibri" w:cs="Times New Roman"/>
          <w:color w:val="000000"/>
          <w:szCs w:val="22"/>
        </w:rPr>
        <w:t>and d</w:t>
      </w:r>
      <w:r w:rsidR="007A1186" w:rsidRPr="007A1186">
        <w:rPr>
          <w:rFonts w:ascii="Calibri" w:eastAsia="Calibri" w:hAnsi="Calibri" w:cs="Times New Roman"/>
          <w:color w:val="000000"/>
          <w:szCs w:val="22"/>
        </w:rPr>
        <w:t>ue to its southeastern location,</w:t>
      </w:r>
      <w:r w:rsidR="007A1186">
        <w:rPr>
          <w:rFonts w:ascii="Calibri" w:eastAsia="Calibri" w:hAnsi="Calibri" w:cs="Times New Roman"/>
          <w:color w:val="000000"/>
          <w:szCs w:val="22"/>
        </w:rPr>
        <w:t xml:space="preserve"> </w:t>
      </w:r>
      <w:r w:rsidR="00795807">
        <w:rPr>
          <w:rFonts w:ascii="Calibri" w:eastAsia="Calibri" w:hAnsi="Calibri" w:cs="Times New Roman"/>
          <w:color w:val="000000"/>
          <w:szCs w:val="22"/>
        </w:rPr>
        <w:t>~</w:t>
      </w:r>
      <w:r w:rsidR="00795807" w:rsidRPr="00795807">
        <w:rPr>
          <w:rFonts w:ascii="Calibri" w:eastAsia="Calibri" w:hAnsi="Calibri" w:cs="Times New Roman"/>
          <w:color w:val="000000"/>
          <w:szCs w:val="22"/>
        </w:rPr>
        <w:t>58% resid</w:t>
      </w:r>
      <w:r w:rsidR="007A1186">
        <w:rPr>
          <w:rFonts w:ascii="Calibri" w:eastAsia="Calibri" w:hAnsi="Calibri" w:cs="Times New Roman"/>
          <w:color w:val="000000"/>
          <w:szCs w:val="22"/>
        </w:rPr>
        <w:t>e</w:t>
      </w:r>
      <w:r w:rsidR="00795807" w:rsidRPr="00795807">
        <w:rPr>
          <w:rFonts w:ascii="Calibri" w:eastAsia="Calibri" w:hAnsi="Calibri" w:cs="Times New Roman"/>
          <w:color w:val="000000"/>
          <w:szCs w:val="22"/>
        </w:rPr>
        <w:t xml:space="preserve"> in Central Massachusetts and </w:t>
      </w:r>
      <w:r w:rsidR="00795807">
        <w:rPr>
          <w:rFonts w:ascii="Calibri" w:eastAsia="Calibri" w:hAnsi="Calibri" w:cs="Times New Roman"/>
          <w:color w:val="000000"/>
          <w:szCs w:val="22"/>
        </w:rPr>
        <w:t>~</w:t>
      </w:r>
      <w:r w:rsidR="00795807" w:rsidRPr="00795807">
        <w:rPr>
          <w:rFonts w:ascii="Calibri" w:eastAsia="Calibri" w:hAnsi="Calibri" w:cs="Times New Roman"/>
          <w:color w:val="000000"/>
          <w:szCs w:val="22"/>
        </w:rPr>
        <w:t>37% resid</w:t>
      </w:r>
      <w:r w:rsidR="007A1186">
        <w:rPr>
          <w:rFonts w:ascii="Calibri" w:eastAsia="Calibri" w:hAnsi="Calibri" w:cs="Times New Roman"/>
          <w:color w:val="000000"/>
          <w:szCs w:val="22"/>
        </w:rPr>
        <w:t>e</w:t>
      </w:r>
      <w:r w:rsidR="00795807" w:rsidRPr="00795807">
        <w:rPr>
          <w:rFonts w:ascii="Calibri" w:eastAsia="Calibri" w:hAnsi="Calibri" w:cs="Times New Roman"/>
          <w:color w:val="000000"/>
          <w:szCs w:val="22"/>
        </w:rPr>
        <w:t xml:space="preserve"> in Eastern Massachusetts.</w:t>
      </w:r>
      <w:r w:rsidR="00795807">
        <w:rPr>
          <w:rFonts w:ascii="Calibri" w:eastAsia="Calibri" w:hAnsi="Calibri" w:cs="Times New Roman"/>
          <w:color w:val="000000"/>
          <w:szCs w:val="22"/>
        </w:rPr>
        <w:t xml:space="preserve"> </w:t>
      </w:r>
    </w:p>
    <w:p w14:paraId="2EB0AE28" w14:textId="621E45A0" w:rsidR="00474BD9" w:rsidRPr="008E157F" w:rsidRDefault="2848299F" w:rsidP="6F80FCDD">
      <w:pPr>
        <w:pStyle w:val="RBNBasicNoSpace"/>
        <w:jc w:val="center"/>
        <w:rPr>
          <w:b/>
          <w:bCs/>
        </w:rPr>
      </w:pPr>
      <w:r w:rsidRPr="6F80FCDD">
        <w:rPr>
          <w:b/>
          <w:bCs/>
        </w:rPr>
        <w:t xml:space="preserve">Table </w:t>
      </w:r>
      <w:r w:rsidR="000A5E8B">
        <w:rPr>
          <w:b/>
          <w:bCs/>
        </w:rPr>
        <w:t>3</w:t>
      </w:r>
      <w:r w:rsidRPr="6F80FCDD">
        <w:rPr>
          <w:b/>
          <w:bCs/>
        </w:rPr>
        <w:t xml:space="preserve">: </w:t>
      </w:r>
      <w:r w:rsidR="00BC27B1">
        <w:rPr>
          <w:b/>
          <w:bCs/>
        </w:rPr>
        <w:t xml:space="preserve">FY ’23 </w:t>
      </w:r>
      <w:r w:rsidRPr="6F80FCDD">
        <w:rPr>
          <w:b/>
          <w:bCs/>
        </w:rPr>
        <w:t>Payor Mix for</w:t>
      </w:r>
      <w:r w:rsidR="005A47A3">
        <w:rPr>
          <w:b/>
          <w:bCs/>
        </w:rPr>
        <w:t xml:space="preserve"> UMMHC and MRMC</w:t>
      </w:r>
      <w:r w:rsidR="00BC27B1">
        <w:rPr>
          <w:rStyle w:val="FootnoteReference"/>
          <w:b/>
          <w:bCs/>
        </w:rPr>
        <w:footnoteReference w:id="7"/>
      </w:r>
    </w:p>
    <w:p w14:paraId="4B15FC2A" w14:textId="77777777" w:rsidR="00474BD9" w:rsidRPr="00474BD9" w:rsidRDefault="00474BD9" w:rsidP="00474BD9">
      <w:pPr>
        <w:pStyle w:val="RBNBasicNoSpace"/>
        <w:jc w:val="both"/>
        <w:rPr>
          <w:szCs w:val="24"/>
        </w:rPr>
      </w:pPr>
    </w:p>
    <w:tbl>
      <w:tblPr>
        <w:tblW w:w="5240" w:type="dxa"/>
        <w:jc w:val="center"/>
        <w:tblLook w:val="04A0" w:firstRow="1" w:lastRow="0" w:firstColumn="1" w:lastColumn="0" w:noHBand="0" w:noVBand="1"/>
      </w:tblPr>
      <w:tblGrid>
        <w:gridCol w:w="3056"/>
        <w:gridCol w:w="1071"/>
        <w:gridCol w:w="1113"/>
      </w:tblGrid>
      <w:tr w:rsidR="00BC27B1" w:rsidRPr="00BC27B1" w14:paraId="17EACDCA" w14:textId="77777777" w:rsidTr="00BC27B1">
        <w:trPr>
          <w:trHeight w:hRule="exact" w:val="380"/>
          <w:jc w:val="center"/>
        </w:trPr>
        <w:tc>
          <w:tcPr>
            <w:tcW w:w="5240" w:type="dxa"/>
            <w:gridSpan w:val="3"/>
            <w:tcBorders>
              <w:top w:val="single" w:sz="4" w:space="0" w:color="auto"/>
              <w:left w:val="single" w:sz="4" w:space="0" w:color="auto"/>
              <w:bottom w:val="single" w:sz="4" w:space="0" w:color="auto"/>
              <w:right w:val="single" w:sz="4" w:space="0" w:color="000000"/>
            </w:tcBorders>
            <w:shd w:val="clear" w:color="auto" w:fill="E5FFFF"/>
            <w:vAlign w:val="center"/>
            <w:hideMark/>
          </w:tcPr>
          <w:p w14:paraId="38866C05" w14:textId="77777777" w:rsidR="00BC27B1" w:rsidRPr="00BC27B1" w:rsidRDefault="00BC27B1" w:rsidP="00BC27B1">
            <w:pPr>
              <w:jc w:val="center"/>
              <w:rPr>
                <w:rFonts w:ascii="Calibri" w:eastAsia="Times New Roman" w:hAnsi="Calibri" w:cs="Calibri"/>
                <w:b/>
                <w:bCs/>
                <w:color w:val="000000"/>
              </w:rPr>
            </w:pPr>
            <w:r w:rsidRPr="00BC27B1">
              <w:rPr>
                <w:rFonts w:ascii="Calibri" w:eastAsia="Times New Roman" w:hAnsi="Calibri" w:cs="Calibri"/>
                <w:b/>
                <w:bCs/>
                <w:color w:val="000000"/>
              </w:rPr>
              <w:t>Hospital Payor Mix based on GPSR for FY23</w:t>
            </w:r>
          </w:p>
        </w:tc>
      </w:tr>
      <w:tr w:rsidR="00BC27B1" w:rsidRPr="00BC27B1" w14:paraId="340AFF2F"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000000"/>
            </w:tcBorders>
            <w:shd w:val="clear" w:color="auto" w:fill="E5FFFF"/>
            <w:vAlign w:val="center"/>
            <w:hideMark/>
          </w:tcPr>
          <w:p w14:paraId="25E58D49" w14:textId="77777777" w:rsidR="00BC27B1" w:rsidRPr="00BC27B1" w:rsidRDefault="00BC27B1" w:rsidP="00BC27B1">
            <w:pPr>
              <w:jc w:val="center"/>
              <w:rPr>
                <w:rFonts w:ascii="Calibri" w:eastAsia="Times New Roman" w:hAnsi="Calibri" w:cs="Calibri"/>
                <w:color w:val="000000"/>
              </w:rPr>
            </w:pPr>
            <w:r w:rsidRPr="00BC27B1">
              <w:rPr>
                <w:rFonts w:ascii="Calibri" w:eastAsia="Times New Roman" w:hAnsi="Calibri" w:cs="Calibri"/>
                <w:color w:val="000000"/>
              </w:rPr>
              <w:t xml:space="preserve"> </w:t>
            </w:r>
          </w:p>
        </w:tc>
        <w:tc>
          <w:tcPr>
            <w:tcW w:w="1034" w:type="dxa"/>
            <w:tcBorders>
              <w:top w:val="nil"/>
              <w:left w:val="nil"/>
              <w:bottom w:val="single" w:sz="4" w:space="0" w:color="auto"/>
              <w:right w:val="single" w:sz="4" w:space="0" w:color="auto"/>
            </w:tcBorders>
            <w:shd w:val="clear" w:color="auto" w:fill="E5FFFF"/>
            <w:vAlign w:val="center"/>
            <w:hideMark/>
          </w:tcPr>
          <w:p w14:paraId="7269E742" w14:textId="77777777" w:rsidR="00BC27B1" w:rsidRPr="00BC27B1" w:rsidRDefault="00BC27B1" w:rsidP="00BC27B1">
            <w:pPr>
              <w:jc w:val="center"/>
              <w:rPr>
                <w:rFonts w:ascii="Calibri" w:eastAsia="Times New Roman" w:hAnsi="Calibri" w:cs="Calibri"/>
                <w:b/>
                <w:bCs/>
                <w:color w:val="000000"/>
              </w:rPr>
            </w:pPr>
            <w:r w:rsidRPr="00BC27B1">
              <w:rPr>
                <w:rFonts w:ascii="Calibri" w:eastAsia="Times New Roman" w:hAnsi="Calibri" w:cs="Calibri"/>
                <w:b/>
                <w:bCs/>
                <w:color w:val="000000"/>
              </w:rPr>
              <w:t>UMMHC</w:t>
            </w:r>
          </w:p>
        </w:tc>
        <w:tc>
          <w:tcPr>
            <w:tcW w:w="1150" w:type="dxa"/>
            <w:tcBorders>
              <w:top w:val="nil"/>
              <w:left w:val="nil"/>
              <w:bottom w:val="single" w:sz="4" w:space="0" w:color="auto"/>
              <w:right w:val="single" w:sz="4" w:space="0" w:color="auto"/>
            </w:tcBorders>
            <w:shd w:val="clear" w:color="auto" w:fill="E5FFFF"/>
            <w:vAlign w:val="center"/>
            <w:hideMark/>
          </w:tcPr>
          <w:p w14:paraId="63D9C297" w14:textId="2FE7C4E5" w:rsidR="00BC27B1" w:rsidRPr="00BC27B1" w:rsidRDefault="00BC27B1" w:rsidP="00BC27B1">
            <w:pPr>
              <w:jc w:val="center"/>
              <w:rPr>
                <w:rFonts w:ascii="Calibri" w:eastAsia="Times New Roman" w:hAnsi="Calibri" w:cs="Calibri"/>
                <w:b/>
                <w:bCs/>
                <w:color w:val="000000"/>
              </w:rPr>
            </w:pPr>
            <w:r w:rsidRPr="00BC27B1">
              <w:rPr>
                <w:rFonts w:ascii="Calibri" w:eastAsia="Times New Roman" w:hAnsi="Calibri" w:cs="Calibri"/>
                <w:b/>
                <w:bCs/>
                <w:color w:val="000000"/>
              </w:rPr>
              <w:t>M</w:t>
            </w:r>
            <w:r w:rsidR="008E27DB">
              <w:rPr>
                <w:rFonts w:ascii="Calibri" w:eastAsia="Times New Roman" w:hAnsi="Calibri" w:cs="Calibri"/>
                <w:b/>
                <w:bCs/>
                <w:color w:val="000000"/>
              </w:rPr>
              <w:t>RMC</w:t>
            </w:r>
          </w:p>
        </w:tc>
      </w:tr>
      <w:tr w:rsidR="00BC27B1" w:rsidRPr="00BC27B1" w14:paraId="44EF79AD" w14:textId="77777777" w:rsidTr="00BC27B1">
        <w:trPr>
          <w:trHeight w:hRule="exact" w:val="290"/>
          <w:jc w:val="center"/>
        </w:trPr>
        <w:tc>
          <w:tcPr>
            <w:tcW w:w="30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EC903B" w14:textId="77777777" w:rsidR="00BC27B1" w:rsidRPr="00BC27B1" w:rsidRDefault="00BC27B1" w:rsidP="00BC27B1">
            <w:pPr>
              <w:rPr>
                <w:rFonts w:ascii="Calibri" w:eastAsia="Times New Roman" w:hAnsi="Calibri" w:cs="Calibri"/>
                <w:b/>
                <w:bCs/>
                <w:color w:val="000000"/>
              </w:rPr>
            </w:pPr>
            <w:r w:rsidRPr="00BC27B1">
              <w:rPr>
                <w:rFonts w:ascii="Calibri" w:eastAsia="Times New Roman" w:hAnsi="Calibri" w:cs="Calibri"/>
                <w:b/>
                <w:bCs/>
                <w:color w:val="000000"/>
              </w:rPr>
              <w:t>Commercial Total</w:t>
            </w:r>
          </w:p>
        </w:tc>
        <w:tc>
          <w:tcPr>
            <w:tcW w:w="1034" w:type="dxa"/>
            <w:tcBorders>
              <w:top w:val="nil"/>
              <w:left w:val="nil"/>
              <w:bottom w:val="single" w:sz="4" w:space="0" w:color="auto"/>
              <w:right w:val="single" w:sz="4" w:space="0" w:color="auto"/>
            </w:tcBorders>
            <w:shd w:val="clear" w:color="auto" w:fill="auto"/>
            <w:vAlign w:val="center"/>
            <w:hideMark/>
          </w:tcPr>
          <w:p w14:paraId="2265FF54"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28.8%</w:t>
            </w:r>
          </w:p>
        </w:tc>
        <w:tc>
          <w:tcPr>
            <w:tcW w:w="1150" w:type="dxa"/>
            <w:tcBorders>
              <w:top w:val="nil"/>
              <w:left w:val="nil"/>
              <w:bottom w:val="single" w:sz="4" w:space="0" w:color="auto"/>
              <w:right w:val="single" w:sz="4" w:space="0" w:color="auto"/>
            </w:tcBorders>
            <w:shd w:val="clear" w:color="auto" w:fill="auto"/>
            <w:vAlign w:val="center"/>
            <w:hideMark/>
          </w:tcPr>
          <w:p w14:paraId="3E00EF77"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38.4%</w:t>
            </w:r>
          </w:p>
        </w:tc>
      </w:tr>
      <w:tr w:rsidR="00BC27B1" w:rsidRPr="00BC27B1" w14:paraId="5A148410"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BCCB2" w14:textId="77777777" w:rsidR="00BC27B1" w:rsidRPr="00BC27B1" w:rsidRDefault="00BC27B1" w:rsidP="00BC27B1">
            <w:pPr>
              <w:rPr>
                <w:rFonts w:ascii="Calibri" w:eastAsia="Times New Roman" w:hAnsi="Calibri" w:cs="Calibri"/>
                <w:color w:val="000000"/>
              </w:rPr>
            </w:pPr>
            <w:r w:rsidRPr="00BC27B1">
              <w:rPr>
                <w:rFonts w:ascii="Calibri" w:eastAsia="Times New Roman" w:hAnsi="Calibri" w:cs="Calibri"/>
                <w:color w:val="000000"/>
              </w:rPr>
              <w:t>Commercial PPO/Indemnity</w:t>
            </w:r>
          </w:p>
        </w:tc>
        <w:tc>
          <w:tcPr>
            <w:tcW w:w="1034" w:type="dxa"/>
            <w:tcBorders>
              <w:top w:val="nil"/>
              <w:left w:val="nil"/>
              <w:bottom w:val="single" w:sz="4" w:space="0" w:color="auto"/>
              <w:right w:val="single" w:sz="4" w:space="0" w:color="auto"/>
            </w:tcBorders>
            <w:shd w:val="clear" w:color="auto" w:fill="auto"/>
            <w:vAlign w:val="center"/>
            <w:hideMark/>
          </w:tcPr>
          <w:p w14:paraId="6F88A340"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4.4%</w:t>
            </w:r>
          </w:p>
        </w:tc>
        <w:tc>
          <w:tcPr>
            <w:tcW w:w="1150" w:type="dxa"/>
            <w:tcBorders>
              <w:top w:val="nil"/>
              <w:left w:val="nil"/>
              <w:bottom w:val="single" w:sz="4" w:space="0" w:color="auto"/>
              <w:right w:val="single" w:sz="4" w:space="0" w:color="auto"/>
            </w:tcBorders>
            <w:shd w:val="clear" w:color="auto" w:fill="auto"/>
            <w:vAlign w:val="center"/>
            <w:hideMark/>
          </w:tcPr>
          <w:p w14:paraId="67EBBF3D"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18.6%</w:t>
            </w:r>
          </w:p>
        </w:tc>
      </w:tr>
      <w:tr w:rsidR="00BC27B1" w:rsidRPr="00BC27B1" w14:paraId="1C083864"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B5225" w14:textId="77777777" w:rsidR="00BC27B1" w:rsidRPr="00BC27B1" w:rsidRDefault="00BC27B1" w:rsidP="00BC27B1">
            <w:pPr>
              <w:rPr>
                <w:rFonts w:ascii="Calibri" w:eastAsia="Times New Roman" w:hAnsi="Calibri" w:cs="Calibri"/>
                <w:color w:val="000000"/>
              </w:rPr>
            </w:pPr>
            <w:r w:rsidRPr="00BC27B1">
              <w:rPr>
                <w:rFonts w:ascii="Calibri" w:eastAsia="Times New Roman" w:hAnsi="Calibri" w:cs="Calibri"/>
                <w:color w:val="000000"/>
              </w:rPr>
              <w:t>Commercial HMO/POS</w:t>
            </w:r>
          </w:p>
        </w:tc>
        <w:tc>
          <w:tcPr>
            <w:tcW w:w="1034" w:type="dxa"/>
            <w:tcBorders>
              <w:top w:val="nil"/>
              <w:left w:val="nil"/>
              <w:bottom w:val="single" w:sz="4" w:space="0" w:color="auto"/>
              <w:right w:val="single" w:sz="4" w:space="0" w:color="auto"/>
            </w:tcBorders>
            <w:shd w:val="clear" w:color="auto" w:fill="auto"/>
            <w:vAlign w:val="center"/>
            <w:hideMark/>
          </w:tcPr>
          <w:p w14:paraId="132B4AB5"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24.4%</w:t>
            </w:r>
          </w:p>
        </w:tc>
        <w:tc>
          <w:tcPr>
            <w:tcW w:w="1150" w:type="dxa"/>
            <w:tcBorders>
              <w:top w:val="nil"/>
              <w:left w:val="nil"/>
              <w:bottom w:val="single" w:sz="4" w:space="0" w:color="auto"/>
              <w:right w:val="single" w:sz="4" w:space="0" w:color="auto"/>
            </w:tcBorders>
            <w:shd w:val="clear" w:color="auto" w:fill="auto"/>
            <w:vAlign w:val="center"/>
            <w:hideMark/>
          </w:tcPr>
          <w:p w14:paraId="7EDDBF7E"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19.8%</w:t>
            </w:r>
          </w:p>
        </w:tc>
      </w:tr>
      <w:tr w:rsidR="00BC27B1" w:rsidRPr="00BC27B1" w14:paraId="0CD44604" w14:textId="77777777" w:rsidTr="00BC27B1">
        <w:trPr>
          <w:trHeight w:hRule="exact" w:val="290"/>
          <w:jc w:val="center"/>
        </w:trPr>
        <w:tc>
          <w:tcPr>
            <w:tcW w:w="30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68124C" w14:textId="77777777" w:rsidR="00BC27B1" w:rsidRPr="00BC27B1" w:rsidRDefault="00BC27B1" w:rsidP="00BC27B1">
            <w:pPr>
              <w:rPr>
                <w:rFonts w:ascii="Calibri" w:eastAsia="Times New Roman" w:hAnsi="Calibri" w:cs="Calibri"/>
                <w:b/>
                <w:bCs/>
                <w:color w:val="000000"/>
              </w:rPr>
            </w:pPr>
            <w:r w:rsidRPr="00BC27B1">
              <w:rPr>
                <w:rFonts w:ascii="Calibri" w:eastAsia="Times New Roman" w:hAnsi="Calibri" w:cs="Calibri"/>
                <w:b/>
                <w:bCs/>
                <w:color w:val="000000"/>
              </w:rPr>
              <w:t>Medicaid Total</w:t>
            </w:r>
          </w:p>
        </w:tc>
        <w:tc>
          <w:tcPr>
            <w:tcW w:w="1034" w:type="dxa"/>
            <w:tcBorders>
              <w:top w:val="nil"/>
              <w:left w:val="nil"/>
              <w:bottom w:val="single" w:sz="4" w:space="0" w:color="auto"/>
              <w:right w:val="single" w:sz="4" w:space="0" w:color="auto"/>
            </w:tcBorders>
            <w:shd w:val="clear" w:color="auto" w:fill="auto"/>
            <w:vAlign w:val="center"/>
            <w:hideMark/>
          </w:tcPr>
          <w:p w14:paraId="6D92A966"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24.1%</w:t>
            </w:r>
          </w:p>
        </w:tc>
        <w:tc>
          <w:tcPr>
            <w:tcW w:w="1150" w:type="dxa"/>
            <w:tcBorders>
              <w:top w:val="nil"/>
              <w:left w:val="nil"/>
              <w:bottom w:val="single" w:sz="4" w:space="0" w:color="auto"/>
              <w:right w:val="single" w:sz="4" w:space="0" w:color="auto"/>
            </w:tcBorders>
            <w:shd w:val="clear" w:color="auto" w:fill="auto"/>
            <w:vAlign w:val="center"/>
            <w:hideMark/>
          </w:tcPr>
          <w:p w14:paraId="2E79AC50"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15.0%</w:t>
            </w:r>
          </w:p>
        </w:tc>
      </w:tr>
      <w:tr w:rsidR="00BC27B1" w:rsidRPr="00BC27B1" w14:paraId="0B563AD3"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ECFD5" w14:textId="77777777" w:rsidR="00BC27B1" w:rsidRPr="00BC27B1" w:rsidRDefault="00BC27B1" w:rsidP="00BC27B1">
            <w:pPr>
              <w:rPr>
                <w:rFonts w:ascii="Calibri" w:eastAsia="Times New Roman" w:hAnsi="Calibri" w:cs="Calibri"/>
                <w:color w:val="000000"/>
              </w:rPr>
            </w:pPr>
            <w:r w:rsidRPr="00BC27B1">
              <w:rPr>
                <w:rFonts w:ascii="Calibri" w:eastAsia="Times New Roman" w:hAnsi="Calibri" w:cs="Calibri"/>
                <w:color w:val="000000"/>
              </w:rPr>
              <w:t>MassHealth FFS</w:t>
            </w:r>
          </w:p>
        </w:tc>
        <w:tc>
          <w:tcPr>
            <w:tcW w:w="1034" w:type="dxa"/>
            <w:tcBorders>
              <w:top w:val="nil"/>
              <w:left w:val="nil"/>
              <w:bottom w:val="single" w:sz="4" w:space="0" w:color="auto"/>
              <w:right w:val="single" w:sz="4" w:space="0" w:color="auto"/>
            </w:tcBorders>
            <w:shd w:val="clear" w:color="auto" w:fill="auto"/>
            <w:vAlign w:val="center"/>
            <w:hideMark/>
          </w:tcPr>
          <w:p w14:paraId="6FC80A0C"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15.0%</w:t>
            </w:r>
          </w:p>
        </w:tc>
        <w:tc>
          <w:tcPr>
            <w:tcW w:w="1150" w:type="dxa"/>
            <w:tcBorders>
              <w:top w:val="nil"/>
              <w:left w:val="nil"/>
              <w:bottom w:val="single" w:sz="4" w:space="0" w:color="auto"/>
              <w:right w:val="single" w:sz="4" w:space="0" w:color="auto"/>
            </w:tcBorders>
            <w:shd w:val="clear" w:color="auto" w:fill="auto"/>
            <w:vAlign w:val="center"/>
            <w:hideMark/>
          </w:tcPr>
          <w:p w14:paraId="68366F3C"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8.3%</w:t>
            </w:r>
          </w:p>
        </w:tc>
      </w:tr>
      <w:tr w:rsidR="00BC27B1" w:rsidRPr="00BC27B1" w14:paraId="126A6A7A"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B64F5" w14:textId="77777777" w:rsidR="00BC27B1" w:rsidRPr="00BC27B1" w:rsidRDefault="00BC27B1" w:rsidP="00BC27B1">
            <w:pPr>
              <w:rPr>
                <w:rFonts w:ascii="Calibri" w:eastAsia="Times New Roman" w:hAnsi="Calibri" w:cs="Calibri"/>
                <w:color w:val="000000"/>
              </w:rPr>
            </w:pPr>
            <w:r w:rsidRPr="00BC27B1">
              <w:rPr>
                <w:rFonts w:ascii="Calibri" w:eastAsia="Times New Roman" w:hAnsi="Calibri" w:cs="Calibri"/>
                <w:color w:val="000000"/>
              </w:rPr>
              <w:t>Managed Medicaid</w:t>
            </w:r>
          </w:p>
        </w:tc>
        <w:tc>
          <w:tcPr>
            <w:tcW w:w="1034" w:type="dxa"/>
            <w:tcBorders>
              <w:top w:val="nil"/>
              <w:left w:val="nil"/>
              <w:bottom w:val="single" w:sz="4" w:space="0" w:color="auto"/>
              <w:right w:val="single" w:sz="4" w:space="0" w:color="auto"/>
            </w:tcBorders>
            <w:shd w:val="clear" w:color="auto" w:fill="auto"/>
            <w:vAlign w:val="center"/>
            <w:hideMark/>
          </w:tcPr>
          <w:p w14:paraId="63FCB63C"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9.0%</w:t>
            </w:r>
          </w:p>
        </w:tc>
        <w:tc>
          <w:tcPr>
            <w:tcW w:w="1150" w:type="dxa"/>
            <w:tcBorders>
              <w:top w:val="nil"/>
              <w:left w:val="nil"/>
              <w:bottom w:val="single" w:sz="4" w:space="0" w:color="auto"/>
              <w:right w:val="single" w:sz="4" w:space="0" w:color="auto"/>
            </w:tcBorders>
            <w:shd w:val="clear" w:color="auto" w:fill="auto"/>
            <w:vAlign w:val="center"/>
            <w:hideMark/>
          </w:tcPr>
          <w:p w14:paraId="70E81494"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6.7%</w:t>
            </w:r>
          </w:p>
        </w:tc>
      </w:tr>
      <w:tr w:rsidR="00BC27B1" w:rsidRPr="00BC27B1" w14:paraId="648E5178" w14:textId="77777777" w:rsidTr="00BC27B1">
        <w:trPr>
          <w:trHeight w:hRule="exact" w:val="290"/>
          <w:jc w:val="center"/>
        </w:trPr>
        <w:tc>
          <w:tcPr>
            <w:tcW w:w="30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78395C7" w14:textId="77777777" w:rsidR="00BC27B1" w:rsidRPr="00BC27B1" w:rsidRDefault="00BC27B1" w:rsidP="00BC27B1">
            <w:pPr>
              <w:rPr>
                <w:rFonts w:ascii="Calibri" w:eastAsia="Times New Roman" w:hAnsi="Calibri" w:cs="Calibri"/>
                <w:b/>
                <w:bCs/>
                <w:color w:val="000000"/>
              </w:rPr>
            </w:pPr>
            <w:r w:rsidRPr="00BC27B1">
              <w:rPr>
                <w:rFonts w:ascii="Calibri" w:eastAsia="Times New Roman" w:hAnsi="Calibri" w:cs="Calibri"/>
                <w:b/>
                <w:bCs/>
                <w:color w:val="000000"/>
              </w:rPr>
              <w:t>Medicare Total</w:t>
            </w:r>
          </w:p>
        </w:tc>
        <w:tc>
          <w:tcPr>
            <w:tcW w:w="1034" w:type="dxa"/>
            <w:tcBorders>
              <w:top w:val="nil"/>
              <w:left w:val="nil"/>
              <w:bottom w:val="single" w:sz="4" w:space="0" w:color="auto"/>
              <w:right w:val="single" w:sz="4" w:space="0" w:color="auto"/>
            </w:tcBorders>
            <w:shd w:val="clear" w:color="auto" w:fill="auto"/>
            <w:vAlign w:val="center"/>
            <w:hideMark/>
          </w:tcPr>
          <w:p w14:paraId="2E15A366"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43.7%</w:t>
            </w:r>
          </w:p>
        </w:tc>
        <w:tc>
          <w:tcPr>
            <w:tcW w:w="1150" w:type="dxa"/>
            <w:tcBorders>
              <w:top w:val="nil"/>
              <w:left w:val="nil"/>
              <w:bottom w:val="single" w:sz="4" w:space="0" w:color="auto"/>
              <w:right w:val="single" w:sz="4" w:space="0" w:color="auto"/>
            </w:tcBorders>
            <w:shd w:val="clear" w:color="auto" w:fill="auto"/>
            <w:vAlign w:val="center"/>
            <w:hideMark/>
          </w:tcPr>
          <w:p w14:paraId="0F2A4B10"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44.5%</w:t>
            </w:r>
          </w:p>
        </w:tc>
      </w:tr>
      <w:tr w:rsidR="00BC27B1" w:rsidRPr="00BC27B1" w14:paraId="41239A9C"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84C53" w14:textId="77777777" w:rsidR="00BC27B1" w:rsidRPr="00BC27B1" w:rsidRDefault="00BC27B1" w:rsidP="00BC27B1">
            <w:pPr>
              <w:rPr>
                <w:rFonts w:ascii="Calibri" w:eastAsia="Times New Roman" w:hAnsi="Calibri" w:cs="Calibri"/>
                <w:color w:val="000000"/>
              </w:rPr>
            </w:pPr>
            <w:r w:rsidRPr="00BC27B1">
              <w:rPr>
                <w:rFonts w:ascii="Calibri" w:eastAsia="Times New Roman" w:hAnsi="Calibri" w:cs="Calibri"/>
                <w:color w:val="000000"/>
              </w:rPr>
              <w:t>Medicare FFS</w:t>
            </w:r>
          </w:p>
        </w:tc>
        <w:tc>
          <w:tcPr>
            <w:tcW w:w="1034" w:type="dxa"/>
            <w:tcBorders>
              <w:top w:val="nil"/>
              <w:left w:val="nil"/>
              <w:bottom w:val="single" w:sz="4" w:space="0" w:color="auto"/>
              <w:right w:val="single" w:sz="4" w:space="0" w:color="auto"/>
            </w:tcBorders>
            <w:shd w:val="clear" w:color="auto" w:fill="auto"/>
            <w:vAlign w:val="center"/>
            <w:hideMark/>
          </w:tcPr>
          <w:p w14:paraId="7EF4DCEC"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25.9%</w:t>
            </w:r>
          </w:p>
        </w:tc>
        <w:tc>
          <w:tcPr>
            <w:tcW w:w="1150" w:type="dxa"/>
            <w:tcBorders>
              <w:top w:val="nil"/>
              <w:left w:val="nil"/>
              <w:bottom w:val="single" w:sz="4" w:space="0" w:color="auto"/>
              <w:right w:val="single" w:sz="4" w:space="0" w:color="auto"/>
            </w:tcBorders>
            <w:shd w:val="clear" w:color="auto" w:fill="auto"/>
            <w:vAlign w:val="center"/>
            <w:hideMark/>
          </w:tcPr>
          <w:p w14:paraId="12CC4299"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28.8%</w:t>
            </w:r>
          </w:p>
        </w:tc>
      </w:tr>
      <w:tr w:rsidR="00BC27B1" w:rsidRPr="00BC27B1" w14:paraId="4B63E2BB"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F20E7" w14:textId="77777777" w:rsidR="00BC27B1" w:rsidRPr="00BC27B1" w:rsidRDefault="00BC27B1" w:rsidP="00BC27B1">
            <w:pPr>
              <w:rPr>
                <w:rFonts w:ascii="Calibri" w:eastAsia="Times New Roman" w:hAnsi="Calibri" w:cs="Calibri"/>
                <w:color w:val="000000"/>
              </w:rPr>
            </w:pPr>
            <w:r w:rsidRPr="00BC27B1">
              <w:rPr>
                <w:rFonts w:ascii="Calibri" w:eastAsia="Times New Roman" w:hAnsi="Calibri" w:cs="Calibri"/>
                <w:color w:val="000000"/>
              </w:rPr>
              <w:t>Managed Medicare</w:t>
            </w:r>
          </w:p>
        </w:tc>
        <w:tc>
          <w:tcPr>
            <w:tcW w:w="1034" w:type="dxa"/>
            <w:tcBorders>
              <w:top w:val="nil"/>
              <w:left w:val="nil"/>
              <w:bottom w:val="single" w:sz="4" w:space="0" w:color="auto"/>
              <w:right w:val="single" w:sz="4" w:space="0" w:color="auto"/>
            </w:tcBorders>
            <w:shd w:val="clear" w:color="auto" w:fill="auto"/>
            <w:vAlign w:val="center"/>
            <w:hideMark/>
          </w:tcPr>
          <w:p w14:paraId="29CDE34F"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17.8%</w:t>
            </w:r>
          </w:p>
        </w:tc>
        <w:tc>
          <w:tcPr>
            <w:tcW w:w="1150" w:type="dxa"/>
            <w:tcBorders>
              <w:top w:val="nil"/>
              <w:left w:val="nil"/>
              <w:bottom w:val="single" w:sz="4" w:space="0" w:color="auto"/>
              <w:right w:val="single" w:sz="4" w:space="0" w:color="auto"/>
            </w:tcBorders>
            <w:shd w:val="clear" w:color="auto" w:fill="auto"/>
            <w:vAlign w:val="center"/>
            <w:hideMark/>
          </w:tcPr>
          <w:p w14:paraId="5A9619AD" w14:textId="77777777" w:rsidR="00BC27B1" w:rsidRPr="00BC27B1" w:rsidRDefault="00BC27B1" w:rsidP="00BC27B1">
            <w:pPr>
              <w:jc w:val="right"/>
              <w:rPr>
                <w:rFonts w:ascii="Calibri" w:eastAsia="Times New Roman" w:hAnsi="Calibri" w:cs="Calibri"/>
                <w:color w:val="000000"/>
              </w:rPr>
            </w:pPr>
            <w:r w:rsidRPr="00BC27B1">
              <w:rPr>
                <w:rFonts w:ascii="Calibri" w:eastAsia="Times New Roman" w:hAnsi="Calibri" w:cs="Calibri"/>
                <w:color w:val="000000"/>
              </w:rPr>
              <w:t>15.7%</w:t>
            </w:r>
          </w:p>
        </w:tc>
      </w:tr>
      <w:tr w:rsidR="00BC27B1" w:rsidRPr="00BC27B1" w14:paraId="174D8E13" w14:textId="77777777" w:rsidTr="00BC27B1">
        <w:trPr>
          <w:trHeight w:hRule="exact" w:val="360"/>
          <w:jc w:val="center"/>
        </w:trPr>
        <w:tc>
          <w:tcPr>
            <w:tcW w:w="30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1FDF474" w14:textId="77777777" w:rsidR="00BC27B1" w:rsidRPr="00BC27B1" w:rsidRDefault="00BC27B1" w:rsidP="00BC27B1">
            <w:pPr>
              <w:rPr>
                <w:rFonts w:ascii="Calibri" w:eastAsia="Times New Roman" w:hAnsi="Calibri" w:cs="Calibri"/>
                <w:b/>
                <w:bCs/>
                <w:color w:val="000000"/>
              </w:rPr>
            </w:pPr>
            <w:r w:rsidRPr="00BC27B1">
              <w:rPr>
                <w:rFonts w:ascii="Calibri" w:eastAsia="Times New Roman" w:hAnsi="Calibri" w:cs="Calibri"/>
                <w:b/>
                <w:bCs/>
                <w:color w:val="000000"/>
              </w:rPr>
              <w:t>All other</w:t>
            </w:r>
          </w:p>
        </w:tc>
        <w:tc>
          <w:tcPr>
            <w:tcW w:w="1034" w:type="dxa"/>
            <w:tcBorders>
              <w:top w:val="nil"/>
              <w:left w:val="nil"/>
              <w:bottom w:val="single" w:sz="4" w:space="0" w:color="auto"/>
              <w:right w:val="single" w:sz="4" w:space="0" w:color="auto"/>
            </w:tcBorders>
            <w:shd w:val="clear" w:color="auto" w:fill="auto"/>
            <w:vAlign w:val="center"/>
            <w:hideMark/>
          </w:tcPr>
          <w:p w14:paraId="1697DBC9"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3.4%</w:t>
            </w:r>
          </w:p>
        </w:tc>
        <w:tc>
          <w:tcPr>
            <w:tcW w:w="1150" w:type="dxa"/>
            <w:tcBorders>
              <w:top w:val="nil"/>
              <w:left w:val="nil"/>
              <w:bottom w:val="single" w:sz="4" w:space="0" w:color="auto"/>
              <w:right w:val="single" w:sz="4" w:space="0" w:color="auto"/>
            </w:tcBorders>
            <w:shd w:val="clear" w:color="auto" w:fill="auto"/>
            <w:vAlign w:val="center"/>
            <w:hideMark/>
          </w:tcPr>
          <w:p w14:paraId="5AD77919"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2.2%</w:t>
            </w:r>
          </w:p>
        </w:tc>
      </w:tr>
      <w:tr w:rsidR="00BC27B1" w:rsidRPr="00BC27B1" w14:paraId="3B80CF1C" w14:textId="77777777" w:rsidTr="00BC27B1">
        <w:trPr>
          <w:trHeight w:val="290"/>
          <w:jc w:val="center"/>
        </w:trPr>
        <w:tc>
          <w:tcPr>
            <w:tcW w:w="30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502827" w14:textId="77777777" w:rsidR="00BC27B1" w:rsidRPr="00BC27B1" w:rsidRDefault="00BC27B1" w:rsidP="00BC27B1">
            <w:pPr>
              <w:rPr>
                <w:rFonts w:ascii="Calibri" w:eastAsia="Times New Roman" w:hAnsi="Calibri" w:cs="Calibri"/>
                <w:b/>
                <w:bCs/>
                <w:color w:val="000000"/>
              </w:rPr>
            </w:pPr>
            <w:r w:rsidRPr="00BC27B1">
              <w:rPr>
                <w:rFonts w:ascii="Calibri" w:eastAsia="Times New Roman" w:hAnsi="Calibri" w:cs="Calibri"/>
                <w:b/>
                <w:bCs/>
                <w:color w:val="000000"/>
              </w:rPr>
              <w:t>Subtotal Non-Commercial</w:t>
            </w:r>
          </w:p>
        </w:tc>
        <w:tc>
          <w:tcPr>
            <w:tcW w:w="1034" w:type="dxa"/>
            <w:tcBorders>
              <w:top w:val="nil"/>
              <w:left w:val="nil"/>
              <w:bottom w:val="single" w:sz="4" w:space="0" w:color="auto"/>
              <w:right w:val="single" w:sz="4" w:space="0" w:color="auto"/>
            </w:tcBorders>
            <w:shd w:val="clear" w:color="auto" w:fill="auto"/>
            <w:vAlign w:val="center"/>
            <w:hideMark/>
          </w:tcPr>
          <w:p w14:paraId="3F210AF4"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71.2%</w:t>
            </w:r>
          </w:p>
        </w:tc>
        <w:tc>
          <w:tcPr>
            <w:tcW w:w="1150" w:type="dxa"/>
            <w:tcBorders>
              <w:top w:val="nil"/>
              <w:left w:val="nil"/>
              <w:bottom w:val="single" w:sz="4" w:space="0" w:color="auto"/>
              <w:right w:val="single" w:sz="4" w:space="0" w:color="auto"/>
            </w:tcBorders>
            <w:shd w:val="clear" w:color="auto" w:fill="auto"/>
            <w:vAlign w:val="center"/>
            <w:hideMark/>
          </w:tcPr>
          <w:p w14:paraId="71AE019D"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61.6%</w:t>
            </w:r>
          </w:p>
        </w:tc>
      </w:tr>
      <w:tr w:rsidR="00BC27B1" w:rsidRPr="00BC27B1" w14:paraId="24A241A6" w14:textId="77777777" w:rsidTr="00BC27B1">
        <w:trPr>
          <w:trHeight w:hRule="exact" w:val="290"/>
          <w:jc w:val="center"/>
        </w:trPr>
        <w:tc>
          <w:tcPr>
            <w:tcW w:w="305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7962E60" w14:textId="77777777" w:rsidR="00BC27B1" w:rsidRPr="00BC27B1" w:rsidRDefault="00BC27B1" w:rsidP="00BC27B1">
            <w:pPr>
              <w:rPr>
                <w:rFonts w:ascii="Calibri" w:eastAsia="Times New Roman" w:hAnsi="Calibri" w:cs="Calibri"/>
                <w:b/>
                <w:bCs/>
                <w:color w:val="000000"/>
              </w:rPr>
            </w:pPr>
            <w:r w:rsidRPr="00BC27B1">
              <w:rPr>
                <w:rFonts w:ascii="Calibri" w:eastAsia="Times New Roman" w:hAnsi="Calibri" w:cs="Calibri"/>
                <w:b/>
                <w:bCs/>
                <w:color w:val="000000"/>
              </w:rPr>
              <w:t xml:space="preserve">TOTAL       </w:t>
            </w:r>
          </w:p>
        </w:tc>
        <w:tc>
          <w:tcPr>
            <w:tcW w:w="1034" w:type="dxa"/>
            <w:tcBorders>
              <w:top w:val="nil"/>
              <w:left w:val="nil"/>
              <w:bottom w:val="single" w:sz="4" w:space="0" w:color="auto"/>
              <w:right w:val="single" w:sz="4" w:space="0" w:color="auto"/>
            </w:tcBorders>
            <w:shd w:val="clear" w:color="auto" w:fill="auto"/>
            <w:vAlign w:val="center"/>
            <w:hideMark/>
          </w:tcPr>
          <w:p w14:paraId="377E0479"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100.0%</w:t>
            </w:r>
          </w:p>
        </w:tc>
        <w:tc>
          <w:tcPr>
            <w:tcW w:w="1150" w:type="dxa"/>
            <w:tcBorders>
              <w:top w:val="nil"/>
              <w:left w:val="nil"/>
              <w:bottom w:val="single" w:sz="4" w:space="0" w:color="auto"/>
              <w:right w:val="single" w:sz="4" w:space="0" w:color="auto"/>
            </w:tcBorders>
            <w:shd w:val="clear" w:color="auto" w:fill="auto"/>
            <w:vAlign w:val="center"/>
            <w:hideMark/>
          </w:tcPr>
          <w:p w14:paraId="787E6980" w14:textId="77777777" w:rsidR="00BC27B1" w:rsidRPr="00BC27B1" w:rsidRDefault="00BC27B1" w:rsidP="00BC27B1">
            <w:pPr>
              <w:jc w:val="right"/>
              <w:rPr>
                <w:rFonts w:ascii="Calibri" w:eastAsia="Times New Roman" w:hAnsi="Calibri" w:cs="Calibri"/>
                <w:b/>
                <w:bCs/>
                <w:color w:val="000000"/>
              </w:rPr>
            </w:pPr>
            <w:r w:rsidRPr="00BC27B1">
              <w:rPr>
                <w:rFonts w:ascii="Calibri" w:eastAsia="Times New Roman" w:hAnsi="Calibri" w:cs="Calibri"/>
                <w:b/>
                <w:bCs/>
                <w:color w:val="000000"/>
              </w:rPr>
              <w:t>100.0%</w:t>
            </w:r>
          </w:p>
        </w:tc>
      </w:tr>
      <w:tr w:rsidR="00BC27B1" w:rsidRPr="00BC27B1" w14:paraId="523BB0DE" w14:textId="77777777" w:rsidTr="00BC27B1">
        <w:trPr>
          <w:trHeight w:hRule="exac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3A44C63E"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Managed Medicaid: Private Medicaid/Medicaid MCOs</w:t>
            </w:r>
          </w:p>
          <w:p w14:paraId="7B761222"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Managed Medicare: Private</w:t>
            </w:r>
          </w:p>
          <w:p w14:paraId="7BA2ABD7"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Managed Medicare: Private Medicare/Medicare Advantage</w:t>
            </w:r>
          </w:p>
          <w:p w14:paraId="2AA7634C" w14:textId="77777777" w:rsidR="00BC27B1" w:rsidRPr="00BC27B1" w:rsidRDefault="00BC27B1" w:rsidP="00BC27B1">
            <w:pPr>
              <w:rPr>
                <w:rFonts w:ascii="Calibri" w:eastAsia="Times New Roman" w:hAnsi="Calibri" w:cs="Calibri"/>
                <w:i/>
                <w:iCs/>
                <w:color w:val="000000"/>
                <w:sz w:val="22"/>
                <w:szCs w:val="22"/>
              </w:rPr>
            </w:pPr>
          </w:p>
          <w:p w14:paraId="7FBD3160" w14:textId="72992EC0"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 xml:space="preserve">All other: e.g. HSN, self-pay, </w:t>
            </w:r>
            <w:proofErr w:type="spellStart"/>
            <w:r w:rsidRPr="00BC27B1">
              <w:rPr>
                <w:rFonts w:ascii="Calibri" w:eastAsia="Times New Roman" w:hAnsi="Calibri" w:cs="Calibri"/>
                <w:i/>
                <w:iCs/>
                <w:color w:val="000000"/>
                <w:sz w:val="22"/>
                <w:szCs w:val="22"/>
              </w:rPr>
              <w:t>TriCare</w:t>
            </w:r>
            <w:proofErr w:type="spellEnd"/>
          </w:p>
        </w:tc>
        <w:tc>
          <w:tcPr>
            <w:tcW w:w="1034" w:type="dxa"/>
            <w:tcBorders>
              <w:top w:val="nil"/>
              <w:left w:val="single" w:sz="4" w:space="0" w:color="auto"/>
              <w:bottom w:val="single" w:sz="4" w:space="0" w:color="auto"/>
              <w:right w:val="single" w:sz="4" w:space="0" w:color="auto"/>
            </w:tcBorders>
            <w:shd w:val="clear" w:color="auto" w:fill="auto"/>
            <w:vAlign w:val="center"/>
            <w:hideMark/>
          </w:tcPr>
          <w:p w14:paraId="181C394C"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 </w:t>
            </w:r>
          </w:p>
        </w:tc>
        <w:tc>
          <w:tcPr>
            <w:tcW w:w="1150" w:type="dxa"/>
            <w:tcBorders>
              <w:top w:val="nil"/>
              <w:left w:val="nil"/>
              <w:bottom w:val="single" w:sz="4" w:space="0" w:color="auto"/>
              <w:right w:val="single" w:sz="4" w:space="0" w:color="auto"/>
            </w:tcBorders>
            <w:shd w:val="clear" w:color="auto" w:fill="auto"/>
            <w:vAlign w:val="center"/>
            <w:hideMark/>
          </w:tcPr>
          <w:p w14:paraId="0DCED12F"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 </w:t>
            </w:r>
          </w:p>
        </w:tc>
      </w:tr>
      <w:tr w:rsidR="00BC27B1" w:rsidRPr="00BC27B1" w14:paraId="0C2B8C4C" w14:textId="77777777" w:rsidTr="00BC27B1">
        <w:trPr>
          <w:trHeight w:hRule="exact" w:val="290"/>
          <w:jc w:val="center"/>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CD303" w14:textId="454ADF02" w:rsidR="00BC27B1" w:rsidRPr="00BC27B1" w:rsidRDefault="00BC27B1" w:rsidP="00BC27B1">
            <w:pPr>
              <w:rPr>
                <w:rFonts w:ascii="Aptos Narrow" w:eastAsia="Times New Roman" w:hAnsi="Aptos Narrow" w:cs="Times New Roman"/>
                <w:color w:val="000000"/>
                <w:sz w:val="22"/>
                <w:szCs w:val="22"/>
              </w:rPr>
            </w:pPr>
            <w:r w:rsidRPr="00BC27B1">
              <w:rPr>
                <w:rFonts w:ascii="Aptos Narrow" w:eastAsia="Times New Roman" w:hAnsi="Aptos Narrow" w:cs="Times New Roman"/>
                <w:i/>
                <w:iCs/>
                <w:color w:val="000000"/>
                <w:sz w:val="22"/>
                <w:szCs w:val="22"/>
              </w:rPr>
              <w:t xml:space="preserve">Managed </w:t>
            </w:r>
            <w:r w:rsidR="00EA429F" w:rsidRPr="00BC27B1">
              <w:rPr>
                <w:rFonts w:ascii="Aptos Narrow" w:eastAsia="Times New Roman" w:hAnsi="Aptos Narrow" w:cs="Times New Roman"/>
                <w:i/>
                <w:iCs/>
                <w:color w:val="000000"/>
                <w:sz w:val="22"/>
                <w:szCs w:val="22"/>
              </w:rPr>
              <w:t>Medic</w:t>
            </w:r>
            <w:r w:rsidR="00EA429F">
              <w:rPr>
                <w:rFonts w:ascii="Aptos Narrow" w:eastAsia="Times New Roman" w:hAnsi="Aptos Narrow" w:cs="Times New Roman"/>
                <w:i/>
                <w:iCs/>
                <w:color w:val="000000"/>
                <w:sz w:val="22"/>
                <w:szCs w:val="22"/>
              </w:rPr>
              <w:t>are</w:t>
            </w:r>
            <w:r w:rsidRPr="00BC27B1">
              <w:rPr>
                <w:rFonts w:ascii="Aptos Narrow" w:eastAsia="Times New Roman" w:hAnsi="Aptos Narrow" w:cs="Times New Roman"/>
                <w:i/>
                <w:iCs/>
                <w:color w:val="000000"/>
                <w:sz w:val="22"/>
                <w:szCs w:val="22"/>
              </w:rPr>
              <w:t>: Private</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14:paraId="4BC7E10C"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 </w:t>
            </w:r>
          </w:p>
        </w:tc>
        <w:tc>
          <w:tcPr>
            <w:tcW w:w="1150" w:type="dxa"/>
            <w:tcBorders>
              <w:top w:val="nil"/>
              <w:left w:val="nil"/>
              <w:bottom w:val="single" w:sz="4" w:space="0" w:color="auto"/>
              <w:right w:val="single" w:sz="4" w:space="0" w:color="auto"/>
            </w:tcBorders>
            <w:shd w:val="clear" w:color="auto" w:fill="auto"/>
            <w:vAlign w:val="center"/>
            <w:hideMark/>
          </w:tcPr>
          <w:p w14:paraId="4E1163B9"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 </w:t>
            </w:r>
          </w:p>
        </w:tc>
      </w:tr>
      <w:tr w:rsidR="00BC27B1" w:rsidRPr="00BC27B1" w14:paraId="42C6F36F" w14:textId="77777777" w:rsidTr="009B65D3">
        <w:trPr>
          <w:trHeight w:hRule="exact" w:val="290"/>
          <w:jc w:val="center"/>
        </w:trPr>
        <w:tc>
          <w:tcPr>
            <w:tcW w:w="4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DC2B2" w14:textId="6CED20CC" w:rsidR="00BC27B1" w:rsidRDefault="00BC27B1" w:rsidP="00BC27B1">
            <w:pPr>
              <w:rPr>
                <w:rFonts w:ascii="Calibri" w:hAnsi="Calibri" w:cs="Calibri"/>
                <w:i/>
                <w:iCs/>
                <w:color w:val="000000"/>
                <w:sz w:val="22"/>
                <w:szCs w:val="22"/>
              </w:rPr>
            </w:pPr>
            <w:r>
              <w:rPr>
                <w:rFonts w:ascii="Calibri" w:hAnsi="Calibri" w:cs="Calibri"/>
                <w:i/>
                <w:iCs/>
                <w:color w:val="000000"/>
                <w:sz w:val="22"/>
                <w:szCs w:val="22"/>
              </w:rPr>
              <w:t xml:space="preserve">All other: e.g. HSN, self-pay, </w:t>
            </w:r>
            <w:proofErr w:type="spellStart"/>
            <w:r>
              <w:rPr>
                <w:rFonts w:ascii="Calibri" w:hAnsi="Calibri" w:cs="Calibri"/>
                <w:i/>
                <w:iCs/>
                <w:color w:val="000000"/>
                <w:sz w:val="22"/>
                <w:szCs w:val="22"/>
              </w:rPr>
              <w:t>TriCare</w:t>
            </w:r>
            <w:proofErr w:type="spellEnd"/>
          </w:p>
          <w:p w14:paraId="30233504"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 </w:t>
            </w:r>
          </w:p>
        </w:tc>
        <w:tc>
          <w:tcPr>
            <w:tcW w:w="1150" w:type="dxa"/>
            <w:tcBorders>
              <w:top w:val="nil"/>
              <w:left w:val="nil"/>
              <w:bottom w:val="single" w:sz="4" w:space="0" w:color="auto"/>
              <w:right w:val="single" w:sz="4" w:space="0" w:color="auto"/>
            </w:tcBorders>
            <w:shd w:val="clear" w:color="auto" w:fill="auto"/>
            <w:vAlign w:val="center"/>
            <w:hideMark/>
          </w:tcPr>
          <w:p w14:paraId="51B5B3FE" w14:textId="77777777" w:rsidR="00BC27B1" w:rsidRPr="00BC27B1" w:rsidRDefault="00BC27B1" w:rsidP="00BC27B1">
            <w:pPr>
              <w:rPr>
                <w:rFonts w:ascii="Calibri" w:eastAsia="Times New Roman" w:hAnsi="Calibri" w:cs="Calibri"/>
                <w:i/>
                <w:iCs/>
                <w:color w:val="000000"/>
                <w:sz w:val="22"/>
                <w:szCs w:val="22"/>
              </w:rPr>
            </w:pPr>
            <w:r w:rsidRPr="00BC27B1">
              <w:rPr>
                <w:rFonts w:ascii="Calibri" w:eastAsia="Times New Roman" w:hAnsi="Calibri" w:cs="Calibri"/>
                <w:i/>
                <w:iCs/>
                <w:color w:val="000000"/>
                <w:sz w:val="22"/>
                <w:szCs w:val="22"/>
              </w:rPr>
              <w:t> </w:t>
            </w:r>
          </w:p>
        </w:tc>
      </w:tr>
    </w:tbl>
    <w:p w14:paraId="60066389" w14:textId="77777777" w:rsidR="00474BD9" w:rsidRPr="00474BD9" w:rsidRDefault="00474BD9" w:rsidP="00474BD9"/>
    <w:p w14:paraId="47BC1640" w14:textId="46A64744" w:rsidR="001051E0" w:rsidRDefault="6B3260A9" w:rsidP="2840621B">
      <w:pPr>
        <w:spacing w:after="240"/>
        <w:textAlignment w:val="baseline"/>
        <w:rPr>
          <w:rFonts w:ascii="Calibri" w:eastAsia="Calibri" w:hAnsi="Calibri" w:cs="Times New Roman"/>
          <w:color w:val="000000"/>
          <w:spacing w:val="-1"/>
        </w:rPr>
      </w:pPr>
      <w:r w:rsidRPr="00BC27B1">
        <w:rPr>
          <w:b/>
          <w:bCs/>
        </w:rPr>
        <w:t>Payor Mix:</w:t>
      </w:r>
      <w:r w:rsidR="1B7AEE57">
        <w:rPr>
          <w:b/>
          <w:bCs/>
        </w:rPr>
        <w:t xml:space="preserve">  </w:t>
      </w:r>
      <w:r w:rsidR="1B7AEE57" w:rsidRPr="000A5E8B">
        <w:t xml:space="preserve">Table </w:t>
      </w:r>
      <w:r w:rsidR="00BAF11A" w:rsidRPr="000A5E8B">
        <w:t>3</w:t>
      </w:r>
      <w:r w:rsidR="1B7AEE57">
        <w:rPr>
          <w:b/>
          <w:bCs/>
        </w:rPr>
        <w:t xml:space="preserve"> </w:t>
      </w:r>
      <w:r w:rsidR="1B7AEE57" w:rsidRPr="2840621B">
        <w:rPr>
          <w:rFonts w:ascii="Calibri" w:eastAsia="Calibri" w:hAnsi="Calibri" w:cs="Times New Roman"/>
          <w:color w:val="000000"/>
          <w:spacing w:val="-1"/>
        </w:rPr>
        <w:t>shows that the UMMHC hospitals and MRMC populations that participate in government insurance programs</w:t>
      </w:r>
      <w:r w:rsidR="3DF119A5" w:rsidRPr="2840621B">
        <w:rPr>
          <w:rFonts w:ascii="Calibri" w:eastAsia="Calibri" w:hAnsi="Calibri" w:cs="Times New Roman"/>
          <w:color w:val="000000"/>
          <w:spacing w:val="-1"/>
        </w:rPr>
        <w:t xml:space="preserve"> is as follows:</w:t>
      </w:r>
      <w:r w:rsidR="71817585" w:rsidRPr="2840621B">
        <w:rPr>
          <w:rFonts w:ascii="Calibri" w:eastAsia="Calibri" w:hAnsi="Calibri" w:cs="Times New Roman"/>
          <w:color w:val="000000"/>
          <w:spacing w:val="-1"/>
        </w:rPr>
        <w:t xml:space="preserve"> </w:t>
      </w:r>
      <w:r w:rsidR="58881EB9" w:rsidRPr="2840621B">
        <w:rPr>
          <w:rFonts w:ascii="Calibri" w:eastAsia="Calibri" w:hAnsi="Calibri" w:cs="Times New Roman"/>
          <w:color w:val="000000"/>
          <w:spacing w:val="-1"/>
        </w:rPr>
        <w:t>d</w:t>
      </w:r>
      <w:r w:rsidR="1B7AEE57" w:rsidRPr="2840621B">
        <w:rPr>
          <w:rFonts w:ascii="Calibri" w:eastAsia="Calibri" w:hAnsi="Calibri" w:cs="Times New Roman"/>
          <w:color w:val="000000"/>
          <w:spacing w:val="-1"/>
        </w:rPr>
        <w:t xml:space="preserve">uring Fiscal Year 2023, UMMHC served </w:t>
      </w:r>
      <w:r w:rsidR="3E0E66CD" w:rsidRPr="2840621B">
        <w:rPr>
          <w:rFonts w:ascii="Calibri" w:eastAsia="Calibri" w:hAnsi="Calibri" w:cs="Times New Roman"/>
          <w:color w:val="000000"/>
          <w:spacing w:val="-1"/>
        </w:rPr>
        <w:t>~</w:t>
      </w:r>
      <w:r w:rsidR="1B7AEE57" w:rsidRPr="2840621B">
        <w:rPr>
          <w:rFonts w:ascii="Calibri" w:eastAsia="Calibri" w:hAnsi="Calibri" w:cs="Times New Roman"/>
          <w:color w:val="000000"/>
          <w:spacing w:val="-1"/>
        </w:rPr>
        <w:t xml:space="preserve">29% commercially insured patients, </w:t>
      </w:r>
      <w:r w:rsidR="3E0E66CD" w:rsidRPr="2840621B">
        <w:rPr>
          <w:rFonts w:ascii="Calibri" w:eastAsia="Calibri" w:hAnsi="Calibri" w:cs="Times New Roman"/>
          <w:color w:val="000000"/>
          <w:spacing w:val="-1"/>
        </w:rPr>
        <w:t>~</w:t>
      </w:r>
      <w:r w:rsidR="1B7AEE57" w:rsidRPr="2840621B">
        <w:rPr>
          <w:rFonts w:ascii="Calibri" w:eastAsia="Calibri" w:hAnsi="Calibri" w:cs="Times New Roman"/>
          <w:color w:val="000000"/>
          <w:spacing w:val="-1"/>
        </w:rPr>
        <w:t>2</w:t>
      </w:r>
      <w:r w:rsidR="3E0E66CD" w:rsidRPr="2840621B">
        <w:rPr>
          <w:rFonts w:ascii="Calibri" w:eastAsia="Calibri" w:hAnsi="Calibri" w:cs="Times New Roman"/>
          <w:color w:val="000000"/>
          <w:spacing w:val="-1"/>
        </w:rPr>
        <w:t>4</w:t>
      </w:r>
      <w:r w:rsidR="1B7AEE57" w:rsidRPr="2840621B">
        <w:rPr>
          <w:rFonts w:ascii="Calibri" w:eastAsia="Calibri" w:hAnsi="Calibri" w:cs="Times New Roman"/>
          <w:color w:val="000000"/>
          <w:spacing w:val="-1"/>
        </w:rPr>
        <w:t xml:space="preserve">% Medicaid, </w:t>
      </w:r>
      <w:r w:rsidR="3E0E66CD" w:rsidRPr="2840621B">
        <w:rPr>
          <w:rFonts w:ascii="Calibri" w:eastAsia="Calibri" w:hAnsi="Calibri" w:cs="Times New Roman"/>
          <w:color w:val="000000"/>
          <w:spacing w:val="-1"/>
        </w:rPr>
        <w:t>~</w:t>
      </w:r>
      <w:r w:rsidR="1B7AEE57" w:rsidRPr="2840621B">
        <w:rPr>
          <w:rFonts w:ascii="Calibri" w:eastAsia="Calibri" w:hAnsi="Calibri" w:cs="Times New Roman"/>
          <w:color w:val="000000"/>
          <w:spacing w:val="-1"/>
        </w:rPr>
        <w:t xml:space="preserve">44% Medicare and 3.4% all other payor classes. During Fiscal Year 2023, MRMC served </w:t>
      </w:r>
      <w:r w:rsidR="3E0E66CD" w:rsidRPr="2840621B">
        <w:rPr>
          <w:rFonts w:ascii="Calibri" w:eastAsia="Calibri" w:hAnsi="Calibri" w:cs="Times New Roman"/>
          <w:color w:val="000000"/>
          <w:spacing w:val="-1"/>
        </w:rPr>
        <w:t>~</w:t>
      </w:r>
      <w:r w:rsidR="1B7AEE57" w:rsidRPr="2840621B">
        <w:rPr>
          <w:rFonts w:ascii="Calibri" w:eastAsia="Calibri" w:hAnsi="Calibri" w:cs="Times New Roman"/>
          <w:color w:val="000000"/>
          <w:spacing w:val="-1"/>
        </w:rPr>
        <w:t xml:space="preserve">38% commercially insured patients, 15% Medicaid, </w:t>
      </w:r>
      <w:r w:rsidR="3E0E66CD" w:rsidRPr="2840621B">
        <w:rPr>
          <w:rFonts w:ascii="Calibri" w:eastAsia="Calibri" w:hAnsi="Calibri" w:cs="Times New Roman"/>
          <w:color w:val="000000"/>
          <w:spacing w:val="-1"/>
        </w:rPr>
        <w:t>~</w:t>
      </w:r>
      <w:r w:rsidR="1B7AEE57" w:rsidRPr="2840621B">
        <w:rPr>
          <w:rFonts w:ascii="Calibri" w:eastAsia="Calibri" w:hAnsi="Calibri" w:cs="Times New Roman"/>
          <w:color w:val="000000"/>
          <w:spacing w:val="-1"/>
        </w:rPr>
        <w:t>45% Medicare and 2.2% all other payor classes.</w:t>
      </w:r>
      <w:r w:rsidR="0A42D0FC" w:rsidRPr="5326C409">
        <w:rPr>
          <w:rFonts w:ascii="Calibri" w:eastAsia="Calibri" w:hAnsi="Calibri" w:cs="Times New Roman"/>
          <w:color w:val="000000" w:themeColor="text1"/>
        </w:rPr>
        <w:t xml:space="preserve"> Staff notes that all of</w:t>
      </w:r>
      <w:r w:rsidR="0A42D0FC" w:rsidRPr="2840621B">
        <w:rPr>
          <w:rFonts w:ascii="Calibri" w:eastAsia="Calibri" w:hAnsi="Calibri" w:cs="Times New Roman"/>
          <w:color w:val="000000"/>
          <w:spacing w:val="-1"/>
        </w:rPr>
        <w:t xml:space="preserve"> the UMMHC hospital</w:t>
      </w:r>
      <w:r w:rsidR="34197DED" w:rsidRPr="5326C409">
        <w:rPr>
          <w:rFonts w:ascii="Calibri" w:eastAsia="Calibri" w:hAnsi="Calibri" w:cs="Times New Roman"/>
          <w:color w:val="000000" w:themeColor="text1"/>
        </w:rPr>
        <w:t>s are designated</w:t>
      </w:r>
      <w:r w:rsidR="34197DED" w:rsidRPr="2840621B">
        <w:rPr>
          <w:rFonts w:ascii="Calibri" w:eastAsia="Calibri" w:hAnsi="Calibri" w:cs="Times New Roman"/>
          <w:color w:val="000000"/>
          <w:spacing w:val="-1"/>
        </w:rPr>
        <w:t xml:space="preserve"> by CHIA as high public paying hospitals</w:t>
      </w:r>
      <w:r w:rsidR="02906A4E" w:rsidRPr="2840621B">
        <w:rPr>
          <w:rFonts w:ascii="Calibri" w:eastAsia="Calibri" w:hAnsi="Calibri" w:cs="Times New Roman"/>
          <w:color w:val="000000"/>
          <w:spacing w:val="-1"/>
        </w:rPr>
        <w:t>. Milford does not have this designation</w:t>
      </w:r>
      <w:r w:rsidR="5B6908FC" w:rsidRPr="2840621B">
        <w:rPr>
          <w:rFonts w:ascii="Calibri" w:eastAsia="Calibri" w:hAnsi="Calibri" w:cs="Times New Roman"/>
          <w:color w:val="000000"/>
          <w:spacing w:val="-1"/>
        </w:rPr>
        <w:t xml:space="preserve"> as its total public payer-mix is lower, 61.6%</w:t>
      </w:r>
      <w:r w:rsidR="53E71E74" w:rsidRPr="2840621B">
        <w:rPr>
          <w:rFonts w:ascii="Calibri" w:eastAsia="Calibri" w:hAnsi="Calibri" w:cs="Times New Roman"/>
          <w:color w:val="000000"/>
          <w:spacing w:val="-1"/>
        </w:rPr>
        <w:t>.</w:t>
      </w:r>
    </w:p>
    <w:p w14:paraId="3B4A0E98" w14:textId="5A61D596" w:rsidR="00CF566E" w:rsidRDefault="005C38FE" w:rsidP="005C38FE">
      <w:pPr>
        <w:rPr>
          <w:rFonts w:ascii="Calibri" w:hAnsi="Calibri" w:cs="Calibri"/>
        </w:rPr>
      </w:pPr>
      <w:r w:rsidRPr="6CE004FB">
        <w:rPr>
          <w:rFonts w:ascii="Calibri" w:hAnsi="Calibri" w:cs="Calibri"/>
        </w:rPr>
        <w:t>The Applicant provided seven years of utilization data for both the academic medical center and for MR</w:t>
      </w:r>
      <w:r w:rsidR="00265B00">
        <w:rPr>
          <w:rFonts w:ascii="Calibri" w:hAnsi="Calibri" w:cs="Calibri"/>
        </w:rPr>
        <w:t>M</w:t>
      </w:r>
      <w:r w:rsidRPr="6CE004FB">
        <w:rPr>
          <w:rFonts w:ascii="Calibri" w:hAnsi="Calibri" w:cs="Calibri"/>
        </w:rPr>
        <w:t>C that includes discharges, total and staffed beds, and occupancy rates for seven years. The data show that both UMMMC and MR</w:t>
      </w:r>
      <w:r w:rsidR="00265B00">
        <w:rPr>
          <w:rFonts w:ascii="Calibri" w:hAnsi="Calibri" w:cs="Calibri"/>
        </w:rPr>
        <w:t>M</w:t>
      </w:r>
      <w:r w:rsidRPr="6CE004FB">
        <w:rPr>
          <w:rFonts w:ascii="Calibri" w:hAnsi="Calibri" w:cs="Calibri"/>
        </w:rPr>
        <w:t xml:space="preserve">C have </w:t>
      </w:r>
      <w:r w:rsidR="00892713" w:rsidRPr="6CE004FB">
        <w:rPr>
          <w:rFonts w:ascii="Calibri" w:hAnsi="Calibri" w:cs="Calibri"/>
        </w:rPr>
        <w:t xml:space="preserve">high occupancy rates and have </w:t>
      </w:r>
      <w:r w:rsidRPr="6CE004FB">
        <w:rPr>
          <w:rFonts w:ascii="Calibri" w:hAnsi="Calibri" w:cs="Calibri"/>
        </w:rPr>
        <w:t xml:space="preserve">exceeded their utilization </w:t>
      </w:r>
      <w:r w:rsidR="00892713" w:rsidRPr="6CE004FB">
        <w:rPr>
          <w:rFonts w:ascii="Calibri" w:hAnsi="Calibri" w:cs="Calibri"/>
        </w:rPr>
        <w:t xml:space="preserve">levels from before the </w:t>
      </w:r>
      <w:r w:rsidRPr="6CE004FB">
        <w:rPr>
          <w:rFonts w:ascii="Calibri" w:hAnsi="Calibri" w:cs="Calibri"/>
        </w:rPr>
        <w:t>COVID pandemic. (See tables 4 and 5)</w:t>
      </w:r>
      <w:r w:rsidR="00892713" w:rsidRPr="6CE004FB">
        <w:rPr>
          <w:rFonts w:ascii="Calibri" w:hAnsi="Calibri" w:cs="Calibri"/>
        </w:rPr>
        <w:t>.</w:t>
      </w:r>
    </w:p>
    <w:p w14:paraId="7DA0DA00" w14:textId="2F47245B" w:rsidR="6CE004FB" w:rsidRDefault="6CE004FB" w:rsidP="6CE004FB">
      <w:pPr>
        <w:rPr>
          <w:rFonts w:ascii="Calibri" w:hAnsi="Calibri" w:cs="Calibri"/>
        </w:rPr>
      </w:pPr>
    </w:p>
    <w:p w14:paraId="4ECD6AFE" w14:textId="77777777" w:rsidR="005C38FE" w:rsidRDefault="005C38FE" w:rsidP="00E96BFE">
      <w:pPr>
        <w:spacing w:line="259" w:lineRule="auto"/>
        <w:jc w:val="center"/>
        <w:rPr>
          <w:rFonts w:ascii="Calibri" w:eastAsia="Aptos" w:hAnsi="Calibri" w:cs="Calibri"/>
          <w:b/>
          <w:bCs/>
        </w:rPr>
      </w:pPr>
      <w:r w:rsidRPr="005C38FE">
        <w:rPr>
          <w:rFonts w:ascii="Calibri" w:eastAsia="Aptos" w:hAnsi="Calibri" w:cs="Calibri"/>
          <w:b/>
          <w:bCs/>
        </w:rPr>
        <w:t>Table 4:</w:t>
      </w:r>
      <w:r w:rsidRPr="005C38FE">
        <w:rPr>
          <w:rFonts w:ascii="Calibri" w:eastAsia="Aptos" w:hAnsi="Calibri" w:cs="Calibri"/>
        </w:rPr>
        <w:t xml:space="preserve"> </w:t>
      </w:r>
      <w:r w:rsidRPr="005C38FE">
        <w:rPr>
          <w:rFonts w:ascii="Calibri" w:eastAsia="Aptos" w:hAnsi="Calibri" w:cs="Calibri"/>
          <w:b/>
          <w:bCs/>
        </w:rPr>
        <w:t>UMMHC Utilization Data</w:t>
      </w:r>
    </w:p>
    <w:p w14:paraId="2827FE3B" w14:textId="77777777" w:rsidR="00E96BFE" w:rsidRPr="005C38FE" w:rsidRDefault="00E96BFE" w:rsidP="005C38FE">
      <w:pPr>
        <w:spacing w:line="259" w:lineRule="auto"/>
        <w:rPr>
          <w:rFonts w:ascii="Calibri" w:eastAsia="Aptos" w:hAnsi="Calibri" w:cs="Calibri"/>
          <w:b/>
          <w:bCs/>
        </w:rPr>
      </w:pPr>
    </w:p>
    <w:tbl>
      <w:tblPr>
        <w:tblpPr w:leftFromText="180" w:rightFromText="180" w:vertAnchor="page" w:horzAnchor="margin" w:tblpXSpec="center" w:tblpY="2241"/>
        <w:tblW w:w="9556" w:type="dxa"/>
        <w:jc w:val="center"/>
        <w:tblLook w:val="04A0" w:firstRow="1" w:lastRow="0" w:firstColumn="1" w:lastColumn="0" w:noHBand="0" w:noVBand="1"/>
      </w:tblPr>
      <w:tblGrid>
        <w:gridCol w:w="2340"/>
        <w:gridCol w:w="1160"/>
        <w:gridCol w:w="1080"/>
        <w:gridCol w:w="990"/>
        <w:gridCol w:w="990"/>
        <w:gridCol w:w="1080"/>
        <w:gridCol w:w="990"/>
        <w:gridCol w:w="926"/>
      </w:tblGrid>
      <w:tr w:rsidR="00892713" w:rsidRPr="005C38FE" w14:paraId="1739AF6C" w14:textId="77777777" w:rsidTr="282949F7">
        <w:trPr>
          <w:trHeight w:val="350"/>
          <w:jc w:val="center"/>
        </w:trPr>
        <w:tc>
          <w:tcPr>
            <w:tcW w:w="2340" w:type="dxa"/>
            <w:tcBorders>
              <w:top w:val="single" w:sz="4" w:space="0" w:color="auto"/>
              <w:left w:val="single" w:sz="4" w:space="0" w:color="auto"/>
              <w:bottom w:val="single" w:sz="4" w:space="0" w:color="auto"/>
              <w:right w:val="nil"/>
            </w:tcBorders>
            <w:shd w:val="clear" w:color="auto" w:fill="E1F9FF"/>
            <w:noWrap/>
            <w:vAlign w:val="bottom"/>
            <w:hideMark/>
          </w:tcPr>
          <w:p w14:paraId="5ABB0938" w14:textId="77777777" w:rsidR="00892713" w:rsidRPr="005C38FE" w:rsidRDefault="00892713" w:rsidP="009B65D3">
            <w:pPr>
              <w:rPr>
                <w:rFonts w:ascii="Calibri" w:eastAsia="Aptos" w:hAnsi="Calibri" w:cs="Calibri"/>
                <w:b/>
                <w:bCs/>
              </w:rPr>
            </w:pPr>
            <w:r w:rsidRPr="005C38FE">
              <w:rPr>
                <w:rFonts w:ascii="Calibri" w:eastAsia="Aptos" w:hAnsi="Calibri" w:cs="Calibri"/>
                <w:b/>
                <w:bCs/>
              </w:rPr>
              <w:t xml:space="preserve">UMMMC </w:t>
            </w:r>
          </w:p>
        </w:tc>
        <w:tc>
          <w:tcPr>
            <w:tcW w:w="1160" w:type="dxa"/>
            <w:tcBorders>
              <w:top w:val="single" w:sz="4" w:space="0" w:color="auto"/>
              <w:left w:val="single" w:sz="4" w:space="0" w:color="auto"/>
              <w:bottom w:val="single" w:sz="4" w:space="0" w:color="auto"/>
              <w:right w:val="single" w:sz="4" w:space="0" w:color="auto"/>
            </w:tcBorders>
            <w:shd w:val="clear" w:color="auto" w:fill="E1F9FF"/>
            <w:noWrap/>
            <w:vAlign w:val="bottom"/>
          </w:tcPr>
          <w:p w14:paraId="545D8DBF" w14:textId="77777777" w:rsidR="00892713" w:rsidRPr="005C38FE" w:rsidRDefault="00892713" w:rsidP="009B65D3">
            <w:pPr>
              <w:jc w:val="center"/>
              <w:rPr>
                <w:rFonts w:ascii="Calibri" w:eastAsia="Aptos" w:hAnsi="Calibri" w:cs="Calibri"/>
                <w:b/>
                <w:bCs/>
              </w:rPr>
            </w:pPr>
            <w:r w:rsidRPr="005C38FE">
              <w:rPr>
                <w:rFonts w:ascii="Calibri" w:eastAsia="Aptos" w:hAnsi="Calibri" w:cs="Calibri"/>
                <w:b/>
                <w:bCs/>
              </w:rPr>
              <w:t>FY 17</w:t>
            </w:r>
          </w:p>
        </w:tc>
        <w:tc>
          <w:tcPr>
            <w:tcW w:w="1080" w:type="dxa"/>
            <w:tcBorders>
              <w:top w:val="single" w:sz="4" w:space="0" w:color="auto"/>
              <w:left w:val="nil"/>
              <w:bottom w:val="single" w:sz="4" w:space="0" w:color="auto"/>
              <w:right w:val="single" w:sz="4" w:space="0" w:color="auto"/>
            </w:tcBorders>
            <w:shd w:val="clear" w:color="auto" w:fill="E1F9FF"/>
            <w:noWrap/>
            <w:vAlign w:val="bottom"/>
          </w:tcPr>
          <w:p w14:paraId="2413C183" w14:textId="77777777" w:rsidR="00892713" w:rsidRPr="005C38FE" w:rsidRDefault="00892713" w:rsidP="009B65D3">
            <w:pPr>
              <w:jc w:val="center"/>
              <w:rPr>
                <w:rFonts w:ascii="Calibri" w:eastAsia="Aptos" w:hAnsi="Calibri" w:cs="Calibri"/>
              </w:rPr>
            </w:pPr>
            <w:r w:rsidRPr="005C38FE">
              <w:rPr>
                <w:rFonts w:ascii="Calibri" w:eastAsia="Aptos" w:hAnsi="Calibri" w:cs="Calibri"/>
                <w:b/>
                <w:bCs/>
              </w:rPr>
              <w:t>FY18</w:t>
            </w:r>
          </w:p>
        </w:tc>
        <w:tc>
          <w:tcPr>
            <w:tcW w:w="990" w:type="dxa"/>
            <w:tcBorders>
              <w:top w:val="single" w:sz="4" w:space="0" w:color="auto"/>
              <w:left w:val="nil"/>
              <w:bottom w:val="single" w:sz="4" w:space="0" w:color="auto"/>
              <w:right w:val="single" w:sz="4" w:space="0" w:color="auto"/>
            </w:tcBorders>
            <w:shd w:val="clear" w:color="auto" w:fill="E1F9FF"/>
            <w:noWrap/>
            <w:vAlign w:val="bottom"/>
          </w:tcPr>
          <w:p w14:paraId="24F3925D" w14:textId="77777777" w:rsidR="00892713" w:rsidRPr="005C38FE" w:rsidRDefault="00892713" w:rsidP="009B65D3">
            <w:pPr>
              <w:jc w:val="center"/>
              <w:rPr>
                <w:rFonts w:ascii="Calibri" w:eastAsia="Aptos" w:hAnsi="Calibri" w:cs="Calibri"/>
              </w:rPr>
            </w:pPr>
            <w:r w:rsidRPr="005C38FE">
              <w:rPr>
                <w:rFonts w:ascii="Calibri" w:eastAsia="Aptos" w:hAnsi="Calibri" w:cs="Calibri"/>
                <w:b/>
                <w:bCs/>
              </w:rPr>
              <w:t>FY19</w:t>
            </w:r>
          </w:p>
        </w:tc>
        <w:tc>
          <w:tcPr>
            <w:tcW w:w="990" w:type="dxa"/>
            <w:tcBorders>
              <w:top w:val="single" w:sz="4" w:space="0" w:color="auto"/>
              <w:left w:val="nil"/>
              <w:bottom w:val="single" w:sz="4" w:space="0" w:color="auto"/>
              <w:right w:val="single" w:sz="4" w:space="0" w:color="auto"/>
            </w:tcBorders>
            <w:shd w:val="clear" w:color="auto" w:fill="E1F9FF"/>
            <w:noWrap/>
            <w:vAlign w:val="bottom"/>
          </w:tcPr>
          <w:p w14:paraId="2F42B01C" w14:textId="77777777" w:rsidR="00892713" w:rsidRPr="005C38FE" w:rsidRDefault="00892713" w:rsidP="009B65D3">
            <w:pPr>
              <w:jc w:val="center"/>
              <w:rPr>
                <w:rFonts w:ascii="Calibri" w:eastAsia="Aptos" w:hAnsi="Calibri" w:cs="Calibri"/>
              </w:rPr>
            </w:pPr>
            <w:r w:rsidRPr="005C38FE">
              <w:rPr>
                <w:rFonts w:ascii="Calibri" w:eastAsia="Aptos" w:hAnsi="Calibri" w:cs="Calibri"/>
                <w:b/>
                <w:bCs/>
              </w:rPr>
              <w:t>FY20</w:t>
            </w:r>
          </w:p>
        </w:tc>
        <w:tc>
          <w:tcPr>
            <w:tcW w:w="1080" w:type="dxa"/>
            <w:tcBorders>
              <w:top w:val="single" w:sz="4" w:space="0" w:color="auto"/>
              <w:left w:val="nil"/>
              <w:bottom w:val="single" w:sz="4" w:space="0" w:color="auto"/>
              <w:right w:val="single" w:sz="4" w:space="0" w:color="auto"/>
            </w:tcBorders>
            <w:shd w:val="clear" w:color="auto" w:fill="E1F9FF"/>
            <w:noWrap/>
            <w:vAlign w:val="bottom"/>
          </w:tcPr>
          <w:p w14:paraId="2C6AF019" w14:textId="77777777" w:rsidR="00892713" w:rsidRPr="005C38FE" w:rsidRDefault="00892713" w:rsidP="009B65D3">
            <w:pPr>
              <w:jc w:val="center"/>
              <w:rPr>
                <w:rFonts w:ascii="Calibri" w:eastAsia="Aptos" w:hAnsi="Calibri" w:cs="Calibri"/>
              </w:rPr>
            </w:pPr>
            <w:r w:rsidRPr="005C38FE">
              <w:rPr>
                <w:rFonts w:ascii="Calibri" w:eastAsia="Aptos" w:hAnsi="Calibri" w:cs="Calibri"/>
                <w:b/>
                <w:bCs/>
              </w:rPr>
              <w:t>FY21</w:t>
            </w:r>
          </w:p>
        </w:tc>
        <w:tc>
          <w:tcPr>
            <w:tcW w:w="990" w:type="dxa"/>
            <w:tcBorders>
              <w:top w:val="single" w:sz="4" w:space="0" w:color="auto"/>
              <w:left w:val="nil"/>
              <w:bottom w:val="single" w:sz="4" w:space="0" w:color="auto"/>
              <w:right w:val="single" w:sz="4" w:space="0" w:color="auto"/>
            </w:tcBorders>
            <w:shd w:val="clear" w:color="auto" w:fill="E1F9FF"/>
            <w:noWrap/>
            <w:vAlign w:val="bottom"/>
          </w:tcPr>
          <w:p w14:paraId="1D89C554" w14:textId="77777777" w:rsidR="00892713" w:rsidRPr="005C38FE" w:rsidRDefault="00892713" w:rsidP="009B65D3">
            <w:pPr>
              <w:jc w:val="center"/>
              <w:rPr>
                <w:rFonts w:ascii="Calibri" w:eastAsia="Aptos" w:hAnsi="Calibri" w:cs="Calibri"/>
              </w:rPr>
            </w:pPr>
            <w:r w:rsidRPr="005C38FE">
              <w:rPr>
                <w:rFonts w:ascii="Calibri" w:eastAsia="Aptos" w:hAnsi="Calibri" w:cs="Calibri"/>
                <w:b/>
                <w:bCs/>
              </w:rPr>
              <w:t>FY 22</w:t>
            </w:r>
          </w:p>
        </w:tc>
        <w:tc>
          <w:tcPr>
            <w:tcW w:w="926" w:type="dxa"/>
            <w:tcBorders>
              <w:top w:val="single" w:sz="4" w:space="0" w:color="auto"/>
              <w:left w:val="nil"/>
              <w:bottom w:val="single" w:sz="4" w:space="0" w:color="auto"/>
              <w:right w:val="single" w:sz="4" w:space="0" w:color="auto"/>
            </w:tcBorders>
            <w:shd w:val="clear" w:color="auto" w:fill="E1F9FF"/>
            <w:noWrap/>
            <w:vAlign w:val="bottom"/>
            <w:hideMark/>
          </w:tcPr>
          <w:p w14:paraId="4963DD9D" w14:textId="77777777" w:rsidR="00892713" w:rsidRPr="005C38FE" w:rsidRDefault="00892713" w:rsidP="009B65D3">
            <w:pPr>
              <w:jc w:val="center"/>
              <w:rPr>
                <w:rFonts w:ascii="Calibri" w:eastAsia="Aptos" w:hAnsi="Calibri" w:cs="Calibri"/>
              </w:rPr>
            </w:pPr>
            <w:r w:rsidRPr="005C38FE">
              <w:rPr>
                <w:rFonts w:ascii="Calibri" w:eastAsia="Aptos" w:hAnsi="Calibri" w:cs="Calibri"/>
                <w:b/>
                <w:bCs/>
              </w:rPr>
              <w:t>FY23</w:t>
            </w:r>
          </w:p>
        </w:tc>
      </w:tr>
      <w:tr w:rsidR="00892713" w:rsidRPr="005C38FE" w14:paraId="2292CC20" w14:textId="77777777" w:rsidTr="282949F7">
        <w:trPr>
          <w:trHeight w:val="354"/>
          <w:jc w:val="center"/>
        </w:trPr>
        <w:tc>
          <w:tcPr>
            <w:tcW w:w="2340" w:type="dxa"/>
            <w:tcBorders>
              <w:top w:val="single" w:sz="4" w:space="0" w:color="auto"/>
              <w:left w:val="single" w:sz="4" w:space="0" w:color="auto"/>
              <w:bottom w:val="single" w:sz="4" w:space="0" w:color="auto"/>
              <w:right w:val="nil"/>
            </w:tcBorders>
            <w:shd w:val="clear" w:color="auto" w:fill="auto"/>
            <w:noWrap/>
            <w:vAlign w:val="bottom"/>
            <w:hideMark/>
          </w:tcPr>
          <w:p w14:paraId="1B0B7E7B" w14:textId="77777777" w:rsidR="00892713" w:rsidRPr="005C38FE" w:rsidRDefault="00892713" w:rsidP="009B65D3">
            <w:pPr>
              <w:rPr>
                <w:rFonts w:ascii="Calibri" w:eastAsia="Aptos" w:hAnsi="Calibri" w:cs="Calibri"/>
              </w:rPr>
            </w:pPr>
            <w:r w:rsidRPr="005C38FE">
              <w:rPr>
                <w:rFonts w:ascii="Calibri" w:eastAsia="Aptos" w:hAnsi="Calibri" w:cs="Calibri"/>
              </w:rPr>
              <w:t>Discharges</w:t>
            </w:r>
            <w:r w:rsidRPr="005C38FE">
              <w:rPr>
                <w:rFonts w:ascii="Calibri" w:eastAsia="Aptos" w:hAnsi="Calibri" w:cs="Calibri"/>
                <w:vertAlign w:val="superscript"/>
              </w:rPr>
              <w:footnoteReference w:id="8"/>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FE9A9"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37,701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EB3BBFB"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37,668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03F5FE0"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38,214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A4E1074"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34,860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FDA2A8D"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35,734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F9F392B"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35,767 </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6A60E735"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38,231 </w:t>
            </w:r>
          </w:p>
        </w:tc>
      </w:tr>
      <w:tr w:rsidR="00892713" w:rsidRPr="005C38FE" w14:paraId="12691253" w14:textId="77777777" w:rsidTr="282949F7">
        <w:trPr>
          <w:trHeight w:val="318"/>
          <w:jc w:val="center"/>
        </w:trPr>
        <w:tc>
          <w:tcPr>
            <w:tcW w:w="2340" w:type="dxa"/>
            <w:tcBorders>
              <w:top w:val="nil"/>
              <w:left w:val="single" w:sz="4" w:space="0" w:color="auto"/>
              <w:bottom w:val="single" w:sz="4" w:space="0" w:color="auto"/>
              <w:right w:val="nil"/>
            </w:tcBorders>
            <w:shd w:val="clear" w:color="auto" w:fill="auto"/>
            <w:vAlign w:val="bottom"/>
            <w:hideMark/>
          </w:tcPr>
          <w:p w14:paraId="74ADA25E" w14:textId="77777777" w:rsidR="00892713" w:rsidRPr="005C38FE" w:rsidRDefault="00892713" w:rsidP="009B65D3">
            <w:pPr>
              <w:rPr>
                <w:rFonts w:ascii="Calibri" w:eastAsia="Aptos" w:hAnsi="Calibri" w:cs="Calibri"/>
              </w:rPr>
            </w:pPr>
            <w:r w:rsidRPr="005C38FE">
              <w:rPr>
                <w:rFonts w:ascii="Calibri" w:eastAsia="Aptos" w:hAnsi="Calibri" w:cs="Calibri"/>
              </w:rPr>
              <w:t>Licensed Beds</w:t>
            </w:r>
            <w:r w:rsidRPr="005C38FE">
              <w:rPr>
                <w:rFonts w:ascii="Calibri" w:eastAsia="Aptos" w:hAnsi="Calibri" w:cs="Calibri"/>
                <w:vertAlign w:val="superscript"/>
              </w:rPr>
              <w:footnoteReference w:id="9"/>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43AD993"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777 </w:t>
            </w:r>
          </w:p>
        </w:tc>
        <w:tc>
          <w:tcPr>
            <w:tcW w:w="1080" w:type="dxa"/>
            <w:tcBorders>
              <w:top w:val="nil"/>
              <w:left w:val="nil"/>
              <w:bottom w:val="single" w:sz="4" w:space="0" w:color="auto"/>
              <w:right w:val="single" w:sz="4" w:space="0" w:color="auto"/>
            </w:tcBorders>
            <w:shd w:val="clear" w:color="auto" w:fill="auto"/>
            <w:noWrap/>
            <w:vAlign w:val="bottom"/>
            <w:hideMark/>
          </w:tcPr>
          <w:p w14:paraId="20B9A5C2"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733 </w:t>
            </w:r>
          </w:p>
        </w:tc>
        <w:tc>
          <w:tcPr>
            <w:tcW w:w="990" w:type="dxa"/>
            <w:tcBorders>
              <w:top w:val="nil"/>
              <w:left w:val="nil"/>
              <w:bottom w:val="single" w:sz="4" w:space="0" w:color="auto"/>
              <w:right w:val="single" w:sz="4" w:space="0" w:color="auto"/>
            </w:tcBorders>
            <w:shd w:val="clear" w:color="auto" w:fill="auto"/>
            <w:noWrap/>
            <w:vAlign w:val="bottom"/>
            <w:hideMark/>
          </w:tcPr>
          <w:p w14:paraId="0D18D6A7"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733 </w:t>
            </w:r>
          </w:p>
        </w:tc>
        <w:tc>
          <w:tcPr>
            <w:tcW w:w="990" w:type="dxa"/>
            <w:tcBorders>
              <w:top w:val="nil"/>
              <w:left w:val="nil"/>
              <w:bottom w:val="single" w:sz="4" w:space="0" w:color="auto"/>
              <w:right w:val="single" w:sz="4" w:space="0" w:color="auto"/>
            </w:tcBorders>
            <w:shd w:val="clear" w:color="auto" w:fill="auto"/>
            <w:noWrap/>
            <w:vAlign w:val="bottom"/>
            <w:hideMark/>
          </w:tcPr>
          <w:p w14:paraId="0CEF699C"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747 </w:t>
            </w:r>
          </w:p>
        </w:tc>
        <w:tc>
          <w:tcPr>
            <w:tcW w:w="1080" w:type="dxa"/>
            <w:tcBorders>
              <w:top w:val="nil"/>
              <w:left w:val="nil"/>
              <w:bottom w:val="single" w:sz="4" w:space="0" w:color="auto"/>
              <w:right w:val="single" w:sz="4" w:space="0" w:color="auto"/>
            </w:tcBorders>
            <w:shd w:val="clear" w:color="auto" w:fill="auto"/>
            <w:noWrap/>
            <w:vAlign w:val="bottom"/>
            <w:hideMark/>
          </w:tcPr>
          <w:p w14:paraId="57B34E34"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749 </w:t>
            </w:r>
          </w:p>
        </w:tc>
        <w:tc>
          <w:tcPr>
            <w:tcW w:w="990" w:type="dxa"/>
            <w:tcBorders>
              <w:top w:val="nil"/>
              <w:left w:val="nil"/>
              <w:bottom w:val="single" w:sz="4" w:space="0" w:color="auto"/>
              <w:right w:val="single" w:sz="4" w:space="0" w:color="auto"/>
            </w:tcBorders>
            <w:shd w:val="clear" w:color="auto" w:fill="auto"/>
            <w:noWrap/>
            <w:vAlign w:val="bottom"/>
            <w:hideMark/>
          </w:tcPr>
          <w:p w14:paraId="14CBF424"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749 </w:t>
            </w:r>
          </w:p>
        </w:tc>
        <w:tc>
          <w:tcPr>
            <w:tcW w:w="926" w:type="dxa"/>
            <w:tcBorders>
              <w:top w:val="nil"/>
              <w:left w:val="nil"/>
              <w:bottom w:val="single" w:sz="4" w:space="0" w:color="auto"/>
              <w:right w:val="single" w:sz="4" w:space="0" w:color="auto"/>
            </w:tcBorders>
            <w:shd w:val="clear" w:color="auto" w:fill="auto"/>
            <w:noWrap/>
            <w:vAlign w:val="bottom"/>
            <w:hideMark/>
          </w:tcPr>
          <w:p w14:paraId="6F61B4FC"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747 </w:t>
            </w:r>
          </w:p>
        </w:tc>
      </w:tr>
      <w:tr w:rsidR="00892713" w:rsidRPr="005C38FE" w14:paraId="6C6B8375" w14:textId="77777777" w:rsidTr="282949F7">
        <w:trPr>
          <w:trHeight w:val="354"/>
          <w:jc w:val="center"/>
        </w:trPr>
        <w:tc>
          <w:tcPr>
            <w:tcW w:w="2340" w:type="dxa"/>
            <w:tcBorders>
              <w:top w:val="nil"/>
              <w:left w:val="single" w:sz="4" w:space="0" w:color="auto"/>
              <w:bottom w:val="single" w:sz="4" w:space="0" w:color="auto"/>
              <w:right w:val="nil"/>
            </w:tcBorders>
            <w:shd w:val="clear" w:color="auto" w:fill="auto"/>
            <w:vAlign w:val="bottom"/>
            <w:hideMark/>
          </w:tcPr>
          <w:p w14:paraId="63F0A77B" w14:textId="77777777" w:rsidR="00892713" w:rsidRPr="005C38FE" w:rsidRDefault="00892713" w:rsidP="009B65D3">
            <w:pPr>
              <w:rPr>
                <w:rFonts w:ascii="Calibri" w:eastAsia="Aptos" w:hAnsi="Calibri" w:cs="Calibri"/>
              </w:rPr>
            </w:pPr>
            <w:r w:rsidRPr="005C38FE">
              <w:rPr>
                <w:rFonts w:ascii="Calibri" w:eastAsia="Aptos" w:hAnsi="Calibri" w:cs="Calibri"/>
              </w:rPr>
              <w:t>Staffed Beds</w:t>
            </w:r>
            <w:r w:rsidRPr="005C38FE">
              <w:rPr>
                <w:rFonts w:ascii="Calibri" w:eastAsia="Aptos" w:hAnsi="Calibri" w:cs="Calibri"/>
                <w:vertAlign w:val="superscript"/>
              </w:rPr>
              <w:t>2</w:t>
            </w:r>
            <w:r w:rsidRPr="005C38FE">
              <w:rPr>
                <w:rFonts w:ascii="Calibri" w:eastAsia="Aptos" w:hAnsi="Calibri" w:cs="Calibri"/>
              </w:rPr>
              <w:t xml:space="preserve">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25615C4"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654 </w:t>
            </w:r>
          </w:p>
        </w:tc>
        <w:tc>
          <w:tcPr>
            <w:tcW w:w="1080" w:type="dxa"/>
            <w:tcBorders>
              <w:top w:val="nil"/>
              <w:left w:val="nil"/>
              <w:bottom w:val="single" w:sz="4" w:space="0" w:color="auto"/>
              <w:right w:val="single" w:sz="4" w:space="0" w:color="auto"/>
            </w:tcBorders>
            <w:shd w:val="clear" w:color="auto" w:fill="auto"/>
            <w:noWrap/>
            <w:vAlign w:val="bottom"/>
            <w:hideMark/>
          </w:tcPr>
          <w:p w14:paraId="5B8DD240"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661 </w:t>
            </w:r>
          </w:p>
        </w:tc>
        <w:tc>
          <w:tcPr>
            <w:tcW w:w="990" w:type="dxa"/>
            <w:tcBorders>
              <w:top w:val="nil"/>
              <w:left w:val="nil"/>
              <w:bottom w:val="single" w:sz="4" w:space="0" w:color="auto"/>
              <w:right w:val="single" w:sz="4" w:space="0" w:color="auto"/>
            </w:tcBorders>
            <w:shd w:val="clear" w:color="auto" w:fill="auto"/>
            <w:noWrap/>
            <w:vAlign w:val="bottom"/>
            <w:hideMark/>
          </w:tcPr>
          <w:p w14:paraId="6AC7B71E"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671 </w:t>
            </w:r>
          </w:p>
        </w:tc>
        <w:tc>
          <w:tcPr>
            <w:tcW w:w="990" w:type="dxa"/>
            <w:tcBorders>
              <w:top w:val="nil"/>
              <w:left w:val="nil"/>
              <w:bottom w:val="single" w:sz="4" w:space="0" w:color="auto"/>
              <w:right w:val="single" w:sz="4" w:space="0" w:color="auto"/>
            </w:tcBorders>
            <w:shd w:val="clear" w:color="auto" w:fill="auto"/>
            <w:noWrap/>
            <w:vAlign w:val="bottom"/>
            <w:hideMark/>
          </w:tcPr>
          <w:p w14:paraId="0AC8D9E3"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705 </w:t>
            </w:r>
          </w:p>
        </w:tc>
        <w:tc>
          <w:tcPr>
            <w:tcW w:w="1080" w:type="dxa"/>
            <w:tcBorders>
              <w:top w:val="nil"/>
              <w:left w:val="nil"/>
              <w:bottom w:val="single" w:sz="4" w:space="0" w:color="auto"/>
              <w:right w:val="single" w:sz="4" w:space="0" w:color="auto"/>
            </w:tcBorders>
            <w:shd w:val="clear" w:color="auto" w:fill="auto"/>
            <w:noWrap/>
            <w:vAlign w:val="bottom"/>
            <w:hideMark/>
          </w:tcPr>
          <w:p w14:paraId="565B80CD"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724 </w:t>
            </w:r>
          </w:p>
        </w:tc>
        <w:tc>
          <w:tcPr>
            <w:tcW w:w="990" w:type="dxa"/>
            <w:tcBorders>
              <w:top w:val="nil"/>
              <w:left w:val="nil"/>
              <w:bottom w:val="single" w:sz="4" w:space="0" w:color="auto"/>
              <w:right w:val="single" w:sz="4" w:space="0" w:color="auto"/>
            </w:tcBorders>
            <w:shd w:val="clear" w:color="auto" w:fill="auto"/>
            <w:noWrap/>
            <w:vAlign w:val="bottom"/>
            <w:hideMark/>
          </w:tcPr>
          <w:p w14:paraId="0F69202D"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731 </w:t>
            </w:r>
          </w:p>
        </w:tc>
        <w:tc>
          <w:tcPr>
            <w:tcW w:w="926" w:type="dxa"/>
            <w:tcBorders>
              <w:top w:val="nil"/>
              <w:left w:val="nil"/>
              <w:bottom w:val="single" w:sz="4" w:space="0" w:color="auto"/>
              <w:right w:val="single" w:sz="4" w:space="0" w:color="auto"/>
            </w:tcBorders>
            <w:shd w:val="clear" w:color="auto" w:fill="auto"/>
            <w:noWrap/>
            <w:vAlign w:val="bottom"/>
            <w:hideMark/>
          </w:tcPr>
          <w:p w14:paraId="4F0420CF" w14:textId="77777777" w:rsidR="00892713" w:rsidRPr="005C38FE" w:rsidRDefault="00892713" w:rsidP="009B65D3">
            <w:pPr>
              <w:jc w:val="right"/>
              <w:rPr>
                <w:rFonts w:ascii="Calibri" w:eastAsia="Aptos" w:hAnsi="Calibri" w:cs="Calibri"/>
              </w:rPr>
            </w:pPr>
            <w:r w:rsidRPr="005C38FE">
              <w:rPr>
                <w:rFonts w:ascii="Calibri" w:eastAsia="Aptos" w:hAnsi="Calibri" w:cs="Calibri"/>
              </w:rPr>
              <w:t xml:space="preserve">732 </w:t>
            </w:r>
          </w:p>
        </w:tc>
      </w:tr>
      <w:tr w:rsidR="00892713" w:rsidRPr="005C38FE" w14:paraId="72C6B98E" w14:textId="77777777" w:rsidTr="282949F7">
        <w:trPr>
          <w:trHeight w:val="354"/>
          <w:jc w:val="center"/>
        </w:trPr>
        <w:tc>
          <w:tcPr>
            <w:tcW w:w="2340" w:type="dxa"/>
            <w:tcBorders>
              <w:top w:val="nil"/>
              <w:left w:val="single" w:sz="4" w:space="0" w:color="auto"/>
              <w:bottom w:val="single" w:sz="4" w:space="0" w:color="auto"/>
              <w:right w:val="nil"/>
            </w:tcBorders>
            <w:shd w:val="clear" w:color="auto" w:fill="auto"/>
            <w:vAlign w:val="bottom"/>
            <w:hideMark/>
          </w:tcPr>
          <w:p w14:paraId="739F0CAC" w14:textId="77777777" w:rsidR="00892713" w:rsidRPr="005C38FE" w:rsidRDefault="00892713" w:rsidP="009B65D3">
            <w:pPr>
              <w:rPr>
                <w:rFonts w:ascii="Calibri" w:eastAsia="Aptos" w:hAnsi="Calibri" w:cs="Calibri"/>
              </w:rPr>
            </w:pPr>
            <w:r w:rsidRPr="005C38FE">
              <w:rPr>
                <w:rFonts w:ascii="Calibri" w:eastAsia="Aptos" w:hAnsi="Calibri" w:cs="Calibri"/>
              </w:rPr>
              <w:t>Occupancy</w:t>
            </w:r>
            <w:r w:rsidRPr="005C38FE">
              <w:rPr>
                <w:rFonts w:ascii="Calibri" w:eastAsia="Aptos" w:hAnsi="Calibri" w:cs="Calibri"/>
                <w:vertAlign w:val="superscript"/>
              </w:rPr>
              <w:footnoteReference w:id="10"/>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7B6155A" w14:textId="77777777" w:rsidR="00892713" w:rsidRPr="005C38FE" w:rsidRDefault="00892713" w:rsidP="009B65D3">
            <w:pPr>
              <w:jc w:val="right"/>
              <w:rPr>
                <w:rFonts w:ascii="Calibri" w:eastAsia="Aptos" w:hAnsi="Calibri" w:cs="Calibri"/>
              </w:rPr>
            </w:pPr>
            <w:r w:rsidRPr="005C38FE">
              <w:rPr>
                <w:rFonts w:ascii="Calibri" w:eastAsia="Aptos" w:hAnsi="Calibri" w:cs="Calibri"/>
              </w:rPr>
              <w:t>70.8%</w:t>
            </w:r>
          </w:p>
        </w:tc>
        <w:tc>
          <w:tcPr>
            <w:tcW w:w="1080" w:type="dxa"/>
            <w:tcBorders>
              <w:top w:val="nil"/>
              <w:left w:val="nil"/>
              <w:bottom w:val="single" w:sz="4" w:space="0" w:color="auto"/>
              <w:right w:val="single" w:sz="4" w:space="0" w:color="auto"/>
            </w:tcBorders>
            <w:shd w:val="clear" w:color="auto" w:fill="auto"/>
            <w:noWrap/>
            <w:vAlign w:val="bottom"/>
            <w:hideMark/>
          </w:tcPr>
          <w:p w14:paraId="5F5DE2B4" w14:textId="77777777" w:rsidR="00892713" w:rsidRPr="005C38FE" w:rsidRDefault="00892713" w:rsidP="009B65D3">
            <w:pPr>
              <w:jc w:val="right"/>
              <w:rPr>
                <w:rFonts w:ascii="Calibri" w:eastAsia="Aptos" w:hAnsi="Calibri" w:cs="Calibri"/>
              </w:rPr>
            </w:pPr>
            <w:r w:rsidRPr="005C38FE">
              <w:rPr>
                <w:rFonts w:ascii="Calibri" w:eastAsia="Aptos" w:hAnsi="Calibri" w:cs="Calibri"/>
              </w:rPr>
              <w:t>74.0%</w:t>
            </w:r>
          </w:p>
        </w:tc>
        <w:tc>
          <w:tcPr>
            <w:tcW w:w="990" w:type="dxa"/>
            <w:tcBorders>
              <w:top w:val="nil"/>
              <w:left w:val="nil"/>
              <w:bottom w:val="single" w:sz="4" w:space="0" w:color="auto"/>
              <w:right w:val="single" w:sz="4" w:space="0" w:color="auto"/>
            </w:tcBorders>
            <w:shd w:val="clear" w:color="auto" w:fill="auto"/>
            <w:noWrap/>
            <w:vAlign w:val="bottom"/>
            <w:hideMark/>
          </w:tcPr>
          <w:p w14:paraId="2FCEF865" w14:textId="77777777" w:rsidR="00892713" w:rsidRPr="005C38FE" w:rsidRDefault="00892713" w:rsidP="009B65D3">
            <w:pPr>
              <w:jc w:val="right"/>
              <w:rPr>
                <w:rFonts w:ascii="Calibri" w:eastAsia="Aptos" w:hAnsi="Calibri" w:cs="Calibri"/>
              </w:rPr>
            </w:pPr>
            <w:r w:rsidRPr="005C38FE">
              <w:rPr>
                <w:rFonts w:ascii="Calibri" w:eastAsia="Aptos" w:hAnsi="Calibri" w:cs="Calibri"/>
              </w:rPr>
              <w:t>76.1%</w:t>
            </w:r>
          </w:p>
        </w:tc>
        <w:tc>
          <w:tcPr>
            <w:tcW w:w="990" w:type="dxa"/>
            <w:tcBorders>
              <w:top w:val="nil"/>
              <w:left w:val="nil"/>
              <w:bottom w:val="single" w:sz="4" w:space="0" w:color="auto"/>
              <w:right w:val="single" w:sz="4" w:space="0" w:color="auto"/>
            </w:tcBorders>
            <w:shd w:val="clear" w:color="auto" w:fill="auto"/>
            <w:noWrap/>
            <w:vAlign w:val="bottom"/>
            <w:hideMark/>
          </w:tcPr>
          <w:p w14:paraId="321C0ED6" w14:textId="77777777" w:rsidR="00892713" w:rsidRPr="005C38FE" w:rsidRDefault="00892713" w:rsidP="009B65D3">
            <w:pPr>
              <w:jc w:val="right"/>
              <w:rPr>
                <w:rFonts w:ascii="Calibri" w:eastAsia="Aptos" w:hAnsi="Calibri" w:cs="Calibri"/>
              </w:rPr>
            </w:pPr>
            <w:r w:rsidRPr="005C38FE">
              <w:rPr>
                <w:rFonts w:ascii="Calibri" w:eastAsia="Aptos" w:hAnsi="Calibri" w:cs="Calibri"/>
              </w:rPr>
              <w:t>75.4%</w:t>
            </w:r>
          </w:p>
        </w:tc>
        <w:tc>
          <w:tcPr>
            <w:tcW w:w="1080" w:type="dxa"/>
            <w:tcBorders>
              <w:top w:val="nil"/>
              <w:left w:val="nil"/>
              <w:bottom w:val="single" w:sz="4" w:space="0" w:color="auto"/>
              <w:right w:val="single" w:sz="4" w:space="0" w:color="auto"/>
            </w:tcBorders>
            <w:shd w:val="clear" w:color="auto" w:fill="auto"/>
            <w:noWrap/>
            <w:vAlign w:val="bottom"/>
            <w:hideMark/>
          </w:tcPr>
          <w:p w14:paraId="797200E7" w14:textId="77777777" w:rsidR="00892713" w:rsidRPr="005C38FE" w:rsidRDefault="00892713" w:rsidP="009B65D3">
            <w:pPr>
              <w:jc w:val="right"/>
              <w:rPr>
                <w:rFonts w:ascii="Calibri" w:eastAsia="Aptos" w:hAnsi="Calibri" w:cs="Calibri"/>
              </w:rPr>
            </w:pPr>
            <w:r w:rsidRPr="005C38FE">
              <w:rPr>
                <w:rFonts w:ascii="Calibri" w:eastAsia="Aptos" w:hAnsi="Calibri" w:cs="Calibri"/>
              </w:rPr>
              <w:t>83.9%</w:t>
            </w:r>
          </w:p>
        </w:tc>
        <w:tc>
          <w:tcPr>
            <w:tcW w:w="990" w:type="dxa"/>
            <w:tcBorders>
              <w:top w:val="nil"/>
              <w:left w:val="nil"/>
              <w:bottom w:val="single" w:sz="4" w:space="0" w:color="auto"/>
              <w:right w:val="single" w:sz="4" w:space="0" w:color="auto"/>
            </w:tcBorders>
            <w:shd w:val="clear" w:color="auto" w:fill="auto"/>
            <w:noWrap/>
            <w:vAlign w:val="bottom"/>
            <w:hideMark/>
          </w:tcPr>
          <w:p w14:paraId="2599A3F7" w14:textId="77777777" w:rsidR="00892713" w:rsidRPr="005C38FE" w:rsidRDefault="00892713" w:rsidP="009B65D3">
            <w:pPr>
              <w:jc w:val="right"/>
              <w:rPr>
                <w:rFonts w:ascii="Calibri" w:eastAsia="Aptos" w:hAnsi="Calibri" w:cs="Calibri"/>
              </w:rPr>
            </w:pPr>
            <w:r w:rsidRPr="005C38FE">
              <w:rPr>
                <w:rFonts w:ascii="Calibri" w:eastAsia="Aptos" w:hAnsi="Calibri" w:cs="Calibri"/>
              </w:rPr>
              <w:t>89.2%</w:t>
            </w:r>
          </w:p>
        </w:tc>
        <w:tc>
          <w:tcPr>
            <w:tcW w:w="926" w:type="dxa"/>
            <w:tcBorders>
              <w:top w:val="nil"/>
              <w:left w:val="nil"/>
              <w:bottom w:val="single" w:sz="4" w:space="0" w:color="auto"/>
              <w:right w:val="single" w:sz="4" w:space="0" w:color="auto"/>
            </w:tcBorders>
            <w:shd w:val="clear" w:color="auto" w:fill="auto"/>
            <w:noWrap/>
            <w:vAlign w:val="bottom"/>
            <w:hideMark/>
          </w:tcPr>
          <w:p w14:paraId="123412ED" w14:textId="77777777" w:rsidR="00892713" w:rsidRPr="005C38FE" w:rsidRDefault="00892713" w:rsidP="009B65D3">
            <w:pPr>
              <w:jc w:val="right"/>
              <w:rPr>
                <w:rFonts w:ascii="Calibri" w:eastAsia="Aptos" w:hAnsi="Calibri" w:cs="Calibri"/>
              </w:rPr>
            </w:pPr>
            <w:r w:rsidRPr="005C38FE">
              <w:rPr>
                <w:rFonts w:ascii="Calibri" w:eastAsia="Aptos" w:hAnsi="Calibri" w:cs="Calibri"/>
              </w:rPr>
              <w:t>95.1%</w:t>
            </w:r>
          </w:p>
        </w:tc>
      </w:tr>
      <w:tr w:rsidR="00892713" w:rsidRPr="005C38FE" w14:paraId="44DC5782" w14:textId="77777777" w:rsidTr="282949F7">
        <w:trPr>
          <w:trHeight w:val="336"/>
          <w:jc w:val="center"/>
        </w:trPr>
        <w:tc>
          <w:tcPr>
            <w:tcW w:w="2340" w:type="dxa"/>
            <w:tcBorders>
              <w:top w:val="single" w:sz="4" w:space="0" w:color="auto"/>
              <w:left w:val="single" w:sz="4" w:space="0" w:color="auto"/>
              <w:bottom w:val="single" w:sz="4" w:space="0" w:color="auto"/>
              <w:right w:val="nil"/>
            </w:tcBorders>
            <w:shd w:val="clear" w:color="auto" w:fill="auto"/>
            <w:vAlign w:val="bottom"/>
            <w:hideMark/>
          </w:tcPr>
          <w:p w14:paraId="4CC963E9" w14:textId="77777777" w:rsidR="00892713" w:rsidRPr="005C38FE" w:rsidRDefault="00892713" w:rsidP="009B65D3">
            <w:pPr>
              <w:rPr>
                <w:rFonts w:ascii="Calibri" w:eastAsia="Aptos" w:hAnsi="Calibri" w:cs="Calibri"/>
              </w:rPr>
            </w:pPr>
            <w:r w:rsidRPr="005C38FE">
              <w:rPr>
                <w:rFonts w:ascii="Calibri" w:eastAsia="Aptos" w:hAnsi="Calibri" w:cs="Calibri"/>
              </w:rPr>
              <w:t>Staffed Occupancy</w:t>
            </w:r>
            <w:r w:rsidRPr="005C38FE">
              <w:rPr>
                <w:rFonts w:ascii="Calibri" w:eastAsia="Aptos" w:hAnsi="Calibri" w:cs="Calibri"/>
                <w:vertAlign w:val="superscript"/>
              </w:rPr>
              <w:t>3</w:t>
            </w:r>
            <w:r w:rsidRPr="005C38FE">
              <w:rPr>
                <w:rFonts w:ascii="Calibri" w:eastAsia="Aptos" w:hAnsi="Calibri" w:cs="Calibri"/>
              </w:rPr>
              <w:t xml:space="preserve">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ACE10" w14:textId="77777777" w:rsidR="00892713" w:rsidRPr="005C38FE" w:rsidRDefault="00892713" w:rsidP="009B65D3">
            <w:pPr>
              <w:jc w:val="right"/>
              <w:rPr>
                <w:rFonts w:ascii="Calibri" w:eastAsia="Aptos" w:hAnsi="Calibri" w:cs="Calibri"/>
              </w:rPr>
            </w:pPr>
            <w:r w:rsidRPr="005C38FE">
              <w:rPr>
                <w:rFonts w:ascii="Calibri" w:eastAsia="Aptos" w:hAnsi="Calibri" w:cs="Calibri"/>
              </w:rPr>
              <w:t>84.1%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A9035A5" w14:textId="77777777" w:rsidR="00892713" w:rsidRPr="005C38FE" w:rsidRDefault="00892713" w:rsidP="009B65D3">
            <w:pPr>
              <w:jc w:val="right"/>
              <w:rPr>
                <w:rFonts w:ascii="Calibri" w:eastAsia="Aptos" w:hAnsi="Calibri" w:cs="Calibri"/>
              </w:rPr>
            </w:pPr>
            <w:r w:rsidRPr="005C38FE">
              <w:rPr>
                <w:rFonts w:ascii="Calibri" w:eastAsia="Aptos" w:hAnsi="Calibri" w:cs="Calibri"/>
              </w:rPr>
              <w:t>82.1%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966E21E" w14:textId="77777777" w:rsidR="00892713" w:rsidRPr="005C38FE" w:rsidRDefault="00892713" w:rsidP="009B65D3">
            <w:pPr>
              <w:jc w:val="right"/>
              <w:rPr>
                <w:rFonts w:ascii="Calibri" w:eastAsia="Aptos" w:hAnsi="Calibri" w:cs="Calibri"/>
              </w:rPr>
            </w:pPr>
            <w:r w:rsidRPr="005C38FE">
              <w:rPr>
                <w:rFonts w:ascii="Calibri" w:eastAsia="Aptos" w:hAnsi="Calibri" w:cs="Calibri"/>
              </w:rPr>
              <w:t>83.1%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AFD774F" w14:textId="77777777" w:rsidR="00892713" w:rsidRPr="005C38FE" w:rsidRDefault="00892713" w:rsidP="009B65D3">
            <w:pPr>
              <w:jc w:val="right"/>
              <w:rPr>
                <w:rFonts w:ascii="Calibri" w:eastAsia="Aptos" w:hAnsi="Calibri" w:cs="Calibri"/>
              </w:rPr>
            </w:pPr>
            <w:r w:rsidRPr="005C38FE">
              <w:rPr>
                <w:rFonts w:ascii="Calibri" w:eastAsia="Aptos" w:hAnsi="Calibri" w:cs="Calibri"/>
              </w:rPr>
              <w:t>79.9%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8D6E672" w14:textId="77777777" w:rsidR="00892713" w:rsidRPr="005C38FE" w:rsidRDefault="00892713" w:rsidP="009B65D3">
            <w:pPr>
              <w:jc w:val="right"/>
              <w:rPr>
                <w:rFonts w:ascii="Calibri" w:eastAsia="Aptos" w:hAnsi="Calibri" w:cs="Calibri"/>
              </w:rPr>
            </w:pPr>
            <w:r w:rsidRPr="005C38FE">
              <w:rPr>
                <w:rFonts w:ascii="Calibri" w:eastAsia="Aptos" w:hAnsi="Calibri" w:cs="Calibri"/>
              </w:rPr>
              <w:t>86.8%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7536799" w14:textId="77777777" w:rsidR="00892713" w:rsidRPr="005C38FE" w:rsidRDefault="00892713" w:rsidP="009B65D3">
            <w:pPr>
              <w:jc w:val="right"/>
              <w:rPr>
                <w:rFonts w:ascii="Calibri" w:eastAsia="Aptos" w:hAnsi="Calibri" w:cs="Calibri"/>
              </w:rPr>
            </w:pPr>
            <w:r w:rsidRPr="005C38FE">
              <w:rPr>
                <w:rFonts w:ascii="Calibri" w:eastAsia="Aptos" w:hAnsi="Calibri" w:cs="Calibri"/>
              </w:rPr>
              <w:t>91.4%</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35BA3DA9" w14:textId="77777777" w:rsidR="00892713" w:rsidRPr="005C38FE" w:rsidRDefault="00892713" w:rsidP="009B65D3">
            <w:pPr>
              <w:jc w:val="right"/>
              <w:rPr>
                <w:rFonts w:ascii="Calibri" w:eastAsia="Aptos" w:hAnsi="Calibri" w:cs="Calibri"/>
              </w:rPr>
            </w:pPr>
            <w:r w:rsidRPr="005C38FE">
              <w:rPr>
                <w:rFonts w:ascii="Calibri" w:eastAsia="Aptos" w:hAnsi="Calibri" w:cs="Calibri"/>
              </w:rPr>
              <w:t>97.0%</w:t>
            </w:r>
          </w:p>
        </w:tc>
      </w:tr>
    </w:tbl>
    <w:p w14:paraId="2EAE63F0" w14:textId="77777777" w:rsidR="00CF566E" w:rsidRPr="001051E0" w:rsidRDefault="00CF566E" w:rsidP="001051E0">
      <w:pPr>
        <w:spacing w:after="240"/>
        <w:textAlignment w:val="baseline"/>
        <w:rPr>
          <w:rFonts w:ascii="Calibri" w:eastAsia="Calibri" w:hAnsi="Calibri" w:cs="Times New Roman"/>
          <w:color w:val="000000"/>
          <w:spacing w:val="-1"/>
          <w:szCs w:val="22"/>
        </w:rPr>
      </w:pPr>
    </w:p>
    <w:p w14:paraId="12C12EEF" w14:textId="20600B12" w:rsidR="00892713" w:rsidRDefault="00892713" w:rsidP="00E96BFE">
      <w:pPr>
        <w:spacing w:after="160" w:line="259" w:lineRule="auto"/>
        <w:jc w:val="center"/>
        <w:rPr>
          <w:rFonts w:ascii="Calibri" w:eastAsia="Aptos" w:hAnsi="Calibri" w:cs="Calibri"/>
          <w:b/>
          <w:bCs/>
        </w:rPr>
      </w:pPr>
      <w:bookmarkStart w:id="32" w:name="_Toc17731309"/>
      <w:bookmarkStart w:id="33" w:name="_Toc18922398"/>
      <w:bookmarkStart w:id="34" w:name="_Toc157428827"/>
      <w:bookmarkEnd w:id="19"/>
      <w:bookmarkEnd w:id="20"/>
      <w:bookmarkEnd w:id="21"/>
      <w:bookmarkEnd w:id="22"/>
      <w:bookmarkEnd w:id="23"/>
      <w:bookmarkEnd w:id="24"/>
      <w:r w:rsidRPr="00892713">
        <w:rPr>
          <w:rFonts w:ascii="Calibri" w:eastAsia="Aptos" w:hAnsi="Calibri" w:cs="Calibri"/>
          <w:b/>
          <w:bCs/>
        </w:rPr>
        <w:t>Table 5: MRMC Utilization Data</w:t>
      </w:r>
    </w:p>
    <w:tbl>
      <w:tblPr>
        <w:tblW w:w="9604" w:type="dxa"/>
        <w:jc w:val="center"/>
        <w:tblLook w:val="04A0" w:firstRow="1" w:lastRow="0" w:firstColumn="1" w:lastColumn="0" w:noHBand="0" w:noVBand="1"/>
      </w:tblPr>
      <w:tblGrid>
        <w:gridCol w:w="2340"/>
        <w:gridCol w:w="1088"/>
        <w:gridCol w:w="1088"/>
        <w:gridCol w:w="1088"/>
        <w:gridCol w:w="1088"/>
        <w:gridCol w:w="1034"/>
        <w:gridCol w:w="939"/>
        <w:gridCol w:w="939"/>
      </w:tblGrid>
      <w:tr w:rsidR="00892713" w:rsidRPr="00892713" w14:paraId="6CBA2884" w14:textId="77777777" w:rsidTr="00892713">
        <w:trPr>
          <w:trHeight w:val="310"/>
          <w:jc w:val="center"/>
        </w:trPr>
        <w:tc>
          <w:tcPr>
            <w:tcW w:w="2340" w:type="dxa"/>
            <w:tcBorders>
              <w:top w:val="single" w:sz="4" w:space="0" w:color="auto"/>
              <w:left w:val="single" w:sz="4" w:space="0" w:color="auto"/>
              <w:bottom w:val="single" w:sz="4" w:space="0" w:color="auto"/>
              <w:right w:val="single" w:sz="4" w:space="0" w:color="auto"/>
            </w:tcBorders>
            <w:shd w:val="clear" w:color="000000" w:fill="E1F9FF"/>
            <w:noWrap/>
            <w:vAlign w:val="center"/>
            <w:hideMark/>
          </w:tcPr>
          <w:p w14:paraId="18323EE0" w14:textId="50966922" w:rsidR="00892713" w:rsidRPr="00892713" w:rsidRDefault="00892713" w:rsidP="00892713">
            <w:pPr>
              <w:rPr>
                <w:rFonts w:ascii="Calibri" w:eastAsia="Times New Roman" w:hAnsi="Calibri" w:cs="Calibri"/>
                <w:b/>
                <w:bCs/>
                <w:color w:val="000000"/>
              </w:rPr>
            </w:pPr>
            <w:r w:rsidRPr="00892713">
              <w:rPr>
                <w:rFonts w:ascii="Calibri" w:eastAsia="Times New Roman" w:hAnsi="Calibri" w:cs="Calibri"/>
                <w:b/>
                <w:bCs/>
                <w:color w:val="000000"/>
              </w:rPr>
              <w:t>M</w:t>
            </w:r>
            <w:r w:rsidR="008E27DB">
              <w:rPr>
                <w:rFonts w:ascii="Calibri" w:eastAsia="Times New Roman" w:hAnsi="Calibri" w:cs="Calibri"/>
                <w:b/>
                <w:bCs/>
                <w:color w:val="000000"/>
              </w:rPr>
              <w:t>RMC</w:t>
            </w:r>
          </w:p>
        </w:tc>
        <w:tc>
          <w:tcPr>
            <w:tcW w:w="1088" w:type="dxa"/>
            <w:tcBorders>
              <w:top w:val="single" w:sz="4" w:space="0" w:color="auto"/>
              <w:left w:val="nil"/>
              <w:bottom w:val="single" w:sz="4" w:space="0" w:color="auto"/>
              <w:right w:val="single" w:sz="4" w:space="0" w:color="auto"/>
            </w:tcBorders>
            <w:shd w:val="clear" w:color="000000" w:fill="E1F9FF"/>
            <w:noWrap/>
            <w:vAlign w:val="center"/>
            <w:hideMark/>
          </w:tcPr>
          <w:p w14:paraId="5AA2C5C1" w14:textId="77777777" w:rsidR="00892713" w:rsidRPr="00892713" w:rsidRDefault="00892713" w:rsidP="00892713">
            <w:pPr>
              <w:jc w:val="center"/>
              <w:rPr>
                <w:rFonts w:ascii="Calibri" w:eastAsia="Times New Roman" w:hAnsi="Calibri" w:cs="Calibri"/>
                <w:b/>
                <w:bCs/>
                <w:color w:val="000000"/>
              </w:rPr>
            </w:pPr>
            <w:r w:rsidRPr="00892713">
              <w:rPr>
                <w:rFonts w:ascii="Calibri" w:eastAsia="Times New Roman" w:hAnsi="Calibri" w:cs="Calibri"/>
                <w:b/>
                <w:bCs/>
                <w:color w:val="000000"/>
              </w:rPr>
              <w:t>FY 17</w:t>
            </w:r>
          </w:p>
        </w:tc>
        <w:tc>
          <w:tcPr>
            <w:tcW w:w="1088" w:type="dxa"/>
            <w:tcBorders>
              <w:top w:val="single" w:sz="4" w:space="0" w:color="auto"/>
              <w:left w:val="nil"/>
              <w:bottom w:val="single" w:sz="4" w:space="0" w:color="auto"/>
              <w:right w:val="single" w:sz="4" w:space="0" w:color="auto"/>
            </w:tcBorders>
            <w:shd w:val="clear" w:color="000000" w:fill="E1F9FF"/>
            <w:noWrap/>
            <w:vAlign w:val="center"/>
            <w:hideMark/>
          </w:tcPr>
          <w:p w14:paraId="318967AA" w14:textId="77777777" w:rsidR="00892713" w:rsidRPr="00892713" w:rsidRDefault="00892713" w:rsidP="00892713">
            <w:pPr>
              <w:jc w:val="center"/>
              <w:rPr>
                <w:rFonts w:ascii="Calibri" w:eastAsia="Times New Roman" w:hAnsi="Calibri" w:cs="Calibri"/>
                <w:b/>
                <w:bCs/>
                <w:color w:val="000000"/>
              </w:rPr>
            </w:pPr>
            <w:r w:rsidRPr="00892713">
              <w:rPr>
                <w:rFonts w:ascii="Calibri" w:eastAsia="Times New Roman" w:hAnsi="Calibri" w:cs="Calibri"/>
                <w:b/>
                <w:bCs/>
                <w:color w:val="000000"/>
              </w:rPr>
              <w:t>FY 18</w:t>
            </w:r>
          </w:p>
        </w:tc>
        <w:tc>
          <w:tcPr>
            <w:tcW w:w="1088" w:type="dxa"/>
            <w:tcBorders>
              <w:top w:val="single" w:sz="4" w:space="0" w:color="auto"/>
              <w:left w:val="nil"/>
              <w:bottom w:val="single" w:sz="4" w:space="0" w:color="auto"/>
              <w:right w:val="single" w:sz="4" w:space="0" w:color="auto"/>
            </w:tcBorders>
            <w:shd w:val="clear" w:color="000000" w:fill="E1F9FF"/>
            <w:noWrap/>
            <w:vAlign w:val="center"/>
            <w:hideMark/>
          </w:tcPr>
          <w:p w14:paraId="7F5AA378" w14:textId="77777777" w:rsidR="00892713" w:rsidRPr="00892713" w:rsidRDefault="00892713" w:rsidP="00892713">
            <w:pPr>
              <w:jc w:val="center"/>
              <w:rPr>
                <w:rFonts w:ascii="Calibri" w:eastAsia="Times New Roman" w:hAnsi="Calibri" w:cs="Calibri"/>
                <w:b/>
                <w:bCs/>
                <w:color w:val="000000"/>
              </w:rPr>
            </w:pPr>
            <w:r w:rsidRPr="00892713">
              <w:rPr>
                <w:rFonts w:ascii="Calibri" w:eastAsia="Times New Roman" w:hAnsi="Calibri" w:cs="Calibri"/>
                <w:b/>
                <w:bCs/>
                <w:color w:val="000000"/>
              </w:rPr>
              <w:t>FY 19</w:t>
            </w:r>
          </w:p>
        </w:tc>
        <w:tc>
          <w:tcPr>
            <w:tcW w:w="1088" w:type="dxa"/>
            <w:tcBorders>
              <w:top w:val="single" w:sz="4" w:space="0" w:color="auto"/>
              <w:left w:val="nil"/>
              <w:bottom w:val="single" w:sz="4" w:space="0" w:color="auto"/>
              <w:right w:val="single" w:sz="4" w:space="0" w:color="auto"/>
            </w:tcBorders>
            <w:shd w:val="clear" w:color="000000" w:fill="E1F9FF"/>
            <w:noWrap/>
            <w:vAlign w:val="center"/>
            <w:hideMark/>
          </w:tcPr>
          <w:p w14:paraId="533E3412" w14:textId="77777777" w:rsidR="00892713" w:rsidRPr="00892713" w:rsidRDefault="00892713" w:rsidP="00892713">
            <w:pPr>
              <w:jc w:val="center"/>
              <w:rPr>
                <w:rFonts w:ascii="Calibri" w:eastAsia="Times New Roman" w:hAnsi="Calibri" w:cs="Calibri"/>
                <w:b/>
                <w:bCs/>
                <w:color w:val="000000"/>
              </w:rPr>
            </w:pPr>
            <w:r w:rsidRPr="00892713">
              <w:rPr>
                <w:rFonts w:ascii="Calibri" w:eastAsia="Times New Roman" w:hAnsi="Calibri" w:cs="Calibri"/>
                <w:b/>
                <w:bCs/>
                <w:color w:val="000000"/>
              </w:rPr>
              <w:t>FY 20</w:t>
            </w:r>
          </w:p>
        </w:tc>
        <w:tc>
          <w:tcPr>
            <w:tcW w:w="1034" w:type="dxa"/>
            <w:tcBorders>
              <w:top w:val="single" w:sz="4" w:space="0" w:color="auto"/>
              <w:left w:val="nil"/>
              <w:bottom w:val="single" w:sz="4" w:space="0" w:color="auto"/>
              <w:right w:val="single" w:sz="4" w:space="0" w:color="auto"/>
            </w:tcBorders>
            <w:shd w:val="clear" w:color="000000" w:fill="E1F9FF"/>
            <w:noWrap/>
            <w:vAlign w:val="center"/>
            <w:hideMark/>
          </w:tcPr>
          <w:p w14:paraId="14606B96" w14:textId="77777777" w:rsidR="00892713" w:rsidRPr="00892713" w:rsidRDefault="00892713" w:rsidP="00892713">
            <w:pPr>
              <w:jc w:val="center"/>
              <w:rPr>
                <w:rFonts w:ascii="Calibri" w:eastAsia="Times New Roman" w:hAnsi="Calibri" w:cs="Calibri"/>
                <w:b/>
                <w:bCs/>
                <w:color w:val="000000"/>
              </w:rPr>
            </w:pPr>
            <w:r w:rsidRPr="00892713">
              <w:rPr>
                <w:rFonts w:ascii="Calibri" w:eastAsia="Times New Roman" w:hAnsi="Calibri" w:cs="Calibri"/>
                <w:b/>
                <w:bCs/>
                <w:color w:val="000000"/>
              </w:rPr>
              <w:t>FY 21</w:t>
            </w:r>
          </w:p>
        </w:tc>
        <w:tc>
          <w:tcPr>
            <w:tcW w:w="939" w:type="dxa"/>
            <w:tcBorders>
              <w:top w:val="single" w:sz="4" w:space="0" w:color="auto"/>
              <w:left w:val="nil"/>
              <w:bottom w:val="single" w:sz="4" w:space="0" w:color="auto"/>
              <w:right w:val="single" w:sz="4" w:space="0" w:color="auto"/>
            </w:tcBorders>
            <w:shd w:val="clear" w:color="000000" w:fill="E1F9FF"/>
            <w:noWrap/>
            <w:vAlign w:val="center"/>
            <w:hideMark/>
          </w:tcPr>
          <w:p w14:paraId="520C1330" w14:textId="77777777" w:rsidR="00892713" w:rsidRPr="00892713" w:rsidRDefault="00892713" w:rsidP="00892713">
            <w:pPr>
              <w:jc w:val="center"/>
              <w:rPr>
                <w:rFonts w:ascii="Calibri" w:eastAsia="Times New Roman" w:hAnsi="Calibri" w:cs="Calibri"/>
                <w:b/>
                <w:bCs/>
                <w:color w:val="000000"/>
              </w:rPr>
            </w:pPr>
            <w:r w:rsidRPr="00892713">
              <w:rPr>
                <w:rFonts w:ascii="Calibri" w:eastAsia="Times New Roman" w:hAnsi="Calibri" w:cs="Calibri"/>
                <w:b/>
                <w:bCs/>
                <w:color w:val="000000"/>
              </w:rPr>
              <w:t>FY 22</w:t>
            </w:r>
          </w:p>
        </w:tc>
        <w:tc>
          <w:tcPr>
            <w:tcW w:w="939" w:type="dxa"/>
            <w:tcBorders>
              <w:top w:val="single" w:sz="4" w:space="0" w:color="auto"/>
              <w:left w:val="nil"/>
              <w:bottom w:val="single" w:sz="4" w:space="0" w:color="auto"/>
              <w:right w:val="single" w:sz="4" w:space="0" w:color="auto"/>
            </w:tcBorders>
            <w:shd w:val="clear" w:color="000000" w:fill="E1F9FF"/>
            <w:noWrap/>
            <w:vAlign w:val="center"/>
            <w:hideMark/>
          </w:tcPr>
          <w:p w14:paraId="3448ED08" w14:textId="77777777" w:rsidR="00892713" w:rsidRPr="00892713" w:rsidRDefault="00892713" w:rsidP="00892713">
            <w:pPr>
              <w:jc w:val="center"/>
              <w:rPr>
                <w:rFonts w:ascii="Calibri" w:eastAsia="Times New Roman" w:hAnsi="Calibri" w:cs="Calibri"/>
                <w:b/>
                <w:bCs/>
                <w:color w:val="000000"/>
              </w:rPr>
            </w:pPr>
            <w:r w:rsidRPr="00892713">
              <w:rPr>
                <w:rFonts w:ascii="Calibri" w:eastAsia="Times New Roman" w:hAnsi="Calibri" w:cs="Calibri"/>
                <w:b/>
                <w:bCs/>
                <w:color w:val="000000"/>
              </w:rPr>
              <w:t>FY 23</w:t>
            </w:r>
          </w:p>
        </w:tc>
      </w:tr>
      <w:tr w:rsidR="00892713" w:rsidRPr="00892713" w14:paraId="5222C2A2" w14:textId="77777777" w:rsidTr="00892713">
        <w:trPr>
          <w:trHeight w:val="310"/>
          <w:jc w:val="center"/>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CB13D46" w14:textId="77777777" w:rsidR="00892713" w:rsidRPr="00892713" w:rsidRDefault="00892713" w:rsidP="00892713">
            <w:pPr>
              <w:rPr>
                <w:rFonts w:ascii="Calibri" w:eastAsia="Times New Roman" w:hAnsi="Calibri" w:cs="Calibri"/>
                <w:color w:val="000000"/>
              </w:rPr>
            </w:pPr>
            <w:r w:rsidRPr="00892713">
              <w:rPr>
                <w:rFonts w:ascii="Calibri" w:eastAsia="Times New Roman" w:hAnsi="Calibri" w:cs="Calibri"/>
                <w:color w:val="000000"/>
              </w:rPr>
              <w:t>Discharges</w:t>
            </w:r>
          </w:p>
        </w:tc>
        <w:tc>
          <w:tcPr>
            <w:tcW w:w="1088" w:type="dxa"/>
            <w:tcBorders>
              <w:top w:val="nil"/>
              <w:left w:val="nil"/>
              <w:bottom w:val="single" w:sz="4" w:space="0" w:color="auto"/>
              <w:right w:val="single" w:sz="4" w:space="0" w:color="auto"/>
            </w:tcBorders>
            <w:shd w:val="clear" w:color="auto" w:fill="auto"/>
            <w:noWrap/>
            <w:vAlign w:val="center"/>
            <w:hideMark/>
          </w:tcPr>
          <w:p w14:paraId="768880DD"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 xml:space="preserve">      9,433 </w:t>
            </w:r>
          </w:p>
        </w:tc>
        <w:tc>
          <w:tcPr>
            <w:tcW w:w="1088" w:type="dxa"/>
            <w:tcBorders>
              <w:top w:val="nil"/>
              <w:left w:val="nil"/>
              <w:bottom w:val="single" w:sz="4" w:space="0" w:color="auto"/>
              <w:right w:val="single" w:sz="4" w:space="0" w:color="auto"/>
            </w:tcBorders>
            <w:shd w:val="clear" w:color="auto" w:fill="auto"/>
            <w:noWrap/>
            <w:vAlign w:val="center"/>
            <w:hideMark/>
          </w:tcPr>
          <w:p w14:paraId="6DC4A7B4"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 xml:space="preserve">      9,677 </w:t>
            </w:r>
          </w:p>
        </w:tc>
        <w:tc>
          <w:tcPr>
            <w:tcW w:w="1088" w:type="dxa"/>
            <w:tcBorders>
              <w:top w:val="nil"/>
              <w:left w:val="nil"/>
              <w:bottom w:val="single" w:sz="4" w:space="0" w:color="auto"/>
              <w:right w:val="single" w:sz="4" w:space="0" w:color="auto"/>
            </w:tcBorders>
            <w:shd w:val="clear" w:color="auto" w:fill="auto"/>
            <w:noWrap/>
            <w:vAlign w:val="center"/>
            <w:hideMark/>
          </w:tcPr>
          <w:p w14:paraId="2C628354"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 xml:space="preserve">      9,861 </w:t>
            </w:r>
          </w:p>
        </w:tc>
        <w:tc>
          <w:tcPr>
            <w:tcW w:w="1088" w:type="dxa"/>
            <w:tcBorders>
              <w:top w:val="nil"/>
              <w:left w:val="nil"/>
              <w:bottom w:val="single" w:sz="4" w:space="0" w:color="auto"/>
              <w:right w:val="single" w:sz="4" w:space="0" w:color="auto"/>
            </w:tcBorders>
            <w:shd w:val="clear" w:color="auto" w:fill="auto"/>
            <w:noWrap/>
            <w:vAlign w:val="center"/>
            <w:hideMark/>
          </w:tcPr>
          <w:p w14:paraId="5A54E663"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 xml:space="preserve">      9,592 </w:t>
            </w:r>
          </w:p>
        </w:tc>
        <w:tc>
          <w:tcPr>
            <w:tcW w:w="1034" w:type="dxa"/>
            <w:tcBorders>
              <w:top w:val="nil"/>
              <w:left w:val="nil"/>
              <w:bottom w:val="single" w:sz="4" w:space="0" w:color="auto"/>
              <w:right w:val="single" w:sz="4" w:space="0" w:color="auto"/>
            </w:tcBorders>
            <w:shd w:val="clear" w:color="auto" w:fill="auto"/>
            <w:noWrap/>
            <w:vAlign w:val="center"/>
            <w:hideMark/>
          </w:tcPr>
          <w:p w14:paraId="061738A3"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 xml:space="preserve">     9,726 </w:t>
            </w:r>
          </w:p>
        </w:tc>
        <w:tc>
          <w:tcPr>
            <w:tcW w:w="939" w:type="dxa"/>
            <w:tcBorders>
              <w:top w:val="nil"/>
              <w:left w:val="nil"/>
              <w:bottom w:val="single" w:sz="4" w:space="0" w:color="auto"/>
              <w:right w:val="single" w:sz="4" w:space="0" w:color="auto"/>
            </w:tcBorders>
            <w:shd w:val="clear" w:color="auto" w:fill="auto"/>
            <w:noWrap/>
            <w:vAlign w:val="center"/>
            <w:hideMark/>
          </w:tcPr>
          <w:p w14:paraId="43E4826E"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 10,068</w:t>
            </w:r>
          </w:p>
        </w:tc>
        <w:tc>
          <w:tcPr>
            <w:tcW w:w="939" w:type="dxa"/>
            <w:tcBorders>
              <w:top w:val="nil"/>
              <w:left w:val="nil"/>
              <w:bottom w:val="single" w:sz="4" w:space="0" w:color="auto"/>
              <w:right w:val="single" w:sz="4" w:space="0" w:color="auto"/>
            </w:tcBorders>
            <w:shd w:val="clear" w:color="auto" w:fill="auto"/>
            <w:noWrap/>
            <w:vAlign w:val="center"/>
            <w:hideMark/>
          </w:tcPr>
          <w:p w14:paraId="306C9F29"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 10,312</w:t>
            </w:r>
          </w:p>
        </w:tc>
      </w:tr>
      <w:tr w:rsidR="00892713" w:rsidRPr="00892713" w14:paraId="1680232E" w14:textId="77777777" w:rsidTr="00892713">
        <w:trPr>
          <w:trHeight w:val="310"/>
          <w:jc w:val="center"/>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1A91996B" w14:textId="77777777" w:rsidR="00892713" w:rsidRPr="00892713" w:rsidRDefault="00892713" w:rsidP="00892713">
            <w:pPr>
              <w:rPr>
                <w:rFonts w:ascii="Calibri" w:eastAsia="Times New Roman" w:hAnsi="Calibri" w:cs="Calibri"/>
                <w:color w:val="000000"/>
              </w:rPr>
            </w:pPr>
            <w:r w:rsidRPr="00892713">
              <w:rPr>
                <w:rFonts w:ascii="Calibri" w:eastAsia="Times New Roman" w:hAnsi="Calibri" w:cs="Calibri"/>
                <w:color w:val="000000"/>
              </w:rPr>
              <w:t xml:space="preserve">Inpatient Days </w:t>
            </w:r>
          </w:p>
        </w:tc>
        <w:tc>
          <w:tcPr>
            <w:tcW w:w="1088" w:type="dxa"/>
            <w:tcBorders>
              <w:top w:val="nil"/>
              <w:left w:val="nil"/>
              <w:bottom w:val="single" w:sz="4" w:space="0" w:color="auto"/>
              <w:right w:val="single" w:sz="4" w:space="0" w:color="auto"/>
            </w:tcBorders>
            <w:shd w:val="clear" w:color="auto" w:fill="auto"/>
            <w:noWrap/>
            <w:vAlign w:val="center"/>
            <w:hideMark/>
          </w:tcPr>
          <w:p w14:paraId="5EB76C2B"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32,404</w:t>
            </w:r>
          </w:p>
        </w:tc>
        <w:tc>
          <w:tcPr>
            <w:tcW w:w="1088" w:type="dxa"/>
            <w:tcBorders>
              <w:top w:val="nil"/>
              <w:left w:val="nil"/>
              <w:bottom w:val="single" w:sz="4" w:space="0" w:color="auto"/>
              <w:right w:val="single" w:sz="4" w:space="0" w:color="auto"/>
            </w:tcBorders>
            <w:shd w:val="clear" w:color="auto" w:fill="auto"/>
            <w:noWrap/>
            <w:vAlign w:val="center"/>
            <w:hideMark/>
          </w:tcPr>
          <w:p w14:paraId="3DBDA6B5"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33,533</w:t>
            </w:r>
          </w:p>
        </w:tc>
        <w:tc>
          <w:tcPr>
            <w:tcW w:w="1088" w:type="dxa"/>
            <w:tcBorders>
              <w:top w:val="nil"/>
              <w:left w:val="nil"/>
              <w:bottom w:val="single" w:sz="4" w:space="0" w:color="auto"/>
              <w:right w:val="single" w:sz="4" w:space="0" w:color="auto"/>
            </w:tcBorders>
            <w:shd w:val="clear" w:color="auto" w:fill="auto"/>
            <w:noWrap/>
            <w:vAlign w:val="center"/>
            <w:hideMark/>
          </w:tcPr>
          <w:p w14:paraId="2FB1359D"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35,197</w:t>
            </w:r>
          </w:p>
        </w:tc>
        <w:tc>
          <w:tcPr>
            <w:tcW w:w="1088" w:type="dxa"/>
            <w:tcBorders>
              <w:top w:val="nil"/>
              <w:left w:val="nil"/>
              <w:bottom w:val="single" w:sz="4" w:space="0" w:color="auto"/>
              <w:right w:val="single" w:sz="4" w:space="0" w:color="auto"/>
            </w:tcBorders>
            <w:shd w:val="clear" w:color="auto" w:fill="auto"/>
            <w:noWrap/>
            <w:vAlign w:val="center"/>
            <w:hideMark/>
          </w:tcPr>
          <w:p w14:paraId="3C6282EE"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34,219</w:t>
            </w:r>
          </w:p>
        </w:tc>
        <w:tc>
          <w:tcPr>
            <w:tcW w:w="1034" w:type="dxa"/>
            <w:tcBorders>
              <w:top w:val="nil"/>
              <w:left w:val="nil"/>
              <w:bottom w:val="single" w:sz="4" w:space="0" w:color="auto"/>
              <w:right w:val="single" w:sz="4" w:space="0" w:color="auto"/>
            </w:tcBorders>
            <w:shd w:val="clear" w:color="auto" w:fill="auto"/>
            <w:noWrap/>
            <w:vAlign w:val="center"/>
            <w:hideMark/>
          </w:tcPr>
          <w:p w14:paraId="2A45B576"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35,316</w:t>
            </w:r>
          </w:p>
        </w:tc>
        <w:tc>
          <w:tcPr>
            <w:tcW w:w="939" w:type="dxa"/>
            <w:tcBorders>
              <w:top w:val="nil"/>
              <w:left w:val="nil"/>
              <w:bottom w:val="single" w:sz="4" w:space="0" w:color="auto"/>
              <w:right w:val="single" w:sz="4" w:space="0" w:color="auto"/>
            </w:tcBorders>
            <w:shd w:val="clear" w:color="auto" w:fill="auto"/>
            <w:noWrap/>
            <w:vAlign w:val="center"/>
            <w:hideMark/>
          </w:tcPr>
          <w:p w14:paraId="4F4F30E8"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37,804</w:t>
            </w:r>
          </w:p>
        </w:tc>
        <w:tc>
          <w:tcPr>
            <w:tcW w:w="939" w:type="dxa"/>
            <w:tcBorders>
              <w:top w:val="nil"/>
              <w:left w:val="nil"/>
              <w:bottom w:val="single" w:sz="4" w:space="0" w:color="auto"/>
              <w:right w:val="single" w:sz="4" w:space="0" w:color="auto"/>
            </w:tcBorders>
            <w:shd w:val="clear" w:color="auto" w:fill="auto"/>
            <w:noWrap/>
            <w:vAlign w:val="center"/>
            <w:hideMark/>
          </w:tcPr>
          <w:p w14:paraId="2C14013C"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38,210</w:t>
            </w:r>
          </w:p>
        </w:tc>
      </w:tr>
      <w:tr w:rsidR="00892713" w:rsidRPr="00892713" w14:paraId="3C6E643C" w14:textId="77777777" w:rsidTr="00892713">
        <w:trPr>
          <w:trHeight w:val="310"/>
          <w:jc w:val="center"/>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4CD26105" w14:textId="77777777" w:rsidR="00892713" w:rsidRPr="00892713" w:rsidRDefault="00892713" w:rsidP="00892713">
            <w:pPr>
              <w:rPr>
                <w:rFonts w:ascii="Calibri" w:eastAsia="Times New Roman" w:hAnsi="Calibri" w:cs="Calibri"/>
                <w:color w:val="000000"/>
              </w:rPr>
            </w:pPr>
            <w:r w:rsidRPr="00892713">
              <w:rPr>
                <w:rFonts w:ascii="Calibri" w:eastAsia="Times New Roman" w:hAnsi="Calibri" w:cs="Calibri"/>
                <w:color w:val="000000"/>
              </w:rPr>
              <w:t>Observation Days</w:t>
            </w:r>
          </w:p>
        </w:tc>
        <w:tc>
          <w:tcPr>
            <w:tcW w:w="1088" w:type="dxa"/>
            <w:tcBorders>
              <w:top w:val="nil"/>
              <w:left w:val="nil"/>
              <w:bottom w:val="single" w:sz="4" w:space="0" w:color="auto"/>
              <w:right w:val="single" w:sz="4" w:space="0" w:color="auto"/>
            </w:tcBorders>
            <w:shd w:val="clear" w:color="auto" w:fill="auto"/>
            <w:noWrap/>
            <w:vAlign w:val="center"/>
            <w:hideMark/>
          </w:tcPr>
          <w:p w14:paraId="3DE0D755"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6,221</w:t>
            </w:r>
          </w:p>
        </w:tc>
        <w:tc>
          <w:tcPr>
            <w:tcW w:w="1088" w:type="dxa"/>
            <w:tcBorders>
              <w:top w:val="nil"/>
              <w:left w:val="nil"/>
              <w:bottom w:val="single" w:sz="4" w:space="0" w:color="auto"/>
              <w:right w:val="single" w:sz="4" w:space="0" w:color="auto"/>
            </w:tcBorders>
            <w:shd w:val="clear" w:color="auto" w:fill="auto"/>
            <w:noWrap/>
            <w:vAlign w:val="center"/>
            <w:hideMark/>
          </w:tcPr>
          <w:p w14:paraId="75B19B89"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5,942</w:t>
            </w:r>
          </w:p>
        </w:tc>
        <w:tc>
          <w:tcPr>
            <w:tcW w:w="1088" w:type="dxa"/>
            <w:tcBorders>
              <w:top w:val="nil"/>
              <w:left w:val="nil"/>
              <w:bottom w:val="single" w:sz="4" w:space="0" w:color="auto"/>
              <w:right w:val="single" w:sz="4" w:space="0" w:color="auto"/>
            </w:tcBorders>
            <w:shd w:val="clear" w:color="auto" w:fill="auto"/>
            <w:noWrap/>
            <w:vAlign w:val="center"/>
            <w:hideMark/>
          </w:tcPr>
          <w:p w14:paraId="39A8D7CC"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5,580</w:t>
            </w:r>
          </w:p>
        </w:tc>
        <w:tc>
          <w:tcPr>
            <w:tcW w:w="1088" w:type="dxa"/>
            <w:tcBorders>
              <w:top w:val="nil"/>
              <w:left w:val="nil"/>
              <w:bottom w:val="single" w:sz="4" w:space="0" w:color="auto"/>
              <w:right w:val="single" w:sz="4" w:space="0" w:color="auto"/>
            </w:tcBorders>
            <w:shd w:val="clear" w:color="auto" w:fill="auto"/>
            <w:noWrap/>
            <w:vAlign w:val="center"/>
            <w:hideMark/>
          </w:tcPr>
          <w:p w14:paraId="1D6B7EDC"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4,830</w:t>
            </w:r>
          </w:p>
        </w:tc>
        <w:tc>
          <w:tcPr>
            <w:tcW w:w="1034" w:type="dxa"/>
            <w:tcBorders>
              <w:top w:val="nil"/>
              <w:left w:val="nil"/>
              <w:bottom w:val="single" w:sz="4" w:space="0" w:color="auto"/>
              <w:right w:val="single" w:sz="4" w:space="0" w:color="auto"/>
            </w:tcBorders>
            <w:shd w:val="clear" w:color="auto" w:fill="auto"/>
            <w:noWrap/>
            <w:vAlign w:val="center"/>
            <w:hideMark/>
          </w:tcPr>
          <w:p w14:paraId="3FEE77EB"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6,264</w:t>
            </w:r>
          </w:p>
        </w:tc>
        <w:tc>
          <w:tcPr>
            <w:tcW w:w="939" w:type="dxa"/>
            <w:tcBorders>
              <w:top w:val="nil"/>
              <w:left w:val="nil"/>
              <w:bottom w:val="single" w:sz="4" w:space="0" w:color="auto"/>
              <w:right w:val="single" w:sz="4" w:space="0" w:color="auto"/>
            </w:tcBorders>
            <w:shd w:val="clear" w:color="auto" w:fill="auto"/>
            <w:noWrap/>
            <w:vAlign w:val="center"/>
            <w:hideMark/>
          </w:tcPr>
          <w:p w14:paraId="3A7B3C7A"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7,659</w:t>
            </w:r>
          </w:p>
        </w:tc>
        <w:tc>
          <w:tcPr>
            <w:tcW w:w="939" w:type="dxa"/>
            <w:tcBorders>
              <w:top w:val="nil"/>
              <w:left w:val="nil"/>
              <w:bottom w:val="single" w:sz="4" w:space="0" w:color="auto"/>
              <w:right w:val="single" w:sz="4" w:space="0" w:color="auto"/>
            </w:tcBorders>
            <w:shd w:val="clear" w:color="auto" w:fill="auto"/>
            <w:noWrap/>
            <w:vAlign w:val="center"/>
            <w:hideMark/>
          </w:tcPr>
          <w:p w14:paraId="24CBE073"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9,976</w:t>
            </w:r>
          </w:p>
        </w:tc>
      </w:tr>
      <w:tr w:rsidR="00892713" w:rsidRPr="00892713" w14:paraId="341104B0" w14:textId="77777777" w:rsidTr="00892713">
        <w:trPr>
          <w:trHeight w:val="310"/>
          <w:jc w:val="center"/>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2081E12" w14:textId="77777777" w:rsidR="00892713" w:rsidRPr="00892713" w:rsidRDefault="00892713" w:rsidP="00892713">
            <w:pPr>
              <w:rPr>
                <w:rFonts w:ascii="Calibri" w:eastAsia="Times New Roman" w:hAnsi="Calibri" w:cs="Calibri"/>
                <w:color w:val="000000"/>
              </w:rPr>
            </w:pPr>
            <w:r w:rsidRPr="00892713">
              <w:rPr>
                <w:rFonts w:ascii="Calibri" w:eastAsia="Times New Roman" w:hAnsi="Calibri" w:cs="Calibri"/>
                <w:color w:val="000000"/>
              </w:rPr>
              <w:t>Total Days</w:t>
            </w:r>
          </w:p>
        </w:tc>
        <w:tc>
          <w:tcPr>
            <w:tcW w:w="1088" w:type="dxa"/>
            <w:tcBorders>
              <w:top w:val="nil"/>
              <w:left w:val="nil"/>
              <w:bottom w:val="single" w:sz="4" w:space="0" w:color="auto"/>
              <w:right w:val="single" w:sz="4" w:space="0" w:color="auto"/>
            </w:tcBorders>
            <w:shd w:val="clear" w:color="auto" w:fill="auto"/>
            <w:noWrap/>
            <w:vAlign w:val="center"/>
            <w:hideMark/>
          </w:tcPr>
          <w:p w14:paraId="3C76954C"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38,625</w:t>
            </w:r>
          </w:p>
        </w:tc>
        <w:tc>
          <w:tcPr>
            <w:tcW w:w="1088" w:type="dxa"/>
            <w:tcBorders>
              <w:top w:val="nil"/>
              <w:left w:val="nil"/>
              <w:bottom w:val="single" w:sz="4" w:space="0" w:color="auto"/>
              <w:right w:val="single" w:sz="4" w:space="0" w:color="auto"/>
            </w:tcBorders>
            <w:shd w:val="clear" w:color="auto" w:fill="auto"/>
            <w:noWrap/>
            <w:vAlign w:val="center"/>
            <w:hideMark/>
          </w:tcPr>
          <w:p w14:paraId="2C4A48B9"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39,475</w:t>
            </w:r>
          </w:p>
        </w:tc>
        <w:tc>
          <w:tcPr>
            <w:tcW w:w="1088" w:type="dxa"/>
            <w:tcBorders>
              <w:top w:val="nil"/>
              <w:left w:val="nil"/>
              <w:bottom w:val="single" w:sz="4" w:space="0" w:color="auto"/>
              <w:right w:val="single" w:sz="4" w:space="0" w:color="auto"/>
            </w:tcBorders>
            <w:shd w:val="clear" w:color="auto" w:fill="auto"/>
            <w:noWrap/>
            <w:vAlign w:val="center"/>
            <w:hideMark/>
          </w:tcPr>
          <w:p w14:paraId="38D498F4"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40,777</w:t>
            </w:r>
          </w:p>
        </w:tc>
        <w:tc>
          <w:tcPr>
            <w:tcW w:w="1088" w:type="dxa"/>
            <w:tcBorders>
              <w:top w:val="nil"/>
              <w:left w:val="nil"/>
              <w:bottom w:val="single" w:sz="4" w:space="0" w:color="auto"/>
              <w:right w:val="single" w:sz="4" w:space="0" w:color="auto"/>
            </w:tcBorders>
            <w:shd w:val="clear" w:color="auto" w:fill="auto"/>
            <w:noWrap/>
            <w:vAlign w:val="center"/>
            <w:hideMark/>
          </w:tcPr>
          <w:p w14:paraId="4EFCA7E0"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39,049</w:t>
            </w:r>
          </w:p>
        </w:tc>
        <w:tc>
          <w:tcPr>
            <w:tcW w:w="1034" w:type="dxa"/>
            <w:tcBorders>
              <w:top w:val="nil"/>
              <w:left w:val="nil"/>
              <w:bottom w:val="single" w:sz="4" w:space="0" w:color="auto"/>
              <w:right w:val="single" w:sz="4" w:space="0" w:color="auto"/>
            </w:tcBorders>
            <w:shd w:val="clear" w:color="auto" w:fill="auto"/>
            <w:noWrap/>
            <w:vAlign w:val="center"/>
            <w:hideMark/>
          </w:tcPr>
          <w:p w14:paraId="4DC1110B"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41,580</w:t>
            </w:r>
          </w:p>
        </w:tc>
        <w:tc>
          <w:tcPr>
            <w:tcW w:w="939" w:type="dxa"/>
            <w:tcBorders>
              <w:top w:val="nil"/>
              <w:left w:val="nil"/>
              <w:bottom w:val="single" w:sz="4" w:space="0" w:color="auto"/>
              <w:right w:val="single" w:sz="4" w:space="0" w:color="auto"/>
            </w:tcBorders>
            <w:shd w:val="clear" w:color="auto" w:fill="auto"/>
            <w:noWrap/>
            <w:vAlign w:val="center"/>
            <w:hideMark/>
          </w:tcPr>
          <w:p w14:paraId="02B7B694"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45,463</w:t>
            </w:r>
          </w:p>
        </w:tc>
        <w:tc>
          <w:tcPr>
            <w:tcW w:w="939" w:type="dxa"/>
            <w:tcBorders>
              <w:top w:val="nil"/>
              <w:left w:val="nil"/>
              <w:bottom w:val="single" w:sz="4" w:space="0" w:color="auto"/>
              <w:right w:val="single" w:sz="4" w:space="0" w:color="auto"/>
            </w:tcBorders>
            <w:shd w:val="clear" w:color="auto" w:fill="auto"/>
            <w:noWrap/>
            <w:vAlign w:val="center"/>
            <w:hideMark/>
          </w:tcPr>
          <w:p w14:paraId="5CE40E9A"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48,186</w:t>
            </w:r>
          </w:p>
        </w:tc>
      </w:tr>
      <w:tr w:rsidR="00892713" w:rsidRPr="00892713" w14:paraId="628377F5" w14:textId="77777777" w:rsidTr="00892713">
        <w:trPr>
          <w:trHeight w:val="310"/>
          <w:jc w:val="center"/>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BED9D25" w14:textId="77777777" w:rsidR="00892713" w:rsidRPr="00892713" w:rsidRDefault="00892713" w:rsidP="00892713">
            <w:pPr>
              <w:rPr>
                <w:rFonts w:ascii="Calibri" w:eastAsia="Times New Roman" w:hAnsi="Calibri" w:cs="Calibri"/>
                <w:color w:val="000000"/>
              </w:rPr>
            </w:pPr>
            <w:r w:rsidRPr="00892713">
              <w:rPr>
                <w:rFonts w:ascii="Calibri" w:eastAsia="Times New Roman" w:hAnsi="Calibri" w:cs="Calibri"/>
                <w:color w:val="000000"/>
              </w:rPr>
              <w:t>Beds</w:t>
            </w:r>
          </w:p>
        </w:tc>
        <w:tc>
          <w:tcPr>
            <w:tcW w:w="1088" w:type="dxa"/>
            <w:tcBorders>
              <w:top w:val="nil"/>
              <w:left w:val="nil"/>
              <w:bottom w:val="single" w:sz="4" w:space="0" w:color="auto"/>
              <w:right w:val="single" w:sz="4" w:space="0" w:color="auto"/>
            </w:tcBorders>
            <w:shd w:val="clear" w:color="auto" w:fill="auto"/>
            <w:noWrap/>
            <w:vAlign w:val="center"/>
            <w:hideMark/>
          </w:tcPr>
          <w:p w14:paraId="35B259AD"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148</w:t>
            </w:r>
          </w:p>
        </w:tc>
        <w:tc>
          <w:tcPr>
            <w:tcW w:w="1088" w:type="dxa"/>
            <w:tcBorders>
              <w:top w:val="nil"/>
              <w:left w:val="nil"/>
              <w:bottom w:val="single" w:sz="4" w:space="0" w:color="auto"/>
              <w:right w:val="single" w:sz="4" w:space="0" w:color="auto"/>
            </w:tcBorders>
            <w:shd w:val="clear" w:color="auto" w:fill="auto"/>
            <w:noWrap/>
            <w:vAlign w:val="center"/>
            <w:hideMark/>
          </w:tcPr>
          <w:p w14:paraId="16271565"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148</w:t>
            </w:r>
          </w:p>
        </w:tc>
        <w:tc>
          <w:tcPr>
            <w:tcW w:w="1088" w:type="dxa"/>
            <w:tcBorders>
              <w:top w:val="nil"/>
              <w:left w:val="nil"/>
              <w:bottom w:val="single" w:sz="4" w:space="0" w:color="auto"/>
              <w:right w:val="single" w:sz="4" w:space="0" w:color="auto"/>
            </w:tcBorders>
            <w:shd w:val="clear" w:color="auto" w:fill="auto"/>
            <w:noWrap/>
            <w:vAlign w:val="center"/>
            <w:hideMark/>
          </w:tcPr>
          <w:p w14:paraId="746C8B78"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148</w:t>
            </w:r>
          </w:p>
        </w:tc>
        <w:tc>
          <w:tcPr>
            <w:tcW w:w="1088" w:type="dxa"/>
            <w:tcBorders>
              <w:top w:val="nil"/>
              <w:left w:val="nil"/>
              <w:bottom w:val="single" w:sz="4" w:space="0" w:color="auto"/>
              <w:right w:val="single" w:sz="4" w:space="0" w:color="auto"/>
            </w:tcBorders>
            <w:shd w:val="clear" w:color="auto" w:fill="auto"/>
            <w:noWrap/>
            <w:vAlign w:val="center"/>
            <w:hideMark/>
          </w:tcPr>
          <w:p w14:paraId="032F7B40"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148</w:t>
            </w:r>
          </w:p>
        </w:tc>
        <w:tc>
          <w:tcPr>
            <w:tcW w:w="1034" w:type="dxa"/>
            <w:tcBorders>
              <w:top w:val="nil"/>
              <w:left w:val="nil"/>
              <w:bottom w:val="single" w:sz="4" w:space="0" w:color="auto"/>
              <w:right w:val="single" w:sz="4" w:space="0" w:color="auto"/>
            </w:tcBorders>
            <w:shd w:val="clear" w:color="auto" w:fill="auto"/>
            <w:noWrap/>
            <w:vAlign w:val="center"/>
            <w:hideMark/>
          </w:tcPr>
          <w:p w14:paraId="4F97F514"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148</w:t>
            </w:r>
          </w:p>
        </w:tc>
        <w:tc>
          <w:tcPr>
            <w:tcW w:w="939" w:type="dxa"/>
            <w:tcBorders>
              <w:top w:val="nil"/>
              <w:left w:val="nil"/>
              <w:bottom w:val="single" w:sz="4" w:space="0" w:color="auto"/>
              <w:right w:val="single" w:sz="4" w:space="0" w:color="auto"/>
            </w:tcBorders>
            <w:shd w:val="clear" w:color="auto" w:fill="auto"/>
            <w:noWrap/>
            <w:vAlign w:val="center"/>
            <w:hideMark/>
          </w:tcPr>
          <w:p w14:paraId="13A1EE44"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148</w:t>
            </w:r>
          </w:p>
        </w:tc>
        <w:tc>
          <w:tcPr>
            <w:tcW w:w="939" w:type="dxa"/>
            <w:tcBorders>
              <w:top w:val="nil"/>
              <w:left w:val="nil"/>
              <w:bottom w:val="single" w:sz="4" w:space="0" w:color="auto"/>
              <w:right w:val="single" w:sz="4" w:space="0" w:color="auto"/>
            </w:tcBorders>
            <w:shd w:val="clear" w:color="auto" w:fill="auto"/>
            <w:noWrap/>
            <w:vAlign w:val="center"/>
            <w:hideMark/>
          </w:tcPr>
          <w:p w14:paraId="463E63B2"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148</w:t>
            </w:r>
          </w:p>
        </w:tc>
      </w:tr>
      <w:tr w:rsidR="00892713" w:rsidRPr="00892713" w14:paraId="3B99197C" w14:textId="77777777" w:rsidTr="00892713">
        <w:trPr>
          <w:trHeight w:val="310"/>
          <w:jc w:val="center"/>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689DD91A" w14:textId="77777777" w:rsidR="00892713" w:rsidRPr="00892713" w:rsidRDefault="00892713" w:rsidP="00892713">
            <w:pPr>
              <w:rPr>
                <w:rFonts w:ascii="Aptos Narrow" w:eastAsia="Times New Roman" w:hAnsi="Aptos Narrow" w:cs="Times New Roman"/>
                <w:color w:val="000000"/>
                <w:sz w:val="22"/>
                <w:szCs w:val="22"/>
              </w:rPr>
            </w:pPr>
            <w:r w:rsidRPr="00892713">
              <w:rPr>
                <w:rFonts w:ascii="Aptos Narrow" w:eastAsia="Times New Roman" w:hAnsi="Aptos Narrow" w:cs="Times New Roman"/>
                <w:color w:val="000000"/>
                <w:sz w:val="22"/>
                <w:szCs w:val="22"/>
              </w:rPr>
              <w:t> Occupancy Rate</w:t>
            </w:r>
          </w:p>
        </w:tc>
        <w:tc>
          <w:tcPr>
            <w:tcW w:w="1088" w:type="dxa"/>
            <w:tcBorders>
              <w:top w:val="nil"/>
              <w:left w:val="nil"/>
              <w:bottom w:val="single" w:sz="4" w:space="0" w:color="auto"/>
              <w:right w:val="single" w:sz="4" w:space="0" w:color="auto"/>
            </w:tcBorders>
            <w:shd w:val="clear" w:color="auto" w:fill="auto"/>
            <w:noWrap/>
            <w:vAlign w:val="center"/>
            <w:hideMark/>
          </w:tcPr>
          <w:p w14:paraId="0A9EB841"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72%</w:t>
            </w:r>
          </w:p>
        </w:tc>
        <w:tc>
          <w:tcPr>
            <w:tcW w:w="1088" w:type="dxa"/>
            <w:tcBorders>
              <w:top w:val="nil"/>
              <w:left w:val="nil"/>
              <w:bottom w:val="single" w:sz="4" w:space="0" w:color="auto"/>
              <w:right w:val="single" w:sz="4" w:space="0" w:color="auto"/>
            </w:tcBorders>
            <w:shd w:val="clear" w:color="auto" w:fill="auto"/>
            <w:noWrap/>
            <w:vAlign w:val="center"/>
            <w:hideMark/>
          </w:tcPr>
          <w:p w14:paraId="060F481E"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73%</w:t>
            </w:r>
          </w:p>
        </w:tc>
        <w:tc>
          <w:tcPr>
            <w:tcW w:w="1088" w:type="dxa"/>
            <w:tcBorders>
              <w:top w:val="nil"/>
              <w:left w:val="nil"/>
              <w:bottom w:val="single" w:sz="4" w:space="0" w:color="auto"/>
              <w:right w:val="single" w:sz="4" w:space="0" w:color="auto"/>
            </w:tcBorders>
            <w:shd w:val="clear" w:color="auto" w:fill="auto"/>
            <w:noWrap/>
            <w:vAlign w:val="center"/>
            <w:hideMark/>
          </w:tcPr>
          <w:p w14:paraId="134E6AB6"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76%</w:t>
            </w:r>
          </w:p>
        </w:tc>
        <w:tc>
          <w:tcPr>
            <w:tcW w:w="1088" w:type="dxa"/>
            <w:tcBorders>
              <w:top w:val="nil"/>
              <w:left w:val="nil"/>
              <w:bottom w:val="single" w:sz="4" w:space="0" w:color="auto"/>
              <w:right w:val="single" w:sz="4" w:space="0" w:color="auto"/>
            </w:tcBorders>
            <w:shd w:val="clear" w:color="auto" w:fill="auto"/>
            <w:noWrap/>
            <w:vAlign w:val="center"/>
            <w:hideMark/>
          </w:tcPr>
          <w:p w14:paraId="42608A5B"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72%</w:t>
            </w:r>
          </w:p>
        </w:tc>
        <w:tc>
          <w:tcPr>
            <w:tcW w:w="1034" w:type="dxa"/>
            <w:tcBorders>
              <w:top w:val="nil"/>
              <w:left w:val="nil"/>
              <w:bottom w:val="single" w:sz="4" w:space="0" w:color="auto"/>
              <w:right w:val="single" w:sz="4" w:space="0" w:color="auto"/>
            </w:tcBorders>
            <w:shd w:val="clear" w:color="auto" w:fill="auto"/>
            <w:noWrap/>
            <w:vAlign w:val="center"/>
            <w:hideMark/>
          </w:tcPr>
          <w:p w14:paraId="0CA88E6B"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77%</w:t>
            </w:r>
          </w:p>
        </w:tc>
        <w:tc>
          <w:tcPr>
            <w:tcW w:w="939" w:type="dxa"/>
            <w:tcBorders>
              <w:top w:val="nil"/>
              <w:left w:val="nil"/>
              <w:bottom w:val="single" w:sz="4" w:space="0" w:color="auto"/>
              <w:right w:val="single" w:sz="4" w:space="0" w:color="auto"/>
            </w:tcBorders>
            <w:shd w:val="clear" w:color="auto" w:fill="auto"/>
            <w:noWrap/>
            <w:vAlign w:val="center"/>
            <w:hideMark/>
          </w:tcPr>
          <w:p w14:paraId="396C4BAE"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84%</w:t>
            </w:r>
          </w:p>
        </w:tc>
        <w:tc>
          <w:tcPr>
            <w:tcW w:w="939" w:type="dxa"/>
            <w:tcBorders>
              <w:top w:val="nil"/>
              <w:left w:val="nil"/>
              <w:bottom w:val="single" w:sz="4" w:space="0" w:color="auto"/>
              <w:right w:val="single" w:sz="4" w:space="0" w:color="auto"/>
            </w:tcBorders>
            <w:shd w:val="clear" w:color="auto" w:fill="auto"/>
            <w:noWrap/>
            <w:vAlign w:val="center"/>
            <w:hideMark/>
          </w:tcPr>
          <w:p w14:paraId="0AA01D84" w14:textId="77777777" w:rsidR="00892713" w:rsidRPr="00892713" w:rsidRDefault="00892713" w:rsidP="00892713">
            <w:pPr>
              <w:jc w:val="right"/>
              <w:rPr>
                <w:rFonts w:ascii="Calibri" w:eastAsia="Times New Roman" w:hAnsi="Calibri" w:cs="Calibri"/>
                <w:color w:val="000000"/>
              </w:rPr>
            </w:pPr>
            <w:r w:rsidRPr="00892713">
              <w:rPr>
                <w:rFonts w:ascii="Calibri" w:eastAsia="Times New Roman" w:hAnsi="Calibri" w:cs="Calibri"/>
                <w:color w:val="000000"/>
              </w:rPr>
              <w:t>89%</w:t>
            </w:r>
          </w:p>
        </w:tc>
      </w:tr>
    </w:tbl>
    <w:p w14:paraId="5D34B074" w14:textId="77777777" w:rsidR="005C38FE" w:rsidRDefault="005C38FE" w:rsidP="00892713">
      <w:pPr>
        <w:pStyle w:val="Heading1"/>
        <w:spacing w:before="0" w:line="240" w:lineRule="auto"/>
        <w:rPr>
          <w:rFonts w:asciiTheme="minorHAnsi" w:eastAsia="Calibri" w:hAnsiTheme="minorHAnsi" w:cstheme="minorHAnsi"/>
        </w:rPr>
      </w:pPr>
    </w:p>
    <w:p w14:paraId="71952509" w14:textId="431DC097" w:rsidR="00AC68E5" w:rsidRDefault="00AC68E5" w:rsidP="6CE004FB">
      <w:pPr>
        <w:pStyle w:val="Heading1"/>
        <w:spacing w:before="0" w:line="240" w:lineRule="auto"/>
        <w:rPr>
          <w:rFonts w:asciiTheme="minorHAnsi" w:eastAsia="Calibri" w:hAnsiTheme="minorHAnsi" w:cstheme="minorBidi"/>
        </w:rPr>
      </w:pPr>
      <w:bookmarkStart w:id="35" w:name="_Toc169264786"/>
      <w:r w:rsidRPr="6CE004FB">
        <w:rPr>
          <w:rFonts w:asciiTheme="minorHAnsi" w:eastAsia="Calibri" w:hAnsiTheme="minorHAnsi" w:cstheme="minorBidi"/>
        </w:rPr>
        <w:t>Factor 1</w:t>
      </w:r>
      <w:r w:rsidR="00B85B1D" w:rsidRPr="6CE004FB">
        <w:rPr>
          <w:rFonts w:asciiTheme="minorHAnsi" w:eastAsia="Calibri" w:hAnsiTheme="minorHAnsi" w:cstheme="minorBidi"/>
        </w:rPr>
        <w:t>a</w:t>
      </w:r>
      <w:r w:rsidRPr="6CE004FB">
        <w:rPr>
          <w:rFonts w:asciiTheme="minorHAnsi" w:eastAsia="Calibri" w:hAnsiTheme="minorHAnsi" w:cstheme="minorBidi"/>
        </w:rPr>
        <w:t>: Patient Panel Need</w:t>
      </w:r>
      <w:bookmarkEnd w:id="32"/>
      <w:bookmarkEnd w:id="33"/>
      <w:bookmarkEnd w:id="34"/>
      <w:bookmarkEnd w:id="35"/>
    </w:p>
    <w:p w14:paraId="0E03173C" w14:textId="77777777" w:rsidR="00DE4CD3" w:rsidRPr="00DE4CD3" w:rsidRDefault="00DE4CD3" w:rsidP="00DE4CD3">
      <w:pPr>
        <w:rPr>
          <w:rFonts w:eastAsia="Calibri"/>
        </w:rPr>
      </w:pPr>
    </w:p>
    <w:p w14:paraId="54F5E88C" w14:textId="34A24DF6" w:rsidR="006B02BE" w:rsidRPr="00F17E5D" w:rsidRDefault="006B02BE" w:rsidP="00E347B4">
      <w:pPr>
        <w:rPr>
          <w:rFonts w:eastAsia="Calibri"/>
        </w:rPr>
      </w:pPr>
      <w:bookmarkStart w:id="36" w:name="_Toc28797402"/>
      <w:bookmarkStart w:id="37" w:name="_Toc17151180"/>
      <w:bookmarkStart w:id="38" w:name="_Toc17322392"/>
      <w:bookmarkStart w:id="39" w:name="_Toc18922408"/>
      <w:bookmarkStart w:id="40" w:name="_Toc17322387"/>
      <w:bookmarkStart w:id="41" w:name="_Toc18922403"/>
      <w:bookmarkEnd w:id="14"/>
      <w:r w:rsidRPr="00F17E5D">
        <w:rPr>
          <w:rFonts w:eastAsia="Calibri"/>
        </w:rPr>
        <w:t>The Applicant attribute</w:t>
      </w:r>
      <w:r w:rsidR="00867E8B" w:rsidRPr="00F17E5D">
        <w:rPr>
          <w:rFonts w:eastAsia="Calibri"/>
        </w:rPr>
        <w:t>s</w:t>
      </w:r>
      <w:r w:rsidRPr="00F17E5D">
        <w:rPr>
          <w:rFonts w:eastAsia="Calibri"/>
        </w:rPr>
        <w:t xml:space="preserve"> need for the </w:t>
      </w:r>
      <w:r w:rsidR="00867E8B" w:rsidRPr="00F17E5D">
        <w:rPr>
          <w:rFonts w:eastAsia="Calibri"/>
        </w:rPr>
        <w:t xml:space="preserve">Proposed </w:t>
      </w:r>
      <w:r w:rsidR="00506075">
        <w:rPr>
          <w:rFonts w:eastAsia="Calibri"/>
        </w:rPr>
        <w:t xml:space="preserve">Transfer of </w:t>
      </w:r>
      <w:r w:rsidR="000B526E">
        <w:rPr>
          <w:rFonts w:eastAsia="Calibri"/>
        </w:rPr>
        <w:t>Ownership</w:t>
      </w:r>
      <w:r w:rsidR="00506075">
        <w:rPr>
          <w:rFonts w:eastAsia="Calibri"/>
        </w:rPr>
        <w:t xml:space="preserve"> (“Proposed Affiliation”)</w:t>
      </w:r>
      <w:r w:rsidR="00867E8B" w:rsidRPr="00F17E5D">
        <w:rPr>
          <w:rFonts w:eastAsia="Calibri"/>
        </w:rPr>
        <w:t xml:space="preserve"> </w:t>
      </w:r>
      <w:r w:rsidRPr="00F17E5D">
        <w:rPr>
          <w:rFonts w:eastAsia="Calibri"/>
        </w:rPr>
        <w:t xml:space="preserve">to </w:t>
      </w:r>
      <w:r w:rsidR="00D25A39" w:rsidRPr="00F17E5D">
        <w:rPr>
          <w:rFonts w:eastAsia="Calibri"/>
        </w:rPr>
        <w:t>the following:</w:t>
      </w:r>
    </w:p>
    <w:p w14:paraId="0C4602A5" w14:textId="77777777" w:rsidR="00F17E5D" w:rsidRPr="00F17E5D" w:rsidRDefault="00F17E5D" w:rsidP="00F17E5D">
      <w:pPr>
        <w:widowControl w:val="0"/>
        <w:tabs>
          <w:tab w:val="left" w:pos="901"/>
        </w:tabs>
        <w:autoSpaceDE w:val="0"/>
        <w:autoSpaceDN w:val="0"/>
        <w:ind w:left="900"/>
        <w:rPr>
          <w:rFonts w:eastAsia="Garamond"/>
          <w:szCs w:val="22"/>
        </w:rPr>
      </w:pPr>
    </w:p>
    <w:p w14:paraId="73528BFF" w14:textId="511C53B0" w:rsidR="00E96737" w:rsidRPr="00A71032" w:rsidRDefault="00DA19AB" w:rsidP="00A50A54">
      <w:pPr>
        <w:pStyle w:val="ListParagraph"/>
        <w:widowControl w:val="0"/>
        <w:numPr>
          <w:ilvl w:val="0"/>
          <w:numId w:val="4"/>
        </w:numPr>
        <w:tabs>
          <w:tab w:val="left" w:pos="901"/>
        </w:tabs>
        <w:autoSpaceDE w:val="0"/>
        <w:autoSpaceDN w:val="0"/>
        <w:spacing w:before="74" w:line="240" w:lineRule="auto"/>
        <w:ind w:right="225"/>
        <w:rPr>
          <w:rFonts w:ascii="Calibri" w:eastAsia="Garamond" w:hAnsi="Calibri" w:cs="Calibri"/>
          <w:sz w:val="24"/>
          <w:szCs w:val="24"/>
        </w:rPr>
      </w:pPr>
      <w:r>
        <w:rPr>
          <w:rFonts w:ascii="Calibri" w:eastAsia="Garamond" w:hAnsi="Calibri" w:cs="Calibri"/>
          <w:sz w:val="24"/>
          <w:szCs w:val="24"/>
        </w:rPr>
        <w:t>Need to S</w:t>
      </w:r>
      <w:r w:rsidR="00E96737" w:rsidRPr="00A71032">
        <w:rPr>
          <w:rFonts w:ascii="Calibri" w:eastAsia="Garamond" w:hAnsi="Calibri" w:cs="Calibri"/>
          <w:sz w:val="24"/>
          <w:szCs w:val="24"/>
        </w:rPr>
        <w:t>ecur</w:t>
      </w:r>
      <w:r>
        <w:rPr>
          <w:rFonts w:ascii="Calibri" w:eastAsia="Garamond" w:hAnsi="Calibri" w:cs="Calibri"/>
          <w:sz w:val="24"/>
          <w:szCs w:val="24"/>
        </w:rPr>
        <w:t>e</w:t>
      </w:r>
      <w:r w:rsidR="00E96737" w:rsidRPr="00A71032">
        <w:rPr>
          <w:rFonts w:ascii="Calibri" w:eastAsia="Garamond" w:hAnsi="Calibri" w:cs="Calibri"/>
          <w:sz w:val="24"/>
          <w:szCs w:val="24"/>
        </w:rPr>
        <w:t xml:space="preserve"> </w:t>
      </w:r>
      <w:r w:rsidR="00147398" w:rsidRPr="00A71032">
        <w:rPr>
          <w:rFonts w:ascii="Calibri" w:eastAsia="Garamond" w:hAnsi="Calibri" w:cs="Calibri"/>
          <w:sz w:val="24"/>
          <w:szCs w:val="24"/>
        </w:rPr>
        <w:t>the</w:t>
      </w:r>
      <w:r w:rsidR="00E96737" w:rsidRPr="00A71032">
        <w:rPr>
          <w:rFonts w:ascii="Calibri" w:eastAsia="Garamond" w:hAnsi="Calibri" w:cs="Calibri"/>
          <w:sz w:val="24"/>
          <w:szCs w:val="24"/>
        </w:rPr>
        <w:t xml:space="preserve"> Financial Viability </w:t>
      </w:r>
      <w:r w:rsidR="00147398" w:rsidRPr="00A71032">
        <w:rPr>
          <w:rFonts w:ascii="Calibri" w:eastAsia="Garamond" w:hAnsi="Calibri" w:cs="Calibri"/>
          <w:sz w:val="24"/>
          <w:szCs w:val="24"/>
        </w:rPr>
        <w:t>of</w:t>
      </w:r>
      <w:r w:rsidR="00E96737" w:rsidRPr="00A71032">
        <w:rPr>
          <w:rFonts w:ascii="Calibri" w:eastAsia="Garamond" w:hAnsi="Calibri" w:cs="Calibri"/>
          <w:sz w:val="24"/>
          <w:szCs w:val="24"/>
        </w:rPr>
        <w:t xml:space="preserve"> MR</w:t>
      </w:r>
      <w:r w:rsidR="00265B00">
        <w:rPr>
          <w:rFonts w:ascii="Calibri" w:eastAsia="Garamond" w:hAnsi="Calibri" w:cs="Calibri"/>
          <w:sz w:val="24"/>
          <w:szCs w:val="24"/>
        </w:rPr>
        <w:t>M</w:t>
      </w:r>
      <w:r w:rsidR="00E96737" w:rsidRPr="00A71032">
        <w:rPr>
          <w:rFonts w:ascii="Calibri" w:eastAsia="Garamond" w:hAnsi="Calibri" w:cs="Calibri"/>
          <w:sz w:val="24"/>
          <w:szCs w:val="24"/>
        </w:rPr>
        <w:t>C to Maintain Access to Care</w:t>
      </w:r>
    </w:p>
    <w:p w14:paraId="6E02F3A1" w14:textId="42779C2E" w:rsidR="00793CF1" w:rsidRPr="00A71032" w:rsidRDefault="00880FC1" w:rsidP="00A50A54">
      <w:pPr>
        <w:pStyle w:val="ListParagraph"/>
        <w:numPr>
          <w:ilvl w:val="0"/>
          <w:numId w:val="4"/>
        </w:numPr>
        <w:spacing w:after="240" w:line="240" w:lineRule="auto"/>
        <w:textAlignment w:val="baseline"/>
        <w:rPr>
          <w:rFonts w:ascii="Calibri" w:eastAsia="Calibri" w:hAnsi="Calibri" w:cs="Calibri"/>
          <w:spacing w:val="-1"/>
          <w:sz w:val="24"/>
          <w:szCs w:val="24"/>
        </w:rPr>
      </w:pPr>
      <w:r w:rsidRPr="00A71032">
        <w:rPr>
          <w:rFonts w:ascii="Calibri" w:eastAsia="Calibri" w:hAnsi="Calibri" w:cs="Calibri"/>
          <w:spacing w:val="-1"/>
          <w:sz w:val="24"/>
          <w:szCs w:val="24"/>
        </w:rPr>
        <w:t xml:space="preserve">Need </w:t>
      </w:r>
      <w:r w:rsidR="004B5324">
        <w:rPr>
          <w:rFonts w:ascii="Calibri" w:eastAsia="Calibri" w:hAnsi="Calibri" w:cs="Calibri"/>
          <w:spacing w:val="-1"/>
          <w:sz w:val="24"/>
          <w:szCs w:val="24"/>
        </w:rPr>
        <w:t>to Preserve</w:t>
      </w:r>
      <w:r w:rsidRPr="00A71032">
        <w:rPr>
          <w:rFonts w:ascii="Calibri" w:eastAsia="Calibri" w:hAnsi="Calibri" w:cs="Calibri"/>
          <w:spacing w:val="-1"/>
          <w:sz w:val="24"/>
          <w:szCs w:val="24"/>
        </w:rPr>
        <w:t xml:space="preserve"> </w:t>
      </w:r>
      <w:r w:rsidR="004A25F3">
        <w:rPr>
          <w:rFonts w:ascii="Calibri" w:eastAsia="Calibri" w:hAnsi="Calibri" w:cs="Calibri"/>
          <w:spacing w:val="-1"/>
          <w:sz w:val="24"/>
          <w:szCs w:val="24"/>
        </w:rPr>
        <w:t xml:space="preserve">Local </w:t>
      </w:r>
      <w:r w:rsidR="00793CF1" w:rsidRPr="00A71032">
        <w:rPr>
          <w:rFonts w:ascii="Calibri" w:eastAsia="Calibri" w:hAnsi="Calibri" w:cs="Calibri"/>
          <w:spacing w:val="-1"/>
          <w:sz w:val="24"/>
          <w:szCs w:val="24"/>
        </w:rPr>
        <w:t xml:space="preserve">Access to </w:t>
      </w:r>
      <w:r w:rsidR="004A25F3">
        <w:rPr>
          <w:rFonts w:ascii="Calibri" w:eastAsia="Calibri" w:hAnsi="Calibri" w:cs="Calibri"/>
          <w:spacing w:val="-1"/>
          <w:sz w:val="24"/>
          <w:szCs w:val="24"/>
        </w:rPr>
        <w:t>All Levels of Care</w:t>
      </w:r>
      <w:r w:rsidR="00395314">
        <w:rPr>
          <w:rFonts w:ascii="Calibri" w:eastAsia="Calibri" w:hAnsi="Calibri" w:cs="Calibri"/>
          <w:spacing w:val="-1"/>
          <w:sz w:val="24"/>
          <w:szCs w:val="24"/>
        </w:rPr>
        <w:t xml:space="preserve"> for the Patient Panel and Service Area</w:t>
      </w:r>
    </w:p>
    <w:p w14:paraId="3984FE39" w14:textId="58EA229B" w:rsidR="00880FC1" w:rsidRPr="00A71032" w:rsidRDefault="00A71032" w:rsidP="00A50A54">
      <w:pPr>
        <w:pStyle w:val="ListParagraph"/>
        <w:numPr>
          <w:ilvl w:val="0"/>
          <w:numId w:val="4"/>
        </w:numPr>
        <w:spacing w:after="240" w:line="240" w:lineRule="auto"/>
        <w:textAlignment w:val="baseline"/>
        <w:rPr>
          <w:rFonts w:ascii="Calibri" w:eastAsia="Calibri" w:hAnsi="Calibri" w:cs="Calibri"/>
          <w:spacing w:val="-1"/>
          <w:sz w:val="24"/>
          <w:szCs w:val="24"/>
        </w:rPr>
      </w:pPr>
      <w:r>
        <w:rPr>
          <w:rFonts w:ascii="Calibri" w:eastAsia="Calibri" w:hAnsi="Calibri" w:cs="Calibri"/>
          <w:spacing w:val="-1"/>
          <w:sz w:val="24"/>
          <w:szCs w:val="24"/>
        </w:rPr>
        <w:t xml:space="preserve">Need for </w:t>
      </w:r>
      <w:r w:rsidR="00880FC1" w:rsidRPr="00A71032">
        <w:rPr>
          <w:rFonts w:ascii="Calibri" w:eastAsia="Calibri" w:hAnsi="Calibri" w:cs="Calibri"/>
          <w:spacing w:val="-1"/>
          <w:sz w:val="24"/>
          <w:szCs w:val="24"/>
        </w:rPr>
        <w:t>Investments in Clinical Collaborations and Information Technology</w:t>
      </w:r>
      <w:r w:rsidR="00395314">
        <w:rPr>
          <w:rFonts w:ascii="Calibri" w:eastAsia="Calibri" w:hAnsi="Calibri" w:cs="Calibri"/>
          <w:spacing w:val="-1"/>
          <w:sz w:val="24"/>
          <w:szCs w:val="24"/>
        </w:rPr>
        <w:t xml:space="preserve"> at MRMC</w:t>
      </w:r>
    </w:p>
    <w:p w14:paraId="01A27FC4" w14:textId="5235D7BD" w:rsidR="00A71032" w:rsidRPr="00A71032" w:rsidRDefault="00A71032" w:rsidP="00A50A54">
      <w:pPr>
        <w:pStyle w:val="ListParagraph"/>
        <w:numPr>
          <w:ilvl w:val="0"/>
          <w:numId w:val="4"/>
        </w:numPr>
        <w:spacing w:after="240" w:line="240" w:lineRule="auto"/>
        <w:rPr>
          <w:rFonts w:ascii="Calibri" w:eastAsia="PMingLiU" w:hAnsi="Calibri" w:cs="Times New Roman"/>
          <w:sz w:val="24"/>
          <w:szCs w:val="24"/>
        </w:rPr>
      </w:pPr>
      <w:r w:rsidRPr="00A71032">
        <w:rPr>
          <w:rFonts w:ascii="Calibri" w:eastAsia="PMingLiU" w:hAnsi="Calibri" w:cs="Times New Roman"/>
          <w:sz w:val="24"/>
          <w:szCs w:val="24"/>
        </w:rPr>
        <w:t>Need for Innovative Programs that Reduce the Cost of Care</w:t>
      </w:r>
      <w:r w:rsidR="00E72A9B">
        <w:rPr>
          <w:rFonts w:ascii="Calibri" w:eastAsia="PMingLiU" w:hAnsi="Calibri" w:cs="Times New Roman"/>
          <w:sz w:val="24"/>
          <w:szCs w:val="24"/>
        </w:rPr>
        <w:t xml:space="preserve"> at MRMC</w:t>
      </w:r>
    </w:p>
    <w:p w14:paraId="718AC916" w14:textId="52DCE783" w:rsidR="005C2815" w:rsidRDefault="00147398" w:rsidP="005C2815">
      <w:pPr>
        <w:widowControl w:val="0"/>
        <w:tabs>
          <w:tab w:val="left" w:pos="901"/>
        </w:tabs>
        <w:autoSpaceDE w:val="0"/>
        <w:autoSpaceDN w:val="0"/>
        <w:rPr>
          <w:rFonts w:ascii="Calibri" w:eastAsia="Aptos" w:hAnsi="Calibri" w:cs="Calibri"/>
          <w:b/>
          <w:bCs/>
        </w:rPr>
      </w:pPr>
      <w:r>
        <w:rPr>
          <w:rFonts w:ascii="Calibri" w:eastAsia="Garamond" w:hAnsi="Calibri" w:cs="Calibri"/>
          <w:b/>
          <w:bCs/>
          <w:szCs w:val="22"/>
        </w:rPr>
        <w:t xml:space="preserve">1. </w:t>
      </w:r>
      <w:r w:rsidR="00DA19AB">
        <w:rPr>
          <w:rFonts w:ascii="Calibri" w:eastAsia="Garamond" w:hAnsi="Calibri" w:cs="Calibri"/>
          <w:b/>
          <w:bCs/>
          <w:szCs w:val="22"/>
        </w:rPr>
        <w:t xml:space="preserve">Need to </w:t>
      </w:r>
      <w:r w:rsidR="005C2815" w:rsidRPr="005C2815">
        <w:rPr>
          <w:rFonts w:ascii="Calibri" w:eastAsia="Garamond" w:hAnsi="Calibri" w:cs="Calibri"/>
          <w:b/>
          <w:bCs/>
          <w:szCs w:val="22"/>
        </w:rPr>
        <w:t>Secur</w:t>
      </w:r>
      <w:r w:rsidR="00DA19AB">
        <w:rPr>
          <w:rFonts w:ascii="Calibri" w:eastAsia="Garamond" w:hAnsi="Calibri" w:cs="Calibri"/>
          <w:b/>
          <w:bCs/>
          <w:szCs w:val="22"/>
        </w:rPr>
        <w:t>e</w:t>
      </w:r>
      <w:r w:rsidR="005C2815" w:rsidRPr="005C2815">
        <w:rPr>
          <w:rFonts w:ascii="Calibri" w:eastAsia="Garamond" w:hAnsi="Calibri" w:cs="Calibri"/>
          <w:b/>
          <w:bCs/>
          <w:szCs w:val="22"/>
        </w:rPr>
        <w:t xml:space="preserve"> </w:t>
      </w:r>
      <w:r w:rsidRPr="005C2815">
        <w:rPr>
          <w:rFonts w:ascii="Calibri" w:eastAsia="Garamond" w:hAnsi="Calibri" w:cs="Calibri"/>
          <w:b/>
          <w:bCs/>
          <w:szCs w:val="22"/>
        </w:rPr>
        <w:t>the</w:t>
      </w:r>
      <w:r w:rsidR="005C2815" w:rsidRPr="005C2815">
        <w:rPr>
          <w:rFonts w:ascii="Calibri" w:eastAsia="Garamond" w:hAnsi="Calibri" w:cs="Calibri"/>
          <w:b/>
          <w:bCs/>
          <w:spacing w:val="-2"/>
          <w:szCs w:val="22"/>
        </w:rPr>
        <w:t xml:space="preserve"> </w:t>
      </w:r>
      <w:r w:rsidR="005C2815" w:rsidRPr="005C2815">
        <w:rPr>
          <w:rFonts w:ascii="Calibri" w:eastAsia="Garamond" w:hAnsi="Calibri" w:cs="Calibri"/>
          <w:b/>
          <w:bCs/>
          <w:szCs w:val="22"/>
        </w:rPr>
        <w:t>Financial</w:t>
      </w:r>
      <w:r w:rsidR="005C2815" w:rsidRPr="005C2815">
        <w:rPr>
          <w:rFonts w:ascii="Calibri" w:eastAsia="Garamond" w:hAnsi="Calibri" w:cs="Calibri"/>
          <w:b/>
          <w:bCs/>
          <w:spacing w:val="-4"/>
          <w:szCs w:val="22"/>
        </w:rPr>
        <w:t xml:space="preserve"> </w:t>
      </w:r>
      <w:r w:rsidR="005C2815" w:rsidRPr="005C2815">
        <w:rPr>
          <w:rFonts w:ascii="Calibri" w:eastAsia="Garamond" w:hAnsi="Calibri" w:cs="Calibri"/>
          <w:b/>
          <w:bCs/>
          <w:szCs w:val="22"/>
        </w:rPr>
        <w:t>Viability</w:t>
      </w:r>
      <w:r w:rsidR="005C2815" w:rsidRPr="005C2815">
        <w:rPr>
          <w:rFonts w:ascii="Calibri" w:eastAsia="Garamond" w:hAnsi="Calibri" w:cs="Calibri"/>
          <w:b/>
          <w:bCs/>
          <w:spacing w:val="-2"/>
          <w:szCs w:val="22"/>
        </w:rPr>
        <w:t xml:space="preserve"> </w:t>
      </w:r>
      <w:r>
        <w:rPr>
          <w:rFonts w:ascii="Calibri" w:eastAsia="Garamond" w:hAnsi="Calibri" w:cs="Calibri"/>
          <w:b/>
          <w:bCs/>
          <w:spacing w:val="-2"/>
          <w:szCs w:val="22"/>
        </w:rPr>
        <w:t>o</w:t>
      </w:r>
      <w:r w:rsidR="005C2815" w:rsidRPr="005C2815">
        <w:rPr>
          <w:rFonts w:ascii="Calibri" w:eastAsia="Garamond" w:hAnsi="Calibri" w:cs="Calibri"/>
          <w:b/>
          <w:bCs/>
          <w:szCs w:val="22"/>
        </w:rPr>
        <w:t>f</w:t>
      </w:r>
      <w:r w:rsidR="005C2815" w:rsidRPr="005C2815">
        <w:rPr>
          <w:rFonts w:ascii="Calibri" w:eastAsia="Garamond" w:hAnsi="Calibri" w:cs="Calibri"/>
          <w:b/>
          <w:bCs/>
          <w:spacing w:val="-2"/>
          <w:szCs w:val="22"/>
        </w:rPr>
        <w:t xml:space="preserve"> MR</w:t>
      </w:r>
      <w:r w:rsidR="00265B00">
        <w:rPr>
          <w:rFonts w:ascii="Calibri" w:eastAsia="Garamond" w:hAnsi="Calibri" w:cs="Calibri"/>
          <w:b/>
          <w:bCs/>
          <w:spacing w:val="-2"/>
          <w:szCs w:val="22"/>
        </w:rPr>
        <w:t>M</w:t>
      </w:r>
      <w:r w:rsidR="005C2815" w:rsidRPr="005C2815">
        <w:rPr>
          <w:rFonts w:ascii="Calibri" w:eastAsia="Garamond" w:hAnsi="Calibri" w:cs="Calibri"/>
          <w:b/>
          <w:bCs/>
          <w:spacing w:val="-2"/>
          <w:szCs w:val="22"/>
        </w:rPr>
        <w:t xml:space="preserve">C to Maintain </w:t>
      </w:r>
      <w:r w:rsidR="005C2815" w:rsidRPr="005C2815">
        <w:rPr>
          <w:rFonts w:ascii="Calibri" w:eastAsia="Aptos" w:hAnsi="Calibri" w:cs="Calibri"/>
          <w:b/>
          <w:bCs/>
        </w:rPr>
        <w:t>Access to Care</w:t>
      </w:r>
    </w:p>
    <w:p w14:paraId="41224DDD" w14:textId="77777777" w:rsidR="00E96737" w:rsidRPr="005C2815" w:rsidRDefault="00E96737" w:rsidP="005C2815">
      <w:pPr>
        <w:widowControl w:val="0"/>
        <w:tabs>
          <w:tab w:val="left" w:pos="901"/>
        </w:tabs>
        <w:autoSpaceDE w:val="0"/>
        <w:autoSpaceDN w:val="0"/>
        <w:rPr>
          <w:rFonts w:ascii="Calibri" w:eastAsia="Aptos" w:hAnsi="Calibri" w:cs="Calibri"/>
          <w:b/>
          <w:bCs/>
        </w:rPr>
      </w:pPr>
    </w:p>
    <w:p w14:paraId="0A5BC4FD" w14:textId="714FAA23" w:rsidR="005C2815" w:rsidRPr="005C2815" w:rsidRDefault="005C2815" w:rsidP="005C2815">
      <w:pPr>
        <w:spacing w:after="160"/>
        <w:rPr>
          <w:rFonts w:ascii="Calibri" w:eastAsia="Aptos" w:hAnsi="Calibri" w:cs="Calibri"/>
        </w:rPr>
      </w:pPr>
      <w:r w:rsidRPr="282949F7">
        <w:rPr>
          <w:rFonts w:ascii="Calibri" w:eastAsia="PMingLiU" w:hAnsi="Calibri" w:cs="Times New Roman"/>
        </w:rPr>
        <w:t xml:space="preserve">The </w:t>
      </w:r>
      <w:r w:rsidR="002E42C4" w:rsidRPr="282949F7">
        <w:rPr>
          <w:rFonts w:ascii="Calibri" w:eastAsia="PMingLiU" w:hAnsi="Calibri" w:cs="Times New Roman"/>
        </w:rPr>
        <w:t>Applicant</w:t>
      </w:r>
      <w:r w:rsidRPr="282949F7">
        <w:rPr>
          <w:rFonts w:ascii="Calibri" w:eastAsia="PMingLiU" w:hAnsi="Calibri" w:cs="Times New Roman"/>
        </w:rPr>
        <w:t xml:space="preserve"> states that the primary purpose of the Proposed Affiliation is to </w:t>
      </w:r>
      <w:r w:rsidR="00DA19AB" w:rsidRPr="282949F7">
        <w:rPr>
          <w:rFonts w:ascii="Calibri" w:eastAsia="PMingLiU" w:hAnsi="Calibri" w:cs="Times New Roman"/>
        </w:rPr>
        <w:t>enable</w:t>
      </w:r>
      <w:r w:rsidRPr="282949F7">
        <w:rPr>
          <w:rFonts w:ascii="Calibri" w:eastAsia="PMingLiU" w:hAnsi="Calibri" w:cs="Times New Roman"/>
        </w:rPr>
        <w:t xml:space="preserve"> MRMC to remain financially viable. </w:t>
      </w:r>
      <w:r w:rsidR="00DA19AB" w:rsidRPr="282949F7">
        <w:rPr>
          <w:rFonts w:ascii="Calibri" w:eastAsia="PMingLiU" w:hAnsi="Calibri" w:cs="Times New Roman"/>
        </w:rPr>
        <w:t xml:space="preserve">Over the past five years </w:t>
      </w:r>
      <w:r w:rsidRPr="282949F7">
        <w:rPr>
          <w:rFonts w:ascii="Calibri" w:eastAsia="PMingLiU" w:hAnsi="Calibri" w:cs="Times New Roman"/>
        </w:rPr>
        <w:t>MRMC has experienced significant operating losses of approximately $50 million</w:t>
      </w:r>
      <w:r w:rsidR="00056DF7" w:rsidRPr="282949F7">
        <w:rPr>
          <w:rFonts w:ascii="Calibri" w:eastAsia="PMingLiU" w:hAnsi="Calibri" w:cs="Times New Roman"/>
        </w:rPr>
        <w:t>.</w:t>
      </w:r>
      <w:r w:rsidRPr="005C2815">
        <w:rPr>
          <w:rFonts w:ascii="Calibri" w:eastAsia="Tahoma" w:hAnsi="Calibri" w:cs="Calibri"/>
          <w:color w:val="000000"/>
          <w:vertAlign w:val="superscript"/>
        </w:rPr>
        <w:footnoteReference w:id="11"/>
      </w:r>
      <w:r w:rsidRPr="282949F7">
        <w:rPr>
          <w:rFonts w:ascii="Calibri" w:eastAsia="PMingLiU" w:hAnsi="Calibri" w:cs="Times New Roman"/>
        </w:rPr>
        <w:t xml:space="preserve"> </w:t>
      </w:r>
      <w:r w:rsidR="00DA19AB" w:rsidRPr="282949F7">
        <w:rPr>
          <w:rFonts w:ascii="Calibri" w:eastAsia="PMingLiU" w:hAnsi="Calibri" w:cs="Times New Roman"/>
        </w:rPr>
        <w:t xml:space="preserve">These losses are projected to continue into the future. </w:t>
      </w:r>
      <w:r w:rsidR="00506075" w:rsidRPr="282949F7">
        <w:rPr>
          <w:rFonts w:ascii="Calibri" w:eastAsia="PMingLiU" w:hAnsi="Calibri" w:cs="Times New Roman"/>
        </w:rPr>
        <w:t>Co</w:t>
      </w:r>
      <w:r w:rsidRPr="005C2815">
        <w:rPr>
          <w:rFonts w:ascii="Calibri" w:eastAsia="Aptos" w:hAnsi="Calibri" w:cs="Calibri"/>
        </w:rPr>
        <w:t xml:space="preserve">nsequently, Standard &amp; </w:t>
      </w:r>
      <w:proofErr w:type="spellStart"/>
      <w:r w:rsidR="00DA19AB" w:rsidRPr="005C2815">
        <w:rPr>
          <w:rFonts w:ascii="Calibri" w:eastAsia="Aptos" w:hAnsi="Calibri" w:cs="Calibri"/>
        </w:rPr>
        <w:t>Poors</w:t>
      </w:r>
      <w:proofErr w:type="spellEnd"/>
      <w:r w:rsidR="00BB6DF0">
        <w:rPr>
          <w:rStyle w:val="FootnoteReference"/>
          <w:rFonts w:ascii="Calibri" w:eastAsia="Aptos" w:hAnsi="Calibri" w:cs="Calibri"/>
        </w:rPr>
        <w:footnoteReference w:id="12"/>
      </w:r>
      <w:r w:rsidRPr="005C2815">
        <w:rPr>
          <w:rFonts w:ascii="Calibri" w:eastAsia="Aptos" w:hAnsi="Calibri" w:cs="Calibri"/>
        </w:rPr>
        <w:t xml:space="preserve"> </w:t>
      </w:r>
      <w:r w:rsidR="00506075">
        <w:rPr>
          <w:rFonts w:ascii="Calibri" w:eastAsia="Aptos" w:hAnsi="Calibri" w:cs="Calibri"/>
        </w:rPr>
        <w:t xml:space="preserve">credit rating agency, </w:t>
      </w:r>
      <w:r w:rsidRPr="005C2815">
        <w:rPr>
          <w:rFonts w:ascii="Calibri" w:eastAsia="Aptos" w:hAnsi="Calibri" w:cs="Calibri"/>
        </w:rPr>
        <w:t>downgraded MRMC from a B+ to a B</w:t>
      </w:r>
      <w:r w:rsidR="00DA19AB">
        <w:rPr>
          <w:rFonts w:ascii="Calibri" w:eastAsia="Aptos" w:hAnsi="Calibri" w:cs="Calibri"/>
        </w:rPr>
        <w:t xml:space="preserve"> rating </w:t>
      </w:r>
      <w:r w:rsidRPr="005C2815">
        <w:rPr>
          <w:rFonts w:ascii="Calibri" w:eastAsia="Aptos" w:hAnsi="Calibri" w:cs="Calibri"/>
        </w:rPr>
        <w:t>in its report o</w:t>
      </w:r>
      <w:r w:rsidR="00506075">
        <w:rPr>
          <w:rFonts w:ascii="Calibri" w:eastAsia="Aptos" w:hAnsi="Calibri" w:cs="Calibri"/>
        </w:rPr>
        <w:t>n</w:t>
      </w:r>
      <w:r w:rsidRPr="005C2815">
        <w:rPr>
          <w:rFonts w:ascii="Calibri" w:eastAsia="Aptos" w:hAnsi="Calibri" w:cs="Calibri"/>
        </w:rPr>
        <w:t xml:space="preserve"> MRMC </w:t>
      </w:r>
      <w:r w:rsidR="002E42C4">
        <w:rPr>
          <w:rFonts w:ascii="Calibri" w:eastAsia="Aptos" w:hAnsi="Calibri" w:cs="Calibri"/>
        </w:rPr>
        <w:t>from</w:t>
      </w:r>
      <w:r w:rsidRPr="005C2815">
        <w:rPr>
          <w:rFonts w:ascii="Calibri" w:eastAsia="Aptos" w:hAnsi="Calibri" w:cs="Calibri"/>
        </w:rPr>
        <w:t xml:space="preserve"> January 30, 2024.</w:t>
      </w:r>
      <w:r w:rsidRPr="005C2815">
        <w:rPr>
          <w:rFonts w:ascii="Calibri" w:eastAsia="Aptos" w:hAnsi="Calibri" w:cs="Calibri"/>
          <w:vertAlign w:val="superscript"/>
        </w:rPr>
        <w:footnoteReference w:id="13"/>
      </w:r>
      <w:r w:rsidRPr="005C2815">
        <w:rPr>
          <w:rFonts w:ascii="Calibri" w:eastAsia="Aptos" w:hAnsi="Calibri" w:cs="Calibri"/>
        </w:rPr>
        <w:t xml:space="preserve"> Standard &amp; </w:t>
      </w:r>
      <w:proofErr w:type="spellStart"/>
      <w:r w:rsidRPr="005C2815">
        <w:rPr>
          <w:rFonts w:ascii="Calibri" w:eastAsia="Aptos" w:hAnsi="Calibri" w:cs="Calibri"/>
        </w:rPr>
        <w:t>Poors</w:t>
      </w:r>
      <w:proofErr w:type="spellEnd"/>
      <w:r w:rsidRPr="005C2815">
        <w:rPr>
          <w:rFonts w:ascii="Calibri" w:eastAsia="Aptos" w:hAnsi="Calibri" w:cs="Calibri"/>
        </w:rPr>
        <w:t xml:space="preserve"> noted in its report: </w:t>
      </w:r>
    </w:p>
    <w:p w14:paraId="7DA0C9E4" w14:textId="77777777" w:rsidR="005C2815" w:rsidRPr="005C2815" w:rsidRDefault="005C2815" w:rsidP="005C2815">
      <w:pPr>
        <w:spacing w:after="160"/>
        <w:ind w:left="720"/>
        <w:rPr>
          <w:rFonts w:ascii="Calibri" w:eastAsia="Aptos" w:hAnsi="Calibri" w:cs="Calibri"/>
        </w:rPr>
      </w:pPr>
      <w:r w:rsidRPr="282949F7">
        <w:rPr>
          <w:rFonts w:ascii="Calibri" w:eastAsia="Aptos" w:hAnsi="Calibri" w:cs="Calibri"/>
          <w:i/>
          <w:iCs/>
        </w:rPr>
        <w:t>“The downgrade reflects higher-than-expected and persistent operating losses, coupled with steadily weakening balance-sheet metrics, particularly relative to unrestricted reserves, which cannot provide any cushion to help offset the losses and is also constraining strategic capital spending.”</w:t>
      </w:r>
      <w:r w:rsidRPr="005C2815">
        <w:rPr>
          <w:rFonts w:ascii="Calibri" w:eastAsia="Aptos" w:hAnsi="Calibri" w:cs="Calibri"/>
          <w:vertAlign w:val="superscript"/>
        </w:rPr>
        <w:footnoteReference w:id="14"/>
      </w:r>
      <w:r w:rsidRPr="005C2815">
        <w:rPr>
          <w:rFonts w:ascii="Calibri" w:eastAsia="Aptos" w:hAnsi="Calibri" w:cs="Calibri"/>
        </w:rPr>
        <w:t xml:space="preserve"> </w:t>
      </w:r>
    </w:p>
    <w:p w14:paraId="1C6E2192" w14:textId="1FB78DF6" w:rsidR="005C2815" w:rsidRDefault="005C2815" w:rsidP="00506075">
      <w:pPr>
        <w:rPr>
          <w:rFonts w:ascii="Calibri" w:eastAsia="Aptos" w:hAnsi="Calibri" w:cs="Calibri"/>
        </w:rPr>
      </w:pPr>
      <w:r w:rsidRPr="005C2815">
        <w:rPr>
          <w:rFonts w:ascii="Calibri" w:eastAsia="Aptos" w:hAnsi="Calibri" w:cs="Calibri"/>
        </w:rPr>
        <w:t>This means that MRMC, as a stand-alone, independent community hospital, will have difficulty continuing to</w:t>
      </w:r>
      <w:r w:rsidR="00DA19AB">
        <w:rPr>
          <w:rFonts w:ascii="Calibri" w:eastAsia="Aptos" w:hAnsi="Calibri" w:cs="Calibri"/>
        </w:rPr>
        <w:t xml:space="preserve"> </w:t>
      </w:r>
      <w:r w:rsidRPr="005C2815">
        <w:rPr>
          <w:rFonts w:ascii="Calibri" w:eastAsia="Aptos" w:hAnsi="Calibri" w:cs="Calibri"/>
        </w:rPr>
        <w:t xml:space="preserve">fund </w:t>
      </w:r>
      <w:r w:rsidR="00DA19AB">
        <w:rPr>
          <w:rFonts w:ascii="Calibri" w:eastAsia="Aptos" w:hAnsi="Calibri" w:cs="Calibri"/>
        </w:rPr>
        <w:t xml:space="preserve">its </w:t>
      </w:r>
      <w:r w:rsidR="00506075">
        <w:rPr>
          <w:rFonts w:ascii="Calibri" w:eastAsia="Aptos" w:hAnsi="Calibri" w:cs="Calibri"/>
        </w:rPr>
        <w:t xml:space="preserve">current </w:t>
      </w:r>
      <w:r w:rsidR="00DA19AB">
        <w:rPr>
          <w:rFonts w:ascii="Calibri" w:eastAsia="Aptos" w:hAnsi="Calibri" w:cs="Calibri"/>
        </w:rPr>
        <w:t xml:space="preserve">full </w:t>
      </w:r>
      <w:r w:rsidR="001A1D5D">
        <w:rPr>
          <w:rFonts w:ascii="Calibri" w:eastAsia="Aptos" w:hAnsi="Calibri" w:cs="Calibri"/>
        </w:rPr>
        <w:t xml:space="preserve">complement of inpatient and outpatient </w:t>
      </w:r>
      <w:r w:rsidR="00DA19AB">
        <w:rPr>
          <w:rFonts w:ascii="Calibri" w:eastAsia="Aptos" w:hAnsi="Calibri" w:cs="Calibri"/>
        </w:rPr>
        <w:t>service</w:t>
      </w:r>
      <w:r w:rsidR="001A1D5D">
        <w:rPr>
          <w:rFonts w:ascii="Calibri" w:eastAsia="Aptos" w:hAnsi="Calibri" w:cs="Calibri"/>
        </w:rPr>
        <w:t>s</w:t>
      </w:r>
      <w:r w:rsidRPr="005C2815">
        <w:rPr>
          <w:rFonts w:ascii="Calibri" w:eastAsia="Aptos" w:hAnsi="Calibri" w:cs="Calibri"/>
        </w:rPr>
        <w:t xml:space="preserve"> and </w:t>
      </w:r>
      <w:r w:rsidR="00DA19AB">
        <w:rPr>
          <w:rFonts w:ascii="Calibri" w:eastAsia="Aptos" w:hAnsi="Calibri" w:cs="Calibri"/>
        </w:rPr>
        <w:t xml:space="preserve">to </w:t>
      </w:r>
      <w:r w:rsidRPr="005C2815">
        <w:rPr>
          <w:rFonts w:ascii="Calibri" w:eastAsia="Aptos" w:hAnsi="Calibri" w:cs="Calibri"/>
        </w:rPr>
        <w:t>access</w:t>
      </w:r>
      <w:r w:rsidR="00506075">
        <w:rPr>
          <w:rFonts w:ascii="Calibri" w:eastAsia="Aptos" w:hAnsi="Calibri" w:cs="Calibri"/>
        </w:rPr>
        <w:t>ing</w:t>
      </w:r>
      <w:r w:rsidRPr="005C2815">
        <w:rPr>
          <w:rFonts w:ascii="Calibri" w:eastAsia="Aptos" w:hAnsi="Calibri" w:cs="Calibri"/>
        </w:rPr>
        <w:t xml:space="preserve"> funds in the capital market to maintain and upgrade its facilities. </w:t>
      </w:r>
      <w:r w:rsidR="00DE315C">
        <w:rPr>
          <w:rFonts w:ascii="Calibri" w:eastAsia="Aptos" w:hAnsi="Calibri" w:cs="Calibri"/>
        </w:rPr>
        <w:t xml:space="preserve">The report </w:t>
      </w:r>
      <w:r w:rsidR="00CB15D9">
        <w:rPr>
          <w:rFonts w:ascii="Calibri" w:eastAsia="Aptos" w:hAnsi="Calibri" w:cs="Calibri"/>
        </w:rPr>
        <w:t xml:space="preserve">continues with the following: </w:t>
      </w:r>
    </w:p>
    <w:p w14:paraId="495BB0B4" w14:textId="77777777" w:rsidR="00186790" w:rsidRDefault="00186790" w:rsidP="00506075">
      <w:pPr>
        <w:rPr>
          <w:rFonts w:ascii="Calibri" w:eastAsia="Aptos" w:hAnsi="Calibri" w:cs="Calibri"/>
        </w:rPr>
      </w:pPr>
    </w:p>
    <w:p w14:paraId="339F0A2C" w14:textId="543922C9" w:rsidR="001E10D6" w:rsidRPr="001E10D6" w:rsidRDefault="001E10D6" w:rsidP="001E10D6">
      <w:pPr>
        <w:spacing w:after="160"/>
        <w:ind w:left="720"/>
        <w:rPr>
          <w:rFonts w:ascii="Calibri" w:eastAsia="Aptos" w:hAnsi="Calibri" w:cs="Calibri"/>
          <w:i/>
          <w:iCs/>
        </w:rPr>
      </w:pPr>
      <w:r w:rsidRPr="282949F7">
        <w:rPr>
          <w:rFonts w:ascii="Calibri" w:eastAsia="Aptos" w:hAnsi="Calibri" w:cs="Calibri"/>
          <w:i/>
          <w:iCs/>
        </w:rPr>
        <w:t>"The developing outlook reflects rating upside should Milford consummate its planned affiliation with higher rated UMass Memorial Health (BBB+/Positive) and downside if management cannot reverse the trend of high operating losses or with further weakening of balance-sheet metrics."</w:t>
      </w:r>
      <w:r w:rsidR="005823DF" w:rsidRPr="282949F7">
        <w:rPr>
          <w:rStyle w:val="FootnoteReference"/>
          <w:rFonts w:ascii="Calibri" w:eastAsia="Aptos" w:hAnsi="Calibri" w:cs="Calibri"/>
          <w:i/>
          <w:iCs/>
        </w:rPr>
        <w:footnoteReference w:id="15"/>
      </w:r>
    </w:p>
    <w:p w14:paraId="38116E46" w14:textId="23A56616" w:rsidR="005C2815" w:rsidRPr="005C2815" w:rsidRDefault="08F23806" w:rsidP="5326C409">
      <w:pPr>
        <w:spacing w:after="160"/>
        <w:rPr>
          <w:rFonts w:eastAsiaTheme="minorEastAsia" w:cstheme="minorBidi"/>
        </w:rPr>
      </w:pPr>
      <w:r w:rsidRPr="005C2815">
        <w:rPr>
          <w:rFonts w:ascii="Calibri" w:eastAsia="Aptos" w:hAnsi="Calibri" w:cs="Calibri"/>
        </w:rPr>
        <w:t>When financial difficulties arise independent community hospitals face operating and service delivery challenges which can lead to the curtailment or closure of local services.</w:t>
      </w:r>
      <w:r w:rsidR="62B44208" w:rsidRPr="5326C409">
        <w:rPr>
          <w:rFonts w:ascii="Calibri" w:eastAsia="Aptos" w:hAnsi="Calibri" w:cs="Calibri"/>
        </w:rPr>
        <w:t xml:space="preserve"> </w:t>
      </w:r>
      <w:r w:rsidR="22690DA1" w:rsidRPr="282949F7">
        <w:rPr>
          <w:rFonts w:ascii="Calibri" w:eastAsia="Aptos" w:hAnsi="Calibri" w:cs="Calibri"/>
        </w:rPr>
        <w:t>M</w:t>
      </w:r>
      <w:r w:rsidR="62B44208" w:rsidRPr="5326C409">
        <w:rPr>
          <w:rFonts w:eastAsiaTheme="minorEastAsia" w:cstheme="minorBidi"/>
          <w:color w:val="202124"/>
        </w:rPr>
        <w:t xml:space="preserve">any community hospitals face operational challenges, including </w:t>
      </w:r>
      <w:r w:rsidR="62B44208" w:rsidRPr="5326C409">
        <w:rPr>
          <w:rFonts w:eastAsiaTheme="minorEastAsia" w:cstheme="minorBidi"/>
          <w:color w:val="040C28"/>
        </w:rPr>
        <w:t xml:space="preserve">low rates of occupancy, relatively poor financial margins, and </w:t>
      </w:r>
      <w:r w:rsidR="00186790">
        <w:rPr>
          <w:rFonts w:eastAsiaTheme="minorEastAsia" w:cstheme="minorBidi"/>
          <w:color w:val="040C28"/>
        </w:rPr>
        <w:t xml:space="preserve">have </w:t>
      </w:r>
      <w:r w:rsidR="62B44208" w:rsidRPr="5326C409">
        <w:rPr>
          <w:rFonts w:eastAsiaTheme="minorEastAsia" w:cstheme="minorBidi"/>
          <w:color w:val="040C28"/>
        </w:rPr>
        <w:t>older facilities</w:t>
      </w:r>
      <w:r w:rsidR="62B44208" w:rsidRPr="5326C409">
        <w:rPr>
          <w:rFonts w:eastAsiaTheme="minorEastAsia" w:cstheme="minorBidi"/>
          <w:color w:val="202124"/>
        </w:rPr>
        <w:t xml:space="preserve"> compared to many AMCs and teaching hospitals.</w:t>
      </w:r>
      <w:r w:rsidR="005C2815" w:rsidRPr="5326C409">
        <w:rPr>
          <w:rStyle w:val="EndnoteReference"/>
          <w:rFonts w:eastAsiaTheme="minorEastAsia" w:cstheme="minorBidi"/>
        </w:rPr>
        <w:endnoteReference w:id="2"/>
      </w:r>
    </w:p>
    <w:p w14:paraId="5D0E291C" w14:textId="617230A6" w:rsidR="005C2815" w:rsidRPr="005C2815" w:rsidRDefault="00944ED6" w:rsidP="755C40DB">
      <w:pPr>
        <w:spacing w:after="160"/>
        <w:rPr>
          <w:rFonts w:ascii="Calibri" w:eastAsia="Aptos" w:hAnsi="Calibri" w:cs="Calibri"/>
        </w:rPr>
      </w:pPr>
      <w:r w:rsidRPr="5326C409">
        <w:rPr>
          <w:rFonts w:ascii="Calibri" w:eastAsia="Aptos" w:hAnsi="Calibri" w:cs="Calibri"/>
        </w:rPr>
        <w:t>T</w:t>
      </w:r>
      <w:r w:rsidR="002E42C4" w:rsidRPr="5326C409">
        <w:rPr>
          <w:rFonts w:ascii="Calibri" w:eastAsia="Aptos" w:hAnsi="Calibri" w:cs="Calibri"/>
        </w:rPr>
        <w:t>he Applicant stresses that t</w:t>
      </w:r>
      <w:r w:rsidRPr="5326C409">
        <w:rPr>
          <w:rFonts w:ascii="Calibri" w:eastAsia="Aptos" w:hAnsi="Calibri" w:cs="Calibri"/>
        </w:rPr>
        <w:t>h</w:t>
      </w:r>
      <w:r w:rsidR="001A1D5D" w:rsidRPr="5326C409">
        <w:rPr>
          <w:rFonts w:ascii="Calibri" w:eastAsia="Aptos" w:hAnsi="Calibri" w:cs="Calibri"/>
        </w:rPr>
        <w:t xml:space="preserve">rough the Proposed Affiliation, UMMHC </w:t>
      </w:r>
      <w:r w:rsidRPr="5326C409">
        <w:rPr>
          <w:rFonts w:ascii="Calibri" w:eastAsia="Aptos" w:hAnsi="Calibri" w:cs="Calibri"/>
        </w:rPr>
        <w:t xml:space="preserve">will draw upon its own </w:t>
      </w:r>
      <w:r w:rsidR="4DEE0687" w:rsidRPr="5326C409">
        <w:rPr>
          <w:rFonts w:ascii="Calibri" w:eastAsia="Aptos" w:hAnsi="Calibri" w:cs="Calibri"/>
        </w:rPr>
        <w:t>experience</w:t>
      </w:r>
      <w:r w:rsidR="001A1D5D" w:rsidRPr="5326C409">
        <w:rPr>
          <w:rFonts w:ascii="Calibri" w:eastAsia="Aptos" w:hAnsi="Calibri" w:cs="Calibri"/>
        </w:rPr>
        <w:t xml:space="preserve"> </w:t>
      </w:r>
      <w:r w:rsidR="005C2815" w:rsidRPr="5326C409">
        <w:rPr>
          <w:rFonts w:ascii="Calibri" w:eastAsia="Aptos" w:hAnsi="Calibri" w:cs="Calibri"/>
        </w:rPr>
        <w:t xml:space="preserve">in </w:t>
      </w:r>
      <w:r w:rsidR="00597104" w:rsidRPr="5326C409">
        <w:rPr>
          <w:rFonts w:ascii="Calibri" w:eastAsia="Aptos" w:hAnsi="Calibri" w:cs="Calibri"/>
        </w:rPr>
        <w:t>weathering</w:t>
      </w:r>
      <w:r w:rsidR="001A1D5D" w:rsidRPr="5326C409">
        <w:rPr>
          <w:rFonts w:ascii="Calibri" w:eastAsia="Aptos" w:hAnsi="Calibri" w:cs="Calibri"/>
        </w:rPr>
        <w:t xml:space="preserve"> </w:t>
      </w:r>
      <w:r w:rsidR="005C2815" w:rsidRPr="5326C409">
        <w:rPr>
          <w:rFonts w:ascii="Calibri" w:eastAsia="Aptos" w:hAnsi="Calibri" w:cs="Calibri"/>
        </w:rPr>
        <w:t xml:space="preserve">a </w:t>
      </w:r>
      <w:r w:rsidR="002E42C4" w:rsidRPr="5326C409">
        <w:rPr>
          <w:rFonts w:ascii="Calibri" w:eastAsia="Aptos" w:hAnsi="Calibri" w:cs="Calibri"/>
        </w:rPr>
        <w:t xml:space="preserve">challenging </w:t>
      </w:r>
      <w:r w:rsidR="005C2815" w:rsidRPr="5326C409">
        <w:rPr>
          <w:rFonts w:ascii="Calibri" w:eastAsia="Aptos" w:hAnsi="Calibri" w:cs="Calibri"/>
        </w:rPr>
        <w:t xml:space="preserve">financial and operating environment, </w:t>
      </w:r>
      <w:r w:rsidRPr="5326C409">
        <w:rPr>
          <w:rFonts w:ascii="Calibri" w:eastAsia="Aptos" w:hAnsi="Calibri" w:cs="Calibri"/>
        </w:rPr>
        <w:t xml:space="preserve">along with </w:t>
      </w:r>
      <w:r w:rsidR="001A1D5D" w:rsidRPr="5326C409">
        <w:rPr>
          <w:rFonts w:ascii="Calibri" w:eastAsia="Aptos" w:hAnsi="Calibri" w:cs="Calibri"/>
        </w:rPr>
        <w:t xml:space="preserve">supporting its </w:t>
      </w:r>
      <w:r w:rsidRPr="5326C409">
        <w:rPr>
          <w:rFonts w:ascii="Calibri" w:eastAsia="Aptos" w:hAnsi="Calibri" w:cs="Calibri"/>
        </w:rPr>
        <w:t>recent affiliat</w:t>
      </w:r>
      <w:r w:rsidR="001A1D5D" w:rsidRPr="5326C409">
        <w:rPr>
          <w:rFonts w:ascii="Calibri" w:eastAsia="Aptos" w:hAnsi="Calibri" w:cs="Calibri"/>
        </w:rPr>
        <w:t>e</w:t>
      </w:r>
      <w:r w:rsidR="00506075" w:rsidRPr="5326C409">
        <w:rPr>
          <w:rFonts w:ascii="Calibri" w:eastAsia="Aptos" w:hAnsi="Calibri" w:cs="Calibri"/>
        </w:rPr>
        <w:t>,</w:t>
      </w:r>
      <w:r w:rsidRPr="5326C409">
        <w:rPr>
          <w:rFonts w:ascii="Calibri" w:eastAsia="Aptos" w:hAnsi="Calibri" w:cs="Calibri"/>
        </w:rPr>
        <w:t xml:space="preserve"> Harrington Memorial Hospital</w:t>
      </w:r>
      <w:r w:rsidR="00506075" w:rsidRPr="5326C409">
        <w:rPr>
          <w:rFonts w:ascii="Calibri" w:eastAsia="Aptos" w:hAnsi="Calibri" w:cs="Calibri"/>
        </w:rPr>
        <w:t xml:space="preserve"> (“Harrington”)</w:t>
      </w:r>
      <w:r w:rsidRPr="5326C409">
        <w:rPr>
          <w:rFonts w:ascii="Calibri" w:eastAsia="Aptos" w:hAnsi="Calibri" w:cs="Calibri"/>
        </w:rPr>
        <w:t xml:space="preserve"> and </w:t>
      </w:r>
      <w:r w:rsidR="00506075" w:rsidRPr="5326C409">
        <w:rPr>
          <w:rFonts w:ascii="Calibri" w:eastAsia="Aptos" w:hAnsi="Calibri" w:cs="Calibri"/>
        </w:rPr>
        <w:t xml:space="preserve">previous affiliates, </w:t>
      </w:r>
      <w:r w:rsidRPr="5326C409">
        <w:rPr>
          <w:rFonts w:ascii="Calibri" w:eastAsia="Aptos" w:hAnsi="Calibri" w:cs="Calibri"/>
        </w:rPr>
        <w:t>Health Alliance Hospitals, to enable MR</w:t>
      </w:r>
      <w:r w:rsidR="00265B00">
        <w:rPr>
          <w:rFonts w:ascii="Calibri" w:eastAsia="Aptos" w:hAnsi="Calibri" w:cs="Calibri"/>
        </w:rPr>
        <w:t>M</w:t>
      </w:r>
      <w:r w:rsidRPr="5326C409">
        <w:rPr>
          <w:rFonts w:ascii="Calibri" w:eastAsia="Aptos" w:hAnsi="Calibri" w:cs="Calibri"/>
        </w:rPr>
        <w:t>C to</w:t>
      </w:r>
      <w:r w:rsidR="001A1D5D" w:rsidRPr="5326C409">
        <w:rPr>
          <w:rFonts w:ascii="Calibri" w:eastAsia="Aptos" w:hAnsi="Calibri" w:cs="Calibri"/>
        </w:rPr>
        <w:t xml:space="preserve"> maintain and improve operations. </w:t>
      </w:r>
      <w:r w:rsidR="00186790">
        <w:rPr>
          <w:rFonts w:ascii="Calibri" w:eastAsia="Aptos" w:hAnsi="Calibri" w:cs="Calibri"/>
        </w:rPr>
        <w:t>The Applicant also stresses that t</w:t>
      </w:r>
      <w:r w:rsidR="001A1D5D" w:rsidRPr="5326C409">
        <w:rPr>
          <w:rFonts w:ascii="Calibri" w:eastAsia="Aptos" w:hAnsi="Calibri" w:cs="Calibri"/>
        </w:rPr>
        <w:t>hrough the Proposed Affiliation, MR</w:t>
      </w:r>
      <w:r w:rsidR="00265B00">
        <w:rPr>
          <w:rFonts w:ascii="Calibri" w:eastAsia="Aptos" w:hAnsi="Calibri" w:cs="Calibri"/>
        </w:rPr>
        <w:t>M</w:t>
      </w:r>
      <w:r w:rsidR="001A1D5D" w:rsidRPr="5326C409">
        <w:rPr>
          <w:rFonts w:ascii="Calibri" w:eastAsia="Aptos" w:hAnsi="Calibri" w:cs="Calibri"/>
        </w:rPr>
        <w:t>C will</w:t>
      </w:r>
      <w:r w:rsidRPr="5326C409">
        <w:rPr>
          <w:rFonts w:ascii="Calibri" w:eastAsia="Aptos" w:hAnsi="Calibri" w:cs="Calibri"/>
        </w:rPr>
        <w:t xml:space="preserve"> benefit from </w:t>
      </w:r>
      <w:r w:rsidR="005C2815" w:rsidRPr="5326C409">
        <w:rPr>
          <w:rFonts w:ascii="Calibri" w:eastAsia="Aptos" w:hAnsi="Calibri" w:cs="Calibri"/>
        </w:rPr>
        <w:t>access to capital</w:t>
      </w:r>
      <w:r w:rsidR="001A1D5D" w:rsidRPr="5326C409">
        <w:rPr>
          <w:rFonts w:ascii="Calibri" w:eastAsia="Aptos" w:hAnsi="Calibri" w:cs="Calibri"/>
        </w:rPr>
        <w:t xml:space="preserve"> and</w:t>
      </w:r>
      <w:r w:rsidR="005C2815" w:rsidRPr="5326C409">
        <w:rPr>
          <w:rFonts w:ascii="Calibri" w:eastAsia="Aptos" w:hAnsi="Calibri" w:cs="Calibri"/>
        </w:rPr>
        <w:t xml:space="preserve"> the diversification of risk that exists with a larger portfolio of operations</w:t>
      </w:r>
      <w:r w:rsidR="00186790">
        <w:rPr>
          <w:rFonts w:ascii="Calibri" w:eastAsia="Aptos" w:hAnsi="Calibri" w:cs="Calibri"/>
        </w:rPr>
        <w:t>, and i</w:t>
      </w:r>
      <w:r w:rsidR="001A1D5D" w:rsidRPr="5326C409">
        <w:rPr>
          <w:rFonts w:ascii="Calibri" w:eastAsia="Aptos" w:hAnsi="Calibri" w:cs="Calibri"/>
        </w:rPr>
        <w:t xml:space="preserve">t will </w:t>
      </w:r>
      <w:r w:rsidRPr="5326C409">
        <w:rPr>
          <w:rFonts w:ascii="Calibri" w:eastAsia="Aptos" w:hAnsi="Calibri" w:cs="Calibri"/>
        </w:rPr>
        <w:t xml:space="preserve">gain economies of scale and efficiencies from the Affiliation, </w:t>
      </w:r>
      <w:r w:rsidR="001A1D5D" w:rsidRPr="5326C409">
        <w:rPr>
          <w:rFonts w:ascii="Calibri" w:eastAsia="Aptos" w:hAnsi="Calibri" w:cs="Calibri"/>
        </w:rPr>
        <w:t xml:space="preserve">enabling </w:t>
      </w:r>
      <w:r w:rsidRPr="5326C409">
        <w:rPr>
          <w:rFonts w:ascii="Calibri" w:eastAsia="Aptos" w:hAnsi="Calibri" w:cs="Calibri"/>
        </w:rPr>
        <w:t>it to continue serving its Patient Panel.</w:t>
      </w:r>
      <w:r w:rsidR="001A1D5D" w:rsidRPr="5326C409">
        <w:rPr>
          <w:rFonts w:ascii="Calibri" w:eastAsia="Aptos" w:hAnsi="Calibri" w:cs="Calibri"/>
        </w:rPr>
        <w:t xml:space="preserve"> </w:t>
      </w:r>
    </w:p>
    <w:p w14:paraId="0E4F3EE7" w14:textId="2122421E" w:rsidR="00793CF1" w:rsidRPr="004A25F3" w:rsidRDefault="00147398" w:rsidP="00793CF1">
      <w:pPr>
        <w:spacing w:after="240"/>
        <w:jc w:val="both"/>
        <w:textAlignment w:val="baseline"/>
        <w:rPr>
          <w:rFonts w:ascii="Calibri" w:eastAsia="Calibri" w:hAnsi="Calibri" w:cs="Calibri"/>
          <w:b/>
          <w:bCs/>
          <w:spacing w:val="-1"/>
        </w:rPr>
      </w:pPr>
      <w:r w:rsidRPr="004A25F3">
        <w:rPr>
          <w:rFonts w:ascii="Calibri" w:eastAsia="Calibri" w:hAnsi="Calibri" w:cs="Calibri"/>
          <w:b/>
          <w:bCs/>
          <w:spacing w:val="-1"/>
        </w:rPr>
        <w:t>2.</w:t>
      </w:r>
      <w:r w:rsidR="004A25F3" w:rsidRPr="004A25F3">
        <w:rPr>
          <w:rFonts w:ascii="Calibri" w:eastAsia="Calibri" w:hAnsi="Calibri" w:cs="Calibri"/>
          <w:spacing w:val="-1"/>
        </w:rPr>
        <w:t xml:space="preserve"> </w:t>
      </w:r>
      <w:r w:rsidR="004A25F3" w:rsidRPr="004A25F3">
        <w:rPr>
          <w:rFonts w:ascii="Calibri" w:eastAsia="Calibri" w:hAnsi="Calibri" w:cs="Calibri"/>
          <w:b/>
          <w:bCs/>
          <w:spacing w:val="-1"/>
        </w:rPr>
        <w:t>Need</w:t>
      </w:r>
      <w:r w:rsidR="00AC527D">
        <w:rPr>
          <w:rFonts w:ascii="Calibri" w:eastAsia="Calibri" w:hAnsi="Calibri" w:cs="Calibri"/>
          <w:b/>
          <w:bCs/>
          <w:spacing w:val="-1"/>
        </w:rPr>
        <w:t xml:space="preserve"> to Preserve </w:t>
      </w:r>
      <w:r w:rsidR="004A25F3">
        <w:rPr>
          <w:rFonts w:ascii="Calibri" w:eastAsia="Calibri" w:hAnsi="Calibri" w:cs="Calibri"/>
          <w:b/>
          <w:bCs/>
          <w:spacing w:val="-1"/>
        </w:rPr>
        <w:t xml:space="preserve">Local </w:t>
      </w:r>
      <w:r w:rsidR="004A25F3" w:rsidRPr="004A25F3">
        <w:rPr>
          <w:rFonts w:ascii="Calibri" w:eastAsia="Calibri" w:hAnsi="Calibri" w:cs="Calibri"/>
          <w:b/>
          <w:bCs/>
          <w:spacing w:val="-1"/>
        </w:rPr>
        <w:t>Access to All Levels of Care</w:t>
      </w:r>
      <w:r w:rsidR="00395314">
        <w:rPr>
          <w:rFonts w:ascii="Calibri" w:eastAsia="Calibri" w:hAnsi="Calibri" w:cs="Calibri"/>
          <w:b/>
          <w:bCs/>
          <w:spacing w:val="-1"/>
        </w:rPr>
        <w:t xml:space="preserve"> </w:t>
      </w:r>
      <w:r w:rsidR="00395314" w:rsidRPr="00395314">
        <w:rPr>
          <w:rFonts w:ascii="Calibri" w:eastAsia="Calibri" w:hAnsi="Calibri" w:cs="Calibri"/>
          <w:b/>
          <w:bCs/>
          <w:spacing w:val="-1"/>
        </w:rPr>
        <w:t>for the Patient Panel and Service Area</w:t>
      </w:r>
    </w:p>
    <w:p w14:paraId="51B7C288" w14:textId="20DB0824" w:rsidR="00147398" w:rsidRDefault="00793CF1" w:rsidP="00F54A97">
      <w:pPr>
        <w:textAlignment w:val="baseline"/>
        <w:rPr>
          <w:rFonts w:ascii="Calibri" w:eastAsia="Calibri" w:hAnsi="Calibri" w:cs="Calibri"/>
          <w:spacing w:val="-1"/>
        </w:rPr>
      </w:pPr>
      <w:r w:rsidRPr="00147398">
        <w:rPr>
          <w:rFonts w:ascii="Calibri" w:eastAsia="Calibri" w:hAnsi="Calibri" w:cs="Calibri"/>
          <w:spacing w:val="-1"/>
        </w:rPr>
        <w:t xml:space="preserve">Access to local care is important to </w:t>
      </w:r>
      <w:r w:rsidR="00BB3BF9">
        <w:rPr>
          <w:rFonts w:ascii="Calibri" w:eastAsia="Calibri" w:hAnsi="Calibri" w:cs="Calibri"/>
          <w:spacing w:val="-1"/>
        </w:rPr>
        <w:t>all patients</w:t>
      </w:r>
      <w:r w:rsidRPr="00147398">
        <w:rPr>
          <w:rFonts w:ascii="Calibri" w:eastAsia="Calibri" w:hAnsi="Calibri" w:cs="Calibri"/>
          <w:spacing w:val="-1"/>
        </w:rPr>
        <w:t xml:space="preserve">, </w:t>
      </w:r>
      <w:r w:rsidR="00BB3BF9">
        <w:rPr>
          <w:rFonts w:ascii="Calibri" w:eastAsia="Calibri" w:hAnsi="Calibri" w:cs="Calibri"/>
          <w:spacing w:val="-1"/>
        </w:rPr>
        <w:t xml:space="preserve">especially </w:t>
      </w:r>
      <w:r w:rsidRPr="00147398">
        <w:rPr>
          <w:rFonts w:ascii="Calibri" w:eastAsia="Calibri" w:hAnsi="Calibri" w:cs="Calibri"/>
          <w:spacing w:val="-1"/>
        </w:rPr>
        <w:t>those</w:t>
      </w:r>
      <w:r w:rsidR="00BB3BF9">
        <w:rPr>
          <w:rFonts w:ascii="Calibri" w:eastAsia="Calibri" w:hAnsi="Calibri" w:cs="Calibri"/>
          <w:spacing w:val="-1"/>
        </w:rPr>
        <w:t xml:space="preserve"> who are </w:t>
      </w:r>
      <w:r w:rsidR="00BB3BF9" w:rsidRPr="00BB3BF9">
        <w:rPr>
          <w:rFonts w:ascii="Calibri" w:eastAsia="Calibri" w:hAnsi="Calibri" w:cs="Calibri"/>
          <w:spacing w:val="-1"/>
        </w:rPr>
        <w:t xml:space="preserve">low-income </w:t>
      </w:r>
      <w:r w:rsidR="00BB3BF9">
        <w:rPr>
          <w:rFonts w:ascii="Calibri" w:eastAsia="Calibri" w:hAnsi="Calibri" w:cs="Calibri"/>
          <w:spacing w:val="-1"/>
        </w:rPr>
        <w:t>and</w:t>
      </w:r>
      <w:r w:rsidRPr="00147398">
        <w:rPr>
          <w:rFonts w:ascii="Calibri" w:eastAsia="Calibri" w:hAnsi="Calibri" w:cs="Calibri"/>
          <w:spacing w:val="-1"/>
        </w:rPr>
        <w:t xml:space="preserve"> insured by government payors because these patients may not have the financial resources or access to transportation to travel to Boston, Worcester, or elsewhere for services. </w:t>
      </w:r>
      <w:r w:rsidR="00147398" w:rsidRPr="00147398">
        <w:rPr>
          <w:rFonts w:ascii="Calibri" w:eastAsia="Calibri" w:hAnsi="Calibri" w:cs="Calibri"/>
          <w:spacing w:val="-1"/>
        </w:rPr>
        <w:t>As noted in Table 4, 60% of the Milford patient panel is insured through Medicare or Medicaid.</w:t>
      </w:r>
      <w:r w:rsidR="00147398">
        <w:rPr>
          <w:rFonts w:ascii="Calibri" w:eastAsia="Calibri" w:hAnsi="Calibri" w:cs="Calibri"/>
          <w:spacing w:val="-1"/>
        </w:rPr>
        <w:t xml:space="preserve"> </w:t>
      </w:r>
      <w:r w:rsidR="00E56F9C">
        <w:rPr>
          <w:rFonts w:ascii="Calibri" w:eastAsia="Calibri" w:hAnsi="Calibri" w:cs="Calibri"/>
          <w:spacing w:val="-1"/>
        </w:rPr>
        <w:t>T</w:t>
      </w:r>
      <w:r w:rsidR="00E56F9C" w:rsidRPr="00E56F9C">
        <w:rPr>
          <w:rFonts w:ascii="Calibri" w:eastAsia="Calibri" w:hAnsi="Calibri" w:cs="Calibri"/>
          <w:spacing w:val="-1"/>
        </w:rPr>
        <w:t xml:space="preserve">he U.S. Office of Disease Prevention and Health Promotion, Healthy People 2030 initiative </w:t>
      </w:r>
      <w:r w:rsidR="002E42C4" w:rsidRPr="002E42C4">
        <w:rPr>
          <w:rFonts w:ascii="Calibri" w:eastAsia="Calibri" w:hAnsi="Calibri" w:cs="Calibri"/>
          <w:spacing w:val="-1"/>
        </w:rPr>
        <w:t xml:space="preserve">Health </w:t>
      </w:r>
      <w:r w:rsidR="00E56F9C">
        <w:rPr>
          <w:rFonts w:ascii="Calibri" w:eastAsia="Calibri" w:hAnsi="Calibri" w:cs="Calibri"/>
          <w:spacing w:val="-1"/>
        </w:rPr>
        <w:t xml:space="preserve">states health </w:t>
      </w:r>
      <w:r w:rsidR="002E42C4" w:rsidRPr="002E42C4">
        <w:rPr>
          <w:rFonts w:ascii="Calibri" w:eastAsia="Calibri" w:hAnsi="Calibri" w:cs="Calibri"/>
          <w:spacing w:val="-1"/>
        </w:rPr>
        <w:t xml:space="preserve">care access and quality continue to be priority goals by reducing the proportion of people who </w:t>
      </w:r>
      <w:r w:rsidR="024FC2E2" w:rsidRPr="002E42C4">
        <w:rPr>
          <w:rFonts w:ascii="Calibri" w:eastAsia="Calibri" w:hAnsi="Calibri" w:cs="Calibri"/>
          <w:spacing w:val="-1"/>
        </w:rPr>
        <w:t>are unable to</w:t>
      </w:r>
      <w:r w:rsidR="002E42C4" w:rsidRPr="002E42C4">
        <w:rPr>
          <w:rFonts w:ascii="Calibri" w:eastAsia="Calibri" w:hAnsi="Calibri" w:cs="Calibri"/>
          <w:spacing w:val="-1"/>
        </w:rPr>
        <w:t xml:space="preserve"> get medical care when they need it.</w:t>
      </w:r>
      <w:r w:rsidR="002E42C4" w:rsidRPr="002E42C4">
        <w:rPr>
          <w:rFonts w:ascii="Calibri" w:eastAsia="Calibri" w:hAnsi="Calibri" w:cs="Calibri"/>
          <w:spacing w:val="-1"/>
          <w:vertAlign w:val="superscript"/>
        </w:rPr>
        <w:t xml:space="preserve"> </w:t>
      </w:r>
      <w:r w:rsidR="002E42C4" w:rsidRPr="002E42C4">
        <w:rPr>
          <w:rFonts w:ascii="Calibri" w:eastAsia="Calibri" w:hAnsi="Calibri" w:cs="Calibri"/>
          <w:spacing w:val="-1"/>
          <w:vertAlign w:val="superscript"/>
        </w:rPr>
        <w:footnoteReference w:id="16"/>
      </w:r>
      <w:r w:rsidR="002E42C4" w:rsidRPr="002E42C4">
        <w:rPr>
          <w:rFonts w:ascii="Calibri" w:eastAsia="Calibri" w:hAnsi="Calibri" w:cs="Calibri"/>
          <w:spacing w:val="-1"/>
        </w:rPr>
        <w:t xml:space="preserve">  </w:t>
      </w:r>
    </w:p>
    <w:p w14:paraId="77B97003" w14:textId="77777777" w:rsidR="00F54A97" w:rsidRPr="00F54A97" w:rsidRDefault="00F54A97" w:rsidP="00F54A97">
      <w:pPr>
        <w:textAlignment w:val="baseline"/>
        <w:rPr>
          <w:rFonts w:ascii="Calibri" w:eastAsia="Calibri" w:hAnsi="Calibri" w:cs="Calibri"/>
          <w:spacing w:val="-1"/>
        </w:rPr>
      </w:pPr>
    </w:p>
    <w:p w14:paraId="74D8D309" w14:textId="26087B12" w:rsidR="00147398" w:rsidRDefault="0667EFA1" w:rsidP="0087455A">
      <w:pPr>
        <w:spacing w:after="240"/>
        <w:textAlignment w:val="baseline"/>
        <w:rPr>
          <w:rFonts w:ascii="Calibri" w:eastAsia="Calibri" w:hAnsi="Calibri" w:cs="Calibri"/>
          <w:spacing w:val="-1"/>
        </w:rPr>
      </w:pPr>
      <w:r w:rsidRPr="0081430F">
        <w:rPr>
          <w:rFonts w:ascii="Calibri" w:eastAsia="Calibri" w:hAnsi="Calibri" w:cs="Calibri"/>
          <w:spacing w:val="-1"/>
        </w:rPr>
        <w:t xml:space="preserve">The </w:t>
      </w:r>
      <w:r w:rsidR="633D1D19" w:rsidRPr="282949F7">
        <w:rPr>
          <w:rFonts w:ascii="Calibri" w:eastAsia="Calibri" w:hAnsi="Calibri" w:cs="Calibri"/>
        </w:rPr>
        <w:t xml:space="preserve">Applicant states that the </w:t>
      </w:r>
      <w:r w:rsidRPr="0081430F">
        <w:rPr>
          <w:rFonts w:ascii="Calibri" w:eastAsia="Calibri" w:hAnsi="Calibri" w:cs="Calibri"/>
          <w:spacing w:val="-1"/>
        </w:rPr>
        <w:t>Pro</w:t>
      </w:r>
      <w:r w:rsidR="53FED732" w:rsidRPr="0081430F">
        <w:rPr>
          <w:rFonts w:ascii="Calibri" w:eastAsia="Calibri" w:hAnsi="Calibri" w:cs="Calibri"/>
          <w:spacing w:val="-1"/>
        </w:rPr>
        <w:t xml:space="preserve">posed Affiliation will </w:t>
      </w:r>
      <w:r w:rsidRPr="0081430F">
        <w:rPr>
          <w:rFonts w:ascii="Calibri" w:eastAsia="Calibri" w:hAnsi="Calibri" w:cs="Calibri"/>
          <w:spacing w:val="-1"/>
        </w:rPr>
        <w:t>allow more care to remain in the local community</w:t>
      </w:r>
      <w:r w:rsidR="756DEB28">
        <w:rPr>
          <w:rFonts w:ascii="Calibri" w:eastAsia="Calibri" w:hAnsi="Calibri" w:cs="Calibri"/>
          <w:spacing w:val="-1"/>
        </w:rPr>
        <w:t xml:space="preserve"> as clinically appropriate</w:t>
      </w:r>
      <w:r w:rsidR="56D91DC2">
        <w:rPr>
          <w:rFonts w:ascii="Calibri" w:eastAsia="Calibri" w:hAnsi="Calibri" w:cs="Calibri"/>
          <w:spacing w:val="-1"/>
        </w:rPr>
        <w:t xml:space="preserve"> through </w:t>
      </w:r>
      <w:r w:rsidR="53FED732" w:rsidRPr="00147398">
        <w:rPr>
          <w:rFonts w:ascii="Calibri" w:eastAsia="Calibri" w:hAnsi="Calibri" w:cs="Calibri"/>
          <w:spacing w:val="-1"/>
        </w:rPr>
        <w:t>UMMHC</w:t>
      </w:r>
      <w:r w:rsidR="484A5866">
        <w:rPr>
          <w:rFonts w:ascii="Calibri" w:eastAsia="Calibri" w:hAnsi="Calibri" w:cs="Calibri"/>
          <w:spacing w:val="-1"/>
        </w:rPr>
        <w:t xml:space="preserve">’s </w:t>
      </w:r>
      <w:r w:rsidR="1ECA9F2E">
        <w:rPr>
          <w:rFonts w:ascii="Calibri" w:eastAsia="Calibri" w:hAnsi="Calibri" w:cs="Calibri"/>
          <w:spacing w:val="-1"/>
        </w:rPr>
        <w:t>previous experience with</w:t>
      </w:r>
      <w:r w:rsidR="53FED732" w:rsidRPr="00147398">
        <w:rPr>
          <w:rFonts w:ascii="Calibri" w:eastAsia="Calibri" w:hAnsi="Calibri" w:cs="Calibri"/>
          <w:spacing w:val="-1"/>
        </w:rPr>
        <w:t xml:space="preserve"> strengthening the financial sustainability of its community hospitals</w:t>
      </w:r>
      <w:r w:rsidR="56D91DC2">
        <w:rPr>
          <w:rFonts w:ascii="Calibri" w:eastAsia="Calibri" w:hAnsi="Calibri" w:cs="Calibri"/>
          <w:spacing w:val="-1"/>
        </w:rPr>
        <w:t xml:space="preserve"> that prioritizes local </w:t>
      </w:r>
      <w:r w:rsidR="73B760AF" w:rsidRPr="0081430F">
        <w:rPr>
          <w:rFonts w:ascii="Calibri" w:eastAsia="Calibri" w:hAnsi="Calibri" w:cs="Calibri"/>
          <w:spacing w:val="-1"/>
        </w:rPr>
        <w:t xml:space="preserve">accessibility, </w:t>
      </w:r>
      <w:r w:rsidR="1ECA9F2E" w:rsidRPr="00147398">
        <w:rPr>
          <w:rFonts w:ascii="Calibri" w:eastAsia="Calibri" w:hAnsi="Calibri" w:cs="Calibri"/>
          <w:spacing w:val="-1"/>
        </w:rPr>
        <w:t>quality,</w:t>
      </w:r>
      <w:r w:rsidR="53FED732" w:rsidRPr="00147398">
        <w:rPr>
          <w:rFonts w:ascii="Calibri" w:eastAsia="Calibri" w:hAnsi="Calibri" w:cs="Calibri"/>
          <w:spacing w:val="-1"/>
        </w:rPr>
        <w:t xml:space="preserve"> and safety of care </w:t>
      </w:r>
      <w:r w:rsidR="56D91DC2">
        <w:rPr>
          <w:rFonts w:ascii="Calibri" w:eastAsia="Calibri" w:hAnsi="Calibri" w:cs="Calibri"/>
          <w:spacing w:val="-1"/>
        </w:rPr>
        <w:t xml:space="preserve">with </w:t>
      </w:r>
      <w:r w:rsidR="756DEB28">
        <w:rPr>
          <w:rFonts w:ascii="Calibri" w:eastAsia="Calibri" w:hAnsi="Calibri" w:cs="Calibri"/>
          <w:spacing w:val="-1"/>
        </w:rPr>
        <w:t>better</w:t>
      </w:r>
      <w:r w:rsidR="53FED732" w:rsidRPr="00147398">
        <w:rPr>
          <w:rFonts w:ascii="Calibri" w:eastAsia="Calibri" w:hAnsi="Calibri" w:cs="Calibri"/>
          <w:spacing w:val="-1"/>
        </w:rPr>
        <w:t xml:space="preserve"> coordinat</w:t>
      </w:r>
      <w:r w:rsidR="756DEB28">
        <w:rPr>
          <w:rFonts w:ascii="Calibri" w:eastAsia="Calibri" w:hAnsi="Calibri" w:cs="Calibri"/>
          <w:spacing w:val="-1"/>
        </w:rPr>
        <w:t>ion of</w:t>
      </w:r>
      <w:r w:rsidR="53FED732" w:rsidRPr="00147398">
        <w:rPr>
          <w:rFonts w:ascii="Calibri" w:eastAsia="Calibri" w:hAnsi="Calibri" w:cs="Calibri"/>
          <w:spacing w:val="-1"/>
        </w:rPr>
        <w:t xml:space="preserve"> care</w:t>
      </w:r>
      <w:r w:rsidR="56D91DC2">
        <w:rPr>
          <w:rFonts w:ascii="Calibri" w:eastAsia="Calibri" w:hAnsi="Calibri" w:cs="Calibri"/>
          <w:spacing w:val="-1"/>
        </w:rPr>
        <w:t xml:space="preserve">: </w:t>
      </w:r>
      <w:r w:rsidR="14BFD203">
        <w:rPr>
          <w:rFonts w:ascii="Calibri" w:eastAsia="Calibri" w:hAnsi="Calibri" w:cs="Calibri"/>
          <w:spacing w:val="-1"/>
        </w:rPr>
        <w:t>therefore,</w:t>
      </w:r>
      <w:r w:rsidR="484A5866">
        <w:rPr>
          <w:rFonts w:ascii="Calibri" w:eastAsia="Calibri" w:hAnsi="Calibri" w:cs="Calibri"/>
          <w:spacing w:val="-1"/>
        </w:rPr>
        <w:t xml:space="preserve"> </w:t>
      </w:r>
      <w:r w:rsidR="53FED732" w:rsidRPr="00147398">
        <w:rPr>
          <w:rFonts w:ascii="Calibri" w:eastAsia="Calibri" w:hAnsi="Calibri" w:cs="Calibri"/>
          <w:spacing w:val="-1"/>
        </w:rPr>
        <w:t xml:space="preserve">the resources of the tertiary medical center for the most acute </w:t>
      </w:r>
      <w:r w:rsidR="484A5866">
        <w:rPr>
          <w:rFonts w:ascii="Calibri" w:eastAsia="Calibri" w:hAnsi="Calibri" w:cs="Calibri"/>
          <w:spacing w:val="-1"/>
        </w:rPr>
        <w:t>patients</w:t>
      </w:r>
      <w:r w:rsidR="53FED732" w:rsidRPr="00147398">
        <w:rPr>
          <w:rFonts w:ascii="Calibri" w:eastAsia="Calibri" w:hAnsi="Calibri" w:cs="Calibri"/>
          <w:spacing w:val="-1"/>
        </w:rPr>
        <w:t xml:space="preserve"> </w:t>
      </w:r>
      <w:r w:rsidR="484A5866">
        <w:rPr>
          <w:rFonts w:ascii="Calibri" w:eastAsia="Calibri" w:hAnsi="Calibri" w:cs="Calibri"/>
          <w:spacing w:val="-1"/>
        </w:rPr>
        <w:t>can be preserved at</w:t>
      </w:r>
      <w:r w:rsidR="2DB7C56C">
        <w:rPr>
          <w:rFonts w:ascii="Calibri" w:eastAsia="Calibri" w:hAnsi="Calibri" w:cs="Calibri"/>
          <w:spacing w:val="-1"/>
        </w:rPr>
        <w:t xml:space="preserve"> </w:t>
      </w:r>
      <w:r w:rsidR="2DB7C56C" w:rsidRPr="00147398">
        <w:rPr>
          <w:rFonts w:ascii="Calibri" w:eastAsia="Calibri" w:hAnsi="Calibri" w:cs="Calibri"/>
          <w:spacing w:val="-1"/>
        </w:rPr>
        <w:t xml:space="preserve">UMMMC, which </w:t>
      </w:r>
      <w:r w:rsidR="2DB7C56C" w:rsidRPr="00597104">
        <w:rPr>
          <w:rFonts w:ascii="Calibri" w:eastAsia="Calibri" w:hAnsi="Calibri" w:cs="Calibri"/>
          <w:spacing w:val="-1"/>
        </w:rPr>
        <w:t>has consistently high occupancy rates.</w:t>
      </w:r>
      <w:r w:rsidR="2DB7C56C">
        <w:rPr>
          <w:rFonts w:ascii="Calibri" w:eastAsia="Calibri" w:hAnsi="Calibri" w:cs="Calibri"/>
          <w:spacing w:val="-1"/>
        </w:rPr>
        <w:t xml:space="preserve"> </w:t>
      </w:r>
      <w:r w:rsidR="56D91DC2">
        <w:rPr>
          <w:rFonts w:ascii="Calibri" w:eastAsia="Calibri" w:hAnsi="Calibri" w:cs="Calibri"/>
          <w:spacing w:val="-1"/>
        </w:rPr>
        <w:t>For FY’s 21-23, occupancy rates were 86.8%, 91.4%, and 97%.</w:t>
      </w:r>
      <w:r w:rsidR="002E42C4">
        <w:rPr>
          <w:rStyle w:val="FootnoteReference"/>
          <w:rFonts w:ascii="Calibri" w:eastAsia="Calibri" w:hAnsi="Calibri" w:cs="Calibri"/>
          <w:spacing w:val="-1"/>
        </w:rPr>
        <w:footnoteReference w:id="17"/>
      </w:r>
      <w:r w:rsidR="73B760AF" w:rsidRPr="0081430F">
        <w:rPr>
          <w:rFonts w:ascii="Calibri" w:eastAsia="Calibri" w:hAnsi="Calibri" w:cs="Calibri"/>
          <w:spacing w:val="-1"/>
        </w:rPr>
        <w:t xml:space="preserve"> Accordingly, </w:t>
      </w:r>
      <w:r w:rsidR="73B760AF" w:rsidRPr="00147398">
        <w:rPr>
          <w:rFonts w:ascii="Calibri" w:eastAsia="Calibri" w:hAnsi="Calibri" w:cs="Calibri"/>
          <w:spacing w:val="-1"/>
        </w:rPr>
        <w:t xml:space="preserve">UMMHC values the capacity that its community hospitals provide, </w:t>
      </w:r>
      <w:r w:rsidR="0F889FF3">
        <w:rPr>
          <w:rFonts w:ascii="Calibri" w:eastAsia="Calibri" w:hAnsi="Calibri" w:cs="Calibri"/>
          <w:spacing w:val="-1"/>
        </w:rPr>
        <w:t>since</w:t>
      </w:r>
      <w:r w:rsidR="73B760AF" w:rsidRPr="0081430F">
        <w:rPr>
          <w:rFonts w:ascii="Calibri" w:eastAsia="Calibri" w:hAnsi="Calibri" w:cs="Calibri"/>
          <w:spacing w:val="-1"/>
        </w:rPr>
        <w:t xml:space="preserve"> it </w:t>
      </w:r>
      <w:r w:rsidR="73B760AF" w:rsidRPr="00147398">
        <w:rPr>
          <w:rFonts w:ascii="Calibri" w:eastAsia="Calibri" w:hAnsi="Calibri" w:cs="Calibri"/>
          <w:spacing w:val="-1"/>
        </w:rPr>
        <w:t xml:space="preserve">helps relieve pressure on its academic medical center, </w:t>
      </w:r>
      <w:r w:rsidR="2DB7C56C">
        <w:rPr>
          <w:rFonts w:ascii="Calibri" w:eastAsia="Calibri" w:hAnsi="Calibri" w:cs="Calibri"/>
          <w:spacing w:val="-1"/>
        </w:rPr>
        <w:t>UMMMC</w:t>
      </w:r>
      <w:r w:rsidR="14BFD203">
        <w:rPr>
          <w:rFonts w:ascii="Calibri" w:eastAsia="Calibri" w:hAnsi="Calibri" w:cs="Calibri"/>
          <w:spacing w:val="-1"/>
        </w:rPr>
        <w:t xml:space="preserve"> to serve more acute cases</w:t>
      </w:r>
      <w:r w:rsidR="2DB7C56C">
        <w:rPr>
          <w:rFonts w:ascii="Calibri" w:eastAsia="Calibri" w:hAnsi="Calibri" w:cs="Calibri"/>
          <w:spacing w:val="-1"/>
        </w:rPr>
        <w:t>.</w:t>
      </w:r>
      <w:r w:rsidR="00E56F9C">
        <w:rPr>
          <w:rStyle w:val="FootnoteReference"/>
          <w:rFonts w:ascii="Calibri" w:eastAsia="Calibri" w:hAnsi="Calibri" w:cs="Calibri"/>
          <w:spacing w:val="-1"/>
        </w:rPr>
        <w:footnoteReference w:id="18"/>
      </w:r>
    </w:p>
    <w:p w14:paraId="69457E15" w14:textId="36CD21D0" w:rsidR="003A3F9D" w:rsidRDefault="039F65A2" w:rsidP="0087455A">
      <w:pPr>
        <w:spacing w:after="240"/>
        <w:textAlignment w:val="baseline"/>
      </w:pPr>
      <w:r w:rsidRPr="004A25F3">
        <w:rPr>
          <w:rFonts w:ascii="Calibri" w:eastAsia="Calibri" w:hAnsi="Calibri" w:cs="Calibri"/>
          <w:spacing w:val="-1"/>
        </w:rPr>
        <w:t xml:space="preserve">The </w:t>
      </w:r>
      <w:r w:rsidR="6A9A7AEA" w:rsidRPr="5326C409">
        <w:rPr>
          <w:rFonts w:ascii="Calibri" w:eastAsia="Calibri" w:hAnsi="Calibri" w:cs="Calibri"/>
        </w:rPr>
        <w:t>Applicant also states</w:t>
      </w:r>
      <w:r w:rsidR="6A9A7AEA" w:rsidRPr="004A25F3">
        <w:rPr>
          <w:rFonts w:ascii="Calibri" w:eastAsia="Calibri" w:hAnsi="Calibri" w:cs="Calibri"/>
          <w:spacing w:val="-1"/>
        </w:rPr>
        <w:t xml:space="preserve"> that the </w:t>
      </w:r>
      <w:r w:rsidRPr="004A25F3">
        <w:rPr>
          <w:rFonts w:ascii="Calibri" w:eastAsia="Calibri" w:hAnsi="Calibri" w:cs="Calibri"/>
          <w:spacing w:val="-1"/>
        </w:rPr>
        <w:t xml:space="preserve">Proposed Affiliation will provide the Milford community with </w:t>
      </w:r>
      <w:r w:rsidR="48C5DCD7">
        <w:rPr>
          <w:rFonts w:ascii="Calibri" w:eastAsia="Calibri" w:hAnsi="Calibri" w:cs="Calibri"/>
          <w:spacing w:val="-1"/>
        </w:rPr>
        <w:t>improved</w:t>
      </w:r>
      <w:r w:rsidRPr="004A25F3">
        <w:rPr>
          <w:rFonts w:ascii="Calibri" w:eastAsia="Calibri" w:hAnsi="Calibri" w:cs="Calibri"/>
          <w:spacing w:val="-1"/>
        </w:rPr>
        <w:t xml:space="preserve"> access to UMMHC specialty care in the MRMC service area, thereby allowing the community served by MRMC to stay close to home for their medical care. </w:t>
      </w:r>
      <w:r w:rsidRPr="002251FC">
        <w:rPr>
          <w:rFonts w:ascii="Calibri" w:eastAsia="Calibri" w:hAnsi="Calibri" w:cs="Calibri"/>
          <w:spacing w:val="-1"/>
        </w:rPr>
        <w:t>Within the MR</w:t>
      </w:r>
      <w:r w:rsidR="00265B00">
        <w:rPr>
          <w:rFonts w:ascii="Calibri" w:eastAsia="Calibri" w:hAnsi="Calibri" w:cs="Calibri"/>
          <w:spacing w:val="-1"/>
        </w:rPr>
        <w:t>M</w:t>
      </w:r>
      <w:r w:rsidRPr="002251FC">
        <w:rPr>
          <w:rFonts w:ascii="Calibri" w:eastAsia="Calibri" w:hAnsi="Calibri" w:cs="Calibri"/>
          <w:spacing w:val="-1"/>
        </w:rPr>
        <w:t>C service area, UMMHC provides a broad spectrum of specialty services at two sites</w:t>
      </w:r>
      <w:r w:rsidRPr="004A25F3">
        <w:rPr>
          <w:rFonts w:ascii="Calibri" w:eastAsia="Calibri" w:hAnsi="Calibri" w:cs="Calibri"/>
          <w:spacing w:val="-1"/>
        </w:rPr>
        <w:t>,</w:t>
      </w:r>
      <w:r w:rsidRPr="002251FC">
        <w:rPr>
          <w:rFonts w:ascii="Calibri" w:eastAsia="Calibri" w:hAnsi="Calibri" w:cs="Calibri"/>
          <w:spacing w:val="-1"/>
        </w:rPr>
        <w:t xml:space="preserve"> </w:t>
      </w:r>
      <w:r w:rsidR="48C5DCD7">
        <w:rPr>
          <w:rFonts w:ascii="Calibri" w:eastAsia="Calibri" w:hAnsi="Calibri" w:cs="Calibri"/>
          <w:spacing w:val="-1"/>
        </w:rPr>
        <w:t xml:space="preserve">the </w:t>
      </w:r>
      <w:r w:rsidRPr="002251FC">
        <w:rPr>
          <w:rFonts w:ascii="Calibri" w:eastAsia="Calibri" w:hAnsi="Calibri" w:cs="Calibri"/>
          <w:spacing w:val="-1"/>
        </w:rPr>
        <w:t xml:space="preserve">Tri River Family Health Center </w:t>
      </w:r>
      <w:r w:rsidR="01379F5D">
        <w:rPr>
          <w:rFonts w:ascii="Calibri" w:eastAsia="Calibri" w:hAnsi="Calibri" w:cs="Calibri"/>
          <w:spacing w:val="-1"/>
        </w:rPr>
        <w:t xml:space="preserve">(“Tri River”) </w:t>
      </w:r>
      <w:r w:rsidRPr="002251FC">
        <w:rPr>
          <w:rFonts w:ascii="Calibri" w:eastAsia="Calibri" w:hAnsi="Calibri" w:cs="Calibri"/>
          <w:spacing w:val="-1"/>
        </w:rPr>
        <w:t xml:space="preserve">and Water Street. </w:t>
      </w:r>
      <w:r w:rsidR="48C5DCD7">
        <w:rPr>
          <w:rFonts w:ascii="Calibri" w:eastAsia="Calibri" w:hAnsi="Calibri" w:cs="Calibri"/>
          <w:spacing w:val="-1"/>
        </w:rPr>
        <w:t xml:space="preserve">The services offered </w:t>
      </w:r>
      <w:r w:rsidRPr="002251FC">
        <w:rPr>
          <w:rFonts w:ascii="Calibri" w:eastAsia="Calibri" w:hAnsi="Calibri" w:cs="Calibri"/>
          <w:spacing w:val="-1"/>
        </w:rPr>
        <w:t>include primary care, pediatric, and specialty services, including cardiology, sports medicine, plastic surgery, pediatric gastroenterology, pediatric endocrinology, behavioral health, and nutrition.</w:t>
      </w:r>
      <w:r w:rsidR="2A82272B" w:rsidRPr="00675091">
        <w:t xml:space="preserve"> </w:t>
      </w:r>
    </w:p>
    <w:p w14:paraId="56943F5D" w14:textId="1AAB7670" w:rsidR="004A25F3" w:rsidRDefault="00675091" w:rsidP="755C40DB">
      <w:pPr>
        <w:textAlignment w:val="baseline"/>
        <w:rPr>
          <w:rFonts w:ascii="Calibri" w:eastAsia="Calibri" w:hAnsi="Calibri" w:cs="Calibri"/>
          <w:spacing w:val="-1"/>
          <w:vertAlign w:val="superscript"/>
        </w:rPr>
      </w:pPr>
      <w:r w:rsidRPr="00BE1E01">
        <w:t xml:space="preserve">UMMHC </w:t>
      </w:r>
      <w:r w:rsidR="003A3F9D">
        <w:t xml:space="preserve">also </w:t>
      </w:r>
      <w:r w:rsidRPr="00BE1E01">
        <w:t xml:space="preserve">intends to expand </w:t>
      </w:r>
      <w:r>
        <w:t xml:space="preserve">specialty offerings </w:t>
      </w:r>
      <w:r w:rsidR="003A3F9D">
        <w:t xml:space="preserve">at </w:t>
      </w:r>
      <w:r w:rsidR="275E14DE">
        <w:t xml:space="preserve">its </w:t>
      </w:r>
      <w:r w:rsidR="003A3F9D">
        <w:t>Tri River and Water Street</w:t>
      </w:r>
      <w:r w:rsidR="2423AD1F">
        <w:t xml:space="preserve"> sites, which are close to MR</w:t>
      </w:r>
      <w:r w:rsidR="00265B00">
        <w:t>M</w:t>
      </w:r>
      <w:r w:rsidR="2423AD1F">
        <w:t>C</w:t>
      </w:r>
      <w:r w:rsidR="003A3F9D">
        <w:t xml:space="preserve">, </w:t>
      </w:r>
      <w:r>
        <w:t xml:space="preserve">such as </w:t>
      </w:r>
      <w:r w:rsidRPr="00BE1E01">
        <w:t>endocrinology</w:t>
      </w:r>
      <w:r>
        <w:t>,</w:t>
      </w:r>
      <w:r w:rsidRPr="00BE1E01">
        <w:t xml:space="preserve"> rheumatology</w:t>
      </w:r>
      <w:r>
        <w:t>, vascular and echocardiography and clinical laboratory services.</w:t>
      </w:r>
      <w:r>
        <w:rPr>
          <w:rFonts w:ascii="Calibri" w:eastAsia="Calibri" w:hAnsi="Calibri" w:cs="Calibri"/>
          <w:spacing w:val="-1"/>
        </w:rPr>
        <w:t xml:space="preserve"> </w:t>
      </w:r>
      <w:r w:rsidR="004A25F3" w:rsidRPr="002251FC">
        <w:rPr>
          <w:rFonts w:ascii="Calibri" w:eastAsia="Calibri" w:hAnsi="Calibri" w:cs="Calibri"/>
          <w:spacing w:val="-1"/>
        </w:rPr>
        <w:t xml:space="preserve">Through the affiliation, MRMC’s tele-stroke </w:t>
      </w:r>
      <w:r w:rsidR="00B460BC">
        <w:rPr>
          <w:rFonts w:ascii="Calibri" w:eastAsia="Calibri" w:hAnsi="Calibri" w:cs="Calibri"/>
          <w:spacing w:val="-1"/>
        </w:rPr>
        <w:t xml:space="preserve">consultation </w:t>
      </w:r>
      <w:r w:rsidR="004A25F3" w:rsidRPr="002251FC">
        <w:rPr>
          <w:rFonts w:ascii="Calibri" w:eastAsia="Calibri" w:hAnsi="Calibri" w:cs="Calibri"/>
          <w:spacing w:val="-1"/>
        </w:rPr>
        <w:t>program</w:t>
      </w:r>
      <w:r w:rsidR="00B460BC">
        <w:rPr>
          <w:rFonts w:ascii="Calibri" w:eastAsia="Calibri" w:hAnsi="Calibri" w:cs="Calibri"/>
          <w:spacing w:val="-1"/>
        </w:rPr>
        <w:t xml:space="preserve">, </w:t>
      </w:r>
      <w:r w:rsidR="00B460BC" w:rsidRPr="00B460BC">
        <w:rPr>
          <w:rFonts w:ascii="Calibri" w:eastAsia="Calibri" w:hAnsi="Calibri" w:cs="Calibri"/>
          <w:spacing w:val="-1"/>
        </w:rPr>
        <w:t xml:space="preserve">which </w:t>
      </w:r>
      <w:r w:rsidR="00B460BC">
        <w:rPr>
          <w:rFonts w:ascii="Calibri" w:eastAsia="Calibri" w:hAnsi="Calibri" w:cs="Calibri"/>
          <w:spacing w:val="-1"/>
        </w:rPr>
        <w:t>is</w:t>
      </w:r>
      <w:r w:rsidR="00B460BC" w:rsidRPr="00B460BC">
        <w:rPr>
          <w:rFonts w:ascii="Calibri" w:eastAsia="Calibri" w:hAnsi="Calibri" w:cs="Calibri"/>
          <w:spacing w:val="-1"/>
        </w:rPr>
        <w:t xml:space="preserve"> currently </w:t>
      </w:r>
      <w:r w:rsidR="00FA35C1">
        <w:rPr>
          <w:rFonts w:ascii="Calibri" w:eastAsia="Calibri" w:hAnsi="Calibri" w:cs="Calibri"/>
          <w:spacing w:val="-1"/>
        </w:rPr>
        <w:t xml:space="preserve">staffed </w:t>
      </w:r>
      <w:r w:rsidR="00B460BC" w:rsidRPr="00B460BC">
        <w:rPr>
          <w:rFonts w:ascii="Calibri" w:eastAsia="Calibri" w:hAnsi="Calibri" w:cs="Calibri"/>
          <w:spacing w:val="-1"/>
        </w:rPr>
        <w:t>exclusively by MGH fellows</w:t>
      </w:r>
      <w:r w:rsidR="00B460BC">
        <w:rPr>
          <w:rFonts w:ascii="Calibri" w:eastAsia="Calibri" w:hAnsi="Calibri" w:cs="Calibri"/>
          <w:spacing w:val="-1"/>
        </w:rPr>
        <w:t xml:space="preserve">, </w:t>
      </w:r>
      <w:r w:rsidR="004A25F3" w:rsidRPr="002251FC">
        <w:rPr>
          <w:rFonts w:ascii="Calibri" w:eastAsia="Calibri" w:hAnsi="Calibri" w:cs="Calibri"/>
          <w:spacing w:val="-1"/>
        </w:rPr>
        <w:t>will also have access to additional, experienced attending physicians, which may further enhance the quality and timeliness of care.</w:t>
      </w:r>
      <w:r w:rsidR="004A25F3" w:rsidRPr="002251FC">
        <w:rPr>
          <w:rFonts w:ascii="Calibri" w:eastAsia="Calibri" w:hAnsi="Calibri" w:cs="Calibri"/>
          <w:spacing w:val="-1"/>
          <w:vertAlign w:val="superscript"/>
        </w:rPr>
        <w:footnoteReference w:id="19"/>
      </w:r>
      <w:r w:rsidR="509D3368" w:rsidRPr="6CE004FB">
        <w:rPr>
          <w:rFonts w:ascii="Calibri" w:eastAsia="Calibri" w:hAnsi="Calibri" w:cs="Calibri"/>
          <w:vertAlign w:val="superscript"/>
        </w:rPr>
        <w:t xml:space="preserve"> </w:t>
      </w:r>
    </w:p>
    <w:p w14:paraId="0464CA72" w14:textId="77777777" w:rsidR="005205FB" w:rsidRPr="00147398" w:rsidRDefault="005205FB" w:rsidP="005205FB">
      <w:pPr>
        <w:textAlignment w:val="baseline"/>
        <w:rPr>
          <w:rFonts w:ascii="Calibri" w:eastAsia="Calibri" w:hAnsi="Calibri" w:cs="Calibri"/>
          <w:spacing w:val="-1"/>
        </w:rPr>
      </w:pPr>
    </w:p>
    <w:p w14:paraId="4D6116F2" w14:textId="69EB7319" w:rsidR="0036365A" w:rsidRDefault="10C83A18" w:rsidP="009D7D3B">
      <w:pPr>
        <w:spacing w:after="240"/>
        <w:textAlignment w:val="baseline"/>
        <w:rPr>
          <w:rFonts w:ascii="Calibri" w:eastAsia="Calibri" w:hAnsi="Calibri" w:cs="Calibri"/>
          <w:spacing w:val="-1"/>
        </w:rPr>
      </w:pPr>
      <w:r>
        <w:rPr>
          <w:rFonts w:ascii="Calibri" w:eastAsia="Calibri" w:hAnsi="Calibri" w:cs="Calibri"/>
          <w:spacing w:val="-1"/>
        </w:rPr>
        <w:t xml:space="preserve">The Applicant provided a few examples of its </w:t>
      </w:r>
      <w:r w:rsidR="6B9ADB8E" w:rsidRPr="6CE004FB">
        <w:rPr>
          <w:rFonts w:ascii="Calibri" w:eastAsia="Calibri" w:hAnsi="Calibri" w:cs="Calibri"/>
        </w:rPr>
        <w:t>experiences</w:t>
      </w:r>
      <w:r>
        <w:rPr>
          <w:rFonts w:ascii="Calibri" w:eastAsia="Calibri" w:hAnsi="Calibri" w:cs="Calibri"/>
          <w:spacing w:val="-1"/>
        </w:rPr>
        <w:t xml:space="preserve"> following its recent affiliation with Harrington and </w:t>
      </w:r>
      <w:r w:rsidR="756DEB28">
        <w:rPr>
          <w:rFonts w:ascii="Calibri" w:eastAsia="Calibri" w:hAnsi="Calibri" w:cs="Calibri"/>
          <w:spacing w:val="-1"/>
        </w:rPr>
        <w:t xml:space="preserve">a </w:t>
      </w:r>
      <w:r>
        <w:rPr>
          <w:rFonts w:ascii="Calibri" w:eastAsia="Calibri" w:hAnsi="Calibri" w:cs="Calibri"/>
          <w:spacing w:val="-1"/>
        </w:rPr>
        <w:t xml:space="preserve">previous affiliation with the </w:t>
      </w:r>
      <w:proofErr w:type="gramStart"/>
      <w:r>
        <w:rPr>
          <w:rFonts w:ascii="Calibri" w:eastAsia="Calibri" w:hAnsi="Calibri" w:cs="Calibri"/>
          <w:spacing w:val="-1"/>
        </w:rPr>
        <w:t>Health</w:t>
      </w:r>
      <w:proofErr w:type="gramEnd"/>
      <w:r>
        <w:rPr>
          <w:rFonts w:ascii="Calibri" w:eastAsia="Calibri" w:hAnsi="Calibri" w:cs="Calibri"/>
          <w:spacing w:val="-1"/>
        </w:rPr>
        <w:t xml:space="preserve"> Alliance- Clinton Hospital. </w:t>
      </w:r>
    </w:p>
    <w:p w14:paraId="3D24E7AC" w14:textId="21FC39BD" w:rsidR="00147398" w:rsidRPr="004A25F3" w:rsidRDefault="2A82272B" w:rsidP="00A50A54">
      <w:pPr>
        <w:pStyle w:val="ListParagraph"/>
        <w:numPr>
          <w:ilvl w:val="0"/>
          <w:numId w:val="7"/>
        </w:numPr>
        <w:spacing w:after="240" w:line="240" w:lineRule="auto"/>
        <w:textAlignment w:val="baseline"/>
        <w:rPr>
          <w:rFonts w:ascii="Calibri" w:eastAsia="Calibri" w:hAnsi="Calibri" w:cs="Calibri"/>
          <w:color w:val="234170" w:themeColor="text2" w:themeShade="BF"/>
          <w:spacing w:val="-1"/>
          <w:sz w:val="24"/>
          <w:szCs w:val="24"/>
        </w:rPr>
      </w:pPr>
      <w:r>
        <w:rPr>
          <w:rFonts w:ascii="Calibri" w:eastAsia="Calibri" w:hAnsi="Calibri" w:cs="Calibri"/>
          <w:spacing w:val="-1"/>
          <w:sz w:val="24"/>
          <w:szCs w:val="24"/>
        </w:rPr>
        <w:t xml:space="preserve">Following the approvals of the </w:t>
      </w:r>
      <w:r w:rsidR="53FED732" w:rsidRPr="009D7D3B">
        <w:rPr>
          <w:rFonts w:ascii="Calibri" w:eastAsia="Calibri" w:hAnsi="Calibri" w:cs="Calibri"/>
          <w:spacing w:val="-1"/>
          <w:sz w:val="24"/>
          <w:szCs w:val="24"/>
        </w:rPr>
        <w:t>UMMHC</w:t>
      </w:r>
      <w:r>
        <w:rPr>
          <w:rFonts w:ascii="Calibri" w:eastAsia="Calibri" w:hAnsi="Calibri" w:cs="Calibri"/>
          <w:spacing w:val="-1"/>
          <w:sz w:val="24"/>
          <w:szCs w:val="24"/>
        </w:rPr>
        <w:t xml:space="preserve">-Harrington affiliation, UMMHC </w:t>
      </w:r>
      <w:r w:rsidR="53FED732" w:rsidRPr="009D7D3B">
        <w:rPr>
          <w:rFonts w:ascii="Calibri" w:eastAsia="Calibri" w:hAnsi="Calibri" w:cs="Calibri"/>
          <w:spacing w:val="-1"/>
          <w:sz w:val="24"/>
          <w:szCs w:val="24"/>
        </w:rPr>
        <w:t xml:space="preserve">implemented its operational strategy to strengthen </w:t>
      </w:r>
      <w:r w:rsidR="53FED732" w:rsidRPr="009D7D3B" w:rsidDel="007A382C">
        <w:rPr>
          <w:rFonts w:ascii="Calibri" w:eastAsia="Calibri" w:hAnsi="Calibri" w:cs="Calibri"/>
          <w:spacing w:val="-1"/>
          <w:sz w:val="24"/>
          <w:szCs w:val="24"/>
        </w:rPr>
        <w:t>Harrington</w:t>
      </w:r>
      <w:r w:rsidR="53FED732" w:rsidRPr="009D7D3B">
        <w:rPr>
          <w:rFonts w:ascii="Calibri" w:eastAsia="Calibri" w:hAnsi="Calibri" w:cs="Calibri"/>
          <w:spacing w:val="-1"/>
          <w:sz w:val="24"/>
          <w:szCs w:val="24"/>
        </w:rPr>
        <w:t>.</w:t>
      </w:r>
      <w:r w:rsidR="00E152D2">
        <w:rPr>
          <w:rStyle w:val="EndnoteReference"/>
          <w:rFonts w:ascii="Calibri" w:eastAsia="Calibri" w:hAnsi="Calibri" w:cs="Calibri"/>
          <w:spacing w:val="-1"/>
          <w:sz w:val="24"/>
          <w:szCs w:val="24"/>
        </w:rPr>
        <w:endnoteReference w:id="3"/>
      </w:r>
      <w:r w:rsidR="53FED732" w:rsidRPr="009D7D3B">
        <w:rPr>
          <w:rFonts w:ascii="Calibri" w:eastAsia="Calibri" w:hAnsi="Calibri" w:cs="Calibri"/>
          <w:spacing w:val="-1"/>
          <w:sz w:val="24"/>
          <w:szCs w:val="24"/>
        </w:rPr>
        <w:t xml:space="preserve"> </w:t>
      </w:r>
      <w:r w:rsidR="2DB7C56C" w:rsidRPr="009D7D3B">
        <w:rPr>
          <w:rFonts w:ascii="Calibri" w:eastAsia="Calibri" w:hAnsi="Calibri" w:cs="Calibri"/>
          <w:spacing w:val="-1"/>
          <w:sz w:val="24"/>
          <w:szCs w:val="24"/>
        </w:rPr>
        <w:t>Harrington’s integration into UMMHC resulted in the preservation of community-based care in its service area</w:t>
      </w:r>
      <w:r w:rsidR="593160BB">
        <w:rPr>
          <w:rFonts w:ascii="Calibri" w:eastAsia="Calibri" w:hAnsi="Calibri" w:cs="Calibri"/>
          <w:spacing w:val="-1"/>
          <w:sz w:val="24"/>
          <w:szCs w:val="24"/>
        </w:rPr>
        <w:t>;</w:t>
      </w:r>
      <w:r>
        <w:rPr>
          <w:rFonts w:ascii="Calibri" w:eastAsia="Calibri" w:hAnsi="Calibri" w:cs="Calibri"/>
          <w:spacing w:val="-1"/>
          <w:sz w:val="24"/>
          <w:szCs w:val="24"/>
        </w:rPr>
        <w:t xml:space="preserve"> </w:t>
      </w:r>
      <w:r w:rsidR="53FED732" w:rsidRPr="009D7D3B">
        <w:rPr>
          <w:rFonts w:ascii="Calibri" w:eastAsia="Calibri" w:hAnsi="Calibri" w:cs="Calibri"/>
          <w:spacing w:val="-1"/>
          <w:sz w:val="24"/>
          <w:szCs w:val="24"/>
        </w:rPr>
        <w:t xml:space="preserve">Harrington </w:t>
      </w:r>
      <w:r>
        <w:rPr>
          <w:rFonts w:ascii="Calibri" w:eastAsia="Calibri" w:hAnsi="Calibri" w:cs="Calibri"/>
          <w:spacing w:val="-1"/>
          <w:sz w:val="24"/>
          <w:szCs w:val="24"/>
        </w:rPr>
        <w:t xml:space="preserve">has </w:t>
      </w:r>
      <w:r w:rsidR="76CFB730" w:rsidRPr="282949F7">
        <w:rPr>
          <w:rFonts w:ascii="Calibri" w:eastAsia="Calibri" w:hAnsi="Calibri" w:cs="Calibri"/>
          <w:sz w:val="24"/>
          <w:szCs w:val="24"/>
        </w:rPr>
        <w:t xml:space="preserve">maintained </w:t>
      </w:r>
      <w:r w:rsidR="53FED732" w:rsidRPr="009D7D3B">
        <w:rPr>
          <w:rFonts w:ascii="Calibri" w:eastAsia="Calibri" w:hAnsi="Calibri" w:cs="Calibri"/>
          <w:spacing w:val="-1"/>
          <w:sz w:val="24"/>
          <w:szCs w:val="24"/>
        </w:rPr>
        <w:t xml:space="preserve">the same range of </w:t>
      </w:r>
      <w:r w:rsidR="73B760AF" w:rsidRPr="009D7D3B" w:rsidDel="007A382C">
        <w:rPr>
          <w:rFonts w:ascii="Calibri" w:eastAsia="Calibri" w:hAnsi="Calibri" w:cs="Calibri"/>
          <w:spacing w:val="-1"/>
          <w:sz w:val="24"/>
          <w:szCs w:val="24"/>
        </w:rPr>
        <w:t>services</w:t>
      </w:r>
      <w:r w:rsidR="73B760AF" w:rsidRPr="009D7D3B">
        <w:rPr>
          <w:rFonts w:ascii="Calibri" w:eastAsia="Calibri" w:hAnsi="Calibri" w:cs="Calibri"/>
          <w:spacing w:val="-1"/>
          <w:sz w:val="24"/>
          <w:szCs w:val="24"/>
        </w:rPr>
        <w:t xml:space="preserve"> and</w:t>
      </w:r>
      <w:r w:rsidR="53FED732" w:rsidRPr="009D7D3B">
        <w:rPr>
          <w:rFonts w:ascii="Calibri" w:eastAsia="Calibri" w:hAnsi="Calibri" w:cs="Calibri"/>
          <w:spacing w:val="-1"/>
          <w:sz w:val="24"/>
          <w:szCs w:val="24"/>
        </w:rPr>
        <w:t xml:space="preserve"> </w:t>
      </w:r>
      <w:r w:rsidR="53FED732" w:rsidRPr="009D7D3B" w:rsidDel="007A382C">
        <w:rPr>
          <w:rFonts w:ascii="Calibri" w:eastAsia="Calibri" w:hAnsi="Calibri" w:cs="Calibri"/>
          <w:spacing w:val="-1"/>
          <w:sz w:val="24"/>
          <w:szCs w:val="24"/>
        </w:rPr>
        <w:t xml:space="preserve">has </w:t>
      </w:r>
      <w:r w:rsidR="53FED732" w:rsidRPr="009D7D3B">
        <w:rPr>
          <w:rFonts w:ascii="Calibri" w:eastAsia="Calibri" w:hAnsi="Calibri" w:cs="Calibri"/>
          <w:spacing w:val="-1"/>
          <w:sz w:val="24"/>
          <w:szCs w:val="24"/>
        </w:rPr>
        <w:t xml:space="preserve">experienced </w:t>
      </w:r>
      <w:r w:rsidR="53FED732" w:rsidRPr="009D7D3B" w:rsidDel="007A382C">
        <w:rPr>
          <w:rFonts w:ascii="Calibri" w:eastAsia="Calibri" w:hAnsi="Calibri" w:cs="Calibri"/>
          <w:spacing w:val="-1"/>
          <w:sz w:val="24"/>
          <w:szCs w:val="24"/>
        </w:rPr>
        <w:t xml:space="preserve">higher occupancy rates than it did prior to joining </w:t>
      </w:r>
      <w:r w:rsidR="53FED732" w:rsidRPr="009D7D3B">
        <w:rPr>
          <w:rFonts w:ascii="Calibri" w:eastAsia="Calibri" w:hAnsi="Calibri" w:cs="Calibri"/>
          <w:spacing w:val="-1"/>
          <w:sz w:val="24"/>
          <w:szCs w:val="24"/>
        </w:rPr>
        <w:t xml:space="preserve">the UMMHC system. UMMHC’s </w:t>
      </w:r>
      <w:r w:rsidR="2DB7C56C" w:rsidRPr="009D7D3B">
        <w:rPr>
          <w:rFonts w:ascii="Calibri" w:eastAsia="Calibri" w:hAnsi="Calibri" w:cs="Calibri"/>
          <w:spacing w:val="-1"/>
          <w:sz w:val="24"/>
          <w:szCs w:val="24"/>
        </w:rPr>
        <w:t>electronic health record (“</w:t>
      </w:r>
      <w:r w:rsidR="5012C62A">
        <w:rPr>
          <w:rFonts w:ascii="Calibri" w:eastAsia="Calibri" w:hAnsi="Calibri" w:cs="Calibri"/>
          <w:spacing w:val="-1"/>
          <w:sz w:val="24"/>
          <w:szCs w:val="24"/>
        </w:rPr>
        <w:t>E</w:t>
      </w:r>
      <w:r w:rsidR="2DB7C56C" w:rsidRPr="009D7D3B">
        <w:rPr>
          <w:rFonts w:ascii="Calibri" w:eastAsia="Calibri" w:hAnsi="Calibri" w:cs="Calibri"/>
          <w:spacing w:val="-1"/>
          <w:sz w:val="24"/>
          <w:szCs w:val="24"/>
        </w:rPr>
        <w:t>HR”) system</w:t>
      </w:r>
      <w:r w:rsidR="593160BB">
        <w:rPr>
          <w:rFonts w:ascii="Calibri" w:eastAsia="Calibri" w:hAnsi="Calibri" w:cs="Calibri"/>
          <w:spacing w:val="-1"/>
          <w:sz w:val="24"/>
          <w:szCs w:val="24"/>
        </w:rPr>
        <w:t xml:space="preserve"> </w:t>
      </w:r>
      <w:r w:rsidR="323A4DBF">
        <w:rPr>
          <w:rFonts w:ascii="Calibri" w:eastAsia="Calibri" w:hAnsi="Calibri" w:cs="Calibri"/>
          <w:spacing w:val="-1"/>
          <w:sz w:val="24"/>
          <w:szCs w:val="24"/>
        </w:rPr>
        <w:t xml:space="preserve">(EPIC) </w:t>
      </w:r>
      <w:r w:rsidR="593160BB">
        <w:rPr>
          <w:rFonts w:ascii="Calibri" w:eastAsia="Calibri" w:hAnsi="Calibri" w:cs="Calibri"/>
          <w:spacing w:val="-1"/>
          <w:sz w:val="24"/>
          <w:szCs w:val="24"/>
        </w:rPr>
        <w:t>was extended to Harrington</w:t>
      </w:r>
      <w:r w:rsidR="2DB7C56C" w:rsidRPr="009D7D3B">
        <w:rPr>
          <w:rFonts w:ascii="Calibri" w:eastAsia="Calibri" w:hAnsi="Calibri" w:cs="Calibri"/>
          <w:spacing w:val="-1"/>
          <w:sz w:val="24"/>
          <w:szCs w:val="24"/>
        </w:rPr>
        <w:t xml:space="preserve"> </w:t>
      </w:r>
      <w:r w:rsidR="53FED732" w:rsidRPr="009D7D3B">
        <w:rPr>
          <w:rFonts w:ascii="Calibri" w:eastAsia="Calibri" w:hAnsi="Calibri" w:cs="Calibri"/>
          <w:spacing w:val="-1"/>
          <w:sz w:val="24"/>
          <w:szCs w:val="24"/>
        </w:rPr>
        <w:t xml:space="preserve">in October of 2023, giving Harrington access to more efficient workflows, </w:t>
      </w:r>
      <w:r w:rsidR="2DB7C56C" w:rsidRPr="009D7D3B">
        <w:rPr>
          <w:rFonts w:ascii="Calibri" w:eastAsia="Calibri" w:hAnsi="Calibri" w:cs="Calibri"/>
          <w:spacing w:val="-1"/>
          <w:sz w:val="24"/>
          <w:szCs w:val="24"/>
        </w:rPr>
        <w:t>along with</w:t>
      </w:r>
      <w:r w:rsidR="53FED732" w:rsidRPr="009D7D3B">
        <w:rPr>
          <w:rFonts w:ascii="Calibri" w:eastAsia="Calibri" w:hAnsi="Calibri" w:cs="Calibri"/>
          <w:spacing w:val="-1"/>
          <w:sz w:val="24"/>
          <w:szCs w:val="24"/>
        </w:rPr>
        <w:t xml:space="preserve"> quality improvement and patient safety tools. The parties expect that MRMC will experience similar benefits. The affiliation also provided Harrington with the resources to invest in ne</w:t>
      </w:r>
      <w:r w:rsidR="10C83A18" w:rsidRPr="009D7D3B">
        <w:rPr>
          <w:rFonts w:ascii="Calibri" w:eastAsia="Calibri" w:hAnsi="Calibri" w:cs="Calibri"/>
          <w:spacing w:val="-1"/>
          <w:sz w:val="24"/>
          <w:szCs w:val="24"/>
        </w:rPr>
        <w:t>eded capital improvements.</w:t>
      </w:r>
      <w:r w:rsidR="0036365A" w:rsidRPr="009D7D3B">
        <w:rPr>
          <w:rStyle w:val="FootnoteReference"/>
          <w:rFonts w:ascii="Calibri" w:eastAsia="Calibri" w:hAnsi="Calibri" w:cs="Calibri"/>
          <w:spacing w:val="-1"/>
          <w:sz w:val="24"/>
          <w:szCs w:val="24"/>
        </w:rPr>
        <w:footnoteReference w:id="20"/>
      </w:r>
      <w:r w:rsidR="53FED732" w:rsidRPr="009D7D3B">
        <w:rPr>
          <w:rFonts w:ascii="Calibri" w:eastAsia="Calibri" w:hAnsi="Calibri" w:cs="Calibri"/>
          <w:spacing w:val="-1"/>
          <w:sz w:val="24"/>
          <w:szCs w:val="24"/>
        </w:rPr>
        <w:t xml:space="preserve"> Similarly, a key component of the Project is UMMHC’s commitment </w:t>
      </w:r>
      <w:r w:rsidR="1ECA9F2E">
        <w:rPr>
          <w:rFonts w:ascii="Calibri" w:eastAsia="Calibri" w:hAnsi="Calibri" w:cs="Calibri"/>
          <w:spacing w:val="-1"/>
          <w:sz w:val="24"/>
          <w:szCs w:val="24"/>
        </w:rPr>
        <w:t xml:space="preserve">is </w:t>
      </w:r>
      <w:r w:rsidR="53FED732" w:rsidRPr="009D7D3B">
        <w:rPr>
          <w:rFonts w:ascii="Calibri" w:eastAsia="Calibri" w:hAnsi="Calibri" w:cs="Calibri"/>
          <w:spacing w:val="-1"/>
          <w:sz w:val="24"/>
          <w:szCs w:val="24"/>
        </w:rPr>
        <w:t>to invest in necessary capital improvements at MRMC.</w:t>
      </w:r>
    </w:p>
    <w:p w14:paraId="28720B8A" w14:textId="77777777" w:rsidR="004A25F3" w:rsidRPr="009D7D3B" w:rsidRDefault="004A25F3" w:rsidP="004A25F3">
      <w:pPr>
        <w:pStyle w:val="ListParagraph"/>
        <w:spacing w:after="240" w:line="240" w:lineRule="auto"/>
        <w:textAlignment w:val="baseline"/>
        <w:rPr>
          <w:rFonts w:ascii="Calibri" w:eastAsia="Calibri" w:hAnsi="Calibri" w:cs="Calibri"/>
          <w:color w:val="234170" w:themeColor="text2" w:themeShade="BF"/>
          <w:spacing w:val="-1"/>
          <w:sz w:val="24"/>
          <w:szCs w:val="24"/>
        </w:rPr>
      </w:pPr>
    </w:p>
    <w:p w14:paraId="3D0089A3" w14:textId="2CACCC5F" w:rsidR="0036365A" w:rsidRPr="009D7D3B" w:rsidRDefault="53FED732" w:rsidP="00A50A54">
      <w:pPr>
        <w:pStyle w:val="ListParagraph"/>
        <w:numPr>
          <w:ilvl w:val="0"/>
          <w:numId w:val="7"/>
        </w:numPr>
        <w:spacing w:after="240" w:line="240" w:lineRule="auto"/>
        <w:textAlignment w:val="baseline"/>
        <w:rPr>
          <w:rFonts w:ascii="Calibri" w:eastAsia="Calibri" w:hAnsi="Calibri" w:cs="Calibri"/>
          <w:spacing w:val="-1"/>
          <w:sz w:val="24"/>
          <w:szCs w:val="24"/>
        </w:rPr>
      </w:pPr>
      <w:r w:rsidRPr="009D7D3B">
        <w:rPr>
          <w:rFonts w:ascii="Calibri" w:eastAsia="Calibri" w:hAnsi="Calibri" w:cs="Calibri"/>
          <w:spacing w:val="-1"/>
          <w:sz w:val="24"/>
          <w:szCs w:val="24"/>
        </w:rPr>
        <w:t>UMMHC’s multidisciplinary clinic at HealthAlliance-Clinton Hospital is an example of how UMMHC’s strengthen</w:t>
      </w:r>
      <w:r w:rsidR="19909A43" w:rsidRPr="2C044470">
        <w:rPr>
          <w:rFonts w:ascii="Calibri" w:eastAsia="Calibri" w:hAnsi="Calibri" w:cs="Calibri"/>
          <w:sz w:val="24"/>
          <w:szCs w:val="24"/>
        </w:rPr>
        <w:t>ed</w:t>
      </w:r>
      <w:r w:rsidRPr="009D7D3B">
        <w:rPr>
          <w:rFonts w:ascii="Calibri" w:eastAsia="Calibri" w:hAnsi="Calibri" w:cs="Calibri"/>
          <w:spacing w:val="-1"/>
          <w:sz w:val="24"/>
          <w:szCs w:val="24"/>
        </w:rPr>
        <w:t xml:space="preserve"> its community </w:t>
      </w:r>
      <w:r w:rsidR="006A1B85" w:rsidRPr="009D7D3B">
        <w:rPr>
          <w:rFonts w:ascii="Calibri" w:eastAsia="Calibri" w:hAnsi="Calibri" w:cs="Calibri"/>
          <w:spacing w:val="-1"/>
          <w:sz w:val="24"/>
          <w:szCs w:val="24"/>
        </w:rPr>
        <w:t>hospitals to</w:t>
      </w:r>
      <w:r w:rsidRPr="009D7D3B">
        <w:rPr>
          <w:rFonts w:ascii="Calibri" w:eastAsia="Calibri" w:hAnsi="Calibri" w:cs="Calibri"/>
          <w:spacing w:val="-1"/>
          <w:sz w:val="24"/>
          <w:szCs w:val="24"/>
        </w:rPr>
        <w:t xml:space="preserve"> maintain specialized services local</w:t>
      </w:r>
      <w:r w:rsidR="115D562A" w:rsidRPr="2C044470">
        <w:rPr>
          <w:rFonts w:ascii="Calibri" w:eastAsia="Calibri" w:hAnsi="Calibri" w:cs="Calibri"/>
          <w:sz w:val="24"/>
          <w:szCs w:val="24"/>
        </w:rPr>
        <w:t>ly</w:t>
      </w:r>
      <w:r w:rsidRPr="009D7D3B">
        <w:rPr>
          <w:rFonts w:ascii="Calibri" w:eastAsia="Calibri" w:hAnsi="Calibri" w:cs="Calibri"/>
          <w:spacing w:val="-1"/>
          <w:sz w:val="24"/>
          <w:szCs w:val="24"/>
        </w:rPr>
        <w:t>. The</w:t>
      </w:r>
      <w:r w:rsidR="18BF3AD1" w:rsidRPr="2C044470">
        <w:rPr>
          <w:rFonts w:ascii="Calibri" w:eastAsia="Calibri" w:hAnsi="Calibri" w:cs="Calibri"/>
          <w:sz w:val="24"/>
          <w:szCs w:val="24"/>
        </w:rPr>
        <w:t>ir</w:t>
      </w:r>
      <w:r w:rsidRPr="009D7D3B">
        <w:rPr>
          <w:rFonts w:ascii="Calibri" w:eastAsia="Calibri" w:hAnsi="Calibri" w:cs="Calibri"/>
          <w:spacing w:val="-1"/>
          <w:sz w:val="24"/>
          <w:szCs w:val="24"/>
        </w:rPr>
        <w:t xml:space="preserve"> strategy involved: (i) investing $3.6 million in the facility with rheumatology, endocrinology, pain management, cardiology, thoracic surgery, audiology, specialty dermatology, infectious disease, infusion center, and sports medicine; (ii) bringing UMMMC specialists to the Leominster campus in order to treat patients in their own community; and (iii) maintaining capacity to treat 9,100 patients annually. </w:t>
      </w:r>
    </w:p>
    <w:p w14:paraId="4BD87E6F" w14:textId="38568F1C" w:rsidR="00147398" w:rsidRPr="009D7D3B" w:rsidRDefault="10C83A18" w:rsidP="0DFD67C7">
      <w:pPr>
        <w:textAlignment w:val="baseline"/>
        <w:rPr>
          <w:rFonts w:ascii="Calibri" w:eastAsia="Calibri" w:hAnsi="Calibri" w:cs="Calibri"/>
          <w:spacing w:val="-1"/>
        </w:rPr>
      </w:pPr>
      <w:r w:rsidRPr="009D7D3B">
        <w:rPr>
          <w:rFonts w:ascii="Calibri" w:eastAsia="Calibri" w:hAnsi="Calibri" w:cs="Calibri"/>
          <w:spacing w:val="-1"/>
        </w:rPr>
        <w:t>The Applicant notes that w</w:t>
      </w:r>
      <w:r w:rsidR="53FED732" w:rsidRPr="009D7D3B">
        <w:rPr>
          <w:rFonts w:ascii="Calibri" w:eastAsia="Calibri" w:hAnsi="Calibri" w:cs="Calibri"/>
          <w:spacing w:val="-1"/>
        </w:rPr>
        <w:t xml:space="preserve">hile the investments in MRMC </w:t>
      </w:r>
      <w:r w:rsidRPr="009D7D3B">
        <w:rPr>
          <w:rFonts w:ascii="Calibri" w:eastAsia="Calibri" w:hAnsi="Calibri" w:cs="Calibri"/>
          <w:spacing w:val="-1"/>
        </w:rPr>
        <w:t>will</w:t>
      </w:r>
      <w:r w:rsidR="53FED732" w:rsidRPr="009D7D3B">
        <w:rPr>
          <w:rFonts w:ascii="Calibri" w:eastAsia="Calibri" w:hAnsi="Calibri" w:cs="Calibri"/>
          <w:spacing w:val="-1"/>
        </w:rPr>
        <w:t xml:space="preserve"> be different, the objectives are expected to be consistent with UMMHC’s investments in its other community entities, </w:t>
      </w:r>
      <w:r w:rsidR="756DEB28">
        <w:rPr>
          <w:rFonts w:ascii="Calibri" w:eastAsia="Calibri" w:hAnsi="Calibri" w:cs="Calibri"/>
          <w:spacing w:val="-1"/>
        </w:rPr>
        <w:t xml:space="preserve">thereby </w:t>
      </w:r>
      <w:r w:rsidR="01379F5D">
        <w:rPr>
          <w:rFonts w:ascii="Calibri" w:eastAsia="Calibri" w:hAnsi="Calibri" w:cs="Calibri"/>
          <w:spacing w:val="-1"/>
        </w:rPr>
        <w:t xml:space="preserve">maintaining, </w:t>
      </w:r>
      <w:proofErr w:type="gramStart"/>
      <w:r w:rsidR="01379F5D">
        <w:rPr>
          <w:rFonts w:ascii="Calibri" w:eastAsia="Calibri" w:hAnsi="Calibri" w:cs="Calibri"/>
          <w:spacing w:val="-1"/>
        </w:rPr>
        <w:t>enhancing</w:t>
      </w:r>
      <w:proofErr w:type="gramEnd"/>
      <w:r w:rsidR="01379F5D">
        <w:rPr>
          <w:rFonts w:ascii="Calibri" w:eastAsia="Calibri" w:hAnsi="Calibri" w:cs="Calibri"/>
          <w:spacing w:val="-1"/>
        </w:rPr>
        <w:t xml:space="preserve"> and expanding </w:t>
      </w:r>
      <w:r w:rsidRPr="009D7D3B">
        <w:rPr>
          <w:rFonts w:ascii="Calibri" w:eastAsia="Calibri" w:hAnsi="Calibri" w:cs="Calibri"/>
          <w:spacing w:val="-1"/>
        </w:rPr>
        <w:t>access to high-quality</w:t>
      </w:r>
      <w:r w:rsidR="53FED732" w:rsidRPr="009D7D3B">
        <w:rPr>
          <w:rFonts w:ascii="Calibri" w:eastAsia="Calibri" w:hAnsi="Calibri" w:cs="Calibri"/>
          <w:spacing w:val="-1"/>
        </w:rPr>
        <w:t xml:space="preserve"> care </w:t>
      </w:r>
      <w:r w:rsidR="01379F5D">
        <w:rPr>
          <w:rFonts w:ascii="Calibri" w:eastAsia="Calibri" w:hAnsi="Calibri" w:cs="Calibri"/>
          <w:spacing w:val="-1"/>
        </w:rPr>
        <w:t>with</w:t>
      </w:r>
      <w:r w:rsidR="53FED732" w:rsidRPr="009D7D3B">
        <w:rPr>
          <w:rFonts w:ascii="Calibri" w:eastAsia="Calibri" w:hAnsi="Calibri" w:cs="Calibri"/>
          <w:spacing w:val="-1"/>
        </w:rPr>
        <w:t xml:space="preserve">in the MRMC’s </w:t>
      </w:r>
      <w:r w:rsidR="01379F5D">
        <w:rPr>
          <w:rFonts w:ascii="Calibri" w:eastAsia="Calibri" w:hAnsi="Calibri" w:cs="Calibri"/>
          <w:spacing w:val="-1"/>
        </w:rPr>
        <w:t>service area.</w:t>
      </w:r>
      <w:r w:rsidR="76C67A39">
        <w:rPr>
          <w:rFonts w:ascii="Calibri" w:eastAsia="Calibri" w:hAnsi="Calibri" w:cs="Calibri"/>
          <w:spacing w:val="-1"/>
        </w:rPr>
        <w:t xml:space="preserve"> </w:t>
      </w:r>
      <w:r w:rsidR="59EA050B" w:rsidRPr="006A1B85">
        <w:rPr>
          <w:rFonts w:eastAsiaTheme="minorEastAsia" w:cstheme="minorBidi"/>
          <w:spacing w:val="-1"/>
        </w:rPr>
        <w:t xml:space="preserve">At </w:t>
      </w:r>
      <w:r w:rsidR="35EC205D" w:rsidRPr="2C044470">
        <w:rPr>
          <w:rFonts w:eastAsiaTheme="minorEastAsia" w:cstheme="minorBidi"/>
        </w:rPr>
        <w:t xml:space="preserve">a public hearing held by the Department related to the transfer of </w:t>
      </w:r>
      <w:proofErr w:type="gramStart"/>
      <w:r w:rsidR="35EC205D" w:rsidRPr="2C044470">
        <w:rPr>
          <w:rFonts w:eastAsiaTheme="minorEastAsia" w:cstheme="minorBidi"/>
        </w:rPr>
        <w:t xml:space="preserve">ownership, </w:t>
      </w:r>
      <w:r w:rsidR="59EA050B" w:rsidRPr="006A1B85">
        <w:rPr>
          <w:rFonts w:eastAsiaTheme="minorEastAsia" w:cstheme="minorBidi"/>
          <w:spacing w:val="-1"/>
        </w:rPr>
        <w:t xml:space="preserve"> the</w:t>
      </w:r>
      <w:proofErr w:type="gramEnd"/>
      <w:r w:rsidR="59EA050B" w:rsidRPr="006A1B85">
        <w:rPr>
          <w:rFonts w:eastAsiaTheme="minorEastAsia" w:cstheme="minorBidi"/>
          <w:spacing w:val="-1"/>
        </w:rPr>
        <w:t xml:space="preserve"> Applicant made </w:t>
      </w:r>
      <w:r w:rsidR="7482A032" w:rsidRPr="006A1B85">
        <w:rPr>
          <w:rFonts w:eastAsiaTheme="minorEastAsia" w:cstheme="minorBidi"/>
          <w:spacing w:val="-1"/>
        </w:rPr>
        <w:t>the following commitments</w:t>
      </w:r>
      <w:r w:rsidR="7482A032" w:rsidRPr="006A1B85">
        <w:rPr>
          <w:rFonts w:eastAsiaTheme="minorEastAsia" w:cstheme="minorBidi"/>
        </w:rPr>
        <w:t>; the system will maintain acute care services</w:t>
      </w:r>
      <w:r w:rsidR="0036365A" w:rsidRPr="2C044470">
        <w:rPr>
          <w:rStyle w:val="FootnoteReference"/>
          <w:rFonts w:eastAsiaTheme="minorEastAsia" w:cstheme="minorBidi"/>
        </w:rPr>
        <w:footnoteReference w:id="21"/>
      </w:r>
      <w:r w:rsidR="7482A032" w:rsidRPr="006A1B85">
        <w:rPr>
          <w:rFonts w:eastAsiaTheme="minorEastAsia" w:cstheme="minorBidi"/>
        </w:rPr>
        <w:t xml:space="preserve"> at the </w:t>
      </w:r>
      <w:r w:rsidR="69B1B341" w:rsidRPr="2C044470">
        <w:rPr>
          <w:rFonts w:eastAsiaTheme="minorEastAsia" w:cstheme="minorBidi"/>
        </w:rPr>
        <w:t>MRMC</w:t>
      </w:r>
      <w:r w:rsidR="7482A032" w:rsidRPr="006A1B85">
        <w:rPr>
          <w:rFonts w:eastAsiaTheme="minorEastAsia" w:cstheme="minorBidi"/>
        </w:rPr>
        <w:t xml:space="preserve"> for a minimum of 5 years; capital commitments </w:t>
      </w:r>
      <w:r w:rsidR="7B25B90A" w:rsidRPr="2C044470">
        <w:rPr>
          <w:rFonts w:eastAsiaTheme="minorEastAsia" w:cstheme="minorBidi"/>
        </w:rPr>
        <w:t xml:space="preserve">were made </w:t>
      </w:r>
      <w:r w:rsidR="7482A032" w:rsidRPr="006A1B85">
        <w:rPr>
          <w:rFonts w:eastAsiaTheme="minorEastAsia" w:cstheme="minorBidi"/>
        </w:rPr>
        <w:t>for $67M to fund EMR and non-clinical functions;</w:t>
      </w:r>
      <w:r w:rsidR="5301DBB9" w:rsidRPr="006A1B85">
        <w:rPr>
          <w:rFonts w:eastAsiaTheme="minorEastAsia" w:cstheme="minorBidi"/>
        </w:rPr>
        <w:t xml:space="preserve"> </w:t>
      </w:r>
      <w:r w:rsidR="7482A032" w:rsidRPr="006A1B85">
        <w:rPr>
          <w:rFonts w:eastAsiaTheme="minorEastAsia" w:cstheme="minorBidi"/>
        </w:rPr>
        <w:t xml:space="preserve">significant capital </w:t>
      </w:r>
      <w:r w:rsidR="060B57D1" w:rsidRPr="2C044470">
        <w:rPr>
          <w:rFonts w:eastAsiaTheme="minorEastAsia" w:cstheme="minorBidi"/>
        </w:rPr>
        <w:t>h</w:t>
      </w:r>
      <w:r w:rsidR="7482A032" w:rsidRPr="006A1B85">
        <w:rPr>
          <w:rFonts w:eastAsiaTheme="minorEastAsia" w:cstheme="minorBidi"/>
        </w:rPr>
        <w:t>as been pledged for new strategic projects</w:t>
      </w:r>
      <w:r w:rsidR="62AA2648" w:rsidRPr="006A1B85">
        <w:rPr>
          <w:rFonts w:eastAsiaTheme="minorEastAsia" w:cstheme="minorBidi"/>
        </w:rPr>
        <w:t xml:space="preserve">; </w:t>
      </w:r>
      <w:r w:rsidR="054863BF" w:rsidRPr="006A1B85">
        <w:rPr>
          <w:rFonts w:eastAsiaTheme="minorEastAsia" w:cstheme="minorBidi"/>
        </w:rPr>
        <w:t xml:space="preserve">and </w:t>
      </w:r>
      <w:r w:rsidR="7482A032" w:rsidRPr="006A1B85">
        <w:rPr>
          <w:rFonts w:eastAsiaTheme="minorEastAsia" w:cstheme="minorBidi"/>
        </w:rPr>
        <w:t>$2M in community benefits funding has been</w:t>
      </w:r>
      <w:r w:rsidR="38DBB607" w:rsidRPr="006A1B85">
        <w:rPr>
          <w:rFonts w:eastAsiaTheme="minorEastAsia" w:cstheme="minorBidi"/>
        </w:rPr>
        <w:t xml:space="preserve"> </w:t>
      </w:r>
      <w:r w:rsidR="408F9C68" w:rsidRPr="006A1B85">
        <w:rPr>
          <w:rFonts w:eastAsiaTheme="minorEastAsia" w:cstheme="minorBidi"/>
        </w:rPr>
        <w:t>c</w:t>
      </w:r>
      <w:r w:rsidR="7482A032" w:rsidRPr="006A1B85">
        <w:rPr>
          <w:rFonts w:eastAsiaTheme="minorEastAsia" w:cstheme="minorBidi"/>
        </w:rPr>
        <w:t>ommitte</w:t>
      </w:r>
      <w:r w:rsidR="14B647E9" w:rsidRPr="2C044470">
        <w:rPr>
          <w:rFonts w:eastAsiaTheme="minorEastAsia" w:cstheme="minorBidi"/>
        </w:rPr>
        <w:t>d.</w:t>
      </w:r>
      <w:r w:rsidR="59EA050B">
        <w:rPr>
          <w:rFonts w:ascii="Calibri" w:eastAsia="Calibri" w:hAnsi="Calibri" w:cs="Calibri"/>
          <w:spacing w:val="-1"/>
        </w:rPr>
        <w:t xml:space="preserve"> </w:t>
      </w:r>
      <w:r w:rsidR="0036365A" w:rsidRPr="0DFD67C7">
        <w:rPr>
          <w:rStyle w:val="FootnoteReference"/>
          <w:rFonts w:ascii="Calibri" w:eastAsia="Calibri" w:hAnsi="Calibri" w:cs="Calibri"/>
        </w:rPr>
        <w:footnoteReference w:id="22"/>
      </w:r>
      <w:r w:rsidR="0EF372CD" w:rsidRPr="2C044470">
        <w:rPr>
          <w:rStyle w:val="FootnoteReference"/>
          <w:rFonts w:ascii="Calibri" w:eastAsia="Calibri" w:hAnsi="Calibri" w:cs="Calibri"/>
        </w:rPr>
        <w:t xml:space="preserve"> </w:t>
      </w:r>
      <w:r w:rsidR="3D137649" w:rsidRPr="2C044470">
        <w:rPr>
          <w:rStyle w:val="FootnoteReference"/>
          <w:rFonts w:ascii="Calibri" w:eastAsia="Calibri" w:hAnsi="Calibri" w:cs="Calibri"/>
        </w:rPr>
        <w:t xml:space="preserve"> </w:t>
      </w:r>
    </w:p>
    <w:p w14:paraId="4E10EF17" w14:textId="18694700" w:rsidR="0DFD67C7" w:rsidRDefault="0DFD67C7" w:rsidP="0DFD67C7">
      <w:pPr>
        <w:rPr>
          <w:rFonts w:ascii="Calibri" w:eastAsia="Calibri" w:hAnsi="Calibri" w:cs="Calibri"/>
        </w:rPr>
      </w:pPr>
    </w:p>
    <w:p w14:paraId="49E4205C" w14:textId="77777777" w:rsidR="00B874EE" w:rsidRPr="002070BE" w:rsidRDefault="00B874EE" w:rsidP="004A25F3">
      <w:pPr>
        <w:spacing w:after="240"/>
        <w:textAlignment w:val="baseline"/>
        <w:rPr>
          <w:rFonts w:ascii="Calibri" w:eastAsia="Aptos" w:hAnsi="Calibri" w:cs="Calibri"/>
          <w:b/>
          <w:bCs/>
          <w:i/>
          <w:iCs/>
        </w:rPr>
      </w:pPr>
      <w:r w:rsidRPr="002070BE">
        <w:rPr>
          <w:rFonts w:ascii="Calibri" w:eastAsia="Aptos" w:hAnsi="Calibri" w:cs="Calibri"/>
          <w:b/>
          <w:bCs/>
          <w:i/>
          <w:iCs/>
        </w:rPr>
        <w:t>Analysis</w:t>
      </w:r>
    </w:p>
    <w:p w14:paraId="21684844" w14:textId="28B12AC0" w:rsidR="004A25F3" w:rsidRDefault="75085531" w:rsidP="006A1B85">
      <w:pPr>
        <w:spacing w:after="160" w:line="257" w:lineRule="auto"/>
        <w:textAlignment w:val="baseline"/>
        <w:rPr>
          <w:rFonts w:ascii="Aptos" w:eastAsia="Aptos" w:hAnsi="Aptos" w:cs="Aptos"/>
          <w:sz w:val="22"/>
          <w:szCs w:val="22"/>
        </w:rPr>
      </w:pPr>
      <w:r w:rsidRPr="2C044470">
        <w:rPr>
          <w:rFonts w:ascii="Calibri" w:eastAsia="Aptos" w:hAnsi="Calibri" w:cs="Calibri"/>
        </w:rPr>
        <w:t>Staff also notes that while the Applicant states their inten</w:t>
      </w:r>
      <w:r w:rsidR="1C6DA332" w:rsidRPr="2C044470">
        <w:rPr>
          <w:rFonts w:ascii="Calibri" w:eastAsia="Aptos" w:hAnsi="Calibri" w:cs="Calibri"/>
        </w:rPr>
        <w:t>tion to maintain</w:t>
      </w:r>
      <w:r w:rsidR="62E8B505" w:rsidRPr="2C044470">
        <w:rPr>
          <w:rFonts w:ascii="Calibri" w:eastAsia="Aptos" w:hAnsi="Calibri" w:cs="Calibri"/>
        </w:rPr>
        <w:t xml:space="preserve"> and add</w:t>
      </w:r>
      <w:r w:rsidR="1C6DA332" w:rsidRPr="2C044470">
        <w:rPr>
          <w:rFonts w:ascii="Calibri" w:eastAsia="Aptos" w:hAnsi="Calibri" w:cs="Calibri"/>
        </w:rPr>
        <w:t xml:space="preserve"> programs and services, </w:t>
      </w:r>
      <w:r w:rsidR="07DF16FF" w:rsidRPr="2C044470">
        <w:rPr>
          <w:rFonts w:ascii="Calibri" w:eastAsia="Aptos" w:hAnsi="Calibri" w:cs="Calibri"/>
        </w:rPr>
        <w:t xml:space="preserve">there are concerns about whether </w:t>
      </w:r>
      <w:r w:rsidR="5B2A0670" w:rsidRPr="2C044470">
        <w:rPr>
          <w:rFonts w:ascii="Calibri" w:eastAsia="Aptos" w:hAnsi="Calibri" w:cs="Calibri"/>
        </w:rPr>
        <w:t>certain essential services</w:t>
      </w:r>
      <w:r w:rsidR="2EDB3A88" w:rsidRPr="2C044470">
        <w:rPr>
          <w:rFonts w:ascii="Calibri" w:eastAsia="Aptos" w:hAnsi="Calibri" w:cs="Calibri"/>
        </w:rPr>
        <w:t xml:space="preserve"> </w:t>
      </w:r>
      <w:r w:rsidR="07DF16FF" w:rsidRPr="2C044470">
        <w:rPr>
          <w:rFonts w:ascii="Calibri" w:eastAsia="Aptos" w:hAnsi="Calibri" w:cs="Calibri"/>
        </w:rPr>
        <w:t>will be maintained</w:t>
      </w:r>
      <w:r w:rsidR="3A2775AD" w:rsidRPr="2C044470">
        <w:rPr>
          <w:rFonts w:ascii="Calibri" w:eastAsia="Aptos" w:hAnsi="Calibri" w:cs="Calibri"/>
        </w:rPr>
        <w:t xml:space="preserve"> due to closure of certain services </w:t>
      </w:r>
      <w:r w:rsidR="106D2245" w:rsidRPr="2C044470">
        <w:rPr>
          <w:rFonts w:ascii="Calibri" w:eastAsia="Aptos" w:hAnsi="Calibri" w:cs="Calibri"/>
        </w:rPr>
        <w:t xml:space="preserve">following a merger. </w:t>
      </w:r>
      <w:r w:rsidR="7DE80161" w:rsidRPr="2C044470">
        <w:rPr>
          <w:rFonts w:ascii="Aptos" w:eastAsia="Aptos" w:hAnsi="Aptos" w:cs="Aptos"/>
          <w:sz w:val="22"/>
          <w:szCs w:val="22"/>
        </w:rPr>
        <w:t xml:space="preserve">In 2017, the Public Health Council approved the merger of UMass Memorial Health Alliance in Leominster </w:t>
      </w:r>
      <w:r w:rsidR="5F1D0734" w:rsidRPr="2C044470">
        <w:rPr>
          <w:rFonts w:ascii="Aptos" w:eastAsia="Aptos" w:hAnsi="Aptos" w:cs="Aptos"/>
          <w:sz w:val="22"/>
          <w:szCs w:val="22"/>
        </w:rPr>
        <w:t>with</w:t>
      </w:r>
      <w:r w:rsidR="7DE80161" w:rsidRPr="2C044470">
        <w:rPr>
          <w:rFonts w:ascii="Aptos" w:eastAsia="Aptos" w:hAnsi="Aptos" w:cs="Aptos"/>
          <w:sz w:val="22"/>
          <w:szCs w:val="22"/>
        </w:rPr>
        <w:t xml:space="preserve"> UMass Memorial Clinton. </w:t>
      </w:r>
      <w:r w:rsidR="4B91A4DC" w:rsidRPr="2C044470">
        <w:rPr>
          <w:rFonts w:ascii="Aptos" w:eastAsia="Aptos" w:hAnsi="Aptos" w:cs="Aptos"/>
          <w:sz w:val="22"/>
          <w:szCs w:val="22"/>
        </w:rPr>
        <w:t xml:space="preserve">In accordance with the procedures </w:t>
      </w:r>
      <w:r w:rsidR="5FB3743C" w:rsidRPr="2C044470">
        <w:rPr>
          <w:rFonts w:ascii="Aptos" w:eastAsia="Aptos" w:hAnsi="Aptos" w:cs="Aptos"/>
          <w:sz w:val="22"/>
          <w:szCs w:val="22"/>
        </w:rPr>
        <w:t>laid out</w:t>
      </w:r>
      <w:r w:rsidR="4B91A4DC" w:rsidRPr="2C044470">
        <w:rPr>
          <w:rFonts w:ascii="Aptos" w:eastAsia="Aptos" w:hAnsi="Aptos" w:cs="Aptos"/>
          <w:sz w:val="22"/>
          <w:szCs w:val="22"/>
        </w:rPr>
        <w:t xml:space="preserve"> in</w:t>
      </w:r>
      <w:r w:rsidR="4AD40634" w:rsidRPr="2C044470">
        <w:rPr>
          <w:rFonts w:ascii="Aptos" w:eastAsia="Aptos" w:hAnsi="Aptos" w:cs="Aptos"/>
          <w:sz w:val="22"/>
          <w:szCs w:val="22"/>
        </w:rPr>
        <w:t xml:space="preserve"> </w:t>
      </w:r>
      <w:r w:rsidR="4B91A4DC" w:rsidRPr="2C044470">
        <w:rPr>
          <w:rFonts w:ascii="Aptos" w:eastAsia="Aptos" w:hAnsi="Aptos" w:cs="Aptos"/>
          <w:sz w:val="22"/>
          <w:szCs w:val="22"/>
        </w:rPr>
        <w:t>Hospital Licensure regulations</w:t>
      </w:r>
      <w:r w:rsidR="1F21BA13" w:rsidRPr="2C044470">
        <w:rPr>
          <w:rFonts w:ascii="Aptos" w:eastAsia="Aptos" w:hAnsi="Aptos" w:cs="Aptos"/>
          <w:sz w:val="22"/>
          <w:szCs w:val="22"/>
        </w:rPr>
        <w:t>,</w:t>
      </w:r>
      <w:r w:rsidR="4B91A4DC" w:rsidRPr="2C044470">
        <w:rPr>
          <w:rFonts w:ascii="Aptos" w:eastAsia="Aptos" w:hAnsi="Aptos" w:cs="Aptos"/>
          <w:sz w:val="22"/>
          <w:szCs w:val="22"/>
        </w:rPr>
        <w:t xml:space="preserve"> i</w:t>
      </w:r>
      <w:r w:rsidR="7DE80161" w:rsidRPr="2C044470">
        <w:rPr>
          <w:rFonts w:ascii="Aptos" w:eastAsia="Aptos" w:hAnsi="Aptos" w:cs="Aptos"/>
          <w:sz w:val="22"/>
          <w:szCs w:val="22"/>
        </w:rPr>
        <w:t>n 2018, UMass Memorial closed Pediatric Services, Rehabilitation Services and Urgent Care Services at Health Alliance- Clinton Hospital</w:t>
      </w:r>
      <w:r w:rsidR="2B4C83A4" w:rsidRPr="2C044470">
        <w:rPr>
          <w:rFonts w:ascii="Aptos" w:eastAsia="Aptos" w:hAnsi="Aptos" w:cs="Aptos"/>
          <w:sz w:val="22"/>
          <w:szCs w:val="22"/>
        </w:rPr>
        <w:t xml:space="preserve">, </w:t>
      </w:r>
      <w:r w:rsidR="7DE80161" w:rsidRPr="2C044470">
        <w:rPr>
          <w:rFonts w:ascii="Aptos" w:eastAsia="Aptos" w:hAnsi="Aptos" w:cs="Aptos"/>
          <w:sz w:val="22"/>
          <w:szCs w:val="22"/>
        </w:rPr>
        <w:t xml:space="preserve">and in 2023, they </w:t>
      </w:r>
      <w:r w:rsidR="6035F291" w:rsidRPr="2C044470">
        <w:rPr>
          <w:rFonts w:ascii="Aptos" w:eastAsia="Aptos" w:hAnsi="Aptos" w:cs="Aptos"/>
          <w:sz w:val="22"/>
          <w:szCs w:val="22"/>
        </w:rPr>
        <w:t xml:space="preserve">also </w:t>
      </w:r>
      <w:r w:rsidR="7DE80161" w:rsidRPr="2C044470">
        <w:rPr>
          <w:rFonts w:ascii="Aptos" w:eastAsia="Aptos" w:hAnsi="Aptos" w:cs="Aptos"/>
          <w:sz w:val="22"/>
          <w:szCs w:val="22"/>
        </w:rPr>
        <w:t>closed the Maternity Unit.</w:t>
      </w:r>
      <w:r w:rsidR="003A3F9D" w:rsidRPr="468D1D2F">
        <w:rPr>
          <w:rStyle w:val="FootnoteReference"/>
          <w:rFonts w:ascii="Aptos" w:eastAsia="Aptos" w:hAnsi="Aptos" w:cs="Aptos"/>
          <w:sz w:val="22"/>
          <w:szCs w:val="22"/>
        </w:rPr>
        <w:footnoteReference w:id="23"/>
      </w:r>
      <w:r w:rsidR="7DE80161" w:rsidRPr="2C044470">
        <w:rPr>
          <w:rFonts w:ascii="Aptos" w:eastAsia="Aptos" w:hAnsi="Aptos" w:cs="Aptos"/>
          <w:sz w:val="22"/>
          <w:szCs w:val="22"/>
        </w:rPr>
        <w:t xml:space="preserve">  </w:t>
      </w:r>
    </w:p>
    <w:p w14:paraId="09F34D2F" w14:textId="131BAE78" w:rsidR="004A25F3" w:rsidRDefault="062F8195" w:rsidP="005C4580">
      <w:pPr>
        <w:spacing w:after="240"/>
        <w:textAlignment w:val="baseline"/>
        <w:rPr>
          <w:rFonts w:ascii="Calibri" w:eastAsia="Aptos" w:hAnsi="Calibri" w:cs="Calibri"/>
        </w:rPr>
      </w:pPr>
      <w:r w:rsidRPr="005C4580">
        <w:rPr>
          <w:rFonts w:ascii="Calibri" w:eastAsia="Calibri" w:hAnsi="Calibri" w:cs="Calibri"/>
          <w:color w:val="000000" w:themeColor="text1"/>
        </w:rPr>
        <w:t>Recent studies have linked excessive travel times and the lack of timely access to maternity care with negative health outcomes for both mothers and newborns, including increased risk for heart failure for infants, prolonged hospitalizations, and an increased risk of infant and maternal mortality; particularly dire for women of color and those in lower socioeconomic situations.</w:t>
      </w:r>
      <w:r w:rsidR="0555F982" w:rsidRPr="468D1D2F">
        <w:rPr>
          <w:rFonts w:ascii="Calibri" w:eastAsia="Calibri" w:hAnsi="Calibri" w:cs="Calibri"/>
          <w:color w:val="000000" w:themeColor="text1"/>
        </w:rPr>
        <w:t xml:space="preserve"> </w:t>
      </w:r>
      <w:r w:rsidRPr="005C4580">
        <w:rPr>
          <w:rFonts w:ascii="Calibri" w:eastAsia="Calibri" w:hAnsi="Calibri" w:cs="Calibri"/>
          <w:color w:val="000000" w:themeColor="text1"/>
        </w:rPr>
        <w:t>Longer transport times</w:t>
      </w:r>
      <w:r w:rsidR="20BA06DA" w:rsidRPr="005C4580">
        <w:rPr>
          <w:rFonts w:ascii="Calibri" w:eastAsia="Calibri" w:hAnsi="Calibri" w:cs="Calibri"/>
          <w:color w:val="000000" w:themeColor="text1"/>
        </w:rPr>
        <w:t xml:space="preserve"> may result on </w:t>
      </w:r>
      <w:r w:rsidRPr="005C4580">
        <w:rPr>
          <w:rFonts w:ascii="Calibri" w:eastAsia="Calibri" w:hAnsi="Calibri" w:cs="Calibri"/>
          <w:color w:val="000000" w:themeColor="text1"/>
        </w:rPr>
        <w:t xml:space="preserve">more deliveries </w:t>
      </w:r>
      <w:proofErr w:type="spellStart"/>
      <w:r w:rsidR="3F6EC563" w:rsidRPr="468D1D2F">
        <w:rPr>
          <w:rFonts w:ascii="Calibri" w:eastAsia="Calibri" w:hAnsi="Calibri" w:cs="Calibri"/>
          <w:color w:val="000000" w:themeColor="text1"/>
        </w:rPr>
        <w:t>en</w:t>
      </w:r>
      <w:proofErr w:type="spellEnd"/>
      <w:r w:rsidR="3F6EC563" w:rsidRPr="468D1D2F">
        <w:rPr>
          <w:rFonts w:ascii="Calibri" w:eastAsia="Calibri" w:hAnsi="Calibri" w:cs="Calibri"/>
          <w:color w:val="000000" w:themeColor="text1"/>
        </w:rPr>
        <w:t xml:space="preserve"> route to the hospital</w:t>
      </w:r>
      <w:r w:rsidRPr="005C4580">
        <w:rPr>
          <w:rFonts w:ascii="Calibri" w:eastAsia="Calibri" w:hAnsi="Calibri" w:cs="Calibri"/>
          <w:color w:val="000000" w:themeColor="text1"/>
        </w:rPr>
        <w:t xml:space="preserve"> where no specialized care</w:t>
      </w:r>
      <w:r w:rsidR="15F84318" w:rsidRPr="005C4580">
        <w:rPr>
          <w:rFonts w:ascii="Calibri" w:eastAsia="Calibri" w:hAnsi="Calibri" w:cs="Calibri"/>
          <w:color w:val="000000" w:themeColor="text1"/>
        </w:rPr>
        <w:t xml:space="preserve"> is </w:t>
      </w:r>
      <w:r w:rsidRPr="005C4580">
        <w:rPr>
          <w:rFonts w:ascii="Calibri" w:eastAsia="Calibri" w:hAnsi="Calibri" w:cs="Calibri"/>
          <w:color w:val="000000" w:themeColor="text1"/>
        </w:rPr>
        <w:t xml:space="preserve">available. </w:t>
      </w:r>
      <w:r w:rsidR="67E318BF" w:rsidRPr="005C4580">
        <w:rPr>
          <w:rFonts w:ascii="Calibri" w:eastAsia="Calibri" w:hAnsi="Calibri" w:cs="Calibri"/>
          <w:color w:val="000000" w:themeColor="text1"/>
        </w:rPr>
        <w:t>Since</w:t>
      </w:r>
      <w:r w:rsidR="693F499F" w:rsidRPr="005C4580">
        <w:rPr>
          <w:rFonts w:ascii="Calibri" w:eastAsia="Calibri" w:hAnsi="Calibri" w:cs="Calibri"/>
          <w:color w:val="000000" w:themeColor="text1"/>
        </w:rPr>
        <w:t xml:space="preserve"> m</w:t>
      </w:r>
      <w:r w:rsidRPr="005C4580">
        <w:rPr>
          <w:rFonts w:ascii="Calibri" w:eastAsia="Calibri" w:hAnsi="Calibri" w:cs="Calibri"/>
          <w:color w:val="000000" w:themeColor="text1"/>
        </w:rPr>
        <w:t>ost first responders can handle simple deliveries</w:t>
      </w:r>
      <w:r w:rsidR="66F3CE4E" w:rsidRPr="005C4580">
        <w:rPr>
          <w:rFonts w:ascii="Calibri" w:eastAsia="Calibri" w:hAnsi="Calibri" w:cs="Calibri"/>
          <w:color w:val="000000" w:themeColor="text1"/>
        </w:rPr>
        <w:t>,</w:t>
      </w:r>
      <w:r w:rsidR="531D1CFA" w:rsidRPr="005C4580">
        <w:rPr>
          <w:rFonts w:ascii="Calibri" w:eastAsia="Calibri" w:hAnsi="Calibri" w:cs="Calibri"/>
          <w:color w:val="000000" w:themeColor="text1"/>
        </w:rPr>
        <w:t xml:space="preserve"> </w:t>
      </w:r>
      <w:r w:rsidRPr="005C4580">
        <w:rPr>
          <w:rFonts w:ascii="Calibri" w:eastAsia="Calibri" w:hAnsi="Calibri" w:cs="Calibri"/>
          <w:color w:val="000000" w:themeColor="text1"/>
        </w:rPr>
        <w:t>not specialized ca</w:t>
      </w:r>
      <w:r w:rsidR="56E2158C" w:rsidRPr="005C4580">
        <w:rPr>
          <w:rFonts w:ascii="Calibri" w:eastAsia="Calibri" w:hAnsi="Calibri" w:cs="Calibri"/>
          <w:color w:val="000000" w:themeColor="text1"/>
        </w:rPr>
        <w:t>r</w:t>
      </w:r>
      <w:r w:rsidRPr="005C4580">
        <w:rPr>
          <w:rFonts w:ascii="Calibri" w:eastAsia="Calibri" w:hAnsi="Calibri" w:cs="Calibri"/>
          <w:color w:val="000000" w:themeColor="text1"/>
        </w:rPr>
        <w:t>e</w:t>
      </w:r>
      <w:r w:rsidR="27C78EDA" w:rsidRPr="005C4580">
        <w:rPr>
          <w:rFonts w:ascii="Calibri" w:eastAsia="Calibri" w:hAnsi="Calibri" w:cs="Calibri"/>
          <w:color w:val="000000" w:themeColor="text1"/>
        </w:rPr>
        <w:t>,</w:t>
      </w:r>
      <w:r w:rsidRPr="005C4580">
        <w:rPr>
          <w:rFonts w:ascii="Calibri" w:eastAsia="Calibri" w:hAnsi="Calibri" w:cs="Calibri"/>
          <w:color w:val="000000" w:themeColor="text1"/>
        </w:rPr>
        <w:t xml:space="preserve"> </w:t>
      </w:r>
      <w:proofErr w:type="gramStart"/>
      <w:r w:rsidRPr="005C4580">
        <w:rPr>
          <w:rFonts w:ascii="Calibri" w:eastAsia="Calibri" w:hAnsi="Calibri" w:cs="Calibri"/>
          <w:color w:val="000000" w:themeColor="text1"/>
        </w:rPr>
        <w:t>mo</w:t>
      </w:r>
      <w:r w:rsidR="5B1BC8A2" w:rsidRPr="005C4580">
        <w:rPr>
          <w:rFonts w:ascii="Calibri" w:eastAsia="Calibri" w:hAnsi="Calibri" w:cs="Calibri"/>
          <w:color w:val="000000" w:themeColor="text1"/>
        </w:rPr>
        <w:t>thers</w:t>
      </w:r>
      <w:proofErr w:type="gramEnd"/>
      <w:r w:rsidRPr="005C4580">
        <w:rPr>
          <w:rFonts w:ascii="Calibri" w:eastAsia="Calibri" w:hAnsi="Calibri" w:cs="Calibri"/>
          <w:color w:val="000000" w:themeColor="text1"/>
        </w:rPr>
        <w:t xml:space="preserve"> and babies with complications </w:t>
      </w:r>
      <w:r w:rsidR="3B20ACF1" w:rsidRPr="005C4580">
        <w:rPr>
          <w:rFonts w:ascii="Calibri" w:eastAsia="Calibri" w:hAnsi="Calibri" w:cs="Calibri"/>
          <w:color w:val="000000" w:themeColor="text1"/>
        </w:rPr>
        <w:t xml:space="preserve">may be </w:t>
      </w:r>
      <w:r w:rsidRPr="005C4580">
        <w:rPr>
          <w:rFonts w:ascii="Calibri" w:eastAsia="Calibri" w:hAnsi="Calibri" w:cs="Calibri"/>
          <w:color w:val="000000" w:themeColor="text1"/>
        </w:rPr>
        <w:t xml:space="preserve">at risk. </w:t>
      </w:r>
      <w:r w:rsidR="069FCA7A" w:rsidRPr="005C4580">
        <w:rPr>
          <w:rFonts w:ascii="Calibri" w:eastAsia="Calibri" w:hAnsi="Calibri" w:cs="Calibri"/>
          <w:color w:val="000000" w:themeColor="text1"/>
        </w:rPr>
        <w:t>Further, m</w:t>
      </w:r>
      <w:r w:rsidRPr="005C4580">
        <w:rPr>
          <w:rFonts w:ascii="Calibri" w:eastAsia="Calibri" w:hAnsi="Calibri" w:cs="Calibri"/>
          <w:color w:val="000000" w:themeColor="text1"/>
        </w:rPr>
        <w:t>ost cities only have 1-2 ambulances</w:t>
      </w:r>
      <w:r w:rsidR="24E3EEEA" w:rsidRPr="005C4580">
        <w:rPr>
          <w:rFonts w:ascii="Calibri" w:eastAsia="Calibri" w:hAnsi="Calibri" w:cs="Calibri"/>
          <w:color w:val="000000" w:themeColor="text1"/>
        </w:rPr>
        <w:t xml:space="preserve"> therefore,</w:t>
      </w:r>
      <w:r w:rsidRPr="005C4580">
        <w:rPr>
          <w:rFonts w:ascii="Calibri" w:eastAsia="Calibri" w:hAnsi="Calibri" w:cs="Calibri"/>
          <w:color w:val="000000" w:themeColor="text1"/>
        </w:rPr>
        <w:t xml:space="preserve"> removing an ambulance to take a laboring mother farther away leaves </w:t>
      </w:r>
      <w:r w:rsidR="141B4505" w:rsidRPr="468D1D2F">
        <w:rPr>
          <w:rFonts w:ascii="Calibri" w:eastAsia="Calibri" w:hAnsi="Calibri" w:cs="Calibri"/>
          <w:color w:val="000000" w:themeColor="text1"/>
        </w:rPr>
        <w:t>those having</w:t>
      </w:r>
      <w:r w:rsidRPr="005C4580">
        <w:rPr>
          <w:rFonts w:ascii="Calibri" w:eastAsia="Calibri" w:hAnsi="Calibri" w:cs="Calibri"/>
          <w:color w:val="000000" w:themeColor="text1"/>
        </w:rPr>
        <w:t xml:space="preserve"> other medical </w:t>
      </w:r>
      <w:r w:rsidR="24BD804B" w:rsidRPr="468D1D2F">
        <w:rPr>
          <w:rFonts w:ascii="Calibri" w:eastAsia="Calibri" w:hAnsi="Calibri" w:cs="Calibri"/>
          <w:color w:val="000000" w:themeColor="text1"/>
        </w:rPr>
        <w:t>emergencies at risk.</w:t>
      </w:r>
    </w:p>
    <w:p w14:paraId="50681000" w14:textId="35966656" w:rsidR="004A25F3" w:rsidRDefault="157A9BDD" w:rsidP="468D1D2F">
      <w:pPr>
        <w:spacing w:after="240"/>
        <w:textAlignment w:val="baseline"/>
        <w:rPr>
          <w:rFonts w:ascii="Calibri" w:eastAsia="Aptos" w:hAnsi="Calibri" w:cs="Calibri"/>
        </w:rPr>
      </w:pPr>
      <w:r w:rsidRPr="468D1D2F">
        <w:rPr>
          <w:rFonts w:ascii="Calibri" w:eastAsia="Aptos" w:hAnsi="Calibri" w:cs="Calibri"/>
        </w:rPr>
        <w:t xml:space="preserve">Staff notes that the closest other hospitals </w:t>
      </w:r>
      <w:r w:rsidR="7A385504" w:rsidRPr="468D1D2F">
        <w:rPr>
          <w:rFonts w:ascii="Calibri" w:eastAsia="Aptos" w:hAnsi="Calibri" w:cs="Calibri"/>
        </w:rPr>
        <w:t xml:space="preserve">to MRMC </w:t>
      </w:r>
      <w:r w:rsidRPr="468D1D2F">
        <w:rPr>
          <w:rFonts w:ascii="Calibri" w:eastAsia="Aptos" w:hAnsi="Calibri" w:cs="Calibri"/>
        </w:rPr>
        <w:t>are Marlborough Hospital, which is approximately 18 miles away (</w:t>
      </w:r>
      <w:r w:rsidR="6F7C149D" w:rsidRPr="468D1D2F">
        <w:rPr>
          <w:rFonts w:ascii="Calibri" w:eastAsia="Aptos" w:hAnsi="Calibri" w:cs="Calibri"/>
        </w:rPr>
        <w:t>~</w:t>
      </w:r>
      <w:r w:rsidRPr="468D1D2F">
        <w:rPr>
          <w:rFonts w:ascii="Calibri" w:eastAsia="Aptos" w:hAnsi="Calibri" w:cs="Calibri"/>
        </w:rPr>
        <w:t>30 minutes at non-peak hours)</w:t>
      </w:r>
      <w:r w:rsidR="556704E8" w:rsidRPr="468D1D2F">
        <w:rPr>
          <w:rFonts w:ascii="Calibri" w:eastAsia="Aptos" w:hAnsi="Calibri" w:cs="Calibri"/>
        </w:rPr>
        <w:t>, and</w:t>
      </w:r>
      <w:r w:rsidRPr="468D1D2F">
        <w:rPr>
          <w:rFonts w:ascii="Calibri" w:eastAsia="Aptos" w:hAnsi="Calibri" w:cs="Calibri"/>
        </w:rPr>
        <w:t xml:space="preserve"> Sturdy Memorial Hospital which is 26 miles away (~ 35 minutes away at non-peak hours.) Both </w:t>
      </w:r>
      <w:r w:rsidR="01379F5D" w:rsidRPr="468D1D2F">
        <w:rPr>
          <w:rFonts w:ascii="Calibri" w:eastAsia="Aptos" w:hAnsi="Calibri" w:cs="Calibri"/>
        </w:rPr>
        <w:t xml:space="preserve">of </w:t>
      </w:r>
      <w:r w:rsidRPr="468D1D2F">
        <w:rPr>
          <w:rFonts w:ascii="Calibri" w:eastAsia="Aptos" w:hAnsi="Calibri" w:cs="Calibri"/>
        </w:rPr>
        <w:t xml:space="preserve">UMass Memorial Medical Center campuses </w:t>
      </w:r>
      <w:r w:rsidR="028EA45D" w:rsidRPr="468D1D2F">
        <w:rPr>
          <w:rFonts w:ascii="Calibri" w:eastAsia="Aptos" w:hAnsi="Calibri" w:cs="Calibri"/>
        </w:rPr>
        <w:t xml:space="preserve">in Worcester </w:t>
      </w:r>
      <w:r w:rsidRPr="468D1D2F">
        <w:rPr>
          <w:rFonts w:ascii="Calibri" w:eastAsia="Aptos" w:hAnsi="Calibri" w:cs="Calibri"/>
        </w:rPr>
        <w:t>are ~ 20 miles away (~ 40 minutes away at non-peak hours). Therefore, the</w:t>
      </w:r>
      <w:r w:rsidR="449CEAA2" w:rsidRPr="468D1D2F">
        <w:rPr>
          <w:rFonts w:ascii="Calibri" w:eastAsia="Aptos" w:hAnsi="Calibri" w:cs="Calibri"/>
        </w:rPr>
        <w:t xml:space="preserve"> potential</w:t>
      </w:r>
      <w:r w:rsidRPr="468D1D2F">
        <w:rPr>
          <w:rFonts w:ascii="Calibri" w:eastAsia="Aptos" w:hAnsi="Calibri" w:cs="Calibri"/>
        </w:rPr>
        <w:t xml:space="preserve"> loss of the acute </w:t>
      </w:r>
      <w:r w:rsidR="6E452C3D" w:rsidRPr="468D1D2F">
        <w:rPr>
          <w:rFonts w:ascii="Calibri" w:eastAsia="Aptos" w:hAnsi="Calibri" w:cs="Calibri"/>
        </w:rPr>
        <w:t>c</w:t>
      </w:r>
      <w:r w:rsidRPr="468D1D2F">
        <w:rPr>
          <w:rFonts w:ascii="Calibri" w:eastAsia="Aptos" w:hAnsi="Calibri" w:cs="Calibri"/>
        </w:rPr>
        <w:t xml:space="preserve">are services </w:t>
      </w:r>
      <w:r w:rsidR="028EA45D" w:rsidRPr="468D1D2F">
        <w:rPr>
          <w:rFonts w:ascii="Calibri" w:eastAsia="Aptos" w:hAnsi="Calibri" w:cs="Calibri"/>
        </w:rPr>
        <w:t>for the MRMC Patient Panel and service area</w:t>
      </w:r>
      <w:r w:rsidRPr="468D1D2F">
        <w:rPr>
          <w:rFonts w:ascii="Calibri" w:eastAsia="Aptos" w:hAnsi="Calibri" w:cs="Calibri"/>
        </w:rPr>
        <w:t xml:space="preserve"> could pose access challenges related to travel for many who reside in the 18-town service area.</w:t>
      </w:r>
      <w:r w:rsidR="2729B825" w:rsidRPr="468D1D2F">
        <w:rPr>
          <w:rFonts w:ascii="Calibri" w:eastAsia="Aptos" w:hAnsi="Calibri" w:cs="Calibri"/>
        </w:rPr>
        <w:t xml:space="preserve"> </w:t>
      </w:r>
    </w:p>
    <w:p w14:paraId="587729F2" w14:textId="66A6C6A7" w:rsidR="00D24D18" w:rsidRPr="00B874EE" w:rsidRDefault="00D24D18" w:rsidP="004A25F3">
      <w:pPr>
        <w:spacing w:after="240"/>
        <w:textAlignment w:val="baseline"/>
        <w:rPr>
          <w:rFonts w:ascii="Calibri" w:eastAsia="Calibri" w:hAnsi="Calibri" w:cs="Calibri"/>
          <w:color w:val="234170" w:themeColor="text2" w:themeShade="BF"/>
          <w:spacing w:val="-1"/>
        </w:rPr>
      </w:pPr>
      <w:r w:rsidRPr="5326C409">
        <w:rPr>
          <w:rFonts w:ascii="Calibri" w:eastAsia="Aptos" w:hAnsi="Calibri" w:cs="Calibri"/>
        </w:rPr>
        <w:t xml:space="preserve">Given these distances, Staff </w:t>
      </w:r>
      <w:r w:rsidR="00A90B61" w:rsidRPr="5326C409">
        <w:rPr>
          <w:rFonts w:ascii="Calibri" w:eastAsia="Aptos" w:hAnsi="Calibri" w:cs="Calibri"/>
        </w:rPr>
        <w:t xml:space="preserve">analyzed </w:t>
      </w:r>
      <w:r w:rsidR="000A5E8B" w:rsidRPr="5326C409">
        <w:rPr>
          <w:rFonts w:ascii="Calibri" w:eastAsia="Aptos" w:hAnsi="Calibri" w:cs="Calibri"/>
        </w:rPr>
        <w:t>how dependent each town within the</w:t>
      </w:r>
      <w:r w:rsidR="00C94EF9" w:rsidRPr="5326C409">
        <w:rPr>
          <w:rFonts w:ascii="Calibri" w:eastAsia="Aptos" w:hAnsi="Calibri" w:cs="Calibri"/>
        </w:rPr>
        <w:t xml:space="preserve"> MRMC</w:t>
      </w:r>
      <w:r w:rsidR="000A5E8B" w:rsidRPr="5326C409">
        <w:rPr>
          <w:rFonts w:ascii="Calibri" w:eastAsia="Aptos" w:hAnsi="Calibri" w:cs="Calibri"/>
        </w:rPr>
        <w:t xml:space="preserve"> service area </w:t>
      </w:r>
      <w:r w:rsidR="008E4A59" w:rsidRPr="5326C409">
        <w:rPr>
          <w:rFonts w:ascii="Calibri" w:eastAsia="Aptos" w:hAnsi="Calibri" w:cs="Calibri"/>
        </w:rPr>
        <w:t>is</w:t>
      </w:r>
      <w:r w:rsidR="000A5E8B" w:rsidRPr="5326C409">
        <w:rPr>
          <w:rFonts w:ascii="Calibri" w:eastAsia="Aptos" w:hAnsi="Calibri" w:cs="Calibri"/>
        </w:rPr>
        <w:t xml:space="preserve"> on MRMC</w:t>
      </w:r>
      <w:r w:rsidR="00A90B61" w:rsidRPr="5326C409">
        <w:rPr>
          <w:rFonts w:ascii="Calibri" w:eastAsia="Aptos" w:hAnsi="Calibri" w:cs="Calibri"/>
        </w:rPr>
        <w:t xml:space="preserve"> (“community </w:t>
      </w:r>
      <w:r w:rsidR="003A3F9D" w:rsidRPr="5326C409">
        <w:rPr>
          <w:rFonts w:ascii="Calibri" w:eastAsia="Aptos" w:hAnsi="Calibri" w:cs="Calibri"/>
        </w:rPr>
        <w:t>d</w:t>
      </w:r>
      <w:r w:rsidR="00A90B61" w:rsidRPr="5326C409">
        <w:rPr>
          <w:rFonts w:ascii="Calibri" w:eastAsia="Aptos" w:hAnsi="Calibri" w:cs="Calibri"/>
        </w:rPr>
        <w:t>ependency”)</w:t>
      </w:r>
      <w:r w:rsidR="000A5E8B" w:rsidRPr="5326C409">
        <w:rPr>
          <w:rFonts w:ascii="Calibri" w:eastAsia="Aptos" w:hAnsi="Calibri" w:cs="Calibri"/>
        </w:rPr>
        <w:t xml:space="preserve">. </w:t>
      </w:r>
      <w:r w:rsidR="00EA55BF" w:rsidRPr="5326C409">
        <w:rPr>
          <w:rFonts w:ascii="Calibri" w:eastAsia="Aptos" w:hAnsi="Calibri" w:cs="Calibri"/>
        </w:rPr>
        <w:t>Six</w:t>
      </w:r>
      <w:r w:rsidR="000A5E8B" w:rsidRPr="5326C409">
        <w:rPr>
          <w:rFonts w:ascii="Calibri" w:eastAsia="Aptos" w:hAnsi="Calibri" w:cs="Calibri"/>
        </w:rPr>
        <w:t xml:space="preserve"> of the </w:t>
      </w:r>
      <w:r w:rsidR="004528D0" w:rsidRPr="5326C409">
        <w:rPr>
          <w:rFonts w:ascii="Calibri" w:eastAsia="Aptos" w:hAnsi="Calibri" w:cs="Calibri"/>
        </w:rPr>
        <w:t xml:space="preserve">top </w:t>
      </w:r>
      <w:r w:rsidR="000A5E8B" w:rsidRPr="5326C409">
        <w:rPr>
          <w:rFonts w:ascii="Calibri" w:eastAsia="Aptos" w:hAnsi="Calibri" w:cs="Calibri"/>
        </w:rPr>
        <w:t>15 towns</w:t>
      </w:r>
      <w:r w:rsidR="004528D0" w:rsidRPr="5326C409">
        <w:rPr>
          <w:rFonts w:ascii="Calibri" w:eastAsia="Aptos" w:hAnsi="Calibri" w:cs="Calibri"/>
        </w:rPr>
        <w:t xml:space="preserve"> in the PSA</w:t>
      </w:r>
      <w:r w:rsidR="000A5E8B" w:rsidRPr="5326C409">
        <w:rPr>
          <w:rFonts w:ascii="Calibri" w:eastAsia="Aptos" w:hAnsi="Calibri" w:cs="Calibri"/>
        </w:rPr>
        <w:t xml:space="preserve"> contributed </w:t>
      </w:r>
      <w:r w:rsidR="00C94EF9" w:rsidRPr="5326C409">
        <w:rPr>
          <w:rFonts w:ascii="Calibri" w:eastAsia="Aptos" w:hAnsi="Calibri" w:cs="Calibri"/>
        </w:rPr>
        <w:t xml:space="preserve">greater than or equal to </w:t>
      </w:r>
      <w:r w:rsidR="00EA55BF" w:rsidRPr="5326C409">
        <w:rPr>
          <w:rFonts w:ascii="Calibri" w:eastAsia="Aptos" w:hAnsi="Calibri" w:cs="Calibri"/>
        </w:rPr>
        <w:t>50</w:t>
      </w:r>
      <w:r w:rsidR="000A5E8B" w:rsidRPr="5326C409">
        <w:rPr>
          <w:rFonts w:ascii="Calibri" w:eastAsia="Aptos" w:hAnsi="Calibri" w:cs="Calibri"/>
        </w:rPr>
        <w:t>% of th</w:t>
      </w:r>
      <w:r w:rsidR="00C94EF9" w:rsidRPr="5326C409">
        <w:rPr>
          <w:rFonts w:ascii="Calibri" w:eastAsia="Aptos" w:hAnsi="Calibri" w:cs="Calibri"/>
        </w:rPr>
        <w:t>at town’s</w:t>
      </w:r>
      <w:r w:rsidR="000A5E8B" w:rsidRPr="5326C409">
        <w:rPr>
          <w:rFonts w:ascii="Calibri" w:eastAsia="Aptos" w:hAnsi="Calibri" w:cs="Calibri"/>
        </w:rPr>
        <w:t xml:space="preserve"> total </w:t>
      </w:r>
      <w:r w:rsidR="003A3F9D" w:rsidRPr="5326C409">
        <w:rPr>
          <w:rFonts w:ascii="Calibri" w:eastAsia="Aptos" w:hAnsi="Calibri" w:cs="Calibri"/>
        </w:rPr>
        <w:t xml:space="preserve">MA hospital </w:t>
      </w:r>
      <w:r w:rsidR="000A5E8B" w:rsidRPr="5326C409">
        <w:rPr>
          <w:rFonts w:ascii="Calibri" w:eastAsia="Aptos" w:hAnsi="Calibri" w:cs="Calibri"/>
        </w:rPr>
        <w:t>discharges in FY 21 to MRMC</w:t>
      </w:r>
      <w:r w:rsidR="008E4A59" w:rsidRPr="5326C409">
        <w:rPr>
          <w:rFonts w:ascii="Calibri" w:eastAsia="Aptos" w:hAnsi="Calibri" w:cs="Calibri"/>
        </w:rPr>
        <w:t>;</w:t>
      </w:r>
      <w:r w:rsidR="004528D0" w:rsidRPr="5326C409">
        <w:rPr>
          <w:rFonts w:ascii="Calibri" w:eastAsia="Aptos" w:hAnsi="Calibri" w:cs="Calibri"/>
        </w:rPr>
        <w:t xml:space="preserve"> </w:t>
      </w:r>
      <w:r w:rsidR="00395314" w:rsidRPr="5326C409">
        <w:rPr>
          <w:rFonts w:ascii="Calibri" w:eastAsia="Aptos" w:hAnsi="Calibri" w:cs="Calibri"/>
        </w:rPr>
        <w:t>therefore,</w:t>
      </w:r>
      <w:r w:rsidR="004528D0" w:rsidRPr="5326C409">
        <w:rPr>
          <w:rFonts w:ascii="Calibri" w:eastAsia="Aptos" w:hAnsi="Calibri" w:cs="Calibri"/>
        </w:rPr>
        <w:t xml:space="preserve"> were MR</w:t>
      </w:r>
      <w:r w:rsidR="00265B00">
        <w:rPr>
          <w:rFonts w:ascii="Calibri" w:eastAsia="Aptos" w:hAnsi="Calibri" w:cs="Calibri"/>
        </w:rPr>
        <w:t>M</w:t>
      </w:r>
      <w:r w:rsidR="004528D0" w:rsidRPr="5326C409">
        <w:rPr>
          <w:rFonts w:ascii="Calibri" w:eastAsia="Aptos" w:hAnsi="Calibri" w:cs="Calibri"/>
        </w:rPr>
        <w:t>C to close or reduc</w:t>
      </w:r>
      <w:r w:rsidR="16D25B5D" w:rsidRPr="5326C409">
        <w:rPr>
          <w:rFonts w:ascii="Calibri" w:eastAsia="Aptos" w:hAnsi="Calibri" w:cs="Calibri"/>
        </w:rPr>
        <w:t>e</w:t>
      </w:r>
      <w:r w:rsidR="004528D0" w:rsidRPr="5326C409">
        <w:rPr>
          <w:rFonts w:ascii="Calibri" w:eastAsia="Aptos" w:hAnsi="Calibri" w:cs="Calibri"/>
        </w:rPr>
        <w:t xml:space="preserve"> services, residents of these </w:t>
      </w:r>
      <w:r w:rsidR="00EA55BF" w:rsidRPr="5326C409">
        <w:rPr>
          <w:rFonts w:ascii="Calibri" w:eastAsia="Aptos" w:hAnsi="Calibri" w:cs="Calibri"/>
        </w:rPr>
        <w:t xml:space="preserve">top </w:t>
      </w:r>
      <w:r w:rsidR="004528D0" w:rsidRPr="5326C409">
        <w:rPr>
          <w:rFonts w:ascii="Calibri" w:eastAsia="Aptos" w:hAnsi="Calibri" w:cs="Calibri"/>
        </w:rPr>
        <w:t xml:space="preserve">towns </w:t>
      </w:r>
      <w:r w:rsidR="00C94EF9" w:rsidRPr="5326C409">
        <w:rPr>
          <w:rFonts w:ascii="Calibri" w:eastAsia="Aptos" w:hAnsi="Calibri" w:cs="Calibri"/>
        </w:rPr>
        <w:t xml:space="preserve">in particular </w:t>
      </w:r>
      <w:r w:rsidR="00EA55BF" w:rsidRPr="5326C409">
        <w:rPr>
          <w:rFonts w:ascii="Calibri" w:eastAsia="Aptos" w:hAnsi="Calibri" w:cs="Calibri"/>
        </w:rPr>
        <w:t xml:space="preserve">could face </w:t>
      </w:r>
      <w:r w:rsidR="00A90B61" w:rsidRPr="5326C409">
        <w:rPr>
          <w:rFonts w:ascii="Calibri" w:eastAsia="Aptos" w:hAnsi="Calibri" w:cs="Calibri"/>
        </w:rPr>
        <w:t>challenges to</w:t>
      </w:r>
      <w:r w:rsidR="00EA55BF" w:rsidRPr="5326C409">
        <w:rPr>
          <w:rFonts w:ascii="Calibri" w:eastAsia="Aptos" w:hAnsi="Calibri" w:cs="Calibri"/>
        </w:rPr>
        <w:t xml:space="preserve"> accessing care</w:t>
      </w:r>
      <w:r w:rsidR="000A5E8B" w:rsidRPr="5326C409">
        <w:rPr>
          <w:rFonts w:ascii="Calibri" w:eastAsia="Aptos" w:hAnsi="Calibri" w:cs="Calibri"/>
        </w:rPr>
        <w:t>.</w:t>
      </w:r>
      <w:r w:rsidR="004528D0" w:rsidRPr="5326C409">
        <w:rPr>
          <w:rFonts w:ascii="Calibri" w:eastAsia="Aptos" w:hAnsi="Calibri" w:cs="Calibri"/>
        </w:rPr>
        <w:t xml:space="preserve"> (</w:t>
      </w:r>
      <w:r w:rsidR="000A5E8B" w:rsidRPr="5326C409">
        <w:rPr>
          <w:rFonts w:ascii="Calibri" w:eastAsia="Aptos" w:hAnsi="Calibri" w:cs="Calibri"/>
        </w:rPr>
        <w:t xml:space="preserve">See Table </w:t>
      </w:r>
      <w:r w:rsidR="00892713" w:rsidRPr="5326C409">
        <w:rPr>
          <w:rFonts w:ascii="Calibri" w:eastAsia="Aptos" w:hAnsi="Calibri" w:cs="Calibri"/>
        </w:rPr>
        <w:t>6</w:t>
      </w:r>
      <w:r w:rsidR="004528D0" w:rsidRPr="5326C409">
        <w:rPr>
          <w:rFonts w:ascii="Calibri" w:eastAsia="Aptos" w:hAnsi="Calibri" w:cs="Calibri"/>
        </w:rPr>
        <w:t>)</w:t>
      </w:r>
      <w:r w:rsidR="00395314" w:rsidRPr="5326C409">
        <w:rPr>
          <w:rFonts w:ascii="Calibri" w:eastAsia="Aptos" w:hAnsi="Calibri" w:cs="Calibri"/>
        </w:rPr>
        <w:t xml:space="preserve"> Two </w:t>
      </w:r>
      <w:r w:rsidR="00A90B61" w:rsidRPr="5326C409">
        <w:rPr>
          <w:rFonts w:ascii="Calibri" w:eastAsia="Aptos" w:hAnsi="Calibri" w:cs="Calibri"/>
        </w:rPr>
        <w:t xml:space="preserve">other </w:t>
      </w:r>
      <w:r w:rsidR="00395314" w:rsidRPr="5326C409">
        <w:rPr>
          <w:rFonts w:ascii="Calibri" w:eastAsia="Aptos" w:hAnsi="Calibri" w:cs="Calibri"/>
        </w:rPr>
        <w:t xml:space="preserve">towns, </w:t>
      </w:r>
      <w:proofErr w:type="gramStart"/>
      <w:r w:rsidR="00395314" w:rsidRPr="5326C409">
        <w:rPr>
          <w:rFonts w:ascii="Calibri" w:eastAsia="Aptos" w:hAnsi="Calibri" w:cs="Calibri"/>
        </w:rPr>
        <w:t>Franklin</w:t>
      </w:r>
      <w:proofErr w:type="gramEnd"/>
      <w:r w:rsidR="00395314" w:rsidRPr="5326C409">
        <w:rPr>
          <w:rFonts w:ascii="Calibri" w:eastAsia="Aptos" w:hAnsi="Calibri" w:cs="Calibri"/>
        </w:rPr>
        <w:t xml:space="preserve"> and Whitinsville each have a have number of discharges (1,102 and 503, respectively) from MRMC</w:t>
      </w:r>
      <w:r w:rsidR="00A90B61" w:rsidRPr="5326C409">
        <w:rPr>
          <w:rFonts w:ascii="Calibri" w:eastAsia="Aptos" w:hAnsi="Calibri" w:cs="Calibri"/>
        </w:rPr>
        <w:t xml:space="preserve"> and</w:t>
      </w:r>
      <w:r w:rsidR="00B563B8" w:rsidRPr="5326C409">
        <w:rPr>
          <w:rFonts w:ascii="Calibri" w:eastAsia="Aptos" w:hAnsi="Calibri" w:cs="Calibri"/>
        </w:rPr>
        <w:t xml:space="preserve"> </w:t>
      </w:r>
      <w:r w:rsidR="00A90B61" w:rsidRPr="5326C409">
        <w:rPr>
          <w:rFonts w:ascii="Calibri" w:eastAsia="Aptos" w:hAnsi="Calibri" w:cs="Calibri"/>
        </w:rPr>
        <w:t>their community dependency on MRMC is</w:t>
      </w:r>
      <w:r w:rsidR="00395314" w:rsidRPr="5326C409">
        <w:rPr>
          <w:rFonts w:ascii="Calibri" w:eastAsia="Aptos" w:hAnsi="Calibri" w:cs="Calibri"/>
        </w:rPr>
        <w:t xml:space="preserve"> 43% and 48% of </w:t>
      </w:r>
      <w:r w:rsidR="00B563B8" w:rsidRPr="5326C409">
        <w:rPr>
          <w:rFonts w:ascii="Calibri" w:eastAsia="Aptos" w:hAnsi="Calibri" w:cs="Calibri"/>
        </w:rPr>
        <w:t xml:space="preserve">their </w:t>
      </w:r>
      <w:r w:rsidR="00395314" w:rsidRPr="5326C409">
        <w:rPr>
          <w:rFonts w:ascii="Calibri" w:eastAsia="Aptos" w:hAnsi="Calibri" w:cs="Calibri"/>
        </w:rPr>
        <w:t>total discharges</w:t>
      </w:r>
      <w:r w:rsidR="00A90B61" w:rsidRPr="5326C409">
        <w:rPr>
          <w:rFonts w:ascii="Calibri" w:eastAsia="Aptos" w:hAnsi="Calibri" w:cs="Calibri"/>
        </w:rPr>
        <w:t>.</w:t>
      </w:r>
      <w:r w:rsidR="00395314" w:rsidRPr="5326C409">
        <w:rPr>
          <w:rFonts w:ascii="Calibri" w:eastAsia="Aptos" w:hAnsi="Calibri" w:cs="Calibri"/>
        </w:rPr>
        <w:t xml:space="preserve"> </w:t>
      </w:r>
    </w:p>
    <w:p w14:paraId="3FCB69A9" w14:textId="19DECB26" w:rsidR="004A25F3" w:rsidRPr="000A5E8B" w:rsidRDefault="000A5E8B" w:rsidP="000A5E8B">
      <w:pPr>
        <w:spacing w:after="240"/>
        <w:jc w:val="center"/>
        <w:textAlignment w:val="baseline"/>
        <w:rPr>
          <w:rFonts w:ascii="Calibri" w:eastAsia="Calibri" w:hAnsi="Calibri" w:cs="Calibri"/>
          <w:b/>
          <w:bCs/>
          <w:color w:val="234170" w:themeColor="text2" w:themeShade="BF"/>
          <w:spacing w:val="-1"/>
          <w:u w:val="single"/>
        </w:rPr>
      </w:pPr>
      <w:r w:rsidRPr="000A5E8B">
        <w:rPr>
          <w:rFonts w:ascii="Calibri" w:eastAsia="Aptos" w:hAnsi="Calibri" w:cs="Calibri"/>
          <w:b/>
          <w:bCs/>
        </w:rPr>
        <w:t xml:space="preserve">Table </w:t>
      </w:r>
      <w:r w:rsidR="00892713">
        <w:rPr>
          <w:rFonts w:ascii="Calibri" w:eastAsia="Aptos" w:hAnsi="Calibri" w:cs="Calibri"/>
          <w:b/>
          <w:bCs/>
        </w:rPr>
        <w:t>6</w:t>
      </w:r>
      <w:r w:rsidRPr="000A5E8B">
        <w:rPr>
          <w:rFonts w:ascii="Calibri" w:eastAsia="Aptos" w:hAnsi="Calibri" w:cs="Calibri"/>
          <w:b/>
          <w:bCs/>
        </w:rPr>
        <w:t>: Dependence of Service Area Communities on MRMC</w:t>
      </w:r>
    </w:p>
    <w:tbl>
      <w:tblPr>
        <w:tblW w:w="5305" w:type="dxa"/>
        <w:jc w:val="center"/>
        <w:tblLook w:val="04A0" w:firstRow="1" w:lastRow="0" w:firstColumn="1" w:lastColumn="0" w:noHBand="0" w:noVBand="1"/>
      </w:tblPr>
      <w:tblGrid>
        <w:gridCol w:w="1580"/>
        <w:gridCol w:w="1745"/>
        <w:gridCol w:w="1980"/>
      </w:tblGrid>
      <w:tr w:rsidR="004528D0" w:rsidRPr="004528D0" w14:paraId="42DD4A68" w14:textId="77777777" w:rsidTr="468D1D2F">
        <w:trPr>
          <w:trHeight w:val="580"/>
          <w:jc w:val="center"/>
        </w:trPr>
        <w:tc>
          <w:tcPr>
            <w:tcW w:w="1580" w:type="dxa"/>
            <w:tcBorders>
              <w:top w:val="single" w:sz="4" w:space="0" w:color="auto"/>
              <w:left w:val="single" w:sz="4" w:space="0" w:color="auto"/>
              <w:bottom w:val="single" w:sz="4" w:space="0" w:color="auto"/>
              <w:right w:val="single" w:sz="4" w:space="0" w:color="auto"/>
            </w:tcBorders>
            <w:shd w:val="clear" w:color="auto" w:fill="E1F9FF"/>
            <w:noWrap/>
            <w:vAlign w:val="bottom"/>
            <w:hideMark/>
          </w:tcPr>
          <w:p w14:paraId="11383CC3" w14:textId="5572F2B6" w:rsidR="004528D0" w:rsidRPr="004528D0" w:rsidRDefault="004528D0" w:rsidP="004528D0">
            <w:pPr>
              <w:rPr>
                <w:rFonts w:ascii="Calibri" w:eastAsia="Times New Roman" w:hAnsi="Calibri" w:cs="Calibri"/>
                <w:b/>
                <w:bCs/>
                <w:color w:val="000000"/>
              </w:rPr>
            </w:pPr>
            <w:r w:rsidRPr="004528D0">
              <w:rPr>
                <w:rFonts w:ascii="Calibri" w:eastAsia="Times New Roman" w:hAnsi="Calibri" w:cs="Calibri"/>
                <w:b/>
                <w:bCs/>
                <w:color w:val="000000"/>
              </w:rPr>
              <w:t>MA Town</w:t>
            </w:r>
          </w:p>
        </w:tc>
        <w:tc>
          <w:tcPr>
            <w:tcW w:w="1745" w:type="dxa"/>
            <w:tcBorders>
              <w:top w:val="single" w:sz="4" w:space="0" w:color="auto"/>
              <w:left w:val="nil"/>
              <w:bottom w:val="single" w:sz="4" w:space="0" w:color="auto"/>
              <w:right w:val="single" w:sz="4" w:space="0" w:color="auto"/>
            </w:tcBorders>
            <w:shd w:val="clear" w:color="auto" w:fill="E1F9FF"/>
            <w:noWrap/>
            <w:vAlign w:val="bottom"/>
            <w:hideMark/>
          </w:tcPr>
          <w:p w14:paraId="357FD1B8" w14:textId="0AE8DB67" w:rsidR="004528D0" w:rsidRPr="004528D0" w:rsidRDefault="004528D0" w:rsidP="004528D0">
            <w:pPr>
              <w:rPr>
                <w:rFonts w:ascii="Calibri" w:eastAsia="Times New Roman" w:hAnsi="Calibri" w:cs="Calibri"/>
                <w:b/>
                <w:bCs/>
                <w:color w:val="000000"/>
              </w:rPr>
            </w:pPr>
            <w:r w:rsidRPr="004528D0">
              <w:rPr>
                <w:rFonts w:ascii="Calibri" w:eastAsia="Times New Roman" w:hAnsi="Calibri" w:cs="Calibri"/>
                <w:b/>
                <w:bCs/>
                <w:color w:val="000000"/>
              </w:rPr>
              <w:t xml:space="preserve">Total </w:t>
            </w:r>
            <w:r w:rsidR="00EA55BF">
              <w:rPr>
                <w:rFonts w:ascii="Calibri" w:eastAsia="Times New Roman" w:hAnsi="Calibri" w:cs="Calibri"/>
                <w:b/>
                <w:bCs/>
                <w:color w:val="000000"/>
              </w:rPr>
              <w:t>MR</w:t>
            </w:r>
            <w:r w:rsidR="00265B00">
              <w:rPr>
                <w:rFonts w:ascii="Calibri" w:eastAsia="Times New Roman" w:hAnsi="Calibri" w:cs="Calibri"/>
                <w:b/>
                <w:bCs/>
                <w:color w:val="000000"/>
              </w:rPr>
              <w:t>M</w:t>
            </w:r>
            <w:r w:rsidR="00EA55BF">
              <w:rPr>
                <w:rFonts w:ascii="Calibri" w:eastAsia="Times New Roman" w:hAnsi="Calibri" w:cs="Calibri"/>
                <w:b/>
                <w:bCs/>
                <w:color w:val="000000"/>
              </w:rPr>
              <w:t xml:space="preserve">C </w:t>
            </w:r>
            <w:r w:rsidRPr="004528D0">
              <w:rPr>
                <w:rFonts w:ascii="Calibri" w:eastAsia="Times New Roman" w:hAnsi="Calibri" w:cs="Calibri"/>
                <w:b/>
                <w:bCs/>
                <w:color w:val="000000"/>
              </w:rPr>
              <w:t>Discharges</w:t>
            </w:r>
          </w:p>
        </w:tc>
        <w:tc>
          <w:tcPr>
            <w:tcW w:w="1980" w:type="dxa"/>
            <w:tcBorders>
              <w:top w:val="single" w:sz="4" w:space="0" w:color="auto"/>
              <w:left w:val="nil"/>
              <w:bottom w:val="single" w:sz="4" w:space="0" w:color="auto"/>
              <w:right w:val="single" w:sz="4" w:space="0" w:color="auto"/>
            </w:tcBorders>
            <w:shd w:val="clear" w:color="auto" w:fill="E1F9FF"/>
            <w:vAlign w:val="bottom"/>
            <w:hideMark/>
          </w:tcPr>
          <w:p w14:paraId="039D4143" w14:textId="77777777" w:rsidR="004528D0" w:rsidRPr="004528D0" w:rsidRDefault="004528D0" w:rsidP="004528D0">
            <w:pPr>
              <w:rPr>
                <w:rFonts w:ascii="Calibri" w:eastAsia="Times New Roman" w:hAnsi="Calibri" w:cs="Calibri"/>
                <w:b/>
                <w:bCs/>
                <w:color w:val="000000"/>
              </w:rPr>
            </w:pPr>
            <w:r w:rsidRPr="004528D0">
              <w:rPr>
                <w:rFonts w:ascii="Calibri" w:eastAsia="Times New Roman" w:hAnsi="Calibri" w:cs="Calibri"/>
                <w:b/>
                <w:bCs/>
                <w:color w:val="000000"/>
              </w:rPr>
              <w:t>MRMC's Share of Total Discharges</w:t>
            </w:r>
          </w:p>
        </w:tc>
      </w:tr>
      <w:tr w:rsidR="004528D0" w:rsidRPr="004528D0" w14:paraId="759D4C84"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7C51EC" w14:textId="11AB3730"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Milford</w:t>
            </w:r>
          </w:p>
        </w:tc>
        <w:tc>
          <w:tcPr>
            <w:tcW w:w="1745" w:type="dxa"/>
            <w:tcBorders>
              <w:top w:val="nil"/>
              <w:left w:val="nil"/>
              <w:bottom w:val="single" w:sz="4" w:space="0" w:color="auto"/>
              <w:right w:val="single" w:sz="4" w:space="0" w:color="auto"/>
            </w:tcBorders>
            <w:shd w:val="clear" w:color="auto" w:fill="auto"/>
            <w:noWrap/>
            <w:vAlign w:val="bottom"/>
            <w:hideMark/>
          </w:tcPr>
          <w:p w14:paraId="425F91EB"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1952</w:t>
            </w:r>
          </w:p>
        </w:tc>
        <w:tc>
          <w:tcPr>
            <w:tcW w:w="1980" w:type="dxa"/>
            <w:tcBorders>
              <w:top w:val="nil"/>
              <w:left w:val="nil"/>
              <w:bottom w:val="single" w:sz="4" w:space="0" w:color="auto"/>
              <w:right w:val="single" w:sz="4" w:space="0" w:color="auto"/>
            </w:tcBorders>
            <w:shd w:val="clear" w:color="auto" w:fill="auto"/>
            <w:noWrap/>
            <w:vAlign w:val="bottom"/>
            <w:hideMark/>
          </w:tcPr>
          <w:p w14:paraId="676DAD46" w14:textId="77777777" w:rsidR="004528D0" w:rsidRPr="00B563B8" w:rsidRDefault="004528D0" w:rsidP="004528D0">
            <w:pPr>
              <w:jc w:val="right"/>
              <w:rPr>
                <w:rFonts w:ascii="Calibri" w:eastAsia="Times New Roman" w:hAnsi="Calibri" w:cs="Calibri"/>
                <w:b/>
                <w:bCs/>
                <w:color w:val="000000"/>
              </w:rPr>
            </w:pPr>
            <w:r w:rsidRPr="00B563B8">
              <w:rPr>
                <w:rFonts w:ascii="Calibri" w:eastAsia="Times New Roman" w:hAnsi="Calibri" w:cs="Calibri"/>
                <w:b/>
                <w:bCs/>
                <w:color w:val="000000"/>
              </w:rPr>
              <w:t>63%</w:t>
            </w:r>
          </w:p>
        </w:tc>
      </w:tr>
      <w:tr w:rsidR="004528D0" w:rsidRPr="004528D0" w14:paraId="38580E2F"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E8D47FC" w14:textId="38F1317A"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Hopedale</w:t>
            </w:r>
          </w:p>
        </w:tc>
        <w:tc>
          <w:tcPr>
            <w:tcW w:w="1745" w:type="dxa"/>
            <w:tcBorders>
              <w:top w:val="nil"/>
              <w:left w:val="nil"/>
              <w:bottom w:val="single" w:sz="4" w:space="0" w:color="auto"/>
              <w:right w:val="single" w:sz="4" w:space="0" w:color="auto"/>
            </w:tcBorders>
            <w:shd w:val="clear" w:color="auto" w:fill="auto"/>
            <w:noWrap/>
            <w:vAlign w:val="bottom"/>
            <w:hideMark/>
          </w:tcPr>
          <w:p w14:paraId="7D0F54E7"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283</w:t>
            </w:r>
          </w:p>
        </w:tc>
        <w:tc>
          <w:tcPr>
            <w:tcW w:w="1980" w:type="dxa"/>
            <w:tcBorders>
              <w:top w:val="nil"/>
              <w:left w:val="nil"/>
              <w:bottom w:val="single" w:sz="4" w:space="0" w:color="auto"/>
              <w:right w:val="single" w:sz="4" w:space="0" w:color="auto"/>
            </w:tcBorders>
            <w:shd w:val="clear" w:color="auto" w:fill="auto"/>
            <w:noWrap/>
            <w:vAlign w:val="bottom"/>
            <w:hideMark/>
          </w:tcPr>
          <w:p w14:paraId="50391143" w14:textId="77777777" w:rsidR="004528D0" w:rsidRPr="00B563B8" w:rsidRDefault="004528D0" w:rsidP="004528D0">
            <w:pPr>
              <w:jc w:val="right"/>
              <w:rPr>
                <w:rFonts w:ascii="Calibri" w:eastAsia="Times New Roman" w:hAnsi="Calibri" w:cs="Calibri"/>
                <w:b/>
                <w:bCs/>
                <w:color w:val="000000"/>
              </w:rPr>
            </w:pPr>
            <w:r w:rsidRPr="00B563B8">
              <w:rPr>
                <w:rFonts w:ascii="Calibri" w:eastAsia="Times New Roman" w:hAnsi="Calibri" w:cs="Calibri"/>
                <w:b/>
                <w:bCs/>
                <w:color w:val="000000"/>
              </w:rPr>
              <w:t>58%</w:t>
            </w:r>
          </w:p>
        </w:tc>
      </w:tr>
      <w:tr w:rsidR="004528D0" w:rsidRPr="004528D0" w14:paraId="12C2307F"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524E88F" w14:textId="77FFF90E"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Uxbridge</w:t>
            </w:r>
          </w:p>
        </w:tc>
        <w:tc>
          <w:tcPr>
            <w:tcW w:w="1745" w:type="dxa"/>
            <w:tcBorders>
              <w:top w:val="nil"/>
              <w:left w:val="nil"/>
              <w:bottom w:val="single" w:sz="4" w:space="0" w:color="auto"/>
              <w:right w:val="single" w:sz="4" w:space="0" w:color="auto"/>
            </w:tcBorders>
            <w:shd w:val="clear" w:color="auto" w:fill="auto"/>
            <w:noWrap/>
            <w:vAlign w:val="bottom"/>
            <w:hideMark/>
          </w:tcPr>
          <w:p w14:paraId="13FA745E"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718</w:t>
            </w:r>
          </w:p>
        </w:tc>
        <w:tc>
          <w:tcPr>
            <w:tcW w:w="1980" w:type="dxa"/>
            <w:tcBorders>
              <w:top w:val="nil"/>
              <w:left w:val="nil"/>
              <w:bottom w:val="single" w:sz="4" w:space="0" w:color="auto"/>
              <w:right w:val="single" w:sz="4" w:space="0" w:color="auto"/>
            </w:tcBorders>
            <w:shd w:val="clear" w:color="auto" w:fill="auto"/>
            <w:noWrap/>
            <w:vAlign w:val="bottom"/>
            <w:hideMark/>
          </w:tcPr>
          <w:p w14:paraId="0A4EF964" w14:textId="77777777" w:rsidR="004528D0" w:rsidRPr="00B563B8" w:rsidRDefault="004528D0" w:rsidP="004528D0">
            <w:pPr>
              <w:jc w:val="right"/>
              <w:rPr>
                <w:rFonts w:ascii="Calibri" w:eastAsia="Times New Roman" w:hAnsi="Calibri" w:cs="Calibri"/>
                <w:b/>
                <w:bCs/>
                <w:color w:val="000000"/>
              </w:rPr>
            </w:pPr>
            <w:r w:rsidRPr="00B563B8">
              <w:rPr>
                <w:rFonts w:ascii="Calibri" w:eastAsia="Times New Roman" w:hAnsi="Calibri" w:cs="Calibri"/>
                <w:b/>
                <w:bCs/>
                <w:color w:val="000000"/>
              </w:rPr>
              <w:t>57%</w:t>
            </w:r>
          </w:p>
        </w:tc>
      </w:tr>
      <w:tr w:rsidR="004528D0" w:rsidRPr="004528D0" w14:paraId="68667A70"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CB3055" w14:textId="086DD546"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Blackstone</w:t>
            </w:r>
          </w:p>
        </w:tc>
        <w:tc>
          <w:tcPr>
            <w:tcW w:w="1745" w:type="dxa"/>
            <w:tcBorders>
              <w:top w:val="nil"/>
              <w:left w:val="nil"/>
              <w:bottom w:val="single" w:sz="4" w:space="0" w:color="auto"/>
              <w:right w:val="single" w:sz="4" w:space="0" w:color="auto"/>
            </w:tcBorders>
            <w:shd w:val="clear" w:color="auto" w:fill="auto"/>
            <w:noWrap/>
            <w:vAlign w:val="bottom"/>
            <w:hideMark/>
          </w:tcPr>
          <w:p w14:paraId="140A0F90"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366</w:t>
            </w:r>
          </w:p>
        </w:tc>
        <w:tc>
          <w:tcPr>
            <w:tcW w:w="1980" w:type="dxa"/>
            <w:tcBorders>
              <w:top w:val="nil"/>
              <w:left w:val="nil"/>
              <w:bottom w:val="single" w:sz="4" w:space="0" w:color="auto"/>
              <w:right w:val="single" w:sz="4" w:space="0" w:color="auto"/>
            </w:tcBorders>
            <w:shd w:val="clear" w:color="auto" w:fill="auto"/>
            <w:noWrap/>
            <w:vAlign w:val="bottom"/>
            <w:hideMark/>
          </w:tcPr>
          <w:p w14:paraId="6103C341" w14:textId="77777777" w:rsidR="004528D0" w:rsidRPr="00B563B8" w:rsidRDefault="004528D0" w:rsidP="004528D0">
            <w:pPr>
              <w:jc w:val="right"/>
              <w:rPr>
                <w:rFonts w:ascii="Calibri" w:eastAsia="Times New Roman" w:hAnsi="Calibri" w:cs="Calibri"/>
                <w:b/>
                <w:bCs/>
                <w:color w:val="000000"/>
              </w:rPr>
            </w:pPr>
            <w:r w:rsidRPr="00B563B8">
              <w:rPr>
                <w:rFonts w:ascii="Calibri" w:eastAsia="Times New Roman" w:hAnsi="Calibri" w:cs="Calibri"/>
                <w:b/>
                <w:bCs/>
                <w:color w:val="000000"/>
              </w:rPr>
              <w:t>55%</w:t>
            </w:r>
          </w:p>
        </w:tc>
      </w:tr>
      <w:tr w:rsidR="004528D0" w:rsidRPr="004528D0" w14:paraId="1F6BC271"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E74151F" w14:textId="677F5E46"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Mendon</w:t>
            </w:r>
          </w:p>
        </w:tc>
        <w:tc>
          <w:tcPr>
            <w:tcW w:w="1745" w:type="dxa"/>
            <w:tcBorders>
              <w:top w:val="nil"/>
              <w:left w:val="nil"/>
              <w:bottom w:val="single" w:sz="4" w:space="0" w:color="auto"/>
              <w:right w:val="single" w:sz="4" w:space="0" w:color="auto"/>
            </w:tcBorders>
            <w:shd w:val="clear" w:color="auto" w:fill="auto"/>
            <w:noWrap/>
            <w:vAlign w:val="bottom"/>
            <w:hideMark/>
          </w:tcPr>
          <w:p w14:paraId="065B1876"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233</w:t>
            </w:r>
          </w:p>
        </w:tc>
        <w:tc>
          <w:tcPr>
            <w:tcW w:w="1980" w:type="dxa"/>
            <w:tcBorders>
              <w:top w:val="nil"/>
              <w:left w:val="nil"/>
              <w:bottom w:val="single" w:sz="4" w:space="0" w:color="auto"/>
              <w:right w:val="single" w:sz="4" w:space="0" w:color="auto"/>
            </w:tcBorders>
            <w:shd w:val="clear" w:color="auto" w:fill="auto"/>
            <w:noWrap/>
            <w:vAlign w:val="bottom"/>
            <w:hideMark/>
          </w:tcPr>
          <w:p w14:paraId="6FC6244E" w14:textId="77777777" w:rsidR="004528D0" w:rsidRPr="00B563B8" w:rsidRDefault="004528D0" w:rsidP="004528D0">
            <w:pPr>
              <w:jc w:val="right"/>
              <w:rPr>
                <w:rFonts w:ascii="Calibri" w:eastAsia="Times New Roman" w:hAnsi="Calibri" w:cs="Calibri"/>
                <w:b/>
                <w:bCs/>
                <w:color w:val="000000"/>
              </w:rPr>
            </w:pPr>
            <w:r w:rsidRPr="00B563B8">
              <w:rPr>
                <w:rFonts w:ascii="Calibri" w:eastAsia="Times New Roman" w:hAnsi="Calibri" w:cs="Calibri"/>
                <w:b/>
                <w:bCs/>
                <w:color w:val="000000"/>
              </w:rPr>
              <w:t>53%</w:t>
            </w:r>
          </w:p>
        </w:tc>
      </w:tr>
      <w:tr w:rsidR="004528D0" w:rsidRPr="004528D0" w14:paraId="33580B3C"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40F3781" w14:textId="306EE406"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Bellingham</w:t>
            </w:r>
          </w:p>
        </w:tc>
        <w:tc>
          <w:tcPr>
            <w:tcW w:w="1745" w:type="dxa"/>
            <w:tcBorders>
              <w:top w:val="nil"/>
              <w:left w:val="nil"/>
              <w:bottom w:val="single" w:sz="4" w:space="0" w:color="auto"/>
              <w:right w:val="single" w:sz="4" w:space="0" w:color="auto"/>
            </w:tcBorders>
            <w:shd w:val="clear" w:color="auto" w:fill="auto"/>
            <w:noWrap/>
            <w:vAlign w:val="bottom"/>
            <w:hideMark/>
          </w:tcPr>
          <w:p w14:paraId="56D10A28"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817</w:t>
            </w:r>
          </w:p>
        </w:tc>
        <w:tc>
          <w:tcPr>
            <w:tcW w:w="1980" w:type="dxa"/>
            <w:tcBorders>
              <w:top w:val="nil"/>
              <w:left w:val="nil"/>
              <w:bottom w:val="single" w:sz="4" w:space="0" w:color="auto"/>
              <w:right w:val="single" w:sz="4" w:space="0" w:color="auto"/>
            </w:tcBorders>
            <w:shd w:val="clear" w:color="auto" w:fill="auto"/>
            <w:noWrap/>
            <w:vAlign w:val="bottom"/>
            <w:hideMark/>
          </w:tcPr>
          <w:p w14:paraId="2C7F8683" w14:textId="77777777" w:rsidR="004528D0" w:rsidRPr="00B563B8" w:rsidRDefault="004528D0" w:rsidP="004528D0">
            <w:pPr>
              <w:jc w:val="right"/>
              <w:rPr>
                <w:rFonts w:ascii="Calibri" w:eastAsia="Times New Roman" w:hAnsi="Calibri" w:cs="Calibri"/>
                <w:b/>
                <w:bCs/>
                <w:color w:val="000000"/>
              </w:rPr>
            </w:pPr>
            <w:r w:rsidRPr="00B563B8">
              <w:rPr>
                <w:rFonts w:ascii="Calibri" w:eastAsia="Times New Roman" w:hAnsi="Calibri" w:cs="Calibri"/>
                <w:b/>
                <w:bCs/>
                <w:color w:val="000000"/>
              </w:rPr>
              <w:t>51%</w:t>
            </w:r>
          </w:p>
        </w:tc>
      </w:tr>
      <w:tr w:rsidR="004528D0" w:rsidRPr="004528D0" w14:paraId="498659CC"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3B3C6C0" w14:textId="586E597C"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Whitinsville</w:t>
            </w:r>
          </w:p>
        </w:tc>
        <w:tc>
          <w:tcPr>
            <w:tcW w:w="1745" w:type="dxa"/>
            <w:tcBorders>
              <w:top w:val="nil"/>
              <w:left w:val="nil"/>
              <w:bottom w:val="single" w:sz="4" w:space="0" w:color="auto"/>
              <w:right w:val="single" w:sz="4" w:space="0" w:color="auto"/>
            </w:tcBorders>
            <w:shd w:val="clear" w:color="auto" w:fill="auto"/>
            <w:noWrap/>
            <w:vAlign w:val="bottom"/>
            <w:hideMark/>
          </w:tcPr>
          <w:p w14:paraId="32DC984E"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503</w:t>
            </w:r>
          </w:p>
        </w:tc>
        <w:tc>
          <w:tcPr>
            <w:tcW w:w="1980" w:type="dxa"/>
            <w:tcBorders>
              <w:top w:val="nil"/>
              <w:left w:val="nil"/>
              <w:bottom w:val="single" w:sz="4" w:space="0" w:color="auto"/>
              <w:right w:val="single" w:sz="4" w:space="0" w:color="auto"/>
            </w:tcBorders>
            <w:shd w:val="clear" w:color="auto" w:fill="auto"/>
            <w:noWrap/>
            <w:vAlign w:val="bottom"/>
            <w:hideMark/>
          </w:tcPr>
          <w:p w14:paraId="53CBB908"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48%</w:t>
            </w:r>
          </w:p>
        </w:tc>
      </w:tr>
      <w:tr w:rsidR="004528D0" w:rsidRPr="004528D0" w14:paraId="7A71E213"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2FC48C" w14:textId="39D03746"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Northbridge</w:t>
            </w:r>
          </w:p>
        </w:tc>
        <w:tc>
          <w:tcPr>
            <w:tcW w:w="1745" w:type="dxa"/>
            <w:tcBorders>
              <w:top w:val="nil"/>
              <w:left w:val="nil"/>
              <w:bottom w:val="single" w:sz="4" w:space="0" w:color="auto"/>
              <w:right w:val="single" w:sz="4" w:space="0" w:color="auto"/>
            </w:tcBorders>
            <w:shd w:val="clear" w:color="auto" w:fill="auto"/>
            <w:noWrap/>
            <w:vAlign w:val="bottom"/>
            <w:hideMark/>
          </w:tcPr>
          <w:p w14:paraId="3D93F5BE"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313</w:t>
            </w:r>
          </w:p>
        </w:tc>
        <w:tc>
          <w:tcPr>
            <w:tcW w:w="1980" w:type="dxa"/>
            <w:tcBorders>
              <w:top w:val="nil"/>
              <w:left w:val="nil"/>
              <w:bottom w:val="single" w:sz="4" w:space="0" w:color="auto"/>
              <w:right w:val="single" w:sz="4" w:space="0" w:color="auto"/>
            </w:tcBorders>
            <w:shd w:val="clear" w:color="auto" w:fill="auto"/>
            <w:noWrap/>
            <w:vAlign w:val="bottom"/>
            <w:hideMark/>
          </w:tcPr>
          <w:p w14:paraId="70474D6A"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45%</w:t>
            </w:r>
          </w:p>
        </w:tc>
      </w:tr>
      <w:tr w:rsidR="004528D0" w:rsidRPr="004528D0" w14:paraId="6A1FB468"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FAFBCB" w14:textId="5B76B2CD"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Franklin</w:t>
            </w:r>
          </w:p>
        </w:tc>
        <w:tc>
          <w:tcPr>
            <w:tcW w:w="1745" w:type="dxa"/>
            <w:tcBorders>
              <w:top w:val="nil"/>
              <w:left w:val="nil"/>
              <w:bottom w:val="single" w:sz="4" w:space="0" w:color="auto"/>
              <w:right w:val="single" w:sz="4" w:space="0" w:color="auto"/>
            </w:tcBorders>
            <w:shd w:val="clear" w:color="auto" w:fill="auto"/>
            <w:noWrap/>
            <w:vAlign w:val="bottom"/>
            <w:hideMark/>
          </w:tcPr>
          <w:p w14:paraId="209A958E"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1102</w:t>
            </w:r>
          </w:p>
        </w:tc>
        <w:tc>
          <w:tcPr>
            <w:tcW w:w="1980" w:type="dxa"/>
            <w:tcBorders>
              <w:top w:val="nil"/>
              <w:left w:val="nil"/>
              <w:bottom w:val="single" w:sz="4" w:space="0" w:color="auto"/>
              <w:right w:val="single" w:sz="4" w:space="0" w:color="auto"/>
            </w:tcBorders>
            <w:shd w:val="clear" w:color="auto" w:fill="auto"/>
            <w:noWrap/>
            <w:vAlign w:val="bottom"/>
            <w:hideMark/>
          </w:tcPr>
          <w:p w14:paraId="65683755"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43%</w:t>
            </w:r>
          </w:p>
        </w:tc>
      </w:tr>
      <w:tr w:rsidR="004528D0" w:rsidRPr="004528D0" w14:paraId="47A0D1C3"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D58F5A3" w14:textId="31CFED7A"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Upton</w:t>
            </w:r>
          </w:p>
        </w:tc>
        <w:tc>
          <w:tcPr>
            <w:tcW w:w="1745" w:type="dxa"/>
            <w:tcBorders>
              <w:top w:val="nil"/>
              <w:left w:val="nil"/>
              <w:bottom w:val="single" w:sz="4" w:space="0" w:color="auto"/>
              <w:right w:val="single" w:sz="4" w:space="0" w:color="auto"/>
            </w:tcBorders>
            <w:shd w:val="clear" w:color="auto" w:fill="auto"/>
            <w:noWrap/>
            <w:vAlign w:val="bottom"/>
            <w:hideMark/>
          </w:tcPr>
          <w:p w14:paraId="38D451B8"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222</w:t>
            </w:r>
          </w:p>
        </w:tc>
        <w:tc>
          <w:tcPr>
            <w:tcW w:w="1980" w:type="dxa"/>
            <w:tcBorders>
              <w:top w:val="nil"/>
              <w:left w:val="nil"/>
              <w:bottom w:val="single" w:sz="4" w:space="0" w:color="auto"/>
              <w:right w:val="single" w:sz="4" w:space="0" w:color="auto"/>
            </w:tcBorders>
            <w:shd w:val="clear" w:color="auto" w:fill="auto"/>
            <w:noWrap/>
            <w:vAlign w:val="bottom"/>
            <w:hideMark/>
          </w:tcPr>
          <w:p w14:paraId="444FE213"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40%</w:t>
            </w:r>
          </w:p>
        </w:tc>
      </w:tr>
      <w:tr w:rsidR="004528D0" w:rsidRPr="004528D0" w14:paraId="4FD44589"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9BFE07" w14:textId="1E689243"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Medway</w:t>
            </w:r>
          </w:p>
        </w:tc>
        <w:tc>
          <w:tcPr>
            <w:tcW w:w="1745" w:type="dxa"/>
            <w:tcBorders>
              <w:top w:val="nil"/>
              <w:left w:val="nil"/>
              <w:bottom w:val="single" w:sz="4" w:space="0" w:color="auto"/>
              <w:right w:val="single" w:sz="4" w:space="0" w:color="auto"/>
            </w:tcBorders>
            <w:shd w:val="clear" w:color="auto" w:fill="auto"/>
            <w:noWrap/>
            <w:vAlign w:val="bottom"/>
            <w:hideMark/>
          </w:tcPr>
          <w:p w14:paraId="1E6D4ABB"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380</w:t>
            </w:r>
          </w:p>
        </w:tc>
        <w:tc>
          <w:tcPr>
            <w:tcW w:w="1980" w:type="dxa"/>
            <w:tcBorders>
              <w:top w:val="nil"/>
              <w:left w:val="nil"/>
              <w:bottom w:val="single" w:sz="4" w:space="0" w:color="auto"/>
              <w:right w:val="single" w:sz="4" w:space="0" w:color="auto"/>
            </w:tcBorders>
            <w:shd w:val="clear" w:color="auto" w:fill="auto"/>
            <w:noWrap/>
            <w:vAlign w:val="bottom"/>
            <w:hideMark/>
          </w:tcPr>
          <w:p w14:paraId="61D8A8E5"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34%</w:t>
            </w:r>
          </w:p>
        </w:tc>
      </w:tr>
      <w:tr w:rsidR="004528D0" w:rsidRPr="004528D0" w14:paraId="3749FC5F"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D7C8BA3" w14:textId="21ACEC4E"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Douglas</w:t>
            </w:r>
          </w:p>
        </w:tc>
        <w:tc>
          <w:tcPr>
            <w:tcW w:w="1745" w:type="dxa"/>
            <w:tcBorders>
              <w:top w:val="nil"/>
              <w:left w:val="nil"/>
              <w:bottom w:val="single" w:sz="4" w:space="0" w:color="auto"/>
              <w:right w:val="single" w:sz="4" w:space="0" w:color="auto"/>
            </w:tcBorders>
            <w:shd w:val="clear" w:color="auto" w:fill="auto"/>
            <w:noWrap/>
            <w:vAlign w:val="bottom"/>
            <w:hideMark/>
          </w:tcPr>
          <w:p w14:paraId="4E05B126"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180</w:t>
            </w:r>
          </w:p>
        </w:tc>
        <w:tc>
          <w:tcPr>
            <w:tcW w:w="1980" w:type="dxa"/>
            <w:tcBorders>
              <w:top w:val="nil"/>
              <w:left w:val="nil"/>
              <w:bottom w:val="single" w:sz="4" w:space="0" w:color="auto"/>
              <w:right w:val="single" w:sz="4" w:space="0" w:color="auto"/>
            </w:tcBorders>
            <w:shd w:val="clear" w:color="auto" w:fill="auto"/>
            <w:noWrap/>
            <w:vAlign w:val="bottom"/>
            <w:hideMark/>
          </w:tcPr>
          <w:p w14:paraId="4B69DCD7"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27%</w:t>
            </w:r>
          </w:p>
        </w:tc>
      </w:tr>
      <w:tr w:rsidR="004528D0" w:rsidRPr="004528D0" w14:paraId="64F75484"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63A14E" w14:textId="6E528EF0" w:rsidR="004528D0" w:rsidRPr="004528D0" w:rsidRDefault="004528D0" w:rsidP="004528D0">
            <w:pPr>
              <w:rPr>
                <w:rFonts w:ascii="Calibri" w:eastAsia="Times New Roman" w:hAnsi="Calibri" w:cs="Calibri"/>
                <w:color w:val="000000"/>
              </w:rPr>
            </w:pPr>
            <w:r w:rsidRPr="004528D0">
              <w:rPr>
                <w:rFonts w:ascii="Calibri" w:eastAsia="Times New Roman" w:hAnsi="Calibri" w:cs="Calibri"/>
                <w:color w:val="000000"/>
              </w:rPr>
              <w:t>Hopkinton</w:t>
            </w:r>
          </w:p>
        </w:tc>
        <w:tc>
          <w:tcPr>
            <w:tcW w:w="1745" w:type="dxa"/>
            <w:tcBorders>
              <w:top w:val="nil"/>
              <w:left w:val="nil"/>
              <w:bottom w:val="single" w:sz="4" w:space="0" w:color="auto"/>
              <w:right w:val="single" w:sz="4" w:space="0" w:color="auto"/>
            </w:tcBorders>
            <w:shd w:val="clear" w:color="auto" w:fill="auto"/>
            <w:noWrap/>
            <w:vAlign w:val="bottom"/>
            <w:hideMark/>
          </w:tcPr>
          <w:p w14:paraId="052FEA2E"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277</w:t>
            </w:r>
          </w:p>
        </w:tc>
        <w:tc>
          <w:tcPr>
            <w:tcW w:w="1980" w:type="dxa"/>
            <w:tcBorders>
              <w:top w:val="nil"/>
              <w:left w:val="nil"/>
              <w:bottom w:val="single" w:sz="4" w:space="0" w:color="auto"/>
              <w:right w:val="single" w:sz="4" w:space="0" w:color="auto"/>
            </w:tcBorders>
            <w:shd w:val="clear" w:color="auto" w:fill="auto"/>
            <w:noWrap/>
            <w:vAlign w:val="bottom"/>
            <w:hideMark/>
          </w:tcPr>
          <w:p w14:paraId="1A37AD12"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22%</w:t>
            </w:r>
          </w:p>
        </w:tc>
      </w:tr>
      <w:tr w:rsidR="004528D0" w:rsidRPr="004528D0" w14:paraId="395ACFDE"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724901" w14:textId="30855C48" w:rsidR="004528D0" w:rsidRPr="004528D0" w:rsidRDefault="04149E33" w:rsidP="004528D0">
            <w:pPr>
              <w:rPr>
                <w:rFonts w:ascii="Calibri" w:eastAsia="Times New Roman" w:hAnsi="Calibri" w:cs="Calibri"/>
                <w:color w:val="000000"/>
              </w:rPr>
            </w:pPr>
            <w:r w:rsidRPr="468D1D2F">
              <w:rPr>
                <w:rFonts w:ascii="Calibri" w:eastAsia="Times New Roman" w:hAnsi="Calibri" w:cs="Calibri"/>
                <w:color w:val="000000" w:themeColor="text1"/>
              </w:rPr>
              <w:t xml:space="preserve">Norfolk </w:t>
            </w:r>
          </w:p>
        </w:tc>
        <w:tc>
          <w:tcPr>
            <w:tcW w:w="1745" w:type="dxa"/>
            <w:tcBorders>
              <w:top w:val="nil"/>
              <w:left w:val="nil"/>
              <w:bottom w:val="single" w:sz="4" w:space="0" w:color="auto"/>
              <w:right w:val="single" w:sz="4" w:space="0" w:color="auto"/>
            </w:tcBorders>
            <w:shd w:val="clear" w:color="auto" w:fill="auto"/>
            <w:noWrap/>
            <w:vAlign w:val="bottom"/>
            <w:hideMark/>
          </w:tcPr>
          <w:p w14:paraId="5E67B1A2"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170</w:t>
            </w:r>
          </w:p>
        </w:tc>
        <w:tc>
          <w:tcPr>
            <w:tcW w:w="1980" w:type="dxa"/>
            <w:tcBorders>
              <w:top w:val="nil"/>
              <w:left w:val="nil"/>
              <w:bottom w:val="single" w:sz="4" w:space="0" w:color="auto"/>
              <w:right w:val="single" w:sz="4" w:space="0" w:color="auto"/>
            </w:tcBorders>
            <w:shd w:val="clear" w:color="auto" w:fill="auto"/>
            <w:noWrap/>
            <w:vAlign w:val="bottom"/>
            <w:hideMark/>
          </w:tcPr>
          <w:p w14:paraId="4B1680DF"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19%</w:t>
            </w:r>
          </w:p>
        </w:tc>
      </w:tr>
      <w:tr w:rsidR="004528D0" w:rsidRPr="004528D0" w14:paraId="3F3E65EB" w14:textId="77777777" w:rsidTr="468D1D2F">
        <w:trPr>
          <w:trHeight w:val="29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BE53DDB" w14:textId="502EC39F" w:rsidR="004528D0" w:rsidRPr="004528D0" w:rsidRDefault="04149E33" w:rsidP="004528D0">
            <w:pPr>
              <w:rPr>
                <w:rFonts w:ascii="Calibri" w:eastAsia="Times New Roman" w:hAnsi="Calibri" w:cs="Calibri"/>
                <w:color w:val="000000"/>
              </w:rPr>
            </w:pPr>
            <w:r w:rsidRPr="468D1D2F">
              <w:rPr>
                <w:rFonts w:ascii="Calibri" w:eastAsia="Times New Roman" w:hAnsi="Calibri" w:cs="Calibri"/>
                <w:color w:val="000000" w:themeColor="text1"/>
              </w:rPr>
              <w:t xml:space="preserve">Holliston </w:t>
            </w:r>
          </w:p>
        </w:tc>
        <w:tc>
          <w:tcPr>
            <w:tcW w:w="1745" w:type="dxa"/>
            <w:tcBorders>
              <w:top w:val="nil"/>
              <w:left w:val="nil"/>
              <w:bottom w:val="single" w:sz="4" w:space="0" w:color="auto"/>
              <w:right w:val="single" w:sz="4" w:space="0" w:color="auto"/>
            </w:tcBorders>
            <w:shd w:val="clear" w:color="auto" w:fill="auto"/>
            <w:noWrap/>
            <w:vAlign w:val="bottom"/>
            <w:hideMark/>
          </w:tcPr>
          <w:p w14:paraId="5482DBF7"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168</w:t>
            </w:r>
          </w:p>
        </w:tc>
        <w:tc>
          <w:tcPr>
            <w:tcW w:w="1980" w:type="dxa"/>
            <w:tcBorders>
              <w:top w:val="nil"/>
              <w:left w:val="nil"/>
              <w:bottom w:val="single" w:sz="4" w:space="0" w:color="auto"/>
              <w:right w:val="single" w:sz="4" w:space="0" w:color="auto"/>
            </w:tcBorders>
            <w:shd w:val="clear" w:color="auto" w:fill="auto"/>
            <w:noWrap/>
            <w:vAlign w:val="bottom"/>
            <w:hideMark/>
          </w:tcPr>
          <w:p w14:paraId="3B3D71AA" w14:textId="77777777" w:rsidR="004528D0" w:rsidRPr="004528D0" w:rsidRDefault="004528D0" w:rsidP="004528D0">
            <w:pPr>
              <w:jc w:val="right"/>
              <w:rPr>
                <w:rFonts w:ascii="Calibri" w:eastAsia="Times New Roman" w:hAnsi="Calibri" w:cs="Calibri"/>
                <w:color w:val="000000"/>
              </w:rPr>
            </w:pPr>
            <w:r w:rsidRPr="004528D0">
              <w:rPr>
                <w:rFonts w:ascii="Calibri" w:eastAsia="Times New Roman" w:hAnsi="Calibri" w:cs="Calibri"/>
                <w:color w:val="000000"/>
              </w:rPr>
              <w:t>14%</w:t>
            </w:r>
          </w:p>
        </w:tc>
      </w:tr>
    </w:tbl>
    <w:p w14:paraId="10794F64" w14:textId="237CE075" w:rsidR="000A5E8B" w:rsidRPr="005C4580" w:rsidRDefault="34D808C0" w:rsidP="002070BE">
      <w:pPr>
        <w:spacing w:before="240" w:after="240"/>
        <w:textAlignment w:val="baseline"/>
        <w:rPr>
          <w:rFonts w:ascii="Calibri" w:eastAsia="Calibri" w:hAnsi="Calibri" w:cs="Calibri"/>
          <w:color w:val="234170" w:themeColor="text2" w:themeShade="BF"/>
          <w:spacing w:val="-1"/>
        </w:rPr>
      </w:pPr>
      <w:r w:rsidRPr="005C4580">
        <w:rPr>
          <w:rFonts w:ascii="Calibri" w:eastAsia="Calibri" w:hAnsi="Calibri" w:cs="Calibri"/>
        </w:rPr>
        <w:t xml:space="preserve">Accordingly, as a result of concerns over </w:t>
      </w:r>
      <w:r w:rsidR="010B1C55" w:rsidRPr="005C4580">
        <w:rPr>
          <w:rFonts w:ascii="Calibri" w:eastAsia="Calibri" w:hAnsi="Calibri" w:cs="Calibri"/>
        </w:rPr>
        <w:t xml:space="preserve">access to </w:t>
      </w:r>
      <w:r w:rsidR="02BFD816" w:rsidRPr="005C4580">
        <w:rPr>
          <w:rFonts w:ascii="Calibri" w:eastAsia="Calibri" w:hAnsi="Calibri" w:cs="Calibri"/>
        </w:rPr>
        <w:t>care</w:t>
      </w:r>
      <w:r w:rsidR="010B1C55" w:rsidRPr="005C4580">
        <w:rPr>
          <w:rFonts w:ascii="Calibri" w:eastAsia="Calibri" w:hAnsi="Calibri" w:cs="Calibri"/>
        </w:rPr>
        <w:t xml:space="preserve"> due to a </w:t>
      </w:r>
      <w:r w:rsidR="3AE86348" w:rsidRPr="005C4580">
        <w:rPr>
          <w:rFonts w:ascii="Calibri" w:eastAsia="Calibri" w:hAnsi="Calibri" w:cs="Calibri"/>
        </w:rPr>
        <w:t xml:space="preserve">potential </w:t>
      </w:r>
      <w:r w:rsidRPr="005C4580">
        <w:rPr>
          <w:rFonts w:ascii="Calibri" w:eastAsia="Calibri" w:hAnsi="Calibri" w:cs="Calibri"/>
        </w:rPr>
        <w:t xml:space="preserve">closure </w:t>
      </w:r>
      <w:r w:rsidR="205FCB58" w:rsidRPr="005C4580">
        <w:rPr>
          <w:rFonts w:ascii="Calibri" w:eastAsia="Calibri" w:hAnsi="Calibri" w:cs="Calibri"/>
        </w:rPr>
        <w:t xml:space="preserve">of </w:t>
      </w:r>
      <w:r w:rsidRPr="005C4580">
        <w:rPr>
          <w:rFonts w:ascii="Calibri" w:eastAsia="Calibri" w:hAnsi="Calibri" w:cs="Calibri"/>
        </w:rPr>
        <w:t xml:space="preserve">services, staff recommends </w:t>
      </w:r>
      <w:r w:rsidR="1B8A4E6C" w:rsidRPr="005C4580">
        <w:rPr>
          <w:rFonts w:ascii="Calibri" w:eastAsia="Calibri" w:hAnsi="Calibri" w:cs="Calibri"/>
        </w:rPr>
        <w:t>Condition #1 below.</w:t>
      </w:r>
    </w:p>
    <w:p w14:paraId="7803A366" w14:textId="44C8F60C" w:rsidR="00744CC6" w:rsidRPr="00E72A9B" w:rsidRDefault="004A25F3" w:rsidP="00A50A54">
      <w:pPr>
        <w:pStyle w:val="ListParagraph"/>
        <w:numPr>
          <w:ilvl w:val="0"/>
          <w:numId w:val="7"/>
        </w:numPr>
        <w:spacing w:after="240"/>
        <w:ind w:left="180" w:hanging="180"/>
        <w:textAlignment w:val="baseline"/>
        <w:rPr>
          <w:rFonts w:ascii="Calibri" w:eastAsia="Calibri" w:hAnsi="Calibri" w:cs="Calibri"/>
          <w:b/>
          <w:bCs/>
          <w:spacing w:val="-1"/>
          <w:sz w:val="24"/>
          <w:szCs w:val="24"/>
        </w:rPr>
      </w:pPr>
      <w:r w:rsidRPr="00E72A9B">
        <w:rPr>
          <w:rFonts w:ascii="Calibri" w:eastAsia="Calibri" w:hAnsi="Calibri" w:cs="Calibri"/>
          <w:b/>
          <w:bCs/>
          <w:spacing w:val="-1"/>
          <w:sz w:val="24"/>
          <w:szCs w:val="24"/>
        </w:rPr>
        <w:t xml:space="preserve"> </w:t>
      </w:r>
      <w:r w:rsidR="00744CC6" w:rsidRPr="00E72A9B">
        <w:rPr>
          <w:rFonts w:ascii="Calibri" w:eastAsia="Calibri" w:hAnsi="Calibri" w:cs="Calibri"/>
          <w:b/>
          <w:bCs/>
          <w:spacing w:val="-1"/>
          <w:sz w:val="24"/>
          <w:szCs w:val="24"/>
        </w:rPr>
        <w:t>Need Investments in Clinical Collaborations and Information Technology</w:t>
      </w:r>
      <w:r w:rsidR="00395314">
        <w:rPr>
          <w:rFonts w:ascii="Calibri" w:eastAsia="Calibri" w:hAnsi="Calibri" w:cs="Calibri"/>
          <w:b/>
          <w:bCs/>
          <w:spacing w:val="-1"/>
          <w:sz w:val="24"/>
          <w:szCs w:val="24"/>
        </w:rPr>
        <w:t xml:space="preserve"> </w:t>
      </w:r>
      <w:r w:rsidR="00395314" w:rsidRPr="00395314">
        <w:rPr>
          <w:rFonts w:ascii="Calibri" w:eastAsia="Calibri" w:hAnsi="Calibri" w:cs="Calibri"/>
          <w:b/>
          <w:bCs/>
          <w:spacing w:val="-1"/>
          <w:sz w:val="24"/>
          <w:szCs w:val="24"/>
        </w:rPr>
        <w:t>at MRMC</w:t>
      </w:r>
    </w:p>
    <w:p w14:paraId="7180E086" w14:textId="06294096" w:rsidR="00DA5B2F" w:rsidRDefault="004A25F3" w:rsidP="00402606">
      <w:pPr>
        <w:spacing w:after="240"/>
        <w:textAlignment w:val="baseline"/>
        <w:rPr>
          <w:rFonts w:ascii="Calibri" w:eastAsia="Calibri" w:hAnsi="Calibri" w:cs="Calibri"/>
          <w:spacing w:val="-1"/>
        </w:rPr>
      </w:pPr>
      <w:r w:rsidRPr="004A25F3">
        <w:rPr>
          <w:rFonts w:ascii="Calibri" w:eastAsia="Calibri" w:hAnsi="Calibri" w:cs="Calibri"/>
          <w:spacing w:val="-1"/>
        </w:rPr>
        <w:t xml:space="preserve">When MRMC considered the affiliation with UMMHC, an important factor was its need to continue to invest in clinical collaborations and modernize its information technology during a time of significant financial challenges and uncertainty. </w:t>
      </w:r>
      <w:r w:rsidR="00C9421F" w:rsidRPr="00C9421F">
        <w:rPr>
          <w:rFonts w:ascii="Calibri" w:eastAsia="Calibri" w:hAnsi="Calibri" w:cs="Calibri"/>
          <w:spacing w:val="-1"/>
        </w:rPr>
        <w:t>With UMM</w:t>
      </w:r>
      <w:r w:rsidR="0D938161" w:rsidRPr="00C9421F">
        <w:rPr>
          <w:rFonts w:ascii="Calibri" w:eastAsia="Calibri" w:hAnsi="Calibri" w:cs="Calibri"/>
          <w:spacing w:val="-1"/>
        </w:rPr>
        <w:t>H</w:t>
      </w:r>
      <w:r w:rsidR="00C9421F" w:rsidRPr="00C9421F">
        <w:rPr>
          <w:rFonts w:ascii="Calibri" w:eastAsia="Calibri" w:hAnsi="Calibri" w:cs="Calibri"/>
          <w:spacing w:val="-1"/>
        </w:rPr>
        <w:t xml:space="preserve">C’s financial resources to invest </w:t>
      </w:r>
      <w:r w:rsidR="00C9421F">
        <w:rPr>
          <w:rFonts w:ascii="Calibri" w:eastAsia="Calibri" w:hAnsi="Calibri" w:cs="Calibri"/>
          <w:spacing w:val="-1"/>
        </w:rPr>
        <w:t xml:space="preserve">in </w:t>
      </w:r>
      <w:r w:rsidR="00C9421F" w:rsidRPr="00C9421F">
        <w:rPr>
          <w:rFonts w:ascii="Calibri" w:eastAsia="Calibri" w:hAnsi="Calibri" w:cs="Calibri"/>
          <w:spacing w:val="-1"/>
        </w:rPr>
        <w:t>technological integration</w:t>
      </w:r>
      <w:r w:rsidR="00C9421F">
        <w:rPr>
          <w:rFonts w:ascii="Calibri" w:eastAsia="Calibri" w:hAnsi="Calibri" w:cs="Calibri"/>
          <w:spacing w:val="-1"/>
        </w:rPr>
        <w:t xml:space="preserve"> </w:t>
      </w:r>
      <w:r w:rsidR="00A129A5">
        <w:rPr>
          <w:rFonts w:ascii="Calibri" w:eastAsia="Calibri" w:hAnsi="Calibri" w:cs="Calibri"/>
          <w:spacing w:val="-1"/>
        </w:rPr>
        <w:t xml:space="preserve">to </w:t>
      </w:r>
      <w:r w:rsidR="00C9421F" w:rsidRPr="00C9421F">
        <w:rPr>
          <w:rFonts w:ascii="Calibri" w:eastAsia="Calibri" w:hAnsi="Calibri" w:cs="Calibri"/>
          <w:spacing w:val="-1"/>
        </w:rPr>
        <w:t xml:space="preserve">transition </w:t>
      </w:r>
      <w:r w:rsidR="00C9421F">
        <w:rPr>
          <w:rFonts w:ascii="Calibri" w:eastAsia="Calibri" w:hAnsi="Calibri" w:cs="Calibri"/>
          <w:spacing w:val="-1"/>
        </w:rPr>
        <w:t xml:space="preserve">of </w:t>
      </w:r>
      <w:r w:rsidR="00C9421F" w:rsidRPr="00C9421F">
        <w:rPr>
          <w:rFonts w:ascii="Calibri" w:eastAsia="Calibri" w:hAnsi="Calibri" w:cs="Calibri"/>
          <w:spacing w:val="-1"/>
        </w:rPr>
        <w:t xml:space="preserve">MRMC to the UMMHC </w:t>
      </w:r>
      <w:r w:rsidR="00C9421F">
        <w:rPr>
          <w:rFonts w:ascii="Calibri" w:eastAsia="Calibri" w:hAnsi="Calibri" w:cs="Calibri"/>
          <w:spacing w:val="-1"/>
        </w:rPr>
        <w:t>E</w:t>
      </w:r>
      <w:r w:rsidR="00C9421F" w:rsidRPr="00C9421F">
        <w:rPr>
          <w:rFonts w:ascii="Calibri" w:eastAsia="Calibri" w:hAnsi="Calibri" w:cs="Calibri"/>
          <w:spacing w:val="-1"/>
        </w:rPr>
        <w:t xml:space="preserve">HR, </w:t>
      </w:r>
      <w:r w:rsidR="00C9421F">
        <w:rPr>
          <w:rFonts w:ascii="Calibri" w:eastAsia="Calibri" w:hAnsi="Calibri" w:cs="Calibri"/>
          <w:spacing w:val="-1"/>
        </w:rPr>
        <w:t xml:space="preserve">the parties </w:t>
      </w:r>
      <w:r w:rsidR="00C9421F" w:rsidRPr="00C9421F">
        <w:rPr>
          <w:rFonts w:ascii="Calibri" w:eastAsia="Calibri" w:hAnsi="Calibri" w:cs="Calibri"/>
          <w:spacing w:val="-1"/>
        </w:rPr>
        <w:t>will provide care to shared patients more safely and efficiently through a single coordinated record for each patient.</w:t>
      </w:r>
    </w:p>
    <w:p w14:paraId="2DF72205" w14:textId="479782C0" w:rsidR="00DA5B2F" w:rsidRPr="00402606" w:rsidRDefault="00C9421F" w:rsidP="00402606">
      <w:pPr>
        <w:spacing w:after="240"/>
        <w:textAlignment w:val="baseline"/>
        <w:rPr>
          <w:rFonts w:ascii="Calibri" w:eastAsia="Calibri" w:hAnsi="Calibri" w:cs="Calibri"/>
        </w:rPr>
      </w:pPr>
      <w:r>
        <w:rPr>
          <w:rFonts w:ascii="Calibri" w:eastAsia="Calibri" w:hAnsi="Calibri" w:cs="Calibri"/>
        </w:rPr>
        <w:t>A</w:t>
      </w:r>
      <w:r w:rsidRPr="00DA5B2F">
        <w:rPr>
          <w:rFonts w:ascii="Calibri" w:eastAsia="Calibri" w:hAnsi="Calibri" w:cs="Calibri"/>
        </w:rPr>
        <w:t>s discussed in Sections F1(b) and F1(c) below</w:t>
      </w:r>
      <w:r>
        <w:rPr>
          <w:rFonts w:ascii="Calibri" w:eastAsia="Calibri" w:hAnsi="Calibri" w:cs="Calibri"/>
        </w:rPr>
        <w:t>,</w:t>
      </w:r>
      <w:r w:rsidRPr="004A25F3">
        <w:rPr>
          <w:rFonts w:ascii="Calibri" w:eastAsia="Calibri" w:hAnsi="Calibri" w:cs="Calibri"/>
          <w:spacing w:val="-1"/>
        </w:rPr>
        <w:t xml:space="preserve"> </w:t>
      </w:r>
      <w:r>
        <w:rPr>
          <w:rFonts w:ascii="Calibri" w:eastAsia="Calibri" w:hAnsi="Calibri" w:cs="Calibri"/>
          <w:spacing w:val="-1"/>
        </w:rPr>
        <w:t>t</w:t>
      </w:r>
      <w:r w:rsidR="00CA137F" w:rsidRPr="004A25F3">
        <w:rPr>
          <w:rFonts w:ascii="Calibri" w:eastAsia="Calibri" w:hAnsi="Calibri" w:cs="Calibri"/>
          <w:spacing w:val="-1"/>
        </w:rPr>
        <w:t>he Pro</w:t>
      </w:r>
      <w:r w:rsidR="002251FC" w:rsidRPr="004A25F3">
        <w:rPr>
          <w:rFonts w:ascii="Calibri" w:eastAsia="Calibri" w:hAnsi="Calibri" w:cs="Calibri"/>
          <w:spacing w:val="-1"/>
        </w:rPr>
        <w:t>posed Affiliation</w:t>
      </w:r>
      <w:r w:rsidR="00CA137F" w:rsidRPr="004A25F3">
        <w:rPr>
          <w:rFonts w:ascii="Calibri" w:eastAsia="Calibri" w:hAnsi="Calibri" w:cs="Calibri"/>
          <w:spacing w:val="-1"/>
        </w:rPr>
        <w:t xml:space="preserve"> will </w:t>
      </w:r>
      <w:r w:rsidR="002251FC" w:rsidRPr="004A25F3">
        <w:rPr>
          <w:rFonts w:ascii="Calibri" w:eastAsia="Calibri" w:hAnsi="Calibri" w:cs="Calibri"/>
          <w:spacing w:val="-1"/>
        </w:rPr>
        <w:t xml:space="preserve">enhance clinical collaboration </w:t>
      </w:r>
      <w:r w:rsidR="00DA5B2F">
        <w:rPr>
          <w:rFonts w:ascii="Calibri" w:eastAsia="Calibri" w:hAnsi="Calibri" w:cs="Calibri"/>
          <w:spacing w:val="-1"/>
        </w:rPr>
        <w:t xml:space="preserve">throughout the system </w:t>
      </w:r>
      <w:r w:rsidR="004A25F3">
        <w:rPr>
          <w:rFonts w:ascii="Calibri" w:eastAsia="Calibri" w:hAnsi="Calibri" w:cs="Calibri"/>
          <w:spacing w:val="-1"/>
        </w:rPr>
        <w:t xml:space="preserve">while </w:t>
      </w:r>
      <w:r w:rsidR="00CA137F" w:rsidRPr="004A25F3">
        <w:rPr>
          <w:rFonts w:ascii="Calibri" w:eastAsia="Calibri" w:hAnsi="Calibri" w:cs="Calibri"/>
          <w:spacing w:val="-1"/>
        </w:rPr>
        <w:t>provid</w:t>
      </w:r>
      <w:r w:rsidR="004A25F3">
        <w:rPr>
          <w:rFonts w:ascii="Calibri" w:eastAsia="Calibri" w:hAnsi="Calibri" w:cs="Calibri"/>
          <w:spacing w:val="-1"/>
        </w:rPr>
        <w:t>ing</w:t>
      </w:r>
      <w:r w:rsidR="00CA137F" w:rsidRPr="004A25F3">
        <w:rPr>
          <w:rFonts w:ascii="Calibri" w:eastAsia="Calibri" w:hAnsi="Calibri" w:cs="Calibri"/>
          <w:spacing w:val="-1"/>
        </w:rPr>
        <w:t xml:space="preserve"> the Milford community with greater access to UMMHC specialty care</w:t>
      </w:r>
      <w:r w:rsidR="004A25F3">
        <w:rPr>
          <w:rFonts w:ascii="Calibri" w:eastAsia="Calibri" w:hAnsi="Calibri" w:cs="Calibri"/>
          <w:spacing w:val="-1"/>
        </w:rPr>
        <w:t xml:space="preserve">. </w:t>
      </w:r>
      <w:r w:rsidR="00A129A5">
        <w:rPr>
          <w:rFonts w:ascii="Calibri" w:eastAsia="Calibri" w:hAnsi="Calibri" w:cs="Calibri"/>
          <w:spacing w:val="-1"/>
        </w:rPr>
        <w:t>W</w:t>
      </w:r>
      <w:r w:rsidR="00DA5B2F">
        <w:rPr>
          <w:rFonts w:ascii="Calibri" w:eastAsia="Calibri" w:hAnsi="Calibri" w:cs="Calibri"/>
          <w:spacing w:val="-1"/>
        </w:rPr>
        <w:t>ith t</w:t>
      </w:r>
      <w:r w:rsidR="00DA5B2F" w:rsidRPr="00DA5B2F">
        <w:rPr>
          <w:rFonts w:ascii="Calibri" w:eastAsia="Calibri" w:hAnsi="Calibri" w:cs="Calibri"/>
          <w:spacing w:val="-1"/>
        </w:rPr>
        <w:t>he</w:t>
      </w:r>
      <w:r w:rsidR="00DA5B2F">
        <w:rPr>
          <w:rFonts w:ascii="Calibri" w:eastAsia="Calibri" w:hAnsi="Calibri" w:cs="Calibri"/>
          <w:spacing w:val="-1"/>
        </w:rPr>
        <w:t xml:space="preserve"> </w:t>
      </w:r>
      <w:r w:rsidR="00ED6B84">
        <w:rPr>
          <w:rFonts w:ascii="Calibri" w:eastAsia="Calibri" w:hAnsi="Calibri" w:cs="Calibri"/>
          <w:spacing w:val="-1"/>
        </w:rPr>
        <w:t xml:space="preserve">single </w:t>
      </w:r>
      <w:r w:rsidR="00A129A5">
        <w:rPr>
          <w:rFonts w:ascii="Calibri" w:eastAsia="Calibri" w:hAnsi="Calibri" w:cs="Calibri"/>
          <w:spacing w:val="-1"/>
        </w:rPr>
        <w:t xml:space="preserve">EHR, </w:t>
      </w:r>
      <w:r w:rsidR="00A129A5" w:rsidRPr="00A129A5">
        <w:rPr>
          <w:rFonts w:ascii="Calibri" w:eastAsia="Calibri" w:hAnsi="Calibri" w:cs="Calibri"/>
          <w:spacing w:val="-1"/>
        </w:rPr>
        <w:t>the aforementioned transfers</w:t>
      </w:r>
      <w:r w:rsidR="00A129A5">
        <w:rPr>
          <w:rFonts w:ascii="Calibri" w:eastAsia="Calibri" w:hAnsi="Calibri" w:cs="Calibri"/>
          <w:spacing w:val="-1"/>
        </w:rPr>
        <w:t xml:space="preserve"> from Tri River to </w:t>
      </w:r>
      <w:r w:rsidR="00DA5B2F">
        <w:rPr>
          <w:rFonts w:ascii="Calibri" w:eastAsia="Calibri" w:hAnsi="Calibri" w:cs="Calibri"/>
          <w:spacing w:val="-1"/>
        </w:rPr>
        <w:t xml:space="preserve">MRMC will be </w:t>
      </w:r>
      <w:r w:rsidR="00A129A5">
        <w:rPr>
          <w:rFonts w:ascii="Calibri" w:eastAsia="Calibri" w:hAnsi="Calibri" w:cs="Calibri"/>
          <w:spacing w:val="-1"/>
        </w:rPr>
        <w:t xml:space="preserve">better coordinated and </w:t>
      </w:r>
      <w:r w:rsidR="00DA5B2F">
        <w:rPr>
          <w:rFonts w:ascii="Calibri" w:eastAsia="Calibri" w:hAnsi="Calibri" w:cs="Calibri"/>
          <w:spacing w:val="-1"/>
        </w:rPr>
        <w:t>facilitated through better</w:t>
      </w:r>
      <w:r>
        <w:rPr>
          <w:rFonts w:ascii="Calibri" w:eastAsia="Calibri" w:hAnsi="Calibri" w:cs="Calibri"/>
          <w:spacing w:val="-1"/>
        </w:rPr>
        <w:t xml:space="preserve"> </w:t>
      </w:r>
      <w:r w:rsidR="00DA5B2F">
        <w:rPr>
          <w:rFonts w:ascii="Calibri" w:eastAsia="Calibri" w:hAnsi="Calibri" w:cs="Calibri"/>
          <w:spacing w:val="-1"/>
        </w:rPr>
        <w:t>communication</w:t>
      </w:r>
      <w:r w:rsidR="00ED6B84">
        <w:rPr>
          <w:rFonts w:ascii="Calibri" w:eastAsia="Calibri" w:hAnsi="Calibri" w:cs="Calibri"/>
          <w:spacing w:val="-1"/>
        </w:rPr>
        <w:t xml:space="preserve"> among</w:t>
      </w:r>
      <w:r w:rsidR="00A129A5">
        <w:rPr>
          <w:rFonts w:ascii="Calibri" w:eastAsia="Calibri" w:hAnsi="Calibri" w:cs="Calibri"/>
          <w:spacing w:val="-1"/>
        </w:rPr>
        <w:t xml:space="preserve"> clinicians</w:t>
      </w:r>
      <w:r w:rsidR="00ED6B84">
        <w:rPr>
          <w:rFonts w:ascii="Calibri" w:eastAsia="Calibri" w:hAnsi="Calibri" w:cs="Calibri"/>
          <w:spacing w:val="-1"/>
        </w:rPr>
        <w:t>.</w:t>
      </w:r>
      <w:r>
        <w:rPr>
          <w:rFonts w:ascii="Calibri" w:eastAsia="Calibri" w:hAnsi="Calibri" w:cs="Calibri"/>
          <w:spacing w:val="-1"/>
        </w:rPr>
        <w:t xml:space="preserve"> </w:t>
      </w:r>
    </w:p>
    <w:p w14:paraId="05DD22CE" w14:textId="188DB1D1" w:rsidR="00BA4B7F" w:rsidRPr="00A90B61" w:rsidRDefault="00BA4B7F" w:rsidP="00A50A54">
      <w:pPr>
        <w:pStyle w:val="ListParagraph"/>
        <w:numPr>
          <w:ilvl w:val="0"/>
          <w:numId w:val="7"/>
        </w:numPr>
        <w:spacing w:after="240"/>
        <w:ind w:hanging="720"/>
        <w:rPr>
          <w:rFonts w:ascii="Calibri" w:eastAsia="PMingLiU" w:hAnsi="Calibri" w:cs="Times New Roman"/>
          <w:b/>
          <w:bCs/>
          <w:sz w:val="24"/>
          <w:szCs w:val="24"/>
        </w:rPr>
      </w:pPr>
      <w:r w:rsidRPr="2840621B">
        <w:rPr>
          <w:rFonts w:ascii="Calibri" w:eastAsia="PMingLiU" w:hAnsi="Calibri" w:cs="Times New Roman"/>
          <w:b/>
          <w:bCs/>
          <w:sz w:val="24"/>
          <w:szCs w:val="24"/>
        </w:rPr>
        <w:t>Need for Innovative Programs that Reduce the Cost of Care at MRMC</w:t>
      </w:r>
    </w:p>
    <w:p w14:paraId="7358D10D" w14:textId="7CE5B1E9" w:rsidR="00793CF1" w:rsidRPr="00EE2C04" w:rsidRDefault="0667EFA1" w:rsidP="00EE2C04">
      <w:pPr>
        <w:spacing w:after="240"/>
        <w:rPr>
          <w:rFonts w:ascii="Calibri" w:eastAsia="PMingLiU" w:hAnsi="Calibri" w:cs="Calibri"/>
        </w:rPr>
      </w:pPr>
      <w:r w:rsidRPr="5326C409">
        <w:rPr>
          <w:rFonts w:ascii="Calibri" w:eastAsia="PMingLiU" w:hAnsi="Calibri" w:cs="Calibri"/>
        </w:rPr>
        <w:t>Th</w:t>
      </w:r>
      <w:r w:rsidR="26B3A624" w:rsidRPr="5326C409">
        <w:rPr>
          <w:rFonts w:ascii="Calibri" w:eastAsia="PMingLiU" w:hAnsi="Calibri" w:cs="Calibri"/>
        </w:rPr>
        <w:t xml:space="preserve">rough the investment in technology the </w:t>
      </w:r>
      <w:r w:rsidR="304F66D4" w:rsidRPr="5326C409">
        <w:rPr>
          <w:rFonts w:ascii="Calibri" w:eastAsia="PMingLiU" w:hAnsi="Calibri" w:cs="Calibri"/>
        </w:rPr>
        <w:t>Proposed Affiliation</w:t>
      </w:r>
      <w:r w:rsidRPr="5326C409">
        <w:rPr>
          <w:rFonts w:ascii="Calibri" w:eastAsia="PMingLiU" w:hAnsi="Calibri" w:cs="Calibri"/>
        </w:rPr>
        <w:t xml:space="preserve"> will provide </w:t>
      </w:r>
      <w:r w:rsidRPr="5326C409">
        <w:rPr>
          <w:rFonts w:ascii="Calibri" w:eastAsia="PMingLiU" w:hAnsi="Calibri" w:cs="Times New Roman"/>
        </w:rPr>
        <w:t xml:space="preserve">MRMC with the opportunity to participate in a number of the following UMMHC programs to increase access and </w:t>
      </w:r>
      <w:r w:rsidR="39FC54A5" w:rsidRPr="5326C409">
        <w:rPr>
          <w:rFonts w:ascii="Calibri" w:eastAsia="PMingLiU" w:hAnsi="Calibri" w:cs="Times New Roman"/>
        </w:rPr>
        <w:t xml:space="preserve">potentially </w:t>
      </w:r>
      <w:r w:rsidRPr="5326C409">
        <w:rPr>
          <w:rFonts w:ascii="Calibri" w:eastAsia="PMingLiU" w:hAnsi="Calibri" w:cs="Times New Roman"/>
        </w:rPr>
        <w:t>reduce the overall cost of care:</w:t>
      </w:r>
    </w:p>
    <w:p w14:paraId="3158DC68" w14:textId="7F91FFE5" w:rsidR="00793CF1" w:rsidRPr="00EE2C04" w:rsidRDefault="00793CF1" w:rsidP="00A50A54">
      <w:pPr>
        <w:numPr>
          <w:ilvl w:val="0"/>
          <w:numId w:val="3"/>
        </w:numPr>
        <w:tabs>
          <w:tab w:val="left" w:pos="360"/>
        </w:tabs>
        <w:spacing w:after="240"/>
        <w:ind w:left="720"/>
        <w:rPr>
          <w:rFonts w:ascii="Calibri" w:eastAsia="PMingLiU" w:hAnsi="Calibri" w:cs="Calibri"/>
        </w:rPr>
      </w:pPr>
      <w:r w:rsidRPr="006A1B85">
        <w:rPr>
          <w:rFonts w:ascii="Calibri" w:eastAsia="PMingLiU" w:hAnsi="Calibri" w:cs="Calibri"/>
          <w:b/>
          <w:bCs/>
        </w:rPr>
        <w:t>Hospital at Home (HAH):</w:t>
      </w:r>
      <w:r w:rsidRPr="006A1B85">
        <w:rPr>
          <w:rFonts w:ascii="Calibri" w:eastAsia="PMingLiU" w:hAnsi="Calibri" w:cs="Calibri"/>
        </w:rPr>
        <w:t xml:space="preserve"> UMMHC initiated its HAH in the summer of 2021 as a key part of its strategy to expand patient capacity, reduce costs, and improve outcomes for </w:t>
      </w:r>
      <w:r w:rsidR="00087A93" w:rsidRPr="006A1B85">
        <w:rPr>
          <w:rFonts w:ascii="Calibri" w:eastAsia="PMingLiU" w:hAnsi="Calibri" w:cs="Calibri"/>
        </w:rPr>
        <w:t>generally lower-acuity patients</w:t>
      </w:r>
      <w:r w:rsidRPr="006A1B85">
        <w:rPr>
          <w:rFonts w:ascii="Calibri" w:eastAsia="PMingLiU" w:hAnsi="Calibri" w:cs="Calibri"/>
        </w:rPr>
        <w:t xml:space="preserve">. UMMHC has demonstrated that this program has successfully reduced total costs, with 20-30% reductions in 30-day readmissions and 80-90% reductions in transfers to </w:t>
      </w:r>
      <w:r w:rsidR="00087A93" w:rsidRPr="006A1B85">
        <w:rPr>
          <w:rFonts w:ascii="Calibri" w:eastAsia="PMingLiU" w:hAnsi="Calibri" w:cs="Calibri"/>
        </w:rPr>
        <w:t>skilled</w:t>
      </w:r>
      <w:r w:rsidRPr="006A1B85">
        <w:rPr>
          <w:rFonts w:ascii="Calibri" w:eastAsia="PMingLiU" w:hAnsi="Calibri" w:cs="Calibri"/>
        </w:rPr>
        <w:t xml:space="preserve"> nursing facilities (SNFs) when comparing the HAH program to hospitalist service benchmarks. </w:t>
      </w:r>
      <w:r w:rsidR="00087A93" w:rsidRPr="006A1B85">
        <w:rPr>
          <w:rFonts w:ascii="Calibri" w:eastAsia="PMingLiU" w:hAnsi="Calibri" w:cs="Calibri"/>
        </w:rPr>
        <w:t>T</w:t>
      </w:r>
      <w:r w:rsidRPr="006A1B85">
        <w:rPr>
          <w:rFonts w:ascii="Calibri" w:eastAsia="PMingLiU" w:hAnsi="Calibri" w:cs="Calibri"/>
        </w:rPr>
        <w:t xml:space="preserve">he program has had </w:t>
      </w:r>
      <w:r w:rsidR="00087A93" w:rsidRPr="006A1B85">
        <w:rPr>
          <w:rFonts w:ascii="Calibri" w:eastAsia="PMingLiU" w:hAnsi="Calibri" w:cs="Calibri"/>
        </w:rPr>
        <w:t xml:space="preserve">positive </w:t>
      </w:r>
      <w:r w:rsidRPr="006A1B85">
        <w:rPr>
          <w:rFonts w:ascii="Calibri" w:eastAsia="PMingLiU" w:hAnsi="Calibri" w:cs="Calibri"/>
        </w:rPr>
        <w:t>outcomes for UMMHC’s most disadvantaged patients. For example, the average 30-day readmissions were reduced by 20-30% across the HAH patient population</w:t>
      </w:r>
      <w:r w:rsidR="00A129A5" w:rsidRPr="006A1B85">
        <w:rPr>
          <w:rFonts w:ascii="Calibri" w:eastAsia="PMingLiU" w:hAnsi="Calibri" w:cs="Calibri"/>
        </w:rPr>
        <w:t>; and</w:t>
      </w:r>
      <w:r w:rsidRPr="006A1B85">
        <w:rPr>
          <w:rFonts w:ascii="Calibri" w:eastAsia="PMingLiU" w:hAnsi="Calibri" w:cs="Calibri"/>
        </w:rPr>
        <w:t xml:space="preserve"> the reduction in 30-day readmissions </w:t>
      </w:r>
      <w:r w:rsidR="00086E14" w:rsidRPr="006A1B85">
        <w:rPr>
          <w:rFonts w:ascii="Calibri" w:eastAsia="PMingLiU" w:hAnsi="Calibri" w:cs="Calibri"/>
        </w:rPr>
        <w:t xml:space="preserve">for Medicaid and Medicare/Medicaid dual-enrolled patients </w:t>
      </w:r>
      <w:r w:rsidRPr="006A1B85">
        <w:rPr>
          <w:rFonts w:ascii="Calibri" w:eastAsia="PMingLiU" w:hAnsi="Calibri" w:cs="Calibri"/>
        </w:rPr>
        <w:t xml:space="preserve">is closer to 50-60%. </w:t>
      </w:r>
      <w:r w:rsidR="00A129A5" w:rsidRPr="006A1B85">
        <w:rPr>
          <w:rFonts w:ascii="Calibri" w:eastAsia="PMingLiU" w:hAnsi="Calibri" w:cs="Calibri"/>
        </w:rPr>
        <w:t xml:space="preserve">By performing home visits, </w:t>
      </w:r>
      <w:r w:rsidRPr="006A1B85">
        <w:rPr>
          <w:rFonts w:ascii="Calibri" w:eastAsia="PMingLiU" w:hAnsi="Calibri" w:cs="Calibri"/>
        </w:rPr>
        <w:t>the UMMHC staff</w:t>
      </w:r>
      <w:r w:rsidR="00086E14" w:rsidRPr="006A1B85">
        <w:rPr>
          <w:rFonts w:ascii="Calibri" w:eastAsia="PMingLiU" w:hAnsi="Calibri" w:cs="Calibri"/>
        </w:rPr>
        <w:t xml:space="preserve"> can</w:t>
      </w:r>
      <w:r w:rsidR="00087A93" w:rsidRPr="006A1B85">
        <w:rPr>
          <w:rFonts w:ascii="Calibri" w:eastAsia="PMingLiU" w:hAnsi="Calibri" w:cs="Calibri"/>
        </w:rPr>
        <w:t xml:space="preserve"> more-readily</w:t>
      </w:r>
      <w:r w:rsidRPr="006A1B85">
        <w:rPr>
          <w:rFonts w:ascii="Calibri" w:eastAsia="PMingLiU" w:hAnsi="Calibri" w:cs="Calibri"/>
        </w:rPr>
        <w:t xml:space="preserve"> identify</w:t>
      </w:r>
      <w:r w:rsidR="00A129A5" w:rsidRPr="006A1B85">
        <w:rPr>
          <w:rFonts w:ascii="Calibri" w:eastAsia="PMingLiU" w:hAnsi="Calibri" w:cs="Calibri"/>
        </w:rPr>
        <w:t xml:space="preserve"> </w:t>
      </w:r>
      <w:r w:rsidRPr="006A1B85">
        <w:rPr>
          <w:rFonts w:ascii="Calibri" w:eastAsia="PMingLiU" w:hAnsi="Calibri" w:cs="Calibri"/>
        </w:rPr>
        <w:t xml:space="preserve">social needs and challenges patients </w:t>
      </w:r>
      <w:r w:rsidR="00086E14" w:rsidRPr="006A1B85">
        <w:rPr>
          <w:rFonts w:ascii="Calibri" w:eastAsia="PMingLiU" w:hAnsi="Calibri" w:cs="Calibri"/>
        </w:rPr>
        <w:t xml:space="preserve">face </w:t>
      </w:r>
      <w:r w:rsidRPr="006A1B85">
        <w:rPr>
          <w:rFonts w:ascii="Calibri" w:eastAsia="PMingLiU" w:hAnsi="Calibri" w:cs="Calibri"/>
        </w:rPr>
        <w:t xml:space="preserve">and to find ways to address them. </w:t>
      </w:r>
      <w:r w:rsidR="690DE370" w:rsidRPr="006A1B85">
        <w:rPr>
          <w:rFonts w:ascii="Calibri" w:eastAsia="PMingLiU" w:hAnsi="Calibri" w:cs="Calibri"/>
        </w:rPr>
        <w:t>Currently, the HAH serves four towns within the MR</w:t>
      </w:r>
      <w:r w:rsidR="00265B00">
        <w:rPr>
          <w:rFonts w:ascii="Calibri" w:eastAsia="PMingLiU" w:hAnsi="Calibri" w:cs="Calibri"/>
        </w:rPr>
        <w:t>M</w:t>
      </w:r>
      <w:r w:rsidR="690DE370" w:rsidRPr="006A1B85">
        <w:rPr>
          <w:rFonts w:ascii="Calibri" w:eastAsia="PMingLiU" w:hAnsi="Calibri" w:cs="Calibri"/>
        </w:rPr>
        <w:t>C service area.</w:t>
      </w:r>
    </w:p>
    <w:p w14:paraId="390C3ED9" w14:textId="51A79267" w:rsidR="00793CF1" w:rsidRPr="00EE2C04" w:rsidRDefault="00793CF1" w:rsidP="00A50A54">
      <w:pPr>
        <w:numPr>
          <w:ilvl w:val="0"/>
          <w:numId w:val="3"/>
        </w:numPr>
        <w:tabs>
          <w:tab w:val="left" w:pos="360"/>
        </w:tabs>
        <w:spacing w:after="240"/>
        <w:ind w:left="720"/>
        <w:rPr>
          <w:rFonts w:ascii="Calibri" w:eastAsia="PMingLiU" w:hAnsi="Calibri" w:cs="Calibri"/>
        </w:rPr>
      </w:pPr>
      <w:r w:rsidRPr="755C40DB">
        <w:rPr>
          <w:rFonts w:ascii="Calibri" w:eastAsia="PMingLiU" w:hAnsi="Calibri" w:cs="Calibri"/>
          <w:b/>
          <w:bCs/>
        </w:rPr>
        <w:t>Mobile Integrated Health (MIH)</w:t>
      </w:r>
      <w:r w:rsidR="0088676F" w:rsidRPr="755C40DB">
        <w:rPr>
          <w:rFonts w:ascii="Calibri" w:eastAsia="PMingLiU" w:hAnsi="Calibri" w:cs="Calibri"/>
          <w:b/>
          <w:bCs/>
        </w:rPr>
        <w:t xml:space="preserve"> </w:t>
      </w:r>
      <w:r w:rsidR="0088676F" w:rsidRPr="755C40DB">
        <w:rPr>
          <w:rFonts w:ascii="Calibri" w:eastAsia="PMingLiU" w:hAnsi="Calibri" w:cs="Calibri"/>
        </w:rPr>
        <w:t>was l</w:t>
      </w:r>
      <w:r w:rsidRPr="755C40DB">
        <w:rPr>
          <w:rFonts w:ascii="Calibri" w:eastAsia="PMingLiU" w:hAnsi="Calibri" w:cs="Calibri"/>
        </w:rPr>
        <w:t xml:space="preserve">aunched in June 2021 to reduce emergency department and hospital admissions by sending paramedics into patients’ homes to provide services and interventions. </w:t>
      </w:r>
      <w:r w:rsidR="0088676F" w:rsidRPr="755C40DB">
        <w:rPr>
          <w:rFonts w:ascii="Calibri" w:eastAsia="PMingLiU" w:hAnsi="Calibri" w:cs="Calibri"/>
        </w:rPr>
        <w:t>P</w:t>
      </w:r>
      <w:r w:rsidRPr="755C40DB">
        <w:rPr>
          <w:rFonts w:ascii="Calibri" w:eastAsia="PMingLiU" w:hAnsi="Calibri" w:cs="Calibri"/>
        </w:rPr>
        <w:t xml:space="preserve">atients </w:t>
      </w:r>
      <w:r w:rsidR="00086E14" w:rsidRPr="755C40DB">
        <w:rPr>
          <w:rFonts w:ascii="Calibri" w:eastAsia="PMingLiU" w:hAnsi="Calibri" w:cs="Calibri"/>
        </w:rPr>
        <w:t xml:space="preserve">who </w:t>
      </w:r>
      <w:r w:rsidRPr="755C40DB">
        <w:rPr>
          <w:rFonts w:ascii="Calibri" w:eastAsia="PMingLiU" w:hAnsi="Calibri" w:cs="Calibri"/>
        </w:rPr>
        <w:t xml:space="preserve">are part of UMMHC’s value-based programs and have consented to this </w:t>
      </w:r>
      <w:r w:rsidR="0088676F" w:rsidRPr="755C40DB">
        <w:rPr>
          <w:rFonts w:ascii="Calibri" w:eastAsia="PMingLiU" w:hAnsi="Calibri" w:cs="Calibri"/>
        </w:rPr>
        <w:t>program</w:t>
      </w:r>
      <w:r w:rsidR="00086E14" w:rsidRPr="755C40DB">
        <w:rPr>
          <w:rFonts w:ascii="Calibri" w:eastAsia="PMingLiU" w:hAnsi="Calibri" w:cs="Calibri"/>
        </w:rPr>
        <w:t>;</w:t>
      </w:r>
      <w:r w:rsidR="0088676F" w:rsidRPr="755C40DB">
        <w:rPr>
          <w:rFonts w:ascii="Calibri" w:eastAsia="PMingLiU" w:hAnsi="Calibri" w:cs="Calibri"/>
        </w:rPr>
        <w:t xml:space="preserve"> </w:t>
      </w:r>
      <w:r w:rsidRPr="755C40DB">
        <w:rPr>
          <w:rFonts w:ascii="Calibri" w:eastAsia="PMingLiU" w:hAnsi="Calibri" w:cs="Calibri"/>
        </w:rPr>
        <w:t xml:space="preserve">rather than going to the emergency </w:t>
      </w:r>
      <w:r w:rsidR="0088676F" w:rsidRPr="755C40DB">
        <w:rPr>
          <w:rFonts w:ascii="Calibri" w:eastAsia="PMingLiU" w:hAnsi="Calibri" w:cs="Calibri"/>
        </w:rPr>
        <w:t>department, they initially call a triage line</w:t>
      </w:r>
      <w:r w:rsidR="00086E14" w:rsidRPr="755C40DB">
        <w:rPr>
          <w:rFonts w:ascii="Calibri" w:eastAsia="PMingLiU" w:hAnsi="Calibri" w:cs="Calibri"/>
        </w:rPr>
        <w:t xml:space="preserve"> where a </w:t>
      </w:r>
      <w:r w:rsidRPr="755C40DB">
        <w:rPr>
          <w:rFonts w:ascii="Calibri" w:eastAsia="PMingLiU" w:hAnsi="Calibri" w:cs="Calibri"/>
        </w:rPr>
        <w:t xml:space="preserve">trained paramedic triage provider assesses </w:t>
      </w:r>
      <w:r w:rsidR="0088676F" w:rsidRPr="755C40DB">
        <w:rPr>
          <w:rFonts w:ascii="Calibri" w:eastAsia="PMingLiU" w:hAnsi="Calibri" w:cs="Calibri"/>
        </w:rPr>
        <w:t xml:space="preserve">whether </w:t>
      </w:r>
      <w:r w:rsidRPr="755C40DB">
        <w:rPr>
          <w:rFonts w:ascii="Calibri" w:eastAsia="PMingLiU" w:hAnsi="Calibri" w:cs="Calibri"/>
        </w:rPr>
        <w:t>the MIH paramedic team can be deployed</w:t>
      </w:r>
      <w:r w:rsidR="00086E14" w:rsidRPr="755C40DB">
        <w:rPr>
          <w:rFonts w:ascii="Calibri" w:eastAsia="PMingLiU" w:hAnsi="Calibri" w:cs="Calibri"/>
        </w:rPr>
        <w:t>.</w:t>
      </w:r>
      <w:r w:rsidR="0088676F" w:rsidRPr="755C40DB">
        <w:rPr>
          <w:rFonts w:ascii="Calibri" w:eastAsia="PMingLiU" w:hAnsi="Calibri" w:cs="Calibri"/>
        </w:rPr>
        <w:t xml:space="preserve"> During 2023, UMMHC utilized this service for 264 visits to over 160 patients’ homes; </w:t>
      </w:r>
      <w:r w:rsidRPr="006A1B85">
        <w:rPr>
          <w:rFonts w:ascii="Calibri" w:eastAsia="PMingLiU" w:hAnsi="Calibri" w:cs="Calibri"/>
        </w:rPr>
        <w:t xml:space="preserve">77% of the patients enrolled in this service </w:t>
      </w:r>
      <w:r w:rsidR="0088676F" w:rsidRPr="006A1B85">
        <w:rPr>
          <w:rFonts w:ascii="Calibri" w:eastAsia="PMingLiU" w:hAnsi="Calibri" w:cs="Calibri"/>
        </w:rPr>
        <w:t xml:space="preserve">had </w:t>
      </w:r>
      <w:r w:rsidRPr="006A1B85">
        <w:rPr>
          <w:rFonts w:ascii="Calibri" w:eastAsia="PMingLiU" w:hAnsi="Calibri" w:cs="Calibri"/>
        </w:rPr>
        <w:t>no emergency visits within the 30 days following the MIH visit and 54% had no visit within the following three months following the MIH visit.</w:t>
      </w:r>
    </w:p>
    <w:p w14:paraId="25D3E619" w14:textId="3BE13F0F" w:rsidR="00793CF1" w:rsidRPr="00EE2C04" w:rsidRDefault="00793CF1" w:rsidP="00A50A54">
      <w:pPr>
        <w:numPr>
          <w:ilvl w:val="0"/>
          <w:numId w:val="3"/>
        </w:numPr>
        <w:tabs>
          <w:tab w:val="left" w:pos="360"/>
        </w:tabs>
        <w:spacing w:after="240"/>
        <w:ind w:left="720"/>
        <w:rPr>
          <w:rFonts w:ascii="Calibri" w:eastAsia="PMingLiU" w:hAnsi="Calibri" w:cs="Calibri"/>
        </w:rPr>
      </w:pPr>
      <w:r w:rsidRPr="00EE2C04">
        <w:rPr>
          <w:rFonts w:ascii="Calibri" w:eastAsia="PMingLiU" w:hAnsi="Calibri" w:cs="Calibri"/>
          <w:b/>
          <w:bCs/>
        </w:rPr>
        <w:t>Road to Care</w:t>
      </w:r>
      <w:r w:rsidRPr="00EE2C04">
        <w:rPr>
          <w:rFonts w:ascii="Calibri" w:eastAsia="PMingLiU" w:hAnsi="Calibri" w:cs="Calibri"/>
        </w:rPr>
        <w:t xml:space="preserve"> provide</w:t>
      </w:r>
      <w:r w:rsidR="00086E14">
        <w:rPr>
          <w:rFonts w:ascii="Calibri" w:eastAsia="PMingLiU" w:hAnsi="Calibri" w:cs="Calibri"/>
        </w:rPr>
        <w:t>s</w:t>
      </w:r>
      <w:r w:rsidRPr="00EE2C04">
        <w:rPr>
          <w:rFonts w:ascii="Calibri" w:eastAsia="PMingLiU" w:hAnsi="Calibri" w:cs="Calibri"/>
        </w:rPr>
        <w:t xml:space="preserve"> coordinated and accessible behavioral health services to the most at-risk (and </w:t>
      </w:r>
      <w:proofErr w:type="gramStart"/>
      <w:r w:rsidRPr="00EE2C04">
        <w:rPr>
          <w:rFonts w:ascii="Calibri" w:eastAsia="PMingLiU" w:hAnsi="Calibri" w:cs="Calibri"/>
        </w:rPr>
        <w:t>high-cost</w:t>
      </w:r>
      <w:proofErr w:type="gramEnd"/>
      <w:r w:rsidRPr="00EE2C04">
        <w:rPr>
          <w:rFonts w:ascii="Calibri" w:eastAsia="PMingLiU" w:hAnsi="Calibri" w:cs="Calibri"/>
        </w:rPr>
        <w:t>) patients</w:t>
      </w:r>
      <w:r w:rsidR="00EE2C04" w:rsidRPr="00EE2C04">
        <w:rPr>
          <w:rFonts w:ascii="Calibri" w:eastAsia="PMingLiU" w:hAnsi="Calibri" w:cs="Calibri"/>
        </w:rPr>
        <w:t xml:space="preserve"> through a mobile addiction service</w:t>
      </w:r>
      <w:r w:rsidR="00086E14">
        <w:rPr>
          <w:rFonts w:ascii="Calibri" w:eastAsia="PMingLiU" w:hAnsi="Calibri" w:cs="Calibri"/>
        </w:rPr>
        <w:t xml:space="preserve"> in</w:t>
      </w:r>
      <w:r w:rsidR="00EE2C04" w:rsidRPr="00EE2C04">
        <w:rPr>
          <w:rFonts w:ascii="Calibri" w:eastAsia="PMingLiU" w:hAnsi="Calibri" w:cs="Calibri"/>
        </w:rPr>
        <w:t xml:space="preserve"> Central Massachusetts</w:t>
      </w:r>
      <w:r w:rsidR="00167779">
        <w:rPr>
          <w:rFonts w:ascii="Calibri" w:eastAsia="PMingLiU" w:hAnsi="Calibri" w:cs="Calibri"/>
        </w:rPr>
        <w:t>;</w:t>
      </w:r>
      <w:r w:rsidR="00EE2C04" w:rsidRPr="00EE2C04">
        <w:rPr>
          <w:rFonts w:ascii="Calibri" w:eastAsia="PMingLiU" w:hAnsi="Calibri" w:cs="Calibri"/>
        </w:rPr>
        <w:t xml:space="preserve"> </w:t>
      </w:r>
      <w:r w:rsidR="00167779">
        <w:rPr>
          <w:rFonts w:ascii="Calibri" w:eastAsia="PMingLiU" w:hAnsi="Calibri" w:cs="Calibri"/>
        </w:rPr>
        <w:t xml:space="preserve">it also provides </w:t>
      </w:r>
      <w:r w:rsidR="00167779" w:rsidRPr="00167779">
        <w:rPr>
          <w:rFonts w:ascii="Calibri" w:eastAsia="PMingLiU" w:hAnsi="Calibri" w:cs="Calibri"/>
        </w:rPr>
        <w:t xml:space="preserve">preventive </w:t>
      </w:r>
      <w:r w:rsidR="00167779">
        <w:rPr>
          <w:rFonts w:ascii="Calibri" w:eastAsia="PMingLiU" w:hAnsi="Calibri" w:cs="Calibri"/>
        </w:rPr>
        <w:t>care,</w:t>
      </w:r>
      <w:r w:rsidR="00167779" w:rsidRPr="00167779">
        <w:rPr>
          <w:rFonts w:ascii="Calibri" w:eastAsia="PMingLiU" w:hAnsi="Calibri" w:cs="Calibri"/>
        </w:rPr>
        <w:t xml:space="preserve"> wound care</w:t>
      </w:r>
      <w:r w:rsidR="00167779">
        <w:rPr>
          <w:rFonts w:ascii="Calibri" w:eastAsia="PMingLiU" w:hAnsi="Calibri" w:cs="Calibri"/>
        </w:rPr>
        <w:t>, and</w:t>
      </w:r>
      <w:r w:rsidR="00167779" w:rsidRPr="00167779">
        <w:rPr>
          <w:rFonts w:ascii="Calibri" w:eastAsia="PMingLiU" w:hAnsi="Calibri" w:cs="Calibri"/>
        </w:rPr>
        <w:t xml:space="preserve"> </w:t>
      </w:r>
      <w:r w:rsidRPr="00EE2C04">
        <w:rPr>
          <w:rFonts w:ascii="Calibri" w:eastAsia="PMingLiU" w:hAnsi="Calibri" w:cs="Calibri"/>
        </w:rPr>
        <w:t xml:space="preserve">coordinates referrals to primary care and specialty programs. </w:t>
      </w:r>
    </w:p>
    <w:p w14:paraId="333DF706" w14:textId="29F854FD" w:rsidR="002251FC" w:rsidRPr="002070BE" w:rsidRDefault="002251FC" w:rsidP="002070BE">
      <w:pPr>
        <w:tabs>
          <w:tab w:val="left" w:pos="360"/>
        </w:tabs>
        <w:spacing w:after="240"/>
        <w:ind w:left="360"/>
        <w:rPr>
          <w:rFonts w:ascii="Calibri" w:eastAsia="PMingLiU" w:hAnsi="Calibri" w:cs="Calibri"/>
          <w:b/>
          <w:bCs/>
          <w:i/>
          <w:iCs/>
        </w:rPr>
      </w:pPr>
      <w:r w:rsidRPr="002070BE">
        <w:rPr>
          <w:rFonts w:ascii="Calibri" w:eastAsia="PMingLiU" w:hAnsi="Calibri" w:cs="Calibri"/>
          <w:b/>
          <w:bCs/>
          <w:i/>
          <w:iCs/>
        </w:rPr>
        <w:t>Analysis</w:t>
      </w:r>
    </w:p>
    <w:p w14:paraId="7149184D" w14:textId="58AB2B60" w:rsidR="002251FC" w:rsidRPr="002251FC" w:rsidRDefault="785BC001" w:rsidP="002251FC">
      <w:pPr>
        <w:tabs>
          <w:tab w:val="left" w:pos="360"/>
        </w:tabs>
        <w:spacing w:after="240"/>
        <w:rPr>
          <w:rFonts w:ascii="Calibri" w:eastAsia="Calibri" w:hAnsi="Calibri" w:cs="Calibri"/>
        </w:rPr>
      </w:pPr>
      <w:r w:rsidRPr="5326C409">
        <w:rPr>
          <w:rFonts w:ascii="Calibri" w:eastAsia="PMingLiU" w:hAnsi="Calibri" w:cs="Calibri"/>
        </w:rPr>
        <w:t xml:space="preserve"> </w:t>
      </w:r>
      <w:r w:rsidRPr="5326C409">
        <w:rPr>
          <w:rFonts w:ascii="Calibri" w:eastAsia="Calibri" w:hAnsi="Calibri" w:cs="Calibri"/>
        </w:rPr>
        <w:t xml:space="preserve">The Project offers UMMHC and MRMC an opportunity to work collaboratively to further develop their long-standing clinical relationships and implement investments in </w:t>
      </w:r>
      <w:r w:rsidR="26B3A624" w:rsidRPr="5326C409">
        <w:rPr>
          <w:rFonts w:ascii="Calibri" w:eastAsia="Calibri" w:hAnsi="Calibri" w:cs="Calibri"/>
        </w:rPr>
        <w:t xml:space="preserve">innovative </w:t>
      </w:r>
      <w:r w:rsidRPr="5326C409">
        <w:rPr>
          <w:rFonts w:ascii="Calibri" w:eastAsia="Calibri" w:hAnsi="Calibri" w:cs="Calibri"/>
        </w:rPr>
        <w:t xml:space="preserve">clinical programming and information technology that can enhance the delivery of care in a lower cost community setting. </w:t>
      </w:r>
    </w:p>
    <w:p w14:paraId="516E9A32" w14:textId="685508B2" w:rsidR="00A43951" w:rsidRDefault="00A43951" w:rsidP="6CE004FB">
      <w:pPr>
        <w:pStyle w:val="Heading2"/>
        <w:spacing w:line="240" w:lineRule="auto"/>
        <w:rPr>
          <w:rFonts w:asciiTheme="minorHAnsi" w:hAnsiTheme="minorHAnsi" w:cstheme="minorBidi"/>
          <w:sz w:val="28"/>
          <w:szCs w:val="28"/>
        </w:rPr>
      </w:pPr>
      <w:bookmarkStart w:id="42" w:name="_Toc157428828"/>
      <w:bookmarkStart w:id="43" w:name="_Toc169264787"/>
      <w:r w:rsidRPr="6CE004FB">
        <w:rPr>
          <w:rFonts w:asciiTheme="minorHAnsi" w:hAnsiTheme="minorHAnsi" w:cstheme="minorBidi"/>
          <w:sz w:val="28"/>
          <w:szCs w:val="28"/>
        </w:rPr>
        <w:t xml:space="preserve">Factor 1: b) </w:t>
      </w:r>
      <w:r w:rsidR="004954E4" w:rsidRPr="6CE004FB">
        <w:rPr>
          <w:rFonts w:asciiTheme="minorHAnsi" w:hAnsiTheme="minorHAnsi" w:cstheme="minorBidi"/>
          <w:sz w:val="28"/>
          <w:szCs w:val="28"/>
        </w:rPr>
        <w:t>P</w:t>
      </w:r>
      <w:r w:rsidRPr="6CE004FB">
        <w:rPr>
          <w:rFonts w:asciiTheme="minorHAnsi" w:hAnsiTheme="minorHAnsi" w:cstheme="minorBidi"/>
          <w:sz w:val="28"/>
          <w:szCs w:val="28"/>
        </w:rPr>
        <w:t>ublic health value, improved health outcomes and quality of life; assurances of health equity</w:t>
      </w:r>
      <w:bookmarkEnd w:id="36"/>
      <w:bookmarkEnd w:id="42"/>
      <w:bookmarkEnd w:id="43"/>
      <w:r w:rsidR="00B767A9" w:rsidRPr="6CE004FB">
        <w:rPr>
          <w:rFonts w:asciiTheme="minorHAnsi" w:hAnsiTheme="minorHAnsi" w:cstheme="minorBidi"/>
          <w:sz w:val="28"/>
          <w:szCs w:val="28"/>
        </w:rPr>
        <w:t xml:space="preserve"> </w:t>
      </w:r>
    </w:p>
    <w:p w14:paraId="0D8F4833" w14:textId="77777777" w:rsidR="005205FB" w:rsidRDefault="005205FB" w:rsidP="005205FB"/>
    <w:p w14:paraId="4BAF254B" w14:textId="5D1519E5" w:rsidR="005205FB" w:rsidRPr="005205FB" w:rsidRDefault="005205FB" w:rsidP="005205FB">
      <w:r w:rsidRPr="005205FB">
        <w:t xml:space="preserve">In this section the Applicant must demonstrate that the Proposed Project adds measurable public health value in terms of improved health outcomes and quality of life for the Applicant’s existing patient panel, while providing reasonable assurances of health equity. </w:t>
      </w:r>
    </w:p>
    <w:p w14:paraId="6728B545" w14:textId="77777777" w:rsidR="007B1DAB" w:rsidRDefault="007B1DAB" w:rsidP="007B1DAB"/>
    <w:p w14:paraId="62ED00FA" w14:textId="36C23A0A" w:rsidR="002B07D6" w:rsidRDefault="002B07D6" w:rsidP="00CE2739">
      <w:pPr>
        <w:contextualSpacing/>
        <w:rPr>
          <w:b/>
          <w:bCs/>
        </w:rPr>
      </w:pPr>
      <w:bookmarkStart w:id="44" w:name="_Toc17149377"/>
      <w:bookmarkStart w:id="45" w:name="_Toc17151181"/>
      <w:bookmarkEnd w:id="37"/>
      <w:bookmarkEnd w:id="38"/>
      <w:bookmarkEnd w:id="39"/>
      <w:bookmarkEnd w:id="40"/>
      <w:bookmarkEnd w:id="41"/>
      <w:r w:rsidRPr="005A385E">
        <w:rPr>
          <w:b/>
          <w:bCs/>
        </w:rPr>
        <w:t>Public Health Value</w:t>
      </w:r>
      <w:r w:rsidR="005A385E" w:rsidRPr="005A385E">
        <w:rPr>
          <w:b/>
          <w:bCs/>
        </w:rPr>
        <w:t>-</w:t>
      </w:r>
      <w:r w:rsidRPr="005A385E">
        <w:rPr>
          <w:b/>
          <w:bCs/>
        </w:rPr>
        <w:t xml:space="preserve"> Health Outcomes, and Quality of Life</w:t>
      </w:r>
    </w:p>
    <w:p w14:paraId="7D1FC04F" w14:textId="77777777" w:rsidR="00A84591" w:rsidRPr="00161FA8" w:rsidRDefault="00A84591" w:rsidP="00CE2739">
      <w:pPr>
        <w:contextualSpacing/>
      </w:pPr>
    </w:p>
    <w:p w14:paraId="1D63DB3D" w14:textId="5148EAE7" w:rsidR="00161FA8" w:rsidRDefault="3790F72F" w:rsidP="00CE2739">
      <w:pPr>
        <w:contextualSpacing/>
      </w:pPr>
      <w:r w:rsidRPr="008C5590">
        <w:t xml:space="preserve">The Applicant asserts </w:t>
      </w:r>
      <w:r w:rsidR="56998396">
        <w:t xml:space="preserve">the </w:t>
      </w:r>
      <w:r w:rsidRPr="008C5590">
        <w:t>Proposed Affiliation addresses the public health need to maintain access to high-quality health local care in the MRMC community by preserving the full spectrum of patient services.</w:t>
      </w:r>
      <w:r>
        <w:t xml:space="preserve"> </w:t>
      </w:r>
      <w:r w:rsidR="007F1B91" w:rsidRPr="00161FA8">
        <w:t>The</w:t>
      </w:r>
      <w:r>
        <w:t xml:space="preserve"> Applicant cites</w:t>
      </w:r>
      <w:r w:rsidR="007F1B91" w:rsidRPr="00161FA8">
        <w:t xml:space="preserve"> </w:t>
      </w:r>
      <w:r>
        <w:t xml:space="preserve">studies showing </w:t>
      </w:r>
      <w:r w:rsidR="007F1B91" w:rsidRPr="00161FA8">
        <w:t>that delays in accessing health care are associated with negative health outcomes, specifically mortality.</w:t>
      </w:r>
      <w:r w:rsidR="00161FA8" w:rsidRPr="00161FA8">
        <w:rPr>
          <w:vertAlign w:val="superscript"/>
        </w:rPr>
        <w:endnoteReference w:id="4"/>
      </w:r>
      <w:r w:rsidR="007F1B91" w:rsidRPr="00161FA8">
        <w:t xml:space="preserve"> Further, a 2020 article by the Department of Health and Human Services</w:t>
      </w:r>
      <w:r w:rsidR="00161FA8" w:rsidRPr="00161FA8">
        <w:rPr>
          <w:vertAlign w:val="superscript"/>
        </w:rPr>
        <w:endnoteReference w:id="5"/>
      </w:r>
      <w:r w:rsidR="007F1B91" w:rsidRPr="00161FA8">
        <w:t xml:space="preserve"> outlines the following key factors associated with “access” to care: coverage, services, and timeliness.</w:t>
      </w:r>
      <w:r w:rsidR="00161FA8" w:rsidRPr="00161FA8">
        <w:rPr>
          <w:vertAlign w:val="superscript"/>
        </w:rPr>
        <w:endnoteReference w:id="6"/>
      </w:r>
      <w:r w:rsidR="007F1B91" w:rsidRPr="00161FA8">
        <w:t xml:space="preserve">  According to the Health Policy Commission’s 2016 report on Community Hospitals, “[t]he local nature of community hospital services is important for patients for whom accessing care can be difficult.”</w:t>
      </w:r>
      <w:r w:rsidR="007F1B91" w:rsidRPr="00161FA8">
        <w:rPr>
          <w:vertAlign w:val="superscript"/>
        </w:rPr>
        <w:t xml:space="preserve"> </w:t>
      </w:r>
      <w:r w:rsidR="00161FA8" w:rsidRPr="00161FA8">
        <w:rPr>
          <w:vertAlign w:val="superscript"/>
        </w:rPr>
        <w:endnoteReference w:id="7"/>
      </w:r>
      <w:r>
        <w:t xml:space="preserve"> </w:t>
      </w:r>
      <w:r w:rsidR="007F1B91" w:rsidRPr="00161FA8">
        <w:t>The report acknowledges that this includes many patients covered by Medicare, MassHealth, or other government programs, who are more likely to rely on locally based care.</w:t>
      </w:r>
      <w:r w:rsidR="00161FA8" w:rsidRPr="00161FA8">
        <w:rPr>
          <w:vertAlign w:val="superscript"/>
        </w:rPr>
        <w:endnoteReference w:id="8"/>
      </w:r>
      <w:r w:rsidR="007F1B91" w:rsidRPr="00161FA8">
        <w:t xml:space="preserve">  </w:t>
      </w:r>
    </w:p>
    <w:p w14:paraId="637F9732" w14:textId="77777777" w:rsidR="00960E4B" w:rsidRPr="00161FA8" w:rsidRDefault="00960E4B" w:rsidP="00CE2739">
      <w:pPr>
        <w:contextualSpacing/>
      </w:pPr>
    </w:p>
    <w:p w14:paraId="1ADE6E35" w14:textId="5BC7EB41" w:rsidR="00161FA8" w:rsidRPr="00161FA8" w:rsidRDefault="007F1B91" w:rsidP="00CE2739">
      <w:pPr>
        <w:contextualSpacing/>
      </w:pPr>
      <w:r w:rsidRPr="00161FA8">
        <w:t xml:space="preserve">The </w:t>
      </w:r>
      <w:r w:rsidR="3790F72F">
        <w:t xml:space="preserve">Applicant states </w:t>
      </w:r>
      <w:r w:rsidR="56998396">
        <w:t xml:space="preserve">the </w:t>
      </w:r>
      <w:r w:rsidRPr="00161FA8">
        <w:t>Pro</w:t>
      </w:r>
      <w:r w:rsidR="3790F72F">
        <w:t>posed Affiliation</w:t>
      </w:r>
      <w:r w:rsidRPr="00161FA8">
        <w:t xml:space="preserve"> will expand access to primary and specialty services in the Milford region through the UMMHC network thereby saving many patients the burdensome time and transportation costs associated with travel for specialty care.</w:t>
      </w:r>
      <w:r w:rsidR="00161FA8" w:rsidRPr="00161FA8">
        <w:rPr>
          <w:vertAlign w:val="superscript"/>
        </w:rPr>
        <w:footnoteReference w:id="24"/>
      </w:r>
      <w:r w:rsidRPr="00161FA8">
        <w:rPr>
          <w:vertAlign w:val="superscript"/>
        </w:rPr>
        <w:t>,</w:t>
      </w:r>
      <w:r w:rsidR="00161FA8" w:rsidRPr="00161FA8">
        <w:rPr>
          <w:vertAlign w:val="superscript"/>
        </w:rPr>
        <w:footnoteReference w:id="25"/>
      </w:r>
      <w:r w:rsidR="3790F72F">
        <w:rPr>
          <w:vertAlign w:val="superscript"/>
        </w:rPr>
        <w:t xml:space="preserve">, </w:t>
      </w:r>
      <w:r w:rsidR="008C5590" w:rsidRPr="008C5590">
        <w:rPr>
          <w:vertAlign w:val="superscript"/>
        </w:rPr>
        <w:endnoteReference w:id="9"/>
      </w:r>
      <w:r w:rsidRPr="00161FA8">
        <w:rPr>
          <w:vertAlign w:val="superscript"/>
        </w:rPr>
        <w:t xml:space="preserve"> </w:t>
      </w:r>
      <w:r w:rsidRPr="00161FA8">
        <w:t>Further,</w:t>
      </w:r>
      <w:r w:rsidRPr="00161FA8">
        <w:rPr>
          <w:vertAlign w:val="superscript"/>
        </w:rPr>
        <w:t xml:space="preserve"> </w:t>
      </w:r>
      <w:r w:rsidRPr="00161FA8">
        <w:t>when necessary, MRMC patients can also benefit from increased appointment availability for specialty services across the whole UMMHC network, addressing this critical need identified in the MRMC Community Health Needs Assessment Report.</w:t>
      </w:r>
      <w:r w:rsidR="00161FA8" w:rsidRPr="00161FA8">
        <w:rPr>
          <w:vertAlign w:val="superscript"/>
        </w:rPr>
        <w:endnoteReference w:id="10"/>
      </w:r>
      <w:r w:rsidRPr="00161FA8">
        <w:t xml:space="preserve"> </w:t>
      </w:r>
    </w:p>
    <w:p w14:paraId="26293944" w14:textId="77777777" w:rsidR="00161FA8" w:rsidRPr="00161FA8" w:rsidRDefault="00161FA8" w:rsidP="00CE2739">
      <w:pPr>
        <w:contextualSpacing/>
      </w:pPr>
    </w:p>
    <w:p w14:paraId="0B63B759" w14:textId="04ACF579" w:rsidR="006A1B85" w:rsidRDefault="3790F72F" w:rsidP="755C40DB">
      <w:pPr>
        <w:contextualSpacing/>
      </w:pPr>
      <w:r>
        <w:t xml:space="preserve">The </w:t>
      </w:r>
      <w:r w:rsidR="00290A1C">
        <w:t xml:space="preserve">Applicant adds that the </w:t>
      </w:r>
      <w:r>
        <w:t xml:space="preserve">Proposed Affiliation may provide </w:t>
      </w:r>
      <w:r w:rsidR="007F1B91">
        <w:t xml:space="preserve">patients with complex and rare conditions </w:t>
      </w:r>
      <w:r>
        <w:t xml:space="preserve">and those with health challenges </w:t>
      </w:r>
      <w:r w:rsidR="007F1B91">
        <w:t>wi</w:t>
      </w:r>
      <w:r>
        <w:t>th</w:t>
      </w:r>
      <w:r w:rsidR="5C7490D5">
        <w:t xml:space="preserve"> enhanced quality of care through </w:t>
      </w:r>
      <w:r w:rsidR="007F1B91">
        <w:t xml:space="preserve">new </w:t>
      </w:r>
      <w:r w:rsidR="5C7490D5">
        <w:t xml:space="preserve">support </w:t>
      </w:r>
      <w:r w:rsidR="007F1B91">
        <w:t xml:space="preserve">tools that their physicians </w:t>
      </w:r>
      <w:r w:rsidR="5C7490D5">
        <w:t xml:space="preserve">can </w:t>
      </w:r>
      <w:r w:rsidR="007F1B91">
        <w:t xml:space="preserve">access. For </w:t>
      </w:r>
      <w:r w:rsidR="7AB0D072">
        <w:t>example,</w:t>
      </w:r>
      <w:r w:rsidR="007F1B91">
        <w:t xml:space="preserve"> Epic’s Look-Alikes community is a database for physicians encountering unusual cases whereby they can instantly connect with peers across the country who have relevant experience</w:t>
      </w:r>
      <w:r w:rsidR="11237A49">
        <w:t>,</w:t>
      </w:r>
      <w:r w:rsidR="007F1B91">
        <w:t xml:space="preserve"> thereby fostering knowledge</w:t>
      </w:r>
      <w:r w:rsidR="11237A49">
        <w:t>,</w:t>
      </w:r>
      <w:r w:rsidR="007F1B91">
        <w:t xml:space="preserve"> </w:t>
      </w:r>
      <w:r w:rsidR="11237A49">
        <w:t>sharing,</w:t>
      </w:r>
      <w:r w:rsidR="007F1B91">
        <w:t xml:space="preserve"> and aiding in accurate diagnosis,</w:t>
      </w:r>
      <w:r w:rsidR="4C6E0D3F">
        <w:t xml:space="preserve"> and</w:t>
      </w:r>
      <w:r w:rsidR="007F1B91">
        <w:t xml:space="preserve"> effective treatment. MRMC’s affiliation may also provide patients with access to experimental therapies when traditional therapies have failed. MRMC clinicians and patients will be able to take advantage of UMMHC’s embedded clinical trial management system and the </w:t>
      </w:r>
      <w:r w:rsidR="4C6E0D3F">
        <w:t xml:space="preserve">upcoming </w:t>
      </w:r>
      <w:r w:rsidR="007F1B91">
        <w:t xml:space="preserve">Epic “Clinical Matchmaking” tool, to facilitate pairing patients with appropriate clinical trials. </w:t>
      </w:r>
      <w:r w:rsidR="73D38D3E">
        <w:t xml:space="preserve">There are many other benefits of the electronic health records system that </w:t>
      </w:r>
      <w:r w:rsidR="23F643F1">
        <w:t>are centered around coordination of care and efficiencies gained; these are d</w:t>
      </w:r>
      <w:r w:rsidR="73D38D3E">
        <w:t>iscussed further under Factor 1(c)</w:t>
      </w:r>
      <w:r w:rsidR="7938EFBC">
        <w:t>.</w:t>
      </w:r>
    </w:p>
    <w:p w14:paraId="5B108279" w14:textId="77777777" w:rsidR="00A84591" w:rsidRDefault="00A84591" w:rsidP="00CE2739">
      <w:pPr>
        <w:contextualSpacing/>
      </w:pPr>
    </w:p>
    <w:p w14:paraId="3B103407" w14:textId="77777777" w:rsidR="00A84591" w:rsidRDefault="00A84591" w:rsidP="00CE2739">
      <w:pPr>
        <w:contextualSpacing/>
      </w:pPr>
      <w:r w:rsidRPr="00DD520F">
        <w:t xml:space="preserve">Outcomes- Assessment of Project Impact </w:t>
      </w:r>
    </w:p>
    <w:p w14:paraId="0FCEC356" w14:textId="77777777" w:rsidR="00DD520F" w:rsidRPr="00DD520F" w:rsidRDefault="00DD520F" w:rsidP="00CE2739">
      <w:pPr>
        <w:contextualSpacing/>
      </w:pPr>
    </w:p>
    <w:p w14:paraId="6BD9538D" w14:textId="10DAC527" w:rsidR="00DD520F" w:rsidRDefault="6312CF87" w:rsidP="00CE2739">
      <w:pPr>
        <w:contextualSpacing/>
      </w:pPr>
      <w:r w:rsidRPr="00A84591">
        <w:t xml:space="preserve">The </w:t>
      </w:r>
      <w:r w:rsidR="5C7490D5">
        <w:t>Applicant states the Proposed A</w:t>
      </w:r>
      <w:r w:rsidRPr="00A84591">
        <w:t>ffiliation will result in the full integration of MRMC into UMMHC’s extensive clinical quality efforts led by UMMHC’s Office of Clinical Integration (OCI).</w:t>
      </w:r>
      <w:r w:rsidR="00C45BD4">
        <w:rPr>
          <w:rStyle w:val="FootnoteReference"/>
        </w:rPr>
        <w:footnoteReference w:id="26"/>
      </w:r>
      <w:r w:rsidRPr="00A84591">
        <w:t xml:space="preserve"> The MRMC patient panel will be incorporated into UMMHC’s quality tracking and improvement mechanisms, extending </w:t>
      </w:r>
      <w:r w:rsidR="5C7490D5">
        <w:t xml:space="preserve">OCI’s </w:t>
      </w:r>
      <w:r w:rsidRPr="00A84591">
        <w:t xml:space="preserve">efforts </w:t>
      </w:r>
      <w:r w:rsidR="5C7490D5">
        <w:t xml:space="preserve">with each practice </w:t>
      </w:r>
      <w:r w:rsidRPr="00A84591">
        <w:t>to improve population health, including work to identify and address health disparities</w:t>
      </w:r>
      <w:r w:rsidR="5C7490D5">
        <w:t>.</w:t>
      </w:r>
      <w:r w:rsidR="00290A1C">
        <w:t xml:space="preserve"> </w:t>
      </w:r>
    </w:p>
    <w:p w14:paraId="77A8C9C8" w14:textId="6899B59E" w:rsidR="00A84591" w:rsidRPr="00A84591" w:rsidRDefault="00A84591" w:rsidP="00CE2739">
      <w:pPr>
        <w:contextualSpacing/>
      </w:pPr>
      <w:r w:rsidRPr="00A84591">
        <w:t xml:space="preserve"> </w:t>
      </w:r>
    </w:p>
    <w:p w14:paraId="2151E44F" w14:textId="77777777" w:rsidR="00A84591" w:rsidRDefault="00A84591" w:rsidP="00CE2739">
      <w:pPr>
        <w:contextualSpacing/>
      </w:pPr>
      <w:r w:rsidRPr="00A84591">
        <w:t>Quality Assessment and Benchmarking</w:t>
      </w:r>
    </w:p>
    <w:p w14:paraId="4E0E461B" w14:textId="77777777" w:rsidR="00DD520F" w:rsidRPr="00A84591" w:rsidRDefault="00DD520F" w:rsidP="00CE2739">
      <w:pPr>
        <w:contextualSpacing/>
      </w:pPr>
    </w:p>
    <w:p w14:paraId="5DB07ED8" w14:textId="3ACC66E8" w:rsidR="00A84591" w:rsidRDefault="00A84591" w:rsidP="00CE2739">
      <w:pPr>
        <w:contextualSpacing/>
      </w:pPr>
      <w:r>
        <w:t>UMMHC participates in Vizient, a third-party vendor which offers real-time data analysis and benchmarking of quality outcomes</w:t>
      </w:r>
      <w:r w:rsidR="00C45BD4">
        <w:t>. This</w:t>
      </w:r>
      <w:r>
        <w:t xml:space="preserve"> enables UMMHC to identify and </w:t>
      </w:r>
      <w:r w:rsidR="00C45BD4">
        <w:t xml:space="preserve">address </w:t>
      </w:r>
      <w:r>
        <w:t xml:space="preserve">gaps in quality of care. Vizient allows UMMHC to track Patient Safety Indicators, patient experience (which is also tracked with Press Ganey), and efficiency and effectiveness measures. </w:t>
      </w:r>
      <w:r w:rsidR="00C45BD4">
        <w:t xml:space="preserve">Since </w:t>
      </w:r>
      <w:r>
        <w:t xml:space="preserve">MRMC does not currently subscribe to Vizient, </w:t>
      </w:r>
      <w:r w:rsidR="00CE2739">
        <w:t xml:space="preserve">it </w:t>
      </w:r>
      <w:r>
        <w:t xml:space="preserve">cannot access real-time, risk-adjusted mortality rates and other metrics to benchmark against similar hospitals. Although MRMC has achieved </w:t>
      </w:r>
      <w:r w:rsidR="001B5F8D">
        <w:t xml:space="preserve">high </w:t>
      </w:r>
      <w:r>
        <w:t xml:space="preserve">CMS Star Ratings (5 stars for quality, 5 stars for patient experience) and Leapfrog grades (A grade) for quality and patient experience, these programs rely on data </w:t>
      </w:r>
      <w:r w:rsidR="00CE2739">
        <w:t xml:space="preserve">that is </w:t>
      </w:r>
      <w:r>
        <w:t>1-3 years old.</w:t>
      </w:r>
    </w:p>
    <w:p w14:paraId="32332FB5" w14:textId="77777777" w:rsidR="00DD520F" w:rsidRPr="00A84591" w:rsidRDefault="00DD520F" w:rsidP="00CE2739">
      <w:pPr>
        <w:contextualSpacing/>
      </w:pPr>
    </w:p>
    <w:p w14:paraId="56FEFDA2" w14:textId="255E9A69" w:rsidR="00A84591" w:rsidRDefault="5576713D" w:rsidP="00CE2739">
      <w:pPr>
        <w:contextualSpacing/>
      </w:pPr>
      <w:r>
        <w:t xml:space="preserve">Once </w:t>
      </w:r>
      <w:r w:rsidR="6312CF87">
        <w:t xml:space="preserve">MRMC </w:t>
      </w:r>
      <w:r>
        <w:t xml:space="preserve">is </w:t>
      </w:r>
      <w:r w:rsidR="6312CF87">
        <w:t xml:space="preserve">added to UMMHC’s existing arrangement with Vizient, quality </w:t>
      </w:r>
      <w:r>
        <w:t xml:space="preserve">real-time </w:t>
      </w:r>
      <w:r w:rsidR="6312CF87">
        <w:t>analytics</w:t>
      </w:r>
      <w:r>
        <w:t xml:space="preserve">, such as risk adjusted mortality, patient safety metrics, length of stay, readmission rates, patient experience, </w:t>
      </w:r>
      <w:r w:rsidR="6312CF87">
        <w:t xml:space="preserve">that all UMMHC hospitals utilize will be incorporated into the quality dashboards used by UMMHC hospitals enabling </w:t>
      </w:r>
      <w:r>
        <w:t xml:space="preserve">the Applicant </w:t>
      </w:r>
      <w:r w:rsidR="6312CF87">
        <w:t xml:space="preserve">to conduct a more accurate “apples to apples” comparison of quality data, identify potential quality gaps, and work collaboratively towards attaining top quartile performance on shared quality measures. </w:t>
      </w:r>
      <w:r>
        <w:t xml:space="preserve">After it was added to Vizient and incorporated into UMMHC’s quality program, </w:t>
      </w:r>
      <w:r w:rsidR="6312CF87">
        <w:t>Harrington Hospital’s quality scores increased by almost 25% across the measures tracked.</w:t>
      </w:r>
    </w:p>
    <w:p w14:paraId="7AECB6B9" w14:textId="77777777" w:rsidR="006D2241" w:rsidRPr="00A84591" w:rsidRDefault="006D2241" w:rsidP="00CE2739">
      <w:pPr>
        <w:contextualSpacing/>
      </w:pPr>
    </w:p>
    <w:p w14:paraId="0F550F8A" w14:textId="2F3FCACA" w:rsidR="00A84591" w:rsidRDefault="00A84591" w:rsidP="00CE2739">
      <w:pPr>
        <w:contextualSpacing/>
      </w:pPr>
      <w:r w:rsidRPr="00A84591">
        <w:t>UMMHC’s</w:t>
      </w:r>
      <w:r w:rsidR="00CE2739">
        <w:t xml:space="preserve"> OVI</w:t>
      </w:r>
      <w:r w:rsidRPr="00A84591">
        <w:t xml:space="preserve">, will work with MRMC to identify areas for improvement and provide additional support to address gaps in quality, and </w:t>
      </w:r>
      <w:r w:rsidR="00CE2739">
        <w:t xml:space="preserve">likewise </w:t>
      </w:r>
      <w:r w:rsidRPr="00A84591">
        <w:t>best practices from MRMC will also be shared with the rest of the UMMHC System through th</w:t>
      </w:r>
      <w:r w:rsidR="00CE2739">
        <w:t>is</w:t>
      </w:r>
      <w:r w:rsidRPr="00A84591">
        <w:t xml:space="preserve"> centralized quality improvement process.</w:t>
      </w:r>
    </w:p>
    <w:p w14:paraId="10EAB31C" w14:textId="77777777" w:rsidR="006D2241" w:rsidRPr="00A84591" w:rsidRDefault="006D2241" w:rsidP="00CE2739">
      <w:pPr>
        <w:contextualSpacing/>
      </w:pPr>
    </w:p>
    <w:p w14:paraId="4D41D2E2" w14:textId="77777777" w:rsidR="00A84591" w:rsidRDefault="00A84591" w:rsidP="00CE2739">
      <w:pPr>
        <w:contextualSpacing/>
      </w:pPr>
      <w:r w:rsidRPr="00A84591">
        <w:t>Improved Patient Experience</w:t>
      </w:r>
    </w:p>
    <w:p w14:paraId="1D9C355B" w14:textId="77777777" w:rsidR="007D5F66" w:rsidRPr="00A84591" w:rsidRDefault="007D5F66" w:rsidP="00CE2739">
      <w:pPr>
        <w:contextualSpacing/>
      </w:pPr>
    </w:p>
    <w:p w14:paraId="71441951" w14:textId="0DAC59AB" w:rsidR="00A84591" w:rsidRDefault="6312CF87" w:rsidP="00CE2739">
      <w:pPr>
        <w:contextualSpacing/>
      </w:pPr>
      <w:r w:rsidRPr="00A84591">
        <w:t>The Applicant asserts the Project is anticipated to lead to improved patient experiences due to additional choice and access to specialty services, and to the potential for reduced wait times. UMMHC uses multiple tools to assess and improve its patient’s experience through surveys</w:t>
      </w:r>
      <w:r w:rsidR="0F37AB11">
        <w:t xml:space="preserve"> and </w:t>
      </w:r>
      <w:r w:rsidRPr="00A84591">
        <w:t>benchmarking. As a result, UMMHC implemented a number of best practices that have improved patient experience in recent years which will be shared with MRMC.</w:t>
      </w:r>
      <w:r w:rsidR="00A84591" w:rsidRPr="00A84591">
        <w:rPr>
          <w:vertAlign w:val="superscript"/>
        </w:rPr>
        <w:footnoteReference w:id="27"/>
      </w:r>
      <w:r w:rsidRPr="00A84591">
        <w:t xml:space="preserve"> </w:t>
      </w:r>
    </w:p>
    <w:p w14:paraId="2500DC08" w14:textId="77777777" w:rsidR="00D1343D" w:rsidRPr="00A84591" w:rsidRDefault="00D1343D" w:rsidP="00CE2739">
      <w:pPr>
        <w:contextualSpacing/>
      </w:pPr>
    </w:p>
    <w:p w14:paraId="5C8C23DF" w14:textId="77777777" w:rsidR="00A84591" w:rsidRDefault="00A84591" w:rsidP="00CE2739">
      <w:pPr>
        <w:contextualSpacing/>
      </w:pPr>
      <w:r w:rsidRPr="00A84591">
        <w:t>MassHealth Health Equity Incentive Program</w:t>
      </w:r>
    </w:p>
    <w:p w14:paraId="0E5E065A" w14:textId="77777777" w:rsidR="006D2241" w:rsidRPr="00A84591" w:rsidRDefault="006D2241" w:rsidP="00CE2739">
      <w:pPr>
        <w:contextualSpacing/>
      </w:pPr>
    </w:p>
    <w:p w14:paraId="07490E23" w14:textId="441C1E5C" w:rsidR="00A84591" w:rsidRDefault="00A84591" w:rsidP="00CE2739">
      <w:pPr>
        <w:contextualSpacing/>
      </w:pPr>
      <w:r w:rsidRPr="00A84591">
        <w:t>UMMHC and MRMC both actively participate in the MassHealth Clinical Quality Incentive and Health Equity Incentive programs which cover a number of domains, including patient experience and care coordination, perinatal care, safety outcomes, behavioral health, and equity improvements around race, ethnicity, language and disability status, sexual orientation and gender identity (RELD/SOGI)</w:t>
      </w:r>
      <w:r w:rsidRPr="00A84591">
        <w:rPr>
          <w:vertAlign w:val="superscript"/>
        </w:rPr>
        <w:endnoteReference w:id="11"/>
      </w:r>
      <w:r w:rsidRPr="00A84591">
        <w:t xml:space="preserve"> and </w:t>
      </w:r>
      <w:r w:rsidR="00D234B3">
        <w:t>social determinants of health (</w:t>
      </w:r>
      <w:r w:rsidR="0BE28313">
        <w:t>"</w:t>
      </w:r>
      <w:r w:rsidRPr="00A84591">
        <w:t>SDOH</w:t>
      </w:r>
      <w:r w:rsidR="57F652A0" w:rsidRPr="00A84591">
        <w:t xml:space="preserve">") </w:t>
      </w:r>
      <w:r w:rsidRPr="00A84591">
        <w:t xml:space="preserve">data collection, improvements with interpreter services, and strategic planning around health equity improvement. Each of these initiatives will allow both to continue to assess, compare, and improve on these quality metrics in order to deliver high quality care and identify and address health disparities. </w:t>
      </w:r>
    </w:p>
    <w:p w14:paraId="69D7FF4E" w14:textId="77777777" w:rsidR="00A84591" w:rsidRPr="00A84591" w:rsidRDefault="00A84591" w:rsidP="00CE2739">
      <w:pPr>
        <w:contextualSpacing/>
      </w:pPr>
    </w:p>
    <w:p w14:paraId="18B00C50" w14:textId="77777777" w:rsidR="00A84591" w:rsidRDefault="00A84591" w:rsidP="00CE2739">
      <w:pPr>
        <w:contextualSpacing/>
        <w:rPr>
          <w:b/>
          <w:i/>
          <w:iCs/>
        </w:rPr>
      </w:pPr>
      <w:r w:rsidRPr="00A84591">
        <w:rPr>
          <w:b/>
          <w:i/>
          <w:iCs/>
        </w:rPr>
        <w:t>Analysis</w:t>
      </w:r>
    </w:p>
    <w:p w14:paraId="6F672E90" w14:textId="77777777" w:rsidR="00A84591" w:rsidRPr="00A84591" w:rsidRDefault="00A84591" w:rsidP="00CE2739">
      <w:pPr>
        <w:contextualSpacing/>
        <w:rPr>
          <w:b/>
          <w:i/>
          <w:iCs/>
        </w:rPr>
      </w:pPr>
    </w:p>
    <w:p w14:paraId="3BCCCE39" w14:textId="451BB254" w:rsidR="00A84591" w:rsidRPr="006D2241" w:rsidRDefault="00A84591" w:rsidP="00CE2739">
      <w:pPr>
        <w:contextualSpacing/>
        <w:rPr>
          <w:bCs/>
        </w:rPr>
      </w:pPr>
      <w:r w:rsidRPr="00A84591">
        <w:rPr>
          <w:bCs/>
        </w:rPr>
        <w:t xml:space="preserve">The Proposed Affiliation is centered </w:t>
      </w:r>
      <w:r w:rsidR="006D2241" w:rsidRPr="00A84591">
        <w:rPr>
          <w:bCs/>
        </w:rPr>
        <w:t>around evidence</w:t>
      </w:r>
      <w:r w:rsidRPr="00A84591">
        <w:rPr>
          <w:bCs/>
        </w:rPr>
        <w:t xml:space="preserve">-based practices and is designed to meet the identified needs of the MRMC community. </w:t>
      </w:r>
      <w:r w:rsidR="00D662B9">
        <w:rPr>
          <w:bCs/>
        </w:rPr>
        <w:t xml:space="preserve">It </w:t>
      </w:r>
      <w:r w:rsidRPr="00A84591">
        <w:rPr>
          <w:bCs/>
        </w:rPr>
        <w:t xml:space="preserve">emphasizes enhancing health care access, quality, coordination of care, continuity, that will be enhanced through </w:t>
      </w:r>
      <w:r w:rsidR="00564619">
        <w:rPr>
          <w:bCs/>
        </w:rPr>
        <w:t xml:space="preserve">critical </w:t>
      </w:r>
      <w:r w:rsidRPr="00A84591">
        <w:rPr>
          <w:bCs/>
        </w:rPr>
        <w:t>financial stability</w:t>
      </w:r>
      <w:r w:rsidR="00D662B9">
        <w:rPr>
          <w:bCs/>
        </w:rPr>
        <w:t>,</w:t>
      </w:r>
      <w:r w:rsidRPr="00A84591">
        <w:rPr>
          <w:bCs/>
        </w:rPr>
        <w:t xml:space="preserve"> advancements in technology and medical research, with the goal of improving patient experiences and outcomes in the Milford region. </w:t>
      </w:r>
    </w:p>
    <w:p w14:paraId="3A9B55CA" w14:textId="77777777" w:rsidR="00B56E64" w:rsidRPr="00B56E64" w:rsidRDefault="00B56E64" w:rsidP="00B56E64">
      <w:pPr>
        <w:contextualSpacing/>
      </w:pPr>
    </w:p>
    <w:p w14:paraId="46304980" w14:textId="4F3867A2" w:rsidR="00A259BD" w:rsidRPr="0079060B" w:rsidRDefault="0079060B" w:rsidP="003F7CD2">
      <w:pPr>
        <w:pStyle w:val="RNNum"/>
        <w:numPr>
          <w:ilvl w:val="0"/>
          <w:numId w:val="0"/>
        </w:numPr>
        <w:spacing w:after="0"/>
        <w:rPr>
          <w:b/>
          <w:bCs/>
          <w:szCs w:val="24"/>
        </w:rPr>
      </w:pPr>
      <w:r>
        <w:rPr>
          <w:b/>
          <w:bCs/>
          <w:szCs w:val="24"/>
        </w:rPr>
        <w:t>Public Health Value- Health Equity</w:t>
      </w:r>
    </w:p>
    <w:p w14:paraId="1F675047" w14:textId="6049FB20" w:rsidR="00C957FC" w:rsidRDefault="00C957FC" w:rsidP="003F7CD2">
      <w:pPr>
        <w:rPr>
          <w:rFonts w:ascii="Calibri" w:eastAsia="Calibri" w:hAnsi="Calibri" w:cs="Calibri"/>
        </w:rPr>
      </w:pPr>
    </w:p>
    <w:p w14:paraId="3D564A33" w14:textId="6A2B06C6" w:rsidR="002C1C4F" w:rsidRPr="002C1C4F" w:rsidRDefault="3A0BE059" w:rsidP="002070BE">
      <w:pPr>
        <w:rPr>
          <w:rFonts w:ascii="Calibri" w:eastAsia="PMingLiU" w:hAnsi="Calibri" w:cs="Times New Roman"/>
          <w:szCs w:val="22"/>
        </w:rPr>
      </w:pPr>
      <w:r w:rsidRPr="002C1C4F">
        <w:rPr>
          <w:rFonts w:ascii="Calibri" w:eastAsia="PMingLiU" w:hAnsi="Calibri" w:cs="Calibri"/>
          <w:color w:val="000000"/>
        </w:rPr>
        <w:t xml:space="preserve">The Project will expand upon MRMC’s community-based efforts to support the improved health of the Milford community and further </w:t>
      </w:r>
      <w:r w:rsidRPr="3BC6E168">
        <w:rPr>
          <w:rFonts w:ascii="Calibri" w:eastAsia="PMingLiU" w:hAnsi="Calibri" w:cs="Times New Roman"/>
        </w:rPr>
        <w:t>UMMHC’s Anchor Mission</w:t>
      </w:r>
      <w:r w:rsidR="002C1C4F" w:rsidRPr="3BC6E168">
        <w:rPr>
          <w:rFonts w:ascii="Calibri" w:eastAsia="PMingLiU" w:hAnsi="Calibri" w:cs="Times New Roman"/>
          <w:vertAlign w:val="superscript"/>
        </w:rPr>
        <w:footnoteReference w:id="28"/>
      </w:r>
      <w:r w:rsidRPr="3BC6E168">
        <w:rPr>
          <w:rFonts w:ascii="Calibri" w:eastAsia="PMingLiU" w:hAnsi="Calibri" w:cs="Times New Roman"/>
        </w:rPr>
        <w:t xml:space="preserve"> which is “a commitment to consciously apply the place-based economic power of UMMHC, in combination with its human and intellectual resources, to better the long-term welfare of the community in which the institution is anchored;”</w:t>
      </w:r>
      <w:r w:rsidR="002C1C4F" w:rsidRPr="002C1C4F">
        <w:rPr>
          <w:rFonts w:ascii="Calibri" w:eastAsia="Calibri" w:hAnsi="Calibri" w:cs="Calibri"/>
          <w:color w:val="000000"/>
          <w:spacing w:val="-1"/>
          <w:vertAlign w:val="superscript"/>
        </w:rPr>
        <w:endnoteReference w:id="12"/>
      </w:r>
      <w:r w:rsidRPr="3BC6E168">
        <w:rPr>
          <w:rFonts w:ascii="Calibri" w:eastAsia="PMingLiU" w:hAnsi="Calibri" w:cs="Times New Roman"/>
        </w:rPr>
        <w:t xml:space="preserve"> by leveraging UMMHC’s organizational assets (intellectual and economic) to address social disadvantage and pervasive inequality </w:t>
      </w:r>
      <w:r w:rsidR="51410174" w:rsidRPr="3BC6E168">
        <w:rPr>
          <w:rFonts w:ascii="Calibri" w:eastAsia="PMingLiU" w:hAnsi="Calibri" w:cs="Times New Roman"/>
        </w:rPr>
        <w:t>providing</w:t>
      </w:r>
      <w:r w:rsidRPr="3BC6E168">
        <w:rPr>
          <w:rFonts w:ascii="Calibri" w:eastAsia="PMingLiU" w:hAnsi="Calibri" w:cs="Times New Roman"/>
          <w:color w:val="333333"/>
          <w:shd w:val="clear" w:color="auto" w:fill="FFFFFF"/>
        </w:rPr>
        <w:t xml:space="preserve"> community members </w:t>
      </w:r>
      <w:r w:rsidR="51410174" w:rsidRPr="3BC6E168">
        <w:rPr>
          <w:rFonts w:ascii="Calibri" w:eastAsia="PMingLiU" w:hAnsi="Calibri" w:cs="Times New Roman"/>
          <w:color w:val="333333"/>
          <w:shd w:val="clear" w:color="auto" w:fill="FFFFFF"/>
        </w:rPr>
        <w:t xml:space="preserve">with </w:t>
      </w:r>
      <w:r w:rsidRPr="3BC6E168">
        <w:rPr>
          <w:rFonts w:ascii="Calibri" w:eastAsia="PMingLiU" w:hAnsi="Calibri" w:cs="Times New Roman"/>
          <w:color w:val="333333"/>
          <w:shd w:val="clear" w:color="auto" w:fill="FFFFFF"/>
        </w:rPr>
        <w:t>resources that will improve their overall social, physical, and financial health</w:t>
      </w:r>
      <w:r w:rsidRPr="3BC6E168">
        <w:rPr>
          <w:rFonts w:ascii="Calibri" w:eastAsia="PMingLiU" w:hAnsi="Calibri" w:cs="Times New Roman"/>
        </w:rPr>
        <w:t xml:space="preserve">. In UMMCs </w:t>
      </w:r>
      <w:r w:rsidR="51410174" w:rsidRPr="3BC6E168">
        <w:rPr>
          <w:rFonts w:ascii="Calibri" w:eastAsia="PMingLiU" w:hAnsi="Calibri" w:cs="Times New Roman"/>
        </w:rPr>
        <w:t>A</w:t>
      </w:r>
      <w:r w:rsidRPr="3BC6E168">
        <w:rPr>
          <w:rFonts w:ascii="Calibri" w:eastAsia="PMingLiU" w:hAnsi="Calibri" w:cs="Times New Roman"/>
        </w:rPr>
        <w:t xml:space="preserve">ffiliation with </w:t>
      </w:r>
      <w:r w:rsidR="51410174" w:rsidRPr="3BC6E168">
        <w:rPr>
          <w:rFonts w:ascii="Calibri" w:eastAsia="PMingLiU" w:hAnsi="Calibri" w:cs="Times New Roman"/>
        </w:rPr>
        <w:t xml:space="preserve">MRMC, </w:t>
      </w:r>
      <w:r w:rsidRPr="3BC6E168">
        <w:rPr>
          <w:rFonts w:ascii="Calibri" w:eastAsia="PMingLiU" w:hAnsi="Calibri" w:cs="Times New Roman"/>
        </w:rPr>
        <w:t xml:space="preserve">the Anchor Mission commitments </w:t>
      </w:r>
      <w:r w:rsidR="51410174" w:rsidRPr="3BC6E168">
        <w:rPr>
          <w:rFonts w:ascii="Calibri" w:eastAsia="PMingLiU" w:hAnsi="Calibri" w:cs="Times New Roman"/>
        </w:rPr>
        <w:t xml:space="preserve">will be </w:t>
      </w:r>
      <w:r w:rsidRPr="3BC6E168">
        <w:rPr>
          <w:rFonts w:ascii="Calibri" w:eastAsia="PMingLiU" w:hAnsi="Calibri" w:cs="Times New Roman"/>
        </w:rPr>
        <w:t xml:space="preserve">reflected in key terms of the affiliation </w:t>
      </w:r>
      <w:r w:rsidR="51410174" w:rsidRPr="3BC6E168">
        <w:rPr>
          <w:rFonts w:ascii="Calibri" w:eastAsia="PMingLiU" w:hAnsi="Calibri" w:cs="Times New Roman"/>
        </w:rPr>
        <w:t xml:space="preserve">as they were </w:t>
      </w:r>
      <w:r w:rsidRPr="3BC6E168">
        <w:rPr>
          <w:rFonts w:ascii="Calibri" w:eastAsia="PMingLiU" w:hAnsi="Calibri" w:cs="Times New Roman"/>
        </w:rPr>
        <w:t xml:space="preserve">with </w:t>
      </w:r>
      <w:r w:rsidR="51410174" w:rsidRPr="3BC6E168">
        <w:rPr>
          <w:rFonts w:ascii="Calibri" w:eastAsia="PMingLiU" w:hAnsi="Calibri" w:cs="Times New Roman"/>
        </w:rPr>
        <w:t>Harrington</w:t>
      </w:r>
      <w:r w:rsidRPr="3BC6E168">
        <w:rPr>
          <w:rFonts w:ascii="Calibri" w:eastAsia="PMingLiU" w:hAnsi="Calibri" w:cs="Times New Roman"/>
        </w:rPr>
        <w:t xml:space="preserve">. </w:t>
      </w:r>
    </w:p>
    <w:p w14:paraId="2EBC3ED9" w14:textId="08E15BC1" w:rsidR="27A1E0B6" w:rsidRDefault="00523CBF" w:rsidP="282949F7">
      <w:pPr>
        <w:spacing w:after="240"/>
        <w:rPr>
          <w:rFonts w:ascii="Calibri" w:eastAsia="PMingLiU" w:hAnsi="Calibri" w:cs="Times New Roman"/>
        </w:rPr>
      </w:pPr>
      <w:r w:rsidRPr="282949F7">
        <w:rPr>
          <w:rFonts w:ascii="Calibri" w:eastAsia="PMingLiU" w:hAnsi="Calibri" w:cs="Times New Roman"/>
        </w:rPr>
        <w:t>O</w:t>
      </w:r>
      <w:r w:rsidR="002C1C4F" w:rsidRPr="282949F7">
        <w:rPr>
          <w:rFonts w:ascii="Calibri" w:eastAsia="PMingLiU" w:hAnsi="Calibri" w:cs="Times New Roman"/>
        </w:rPr>
        <w:t xml:space="preserve">ne </w:t>
      </w:r>
      <w:r w:rsidRPr="282949F7">
        <w:rPr>
          <w:rFonts w:ascii="Calibri" w:eastAsia="PMingLiU" w:hAnsi="Calibri" w:cs="Times New Roman"/>
        </w:rPr>
        <w:t>of the three place-based investments</w:t>
      </w:r>
      <w:r w:rsidR="002C1C4F" w:rsidRPr="282949F7">
        <w:rPr>
          <w:rFonts w:ascii="Calibri" w:eastAsia="PMingLiU" w:hAnsi="Calibri" w:cs="Times New Roman"/>
        </w:rPr>
        <w:t xml:space="preserve"> </w:t>
      </w:r>
      <w:r w:rsidRPr="282949F7">
        <w:rPr>
          <w:rFonts w:ascii="Calibri" w:eastAsia="PMingLiU" w:hAnsi="Calibri" w:cs="Times New Roman"/>
        </w:rPr>
        <w:t xml:space="preserve">for Harrington </w:t>
      </w:r>
      <w:r w:rsidR="002C1C4F" w:rsidRPr="282949F7">
        <w:rPr>
          <w:rFonts w:ascii="Calibri" w:eastAsia="PMingLiU" w:hAnsi="Calibri" w:cs="Times New Roman"/>
        </w:rPr>
        <w:t xml:space="preserve">has already returned a tangible result. The one with Center of Hope, Inc., an ice cream and snack shop in downtown Southbridge, has not only created employment opportunities for individuals with developmental disabilities, </w:t>
      </w:r>
      <w:proofErr w:type="gramStart"/>
      <w:r w:rsidR="002C1C4F" w:rsidRPr="282949F7">
        <w:rPr>
          <w:rFonts w:ascii="Calibri" w:eastAsia="PMingLiU" w:hAnsi="Calibri" w:cs="Times New Roman"/>
        </w:rPr>
        <w:t>it</w:t>
      </w:r>
      <w:proofErr w:type="gramEnd"/>
      <w:r w:rsidR="002C1C4F" w:rsidRPr="282949F7">
        <w:rPr>
          <w:rFonts w:ascii="Calibri" w:eastAsia="PMingLiU" w:hAnsi="Calibri" w:cs="Times New Roman"/>
        </w:rPr>
        <w:t xml:space="preserve"> has also created a new</w:t>
      </w:r>
      <w:r w:rsidRPr="282949F7">
        <w:rPr>
          <w:rFonts w:ascii="Calibri" w:eastAsia="PMingLiU" w:hAnsi="Calibri" w:cs="Times New Roman"/>
        </w:rPr>
        <w:t xml:space="preserve"> community</w:t>
      </w:r>
      <w:r w:rsidR="002C1C4F" w:rsidRPr="282949F7">
        <w:rPr>
          <w:rFonts w:ascii="Calibri" w:eastAsia="PMingLiU" w:hAnsi="Calibri" w:cs="Times New Roman"/>
        </w:rPr>
        <w:t xml:space="preserve"> gathering place</w:t>
      </w:r>
      <w:r w:rsidR="002070BE">
        <w:rPr>
          <w:rFonts w:ascii="Calibri" w:eastAsia="PMingLiU" w:hAnsi="Calibri" w:cs="Times New Roman"/>
        </w:rPr>
        <w:t xml:space="preserve">. </w:t>
      </w:r>
      <w:r w:rsidR="27A1E0B6" w:rsidRPr="6CE004FB">
        <w:rPr>
          <w:rFonts w:ascii="Calibri" w:eastAsia="PMingLiU" w:hAnsi="Calibri" w:cs="Times New Roman"/>
        </w:rPr>
        <w:t>UMMHC provided a $250,000 loan which is scheduled to be paid back in 2028</w:t>
      </w:r>
      <w:r w:rsidR="5B019B7F" w:rsidRPr="6CE004FB">
        <w:rPr>
          <w:rFonts w:ascii="Calibri" w:eastAsia="PMingLiU" w:hAnsi="Calibri" w:cs="Times New Roman"/>
        </w:rPr>
        <w:t>w</w:t>
      </w:r>
      <w:r w:rsidR="4BC3F20A" w:rsidRPr="6CE004FB">
        <w:rPr>
          <w:rFonts w:ascii="Calibri" w:eastAsia="PMingLiU" w:hAnsi="Calibri" w:cs="Times New Roman"/>
        </w:rPr>
        <w:t xml:space="preserve">hich has not been </w:t>
      </w:r>
      <w:r w:rsidR="72231444" w:rsidRPr="6CE004FB">
        <w:rPr>
          <w:rFonts w:ascii="Calibri" w:eastAsia="PMingLiU" w:hAnsi="Calibri" w:cs="Times New Roman"/>
        </w:rPr>
        <w:t>completely</w:t>
      </w:r>
      <w:r w:rsidR="63B82611" w:rsidRPr="6CE004FB">
        <w:rPr>
          <w:rFonts w:ascii="Calibri" w:eastAsia="PMingLiU" w:hAnsi="Calibri" w:cs="Times New Roman"/>
        </w:rPr>
        <w:t xml:space="preserve"> used</w:t>
      </w:r>
      <w:r w:rsidR="4BC3F20A" w:rsidRPr="6CE004FB">
        <w:rPr>
          <w:rFonts w:ascii="Calibri" w:eastAsia="PMingLiU" w:hAnsi="Calibri" w:cs="Times New Roman"/>
        </w:rPr>
        <w:t xml:space="preserve">. </w:t>
      </w:r>
      <w:r w:rsidR="27A1E0B6" w:rsidRPr="6CE004FB">
        <w:rPr>
          <w:rFonts w:ascii="Calibri" w:eastAsia="PMingLiU" w:hAnsi="Calibri" w:cs="Times New Roman"/>
        </w:rPr>
        <w:t xml:space="preserve">At this time the program has </w:t>
      </w:r>
      <w:r w:rsidR="536E507E" w:rsidRPr="6CE004FB">
        <w:rPr>
          <w:rFonts w:ascii="Calibri" w:eastAsia="PMingLiU" w:hAnsi="Calibri" w:cs="Times New Roman"/>
        </w:rPr>
        <w:t xml:space="preserve">served an estimated 7,000 people, has </w:t>
      </w:r>
      <w:r w:rsidR="27A1E0B6" w:rsidRPr="6CE004FB">
        <w:rPr>
          <w:rFonts w:ascii="Calibri" w:eastAsia="PMingLiU" w:hAnsi="Calibri" w:cs="Times New Roman"/>
        </w:rPr>
        <w:t>seven employees</w:t>
      </w:r>
      <w:r w:rsidR="19330775" w:rsidRPr="6CE004FB">
        <w:rPr>
          <w:rFonts w:ascii="Calibri" w:eastAsia="PMingLiU" w:hAnsi="Calibri" w:cs="Times New Roman"/>
        </w:rPr>
        <w:t>, and has provide</w:t>
      </w:r>
      <w:r w:rsidR="29E09D2A" w:rsidRPr="6CE004FB">
        <w:rPr>
          <w:rFonts w:ascii="Calibri" w:eastAsia="PMingLiU" w:hAnsi="Calibri" w:cs="Times New Roman"/>
        </w:rPr>
        <w:t>d</w:t>
      </w:r>
      <w:r w:rsidR="19330775" w:rsidRPr="6CE004FB">
        <w:rPr>
          <w:rFonts w:ascii="Calibri" w:eastAsia="PMingLiU" w:hAnsi="Calibri" w:cs="Times New Roman"/>
        </w:rPr>
        <w:t xml:space="preserve"> workforce training for 26 other program members.</w:t>
      </w:r>
    </w:p>
    <w:p w14:paraId="103B20F8" w14:textId="7C0F0157" w:rsidR="002C1C4F" w:rsidRPr="002C1C4F" w:rsidRDefault="00523CBF" w:rsidP="002C1C4F">
      <w:pPr>
        <w:spacing w:after="240"/>
        <w:rPr>
          <w:rFonts w:ascii="Calibri" w:eastAsia="Tahoma" w:hAnsi="Calibri" w:cs="Times New Roman"/>
          <w:szCs w:val="22"/>
        </w:rPr>
      </w:pPr>
      <w:r>
        <w:rPr>
          <w:rFonts w:ascii="Calibri" w:eastAsia="Tahoma" w:hAnsi="Calibri" w:cs="Times New Roman"/>
          <w:szCs w:val="22"/>
        </w:rPr>
        <w:t>T</w:t>
      </w:r>
      <w:r w:rsidR="002C1C4F" w:rsidRPr="002C1C4F">
        <w:rPr>
          <w:rFonts w:ascii="Calibri" w:eastAsia="Tahoma" w:hAnsi="Calibri" w:cs="Times New Roman"/>
          <w:szCs w:val="22"/>
        </w:rPr>
        <w:t>h</w:t>
      </w:r>
      <w:r>
        <w:rPr>
          <w:rFonts w:ascii="Calibri" w:eastAsia="Tahoma" w:hAnsi="Calibri" w:cs="Times New Roman"/>
          <w:szCs w:val="22"/>
        </w:rPr>
        <w:t>is</w:t>
      </w:r>
      <w:r w:rsidR="002C1C4F" w:rsidRPr="002C1C4F">
        <w:rPr>
          <w:rFonts w:ascii="Calibri" w:eastAsia="Tahoma" w:hAnsi="Calibri" w:cs="Times New Roman"/>
          <w:szCs w:val="22"/>
        </w:rPr>
        <w:t xml:space="preserve"> Proposed Affiliation</w:t>
      </w:r>
      <w:r>
        <w:rPr>
          <w:rFonts w:ascii="Calibri" w:eastAsia="Tahoma" w:hAnsi="Calibri" w:cs="Times New Roman"/>
          <w:szCs w:val="22"/>
        </w:rPr>
        <w:t xml:space="preserve"> is expected to </w:t>
      </w:r>
      <w:r w:rsidR="002C1C4F" w:rsidRPr="002C1C4F">
        <w:rPr>
          <w:rFonts w:ascii="Calibri" w:eastAsia="Tahoma" w:hAnsi="Calibri" w:cs="Times New Roman"/>
          <w:szCs w:val="22"/>
        </w:rPr>
        <w:t>advance MRMC’s ongoing efforts related to behavioral health and substance use. Currently, MRMC collaborates with an array of community organizations focused on behavioral health needs and services assist</w:t>
      </w:r>
      <w:r>
        <w:rPr>
          <w:rFonts w:ascii="Calibri" w:eastAsia="Tahoma" w:hAnsi="Calibri" w:cs="Times New Roman"/>
          <w:szCs w:val="22"/>
        </w:rPr>
        <w:t>ing</w:t>
      </w:r>
      <w:r w:rsidR="002C1C4F" w:rsidRPr="002C1C4F">
        <w:rPr>
          <w:rFonts w:ascii="Calibri" w:eastAsia="Tahoma" w:hAnsi="Calibri" w:cs="Times New Roman"/>
          <w:szCs w:val="22"/>
        </w:rPr>
        <w:t xml:space="preserve"> patients upon discharge; working with schools and after school programs to address children’s behavioral/mental health issues; increasing access to telehealth services; and supporting jail diversion and domestic violence resources. </w:t>
      </w:r>
    </w:p>
    <w:p w14:paraId="476C88E2" w14:textId="20CED3CA" w:rsidR="002C1C4F" w:rsidRPr="002C1C4F" w:rsidRDefault="002C1C4F" w:rsidP="002C1C4F">
      <w:pPr>
        <w:spacing w:after="240"/>
        <w:rPr>
          <w:rFonts w:ascii="Calibri" w:eastAsia="Tahoma" w:hAnsi="Calibri" w:cs="Times New Roman"/>
          <w:szCs w:val="22"/>
        </w:rPr>
      </w:pPr>
      <w:r w:rsidRPr="002C1C4F">
        <w:rPr>
          <w:rFonts w:ascii="Calibri" w:eastAsia="Tahoma" w:hAnsi="Calibri" w:cs="Times New Roman"/>
          <w:szCs w:val="22"/>
        </w:rPr>
        <w:t xml:space="preserve">Other priority areas are focused on </w:t>
      </w:r>
      <w:r w:rsidR="00BE7357">
        <w:rPr>
          <w:rFonts w:ascii="Calibri" w:eastAsia="Tahoma" w:hAnsi="Calibri" w:cs="Times New Roman"/>
          <w:szCs w:val="22"/>
        </w:rPr>
        <w:t xml:space="preserve">collaborating with community organizations to </w:t>
      </w:r>
      <w:r w:rsidRPr="002C1C4F">
        <w:rPr>
          <w:rFonts w:ascii="Calibri" w:eastAsia="Tahoma" w:hAnsi="Calibri" w:cs="Times New Roman"/>
          <w:szCs w:val="22"/>
        </w:rPr>
        <w:t>reduc</w:t>
      </w:r>
      <w:r w:rsidR="00BE7357">
        <w:rPr>
          <w:rFonts w:ascii="Calibri" w:eastAsia="Tahoma" w:hAnsi="Calibri" w:cs="Times New Roman"/>
          <w:szCs w:val="22"/>
        </w:rPr>
        <w:t xml:space="preserve">e </w:t>
      </w:r>
      <w:r w:rsidRPr="002C1C4F">
        <w:rPr>
          <w:rFonts w:ascii="Calibri" w:eastAsia="Tahoma" w:hAnsi="Calibri" w:cs="Times New Roman"/>
          <w:szCs w:val="22"/>
        </w:rPr>
        <w:t>health disparities by improving health care access for historically disadvantaged and vulnerable populations</w:t>
      </w:r>
      <w:r w:rsidR="00BE7357">
        <w:rPr>
          <w:rFonts w:ascii="Calibri" w:eastAsia="Tahoma" w:hAnsi="Calibri" w:cs="Times New Roman"/>
          <w:szCs w:val="22"/>
        </w:rPr>
        <w:t>;</w:t>
      </w:r>
      <w:r w:rsidRPr="002C1C4F">
        <w:rPr>
          <w:rFonts w:ascii="Calibri" w:eastAsia="Tahoma" w:hAnsi="Calibri" w:cs="Times New Roman"/>
          <w:szCs w:val="22"/>
        </w:rPr>
        <w:t xml:space="preserve"> </w:t>
      </w:r>
      <w:r w:rsidR="00BE7357">
        <w:rPr>
          <w:rFonts w:ascii="Calibri" w:eastAsia="Tahoma" w:hAnsi="Calibri" w:cs="Times New Roman"/>
          <w:szCs w:val="22"/>
        </w:rPr>
        <w:t xml:space="preserve">to </w:t>
      </w:r>
      <w:r w:rsidRPr="002C1C4F">
        <w:rPr>
          <w:rFonts w:ascii="Calibri" w:eastAsia="Tahoma" w:hAnsi="Calibri" w:cs="Times New Roman"/>
          <w:szCs w:val="22"/>
        </w:rPr>
        <w:t>prevent homelessness and reduce food insecurity</w:t>
      </w:r>
      <w:r w:rsidR="00BE7357">
        <w:rPr>
          <w:rFonts w:ascii="Calibri" w:eastAsia="Tahoma" w:hAnsi="Calibri" w:cs="Times New Roman"/>
          <w:szCs w:val="22"/>
        </w:rPr>
        <w:t xml:space="preserve">, thereby </w:t>
      </w:r>
      <w:r w:rsidR="00BE7357" w:rsidRPr="00BE7357">
        <w:rPr>
          <w:rFonts w:ascii="Calibri" w:eastAsia="Tahoma" w:hAnsi="Calibri" w:cs="Times New Roman"/>
          <w:szCs w:val="22"/>
        </w:rPr>
        <w:t xml:space="preserve">improving health outcomes in </w:t>
      </w:r>
      <w:r w:rsidR="00BE7357">
        <w:rPr>
          <w:rFonts w:ascii="Calibri" w:eastAsia="Tahoma" w:hAnsi="Calibri" w:cs="Times New Roman"/>
          <w:szCs w:val="22"/>
        </w:rPr>
        <w:t>the region.</w:t>
      </w:r>
    </w:p>
    <w:p w14:paraId="29CC282F" w14:textId="77777777" w:rsidR="002C1C4F" w:rsidRPr="006D2241" w:rsidRDefault="002C1C4F" w:rsidP="002C1C4F">
      <w:pPr>
        <w:spacing w:after="240"/>
        <w:rPr>
          <w:rFonts w:ascii="Calibri" w:eastAsia="PMingLiU" w:hAnsi="Calibri" w:cs="Times New Roman"/>
          <w:szCs w:val="22"/>
        </w:rPr>
      </w:pPr>
      <w:r w:rsidRPr="006D2241">
        <w:rPr>
          <w:rFonts w:ascii="Calibri" w:eastAsia="PMingLiU" w:hAnsi="Calibri" w:cs="Times New Roman"/>
          <w:szCs w:val="22"/>
        </w:rPr>
        <w:t>Interpreter Services to Support Diverse Patient Populations</w:t>
      </w:r>
    </w:p>
    <w:p w14:paraId="182E6400" w14:textId="199F3A21" w:rsidR="002C1C4F" w:rsidRPr="002C1C4F" w:rsidRDefault="002C1C4F" w:rsidP="002C1C4F">
      <w:pPr>
        <w:spacing w:after="240"/>
        <w:rPr>
          <w:rFonts w:ascii="Calibri" w:eastAsia="PMingLiU" w:hAnsi="Calibri" w:cs="Times New Roman"/>
          <w:szCs w:val="22"/>
        </w:rPr>
      </w:pPr>
      <w:r w:rsidRPr="002C1C4F">
        <w:rPr>
          <w:rFonts w:ascii="Calibri" w:eastAsia="PMingLiU" w:hAnsi="Calibri" w:cs="Times New Roman"/>
          <w:szCs w:val="22"/>
        </w:rPr>
        <w:t xml:space="preserve">One of UMMHC’s primary interventions to support diverse populations with limited English proficiency and other communication barriers </w:t>
      </w:r>
      <w:r w:rsidR="00BE7357">
        <w:rPr>
          <w:rFonts w:ascii="Calibri" w:eastAsia="PMingLiU" w:hAnsi="Calibri" w:cs="Times New Roman"/>
          <w:szCs w:val="22"/>
        </w:rPr>
        <w:t>is to p</w:t>
      </w:r>
      <w:r w:rsidRPr="002C1C4F">
        <w:rPr>
          <w:rFonts w:ascii="Calibri" w:eastAsia="PMingLiU" w:hAnsi="Calibri" w:cs="Times New Roman"/>
          <w:szCs w:val="22"/>
        </w:rPr>
        <w:t>rovid</w:t>
      </w:r>
      <w:r w:rsidR="00BE7357">
        <w:rPr>
          <w:rFonts w:ascii="Calibri" w:eastAsia="PMingLiU" w:hAnsi="Calibri" w:cs="Times New Roman"/>
          <w:szCs w:val="22"/>
        </w:rPr>
        <w:t>e</w:t>
      </w:r>
      <w:r w:rsidRPr="002C1C4F">
        <w:rPr>
          <w:rFonts w:ascii="Calibri" w:eastAsia="PMingLiU" w:hAnsi="Calibri" w:cs="Times New Roman"/>
          <w:szCs w:val="22"/>
        </w:rPr>
        <w:t xml:space="preserve"> professional medical interpretation services</w:t>
      </w:r>
      <w:r w:rsidR="00BE7357">
        <w:rPr>
          <w:rFonts w:ascii="Calibri" w:eastAsia="PMingLiU" w:hAnsi="Calibri" w:cs="Times New Roman"/>
          <w:szCs w:val="22"/>
        </w:rPr>
        <w:t xml:space="preserve"> in over 100 languages</w:t>
      </w:r>
      <w:r w:rsidRPr="002C1C4F">
        <w:rPr>
          <w:rFonts w:ascii="Calibri" w:eastAsia="PMingLiU" w:hAnsi="Calibri" w:cs="Times New Roman"/>
          <w:szCs w:val="22"/>
        </w:rPr>
        <w:t xml:space="preserve"> </w:t>
      </w:r>
      <w:r w:rsidR="00BE7357">
        <w:rPr>
          <w:rFonts w:ascii="Calibri" w:eastAsia="PMingLiU" w:hAnsi="Calibri" w:cs="Times New Roman"/>
          <w:szCs w:val="22"/>
        </w:rPr>
        <w:t>(</w:t>
      </w:r>
      <w:r w:rsidR="00BE7357" w:rsidRPr="00BE7357">
        <w:rPr>
          <w:rFonts w:ascii="Calibri" w:eastAsia="PMingLiU" w:hAnsi="Calibri" w:cs="Times New Roman"/>
          <w:szCs w:val="22"/>
        </w:rPr>
        <w:t>including American Sign Language</w:t>
      </w:r>
      <w:r w:rsidR="00BE7357">
        <w:rPr>
          <w:rFonts w:ascii="Calibri" w:eastAsia="PMingLiU" w:hAnsi="Calibri" w:cs="Times New Roman"/>
          <w:szCs w:val="22"/>
        </w:rPr>
        <w:t>)</w:t>
      </w:r>
      <w:r w:rsidR="00BE7357" w:rsidRPr="00BE7357">
        <w:rPr>
          <w:rFonts w:ascii="Calibri" w:eastAsia="PMingLiU" w:hAnsi="Calibri" w:cs="Times New Roman"/>
          <w:szCs w:val="22"/>
        </w:rPr>
        <w:t xml:space="preserve"> </w:t>
      </w:r>
      <w:r w:rsidRPr="002C1C4F">
        <w:rPr>
          <w:rFonts w:ascii="Calibri" w:eastAsia="PMingLiU" w:hAnsi="Calibri" w:cs="Times New Roman"/>
          <w:szCs w:val="22"/>
        </w:rPr>
        <w:t>to patients and families who prefer to communicate in languages other than English</w:t>
      </w:r>
      <w:r w:rsidR="00BE7357">
        <w:rPr>
          <w:rFonts w:ascii="Calibri" w:eastAsia="PMingLiU" w:hAnsi="Calibri" w:cs="Times New Roman"/>
          <w:szCs w:val="22"/>
        </w:rPr>
        <w:t>. These</w:t>
      </w:r>
      <w:r w:rsidRPr="002C1C4F">
        <w:rPr>
          <w:rFonts w:ascii="Calibri" w:eastAsia="PMingLiU" w:hAnsi="Calibri" w:cs="Times New Roman"/>
          <w:szCs w:val="22"/>
        </w:rPr>
        <w:t xml:space="preserve"> are available 24/7 through various modes, such as in-person, over the phone, and through remote video interpretation. </w:t>
      </w:r>
      <w:r w:rsidR="00BE7357">
        <w:rPr>
          <w:rFonts w:ascii="Calibri" w:eastAsia="PMingLiU" w:hAnsi="Calibri" w:cs="Times New Roman"/>
          <w:szCs w:val="22"/>
        </w:rPr>
        <w:t>I</w:t>
      </w:r>
      <w:r w:rsidRPr="002C1C4F">
        <w:rPr>
          <w:rFonts w:ascii="Calibri" w:eastAsia="PMingLiU" w:hAnsi="Calibri" w:cs="Times New Roman"/>
          <w:szCs w:val="22"/>
        </w:rPr>
        <w:t xml:space="preserve">nterpreters facilitate communication not only for medical needs but also for non-medical inquiries, ensuring comprehensive language assistance for our diverse patient community. </w:t>
      </w:r>
    </w:p>
    <w:p w14:paraId="0CB9347B" w14:textId="1B96104C" w:rsidR="002C1C4F" w:rsidRPr="006D2241" w:rsidRDefault="3A0BE059" w:rsidP="547C99C3">
      <w:pPr>
        <w:shd w:val="clear" w:color="auto" w:fill="FFFFFF" w:themeFill="background1"/>
        <w:spacing w:after="240"/>
        <w:rPr>
          <w:rFonts w:ascii="Calibri" w:eastAsia="Times New Roman" w:hAnsi="Calibri" w:cs="Calibri"/>
        </w:rPr>
      </w:pPr>
      <w:r w:rsidRPr="547C99C3">
        <w:rPr>
          <w:rFonts w:ascii="Calibri" w:eastAsia="Times New Roman" w:hAnsi="Calibri" w:cs="Calibri"/>
          <w:color w:val="000000" w:themeColor="text1"/>
        </w:rPr>
        <w:t xml:space="preserve">The Proposed Affiliation will enhance MRMC’s existing interpretation services and practices by incorporating them into UMMHC’s system-wide resources </w:t>
      </w:r>
      <w:r w:rsidR="4A126158" w:rsidRPr="547C99C3">
        <w:rPr>
          <w:rFonts w:ascii="Calibri" w:eastAsia="Times New Roman" w:hAnsi="Calibri" w:cs="Calibri"/>
          <w:color w:val="000000" w:themeColor="text1"/>
        </w:rPr>
        <w:t xml:space="preserve">and </w:t>
      </w:r>
      <w:r w:rsidRPr="547C99C3">
        <w:rPr>
          <w:rFonts w:ascii="Calibri" w:eastAsia="Times New Roman" w:hAnsi="Calibri" w:cs="Calibri"/>
          <w:color w:val="000000" w:themeColor="text1"/>
        </w:rPr>
        <w:t xml:space="preserve">increase capacity </w:t>
      </w:r>
      <w:r w:rsidR="4A126158" w:rsidRPr="547C99C3">
        <w:rPr>
          <w:rFonts w:ascii="Calibri" w:eastAsia="Times New Roman" w:hAnsi="Calibri" w:cs="Calibri"/>
          <w:color w:val="000000" w:themeColor="text1"/>
        </w:rPr>
        <w:t xml:space="preserve">which </w:t>
      </w:r>
      <w:r w:rsidRPr="547C99C3">
        <w:rPr>
          <w:rFonts w:ascii="Calibri" w:eastAsia="Times New Roman" w:hAnsi="Calibri" w:cs="Calibri"/>
          <w:color w:val="000000" w:themeColor="text1"/>
        </w:rPr>
        <w:t xml:space="preserve">will include creating a management structure with </w:t>
      </w:r>
      <w:r w:rsidRPr="547C99C3">
        <w:rPr>
          <w:rFonts w:ascii="Calibri" w:eastAsia="Times New Roman" w:hAnsi="Calibri" w:cs="Calibri"/>
        </w:rPr>
        <w:t>designated staff, establishing written policies and procedures consistent with Massachusetts regulations</w:t>
      </w:r>
      <w:r w:rsidR="783E47A4" w:rsidRPr="547C99C3">
        <w:rPr>
          <w:rFonts w:ascii="Calibri" w:eastAsia="Times New Roman" w:hAnsi="Calibri" w:cs="Calibri"/>
        </w:rPr>
        <w:t>.</w:t>
      </w:r>
      <w:r w:rsidRPr="547C99C3">
        <w:rPr>
          <w:rFonts w:ascii="Calibri" w:eastAsia="Times New Roman" w:hAnsi="Calibri" w:cs="Calibri"/>
        </w:rPr>
        <w:t xml:space="preserve"> </w:t>
      </w:r>
    </w:p>
    <w:p w14:paraId="2A8B999D" w14:textId="32FC88A8" w:rsidR="002C1C4F" w:rsidRPr="006D2241" w:rsidRDefault="002C1C4F" w:rsidP="5326C409">
      <w:pPr>
        <w:shd w:val="clear" w:color="auto" w:fill="FFFFFF" w:themeFill="background1"/>
        <w:spacing w:after="240"/>
        <w:rPr>
          <w:rFonts w:ascii="Calibri" w:eastAsia="Times New Roman" w:hAnsi="Calibri" w:cs="Calibri"/>
        </w:rPr>
      </w:pPr>
      <w:r w:rsidRPr="547C99C3">
        <w:rPr>
          <w:rFonts w:ascii="Calibri" w:eastAsia="Times New Roman" w:hAnsi="Calibri" w:cs="Calibri"/>
        </w:rPr>
        <w:t xml:space="preserve">Fostering Culturally Proficient Staff </w:t>
      </w:r>
    </w:p>
    <w:p w14:paraId="4890E40B" w14:textId="187FB3DE" w:rsidR="002C1C4F" w:rsidRPr="002C1C4F" w:rsidRDefault="004F7245" w:rsidP="002715A1">
      <w:pPr>
        <w:shd w:val="clear" w:color="auto" w:fill="FFFFFF"/>
        <w:spacing w:after="240"/>
        <w:rPr>
          <w:rFonts w:ascii="Calibri" w:eastAsia="Times New Roman" w:hAnsi="Calibri" w:cs="Calibri"/>
        </w:rPr>
      </w:pPr>
      <w:r>
        <w:rPr>
          <w:rFonts w:ascii="Calibri" w:eastAsia="Times New Roman" w:hAnsi="Calibri" w:cs="Calibri"/>
        </w:rPr>
        <w:t>The Applicant</w:t>
      </w:r>
      <w:r w:rsidR="002C1C4F" w:rsidRPr="002C1C4F">
        <w:rPr>
          <w:rFonts w:ascii="Calibri" w:eastAsia="Times New Roman" w:hAnsi="Calibri" w:cs="Calibri"/>
        </w:rPr>
        <w:t>’s commitment to equity extends to fostering a culturally proficient workforce. UMMHC established the office of Diversity, Equity, Inclusion and Belonging (DEIB), with dedicated leadership overseeing equity initiatives</w:t>
      </w:r>
      <w:r>
        <w:rPr>
          <w:rFonts w:ascii="Calibri" w:eastAsia="Times New Roman" w:hAnsi="Calibri" w:cs="Calibri"/>
        </w:rPr>
        <w:t xml:space="preserve"> and with </w:t>
      </w:r>
      <w:r w:rsidR="002C1C4F" w:rsidRPr="002C1C4F">
        <w:rPr>
          <w:rFonts w:ascii="Calibri" w:eastAsia="Times New Roman" w:hAnsi="Calibri" w:cs="Calibri"/>
        </w:rPr>
        <w:t>the DEIB diversity specialists provid</w:t>
      </w:r>
      <w:r>
        <w:rPr>
          <w:rFonts w:ascii="Calibri" w:eastAsia="Times New Roman" w:hAnsi="Calibri" w:cs="Calibri"/>
        </w:rPr>
        <w:t>ing</w:t>
      </w:r>
      <w:r w:rsidR="002C1C4F" w:rsidRPr="002C1C4F">
        <w:rPr>
          <w:rFonts w:ascii="Calibri" w:eastAsia="Times New Roman" w:hAnsi="Calibri" w:cs="Calibri"/>
        </w:rPr>
        <w:t xml:space="preserve"> racial literacy training around cultural proficiency and unconscious bias to UMMHC medical departments.</w:t>
      </w:r>
      <w:r w:rsidR="002C1C4F" w:rsidRPr="002C1C4F">
        <w:rPr>
          <w:rFonts w:ascii="Calibri" w:eastAsia="Times New Roman" w:hAnsi="Calibri" w:cs="Calibri"/>
          <w:vertAlign w:val="superscript"/>
        </w:rPr>
        <w:endnoteReference w:id="13"/>
      </w:r>
      <w:r w:rsidR="002C1C4F" w:rsidRPr="002C1C4F">
        <w:rPr>
          <w:rFonts w:ascii="Calibri" w:eastAsia="Times New Roman" w:hAnsi="Calibri" w:cs="Calibri"/>
        </w:rPr>
        <w:t xml:space="preserve"> This commitment to inclusivity and cultural competence is instrumental in providing equitable care</w:t>
      </w:r>
      <w:r>
        <w:rPr>
          <w:rFonts w:ascii="Calibri" w:eastAsia="Times New Roman" w:hAnsi="Calibri" w:cs="Calibri"/>
        </w:rPr>
        <w:t xml:space="preserve"> and will be incorporated into MRMC.</w:t>
      </w:r>
    </w:p>
    <w:p w14:paraId="1D69A5F7" w14:textId="60D0BFD6" w:rsidR="004F7245" w:rsidRDefault="004F7245" w:rsidP="002715A1">
      <w:pPr>
        <w:spacing w:after="240"/>
        <w:rPr>
          <w:rFonts w:ascii="Calibri" w:eastAsia="PMingLiU" w:hAnsi="Calibri" w:cs="Times New Roman"/>
          <w:szCs w:val="22"/>
        </w:rPr>
      </w:pPr>
      <w:r>
        <w:rPr>
          <w:rFonts w:ascii="Calibri" w:eastAsia="PMingLiU" w:hAnsi="Calibri" w:cs="Times New Roman"/>
          <w:szCs w:val="22"/>
        </w:rPr>
        <w:t>UMMC anticipates extending other programs to MRMC including the following:</w:t>
      </w:r>
    </w:p>
    <w:p w14:paraId="50E142BF" w14:textId="126D1148" w:rsidR="004F7245" w:rsidRPr="004F7245" w:rsidRDefault="002C1C4F" w:rsidP="00A50A54">
      <w:pPr>
        <w:pStyle w:val="ListParagraph"/>
        <w:numPr>
          <w:ilvl w:val="0"/>
          <w:numId w:val="8"/>
        </w:numPr>
        <w:spacing w:after="240" w:line="240" w:lineRule="auto"/>
        <w:rPr>
          <w:rFonts w:ascii="Calibri" w:eastAsia="PMingLiU" w:hAnsi="Calibri" w:cs="Times New Roman"/>
          <w:sz w:val="24"/>
          <w:szCs w:val="24"/>
        </w:rPr>
      </w:pPr>
      <w:r w:rsidRPr="5326C409">
        <w:rPr>
          <w:rFonts w:ascii="Calibri" w:eastAsia="PMingLiU" w:hAnsi="Calibri" w:cs="Times New Roman"/>
          <w:sz w:val="24"/>
          <w:szCs w:val="24"/>
        </w:rPr>
        <w:t>Doula Program for Improved Maternal Health</w:t>
      </w:r>
      <w:r w:rsidRPr="5326C409">
        <w:rPr>
          <w:rFonts w:ascii="Calibri" w:eastAsia="PMingLiU" w:hAnsi="Calibri" w:cs="Times New Roman"/>
          <w:b/>
          <w:bCs/>
          <w:sz w:val="24"/>
          <w:szCs w:val="24"/>
          <w:u w:val="single"/>
        </w:rPr>
        <w:t xml:space="preserve"> </w:t>
      </w:r>
      <w:r w:rsidRPr="5326C409">
        <w:rPr>
          <w:rFonts w:ascii="Calibri" w:eastAsia="PMingLiU" w:hAnsi="Calibri" w:cs="Times New Roman"/>
          <w:sz w:val="24"/>
          <w:szCs w:val="24"/>
        </w:rPr>
        <w:t>to positively impact the patient experience and improve birth and postpartum outcomes, with a special focus on pregnant patients of color and among historically underserved populations.</w:t>
      </w:r>
    </w:p>
    <w:p w14:paraId="17C678CB" w14:textId="7732BF21" w:rsidR="002C1C4F" w:rsidRPr="004F7245" w:rsidRDefault="002C1C4F" w:rsidP="00A50A54">
      <w:pPr>
        <w:pStyle w:val="ListParagraph"/>
        <w:numPr>
          <w:ilvl w:val="0"/>
          <w:numId w:val="8"/>
        </w:numPr>
        <w:spacing w:after="240" w:line="240" w:lineRule="auto"/>
        <w:rPr>
          <w:rFonts w:ascii="Calibri" w:eastAsia="PMingLiU" w:hAnsi="Calibri" w:cs="Times New Roman"/>
          <w:sz w:val="24"/>
          <w:szCs w:val="24"/>
        </w:rPr>
      </w:pPr>
      <w:r w:rsidRPr="004F7245">
        <w:rPr>
          <w:rFonts w:ascii="Calibri" w:eastAsia="PMingLiU" w:hAnsi="Calibri" w:cs="Times New Roman"/>
          <w:sz w:val="24"/>
          <w:szCs w:val="24"/>
        </w:rPr>
        <w:t>MyChart Patient Portal in Multiple Languages is being implemented to promote equal access to healthcare information</w:t>
      </w:r>
      <w:r w:rsidR="004F7245">
        <w:rPr>
          <w:rFonts w:ascii="Calibri" w:eastAsia="PMingLiU" w:hAnsi="Calibri" w:cs="Times New Roman"/>
          <w:sz w:val="24"/>
          <w:szCs w:val="24"/>
        </w:rPr>
        <w:t xml:space="preserve"> for </w:t>
      </w:r>
      <w:r w:rsidRPr="004F7245">
        <w:rPr>
          <w:rFonts w:ascii="Calibri" w:eastAsia="PMingLiU" w:hAnsi="Calibri" w:cs="Times New Roman"/>
          <w:sz w:val="24"/>
          <w:szCs w:val="24"/>
        </w:rPr>
        <w:t>non-English speaking patients and</w:t>
      </w:r>
      <w:r w:rsidR="004F7245">
        <w:rPr>
          <w:rFonts w:ascii="Calibri" w:eastAsia="PMingLiU" w:hAnsi="Calibri" w:cs="Times New Roman"/>
          <w:sz w:val="24"/>
          <w:szCs w:val="24"/>
        </w:rPr>
        <w:t xml:space="preserve"> help them</w:t>
      </w:r>
      <w:r w:rsidRPr="004F7245">
        <w:rPr>
          <w:rFonts w:ascii="Calibri" w:eastAsia="PMingLiU" w:hAnsi="Calibri" w:cs="Times New Roman"/>
          <w:sz w:val="24"/>
          <w:szCs w:val="24"/>
        </w:rPr>
        <w:t xml:space="preserve"> stay in contact with their care teams, thereby contributing to improved health equity. </w:t>
      </w:r>
    </w:p>
    <w:p w14:paraId="5D22B690" w14:textId="5DB56186" w:rsidR="002C1C4F" w:rsidRPr="002C1C4F" w:rsidRDefault="3A0BE059" w:rsidP="779763D6">
      <w:pPr>
        <w:spacing w:after="240"/>
        <w:rPr>
          <w:rFonts w:ascii="Calibri" w:eastAsia="PMingLiU" w:hAnsi="Calibri" w:cs="Times New Roman"/>
        </w:rPr>
      </w:pPr>
      <w:r w:rsidRPr="3BC6E168">
        <w:rPr>
          <w:rFonts w:ascii="Calibri" w:eastAsia="PMingLiU" w:hAnsi="Calibri" w:cs="Times New Roman"/>
        </w:rPr>
        <w:t>Moving forward, MRMC will be an integral part of these signature initiatives</w:t>
      </w:r>
      <w:r w:rsidR="002715A1" w:rsidRPr="3BC6E168">
        <w:rPr>
          <w:rStyle w:val="FootnoteReference"/>
          <w:rFonts w:ascii="Calibri" w:eastAsia="PMingLiU" w:hAnsi="Calibri" w:cs="Times New Roman"/>
        </w:rPr>
        <w:footnoteReference w:id="29"/>
      </w:r>
      <w:r w:rsidRPr="3BC6E168">
        <w:rPr>
          <w:rFonts w:ascii="Calibri" w:eastAsia="PMingLiU" w:hAnsi="Calibri" w:cs="Times New Roman"/>
        </w:rPr>
        <w:t xml:space="preserve"> – both in terms of establishing the data-driven priorities for advancing equity and also in receiving the support and experience of the UMMHC system to drive meaningful improvements in healthcare equity in its patient base.</w:t>
      </w:r>
    </w:p>
    <w:p w14:paraId="17C28C74" w14:textId="07F36202" w:rsidR="002C1C4F" w:rsidRPr="00C15BDE" w:rsidRDefault="002C1C4F" w:rsidP="002715A1">
      <w:pPr>
        <w:spacing w:after="240"/>
        <w:rPr>
          <w:rFonts w:ascii="Calibri" w:eastAsia="PMingLiU" w:hAnsi="Calibri" w:cs="Calibri"/>
        </w:rPr>
      </w:pPr>
      <w:r w:rsidRPr="305FBFA0">
        <w:rPr>
          <w:rFonts w:ascii="Calibri" w:eastAsia="PMingLiU" w:hAnsi="Calibri" w:cs="Calibri"/>
        </w:rPr>
        <w:t>Community Benefits Program/Office</w:t>
      </w:r>
    </w:p>
    <w:p w14:paraId="1D930553" w14:textId="55796F46" w:rsidR="002C1C4F" w:rsidRPr="002C1C4F" w:rsidRDefault="002C1C4F" w:rsidP="002715A1">
      <w:pPr>
        <w:spacing w:after="240"/>
        <w:rPr>
          <w:rFonts w:ascii="Calibri" w:eastAsia="PMingLiU" w:hAnsi="Calibri" w:cs="Calibri"/>
          <w:szCs w:val="22"/>
        </w:rPr>
      </w:pPr>
      <w:r w:rsidRPr="002C1C4F">
        <w:rPr>
          <w:rFonts w:ascii="Calibri" w:eastAsia="PMingLiU" w:hAnsi="Calibri" w:cs="Calibri"/>
          <w:szCs w:val="22"/>
        </w:rPr>
        <w:t xml:space="preserve">The UMMHC Community Benefits Program is dedicated to enhancing healthcare access and improving health, with a particular focus on disadvantaged, ethnically diverse, underserved, historically marginalized, and vulnerable populations. Community Benefits Programs (“Program”) are developed collaboratively through partnerships with community-based organizations, social agencies, public health allies, and comprehensive Community Health Needs Assessments (CHNA) conducted triennially. Programs address both medical and non-medical aspects and offer a range of services to area residents. </w:t>
      </w:r>
      <w:r w:rsidR="008E27DB">
        <w:rPr>
          <w:rFonts w:ascii="Calibri" w:eastAsia="PMingLiU" w:hAnsi="Calibri" w:cs="Calibri"/>
          <w:szCs w:val="22"/>
        </w:rPr>
        <w:t>The following are e</w:t>
      </w:r>
      <w:r w:rsidRPr="002C1C4F">
        <w:rPr>
          <w:rFonts w:ascii="Calibri" w:eastAsia="PMingLiU" w:hAnsi="Calibri" w:cs="Calibri"/>
          <w:szCs w:val="22"/>
        </w:rPr>
        <w:t xml:space="preserve">xamples of programs that may be expanded or </w:t>
      </w:r>
      <w:r w:rsidRPr="002C1C4F">
        <w:rPr>
          <w:rFonts w:ascii="Calibri" w:eastAsia="PMingLiU" w:hAnsi="Calibri" w:cs="Calibri"/>
          <w:color w:val="000000"/>
        </w:rPr>
        <w:t>replicated and scaled to the communities served by MRMC:</w:t>
      </w:r>
    </w:p>
    <w:p w14:paraId="14C168D0" w14:textId="77777777" w:rsidR="006D2241" w:rsidRDefault="002C1C4F" w:rsidP="00A50A54">
      <w:pPr>
        <w:numPr>
          <w:ilvl w:val="0"/>
          <w:numId w:val="3"/>
        </w:numPr>
        <w:tabs>
          <w:tab w:val="left" w:pos="360"/>
        </w:tabs>
        <w:ind w:left="720"/>
        <w:rPr>
          <w:rFonts w:ascii="Calibri" w:eastAsia="PMingLiU" w:hAnsi="Calibri" w:cs="Calibri"/>
          <w:szCs w:val="22"/>
        </w:rPr>
      </w:pPr>
      <w:r w:rsidRPr="006D2241">
        <w:rPr>
          <w:rFonts w:ascii="Calibri" w:eastAsia="PMingLiU" w:hAnsi="Calibri" w:cs="Calibri"/>
          <w:szCs w:val="22"/>
        </w:rPr>
        <w:t xml:space="preserve">The “Road to Care” </w:t>
      </w:r>
    </w:p>
    <w:p w14:paraId="2FCEB12D" w14:textId="2CADDECF" w:rsidR="002C1C4F" w:rsidRPr="006D2241" w:rsidRDefault="3A0BE059" w:rsidP="00A50A54">
      <w:pPr>
        <w:numPr>
          <w:ilvl w:val="0"/>
          <w:numId w:val="3"/>
        </w:numPr>
        <w:tabs>
          <w:tab w:val="left" w:pos="360"/>
        </w:tabs>
        <w:ind w:left="720"/>
        <w:rPr>
          <w:rFonts w:ascii="Calibri" w:eastAsia="PMingLiU" w:hAnsi="Calibri" w:cs="Calibri"/>
          <w:szCs w:val="22"/>
        </w:rPr>
      </w:pPr>
      <w:r w:rsidRPr="3BC6E168">
        <w:rPr>
          <w:rFonts w:ascii="Calibri" w:eastAsia="PMingLiU" w:hAnsi="Calibri" w:cs="Calibri"/>
        </w:rPr>
        <w:t xml:space="preserve"> “Food is Medicine” program</w:t>
      </w:r>
      <w:r w:rsidR="006D2241" w:rsidRPr="3BC6E168">
        <w:rPr>
          <w:rStyle w:val="FootnoteReference"/>
          <w:rFonts w:ascii="Calibri" w:eastAsia="PMingLiU" w:hAnsi="Calibri" w:cs="Calibri"/>
        </w:rPr>
        <w:footnoteReference w:id="30"/>
      </w:r>
      <w:r w:rsidRPr="3BC6E168">
        <w:rPr>
          <w:rFonts w:ascii="Calibri" w:eastAsia="PMingLiU" w:hAnsi="Calibri" w:cs="Calibri"/>
        </w:rPr>
        <w:t xml:space="preserve"> </w:t>
      </w:r>
    </w:p>
    <w:p w14:paraId="276FC904" w14:textId="702956A4" w:rsidR="002C1C4F" w:rsidRPr="002C1C4F" w:rsidRDefault="3A0BE059" w:rsidP="00A50A54">
      <w:pPr>
        <w:numPr>
          <w:ilvl w:val="0"/>
          <w:numId w:val="3"/>
        </w:numPr>
        <w:tabs>
          <w:tab w:val="left" w:pos="360"/>
        </w:tabs>
        <w:ind w:left="720"/>
        <w:rPr>
          <w:rFonts w:ascii="Calibri" w:eastAsia="PMingLiU" w:hAnsi="Calibri" w:cs="Calibri"/>
          <w:szCs w:val="22"/>
        </w:rPr>
      </w:pPr>
      <w:r w:rsidRPr="3BC6E168">
        <w:rPr>
          <w:rFonts w:ascii="Calibri" w:eastAsia="PMingLiU" w:hAnsi="Calibri" w:cs="Calibri"/>
        </w:rPr>
        <w:t>The Ronald McDonald House Charities (RMHC) Care Mobile</w:t>
      </w:r>
      <w:r w:rsidR="002C1C4F" w:rsidRPr="3BC6E168">
        <w:rPr>
          <w:rFonts w:ascii="Calibri" w:eastAsia="PMingLiU" w:hAnsi="Calibri" w:cs="Calibri"/>
          <w:vertAlign w:val="superscript"/>
        </w:rPr>
        <w:footnoteReference w:id="31"/>
      </w:r>
      <w:r w:rsidRPr="3BC6E168">
        <w:rPr>
          <w:rFonts w:ascii="Calibri" w:eastAsia="PMingLiU" w:hAnsi="Calibri" w:cs="Calibri"/>
        </w:rPr>
        <w:t xml:space="preserve"> </w:t>
      </w:r>
    </w:p>
    <w:p w14:paraId="067F64BD" w14:textId="61F05DD3" w:rsidR="002C1C4F" w:rsidRPr="002C1C4F" w:rsidRDefault="3A0BE059" w:rsidP="00A50A54">
      <w:pPr>
        <w:numPr>
          <w:ilvl w:val="0"/>
          <w:numId w:val="3"/>
        </w:numPr>
        <w:tabs>
          <w:tab w:val="left" w:pos="360"/>
        </w:tabs>
        <w:ind w:left="720"/>
        <w:rPr>
          <w:rFonts w:ascii="Calibri" w:eastAsia="PMingLiU" w:hAnsi="Calibri" w:cs="Calibri"/>
          <w:szCs w:val="22"/>
        </w:rPr>
      </w:pPr>
      <w:r w:rsidRPr="3BC6E168">
        <w:rPr>
          <w:rFonts w:ascii="Calibri" w:eastAsia="PMingLiU" w:hAnsi="Calibri" w:cs="Calibri"/>
        </w:rPr>
        <w:t>The Medical Legal Partnership with Community Legal Aid</w:t>
      </w:r>
      <w:r w:rsidR="006D2241" w:rsidRPr="3BC6E168">
        <w:rPr>
          <w:rStyle w:val="FootnoteReference"/>
          <w:rFonts w:ascii="Calibri" w:eastAsia="PMingLiU" w:hAnsi="Calibri" w:cs="Calibri"/>
        </w:rPr>
        <w:footnoteReference w:id="32"/>
      </w:r>
      <w:r w:rsidRPr="3BC6E168">
        <w:rPr>
          <w:rFonts w:ascii="Calibri" w:eastAsia="PMingLiU" w:hAnsi="Calibri" w:cs="Calibri"/>
        </w:rPr>
        <w:t xml:space="preserve"> </w:t>
      </w:r>
    </w:p>
    <w:p w14:paraId="604868AC" w14:textId="6F9C2FBA" w:rsidR="002C1C4F" w:rsidRPr="002C1C4F" w:rsidRDefault="002C1C4F" w:rsidP="00A50A54">
      <w:pPr>
        <w:numPr>
          <w:ilvl w:val="0"/>
          <w:numId w:val="3"/>
        </w:numPr>
        <w:tabs>
          <w:tab w:val="left" w:pos="360"/>
        </w:tabs>
        <w:spacing w:after="240"/>
        <w:ind w:left="720"/>
        <w:rPr>
          <w:rFonts w:ascii="Calibri" w:eastAsia="PMingLiU" w:hAnsi="Calibri" w:cs="Calibri"/>
          <w:szCs w:val="22"/>
        </w:rPr>
      </w:pPr>
      <w:r w:rsidRPr="002C1C4F">
        <w:rPr>
          <w:rFonts w:ascii="Calibri" w:eastAsia="PMingLiU" w:hAnsi="Calibri" w:cs="Calibri"/>
          <w:szCs w:val="22"/>
        </w:rPr>
        <w:t xml:space="preserve">UMMHC also issues grants and sponsorships to support local initiatives with a strong focus on equity using its infrastructure to ensure proper evaluation, distribution, support, </w:t>
      </w:r>
      <w:proofErr w:type="gramStart"/>
      <w:r w:rsidRPr="002C1C4F">
        <w:rPr>
          <w:rFonts w:ascii="Calibri" w:eastAsia="PMingLiU" w:hAnsi="Calibri" w:cs="Calibri"/>
          <w:szCs w:val="22"/>
        </w:rPr>
        <w:t>monitoring</w:t>
      </w:r>
      <w:proofErr w:type="gramEnd"/>
      <w:r w:rsidRPr="002C1C4F">
        <w:rPr>
          <w:rFonts w:ascii="Calibri" w:eastAsia="PMingLiU" w:hAnsi="Calibri" w:cs="Calibri"/>
          <w:szCs w:val="22"/>
        </w:rPr>
        <w:t xml:space="preserve"> and reporting by recipients, thereby fostering continuous improvement in serving local non-profits while enhancing their capacity.</w:t>
      </w:r>
    </w:p>
    <w:p w14:paraId="54E4694C" w14:textId="7AA609AE" w:rsidR="002C1C4F" w:rsidRPr="002C1C4F" w:rsidRDefault="002C1C4F" w:rsidP="002C1C4F">
      <w:pPr>
        <w:spacing w:after="240"/>
        <w:rPr>
          <w:rFonts w:ascii="Calibri" w:eastAsia="PMingLiU" w:hAnsi="Calibri" w:cs="Calibri"/>
        </w:rPr>
      </w:pPr>
      <w:r w:rsidRPr="002C1C4F">
        <w:rPr>
          <w:rFonts w:ascii="Calibri" w:eastAsia="PMingLiU" w:hAnsi="Calibri" w:cs="Calibri"/>
          <w:color w:val="000000"/>
        </w:rPr>
        <w:t>The 2021 Greater Milford Community Health Improvement Plan (CHIP)</w:t>
      </w:r>
      <w:r w:rsidRPr="002C1C4F">
        <w:rPr>
          <w:rFonts w:ascii="Calibri" w:eastAsia="PMingLiU" w:hAnsi="Calibri" w:cs="Calibri"/>
          <w:color w:val="000000"/>
          <w:vertAlign w:val="superscript"/>
        </w:rPr>
        <w:endnoteReference w:id="14"/>
      </w:r>
      <w:r w:rsidRPr="002C1C4F">
        <w:rPr>
          <w:rFonts w:ascii="Calibri" w:eastAsia="PMingLiU" w:hAnsi="Calibri" w:cs="Calibri"/>
          <w:color w:val="000000"/>
        </w:rPr>
        <w:t xml:space="preserve"> identified mental health and substance use, food insecurity, and homelessness as priorities. The Greater Milford Community Health Network: CHNA 6 emphasizes health equity as a cross-cutting priority in developing the CHIP.</w:t>
      </w:r>
      <w:r w:rsidRPr="002C1C4F">
        <w:rPr>
          <w:rFonts w:ascii="Calibri" w:eastAsia="PMingLiU" w:hAnsi="Calibri" w:cs="Calibri"/>
          <w:color w:val="000000"/>
          <w:vertAlign w:val="superscript"/>
        </w:rPr>
        <w:endnoteReference w:id="15"/>
      </w:r>
      <w:r w:rsidRPr="002C1C4F">
        <w:rPr>
          <w:rFonts w:ascii="Calibri" w:eastAsia="PMingLiU" w:hAnsi="Calibri" w:cs="Calibri"/>
          <w:color w:val="000000"/>
        </w:rPr>
        <w:t xml:space="preserve"> </w:t>
      </w:r>
      <w:r w:rsidRPr="779763D6">
        <w:rPr>
          <w:rFonts w:ascii="Calibri" w:eastAsia="PMingLiU" w:hAnsi="Calibri" w:cs="Calibri"/>
        </w:rPr>
        <w:t>UMMHC and MRMC share these priority areas, and the Pro</w:t>
      </w:r>
      <w:r w:rsidR="009B65D3" w:rsidRPr="779763D6">
        <w:rPr>
          <w:rFonts w:ascii="Calibri" w:eastAsia="PMingLiU" w:hAnsi="Calibri" w:cs="Calibri"/>
        </w:rPr>
        <w:t>posed Affiliation</w:t>
      </w:r>
      <w:r w:rsidRPr="779763D6">
        <w:rPr>
          <w:rFonts w:ascii="Calibri" w:eastAsia="PMingLiU" w:hAnsi="Calibri" w:cs="Calibri"/>
        </w:rPr>
        <w:t xml:space="preserve"> offers opportunities for mutual learning and support, collaborative data analysis, and coalition building to strengthen these priority areas across Central Massachusetts and beyond. </w:t>
      </w:r>
    </w:p>
    <w:p w14:paraId="59A86824" w14:textId="20FD2DCB" w:rsidR="002C1C4F" w:rsidRPr="002C1C4F" w:rsidRDefault="002C1C4F" w:rsidP="002C1C4F">
      <w:pPr>
        <w:spacing w:after="240"/>
        <w:rPr>
          <w:rFonts w:ascii="Calibri" w:eastAsia="PMingLiU" w:hAnsi="Calibri" w:cs="Calibri"/>
          <w:color w:val="2E5395"/>
          <w:szCs w:val="22"/>
        </w:rPr>
      </w:pPr>
      <w:r w:rsidRPr="002C1C4F">
        <w:rPr>
          <w:rFonts w:ascii="Calibri" w:eastAsia="PMingLiU" w:hAnsi="Calibri" w:cs="Calibri"/>
          <w:szCs w:val="22"/>
        </w:rPr>
        <w:t>UMMHC already tracks a number of metrics related to health equity for ambulatory and inpatient settings in order to identify and implement specific interventions, such as those described herein. Once MRMC is integrated into the UMMHC system, UMMHC and MRMC will track these metrics and look for substantial opportunities for MRMC to advance health equity.</w:t>
      </w:r>
    </w:p>
    <w:p w14:paraId="7E7C1E2D" w14:textId="7FED2E3D" w:rsidR="007B1DAB" w:rsidRDefault="007B1DAB" w:rsidP="003F7CD2">
      <w:pPr>
        <w:pStyle w:val="RNNum"/>
        <w:numPr>
          <w:ilvl w:val="0"/>
          <w:numId w:val="0"/>
        </w:numPr>
        <w:spacing w:after="0"/>
        <w:rPr>
          <w:b/>
          <w:bCs/>
          <w:i/>
          <w:iCs/>
          <w:szCs w:val="24"/>
        </w:rPr>
      </w:pPr>
      <w:r w:rsidRPr="005071DF">
        <w:rPr>
          <w:b/>
          <w:bCs/>
          <w:i/>
          <w:iCs/>
          <w:szCs w:val="24"/>
        </w:rPr>
        <w:t>Analysis</w:t>
      </w:r>
    </w:p>
    <w:p w14:paraId="4DD81056" w14:textId="77777777" w:rsidR="00621161" w:rsidRPr="005071DF" w:rsidRDefault="00621161" w:rsidP="003F7CD2">
      <w:pPr>
        <w:pStyle w:val="RNNum"/>
        <w:numPr>
          <w:ilvl w:val="0"/>
          <w:numId w:val="0"/>
        </w:numPr>
        <w:spacing w:after="0"/>
        <w:rPr>
          <w:b/>
          <w:bCs/>
          <w:i/>
          <w:iCs/>
          <w:szCs w:val="24"/>
        </w:rPr>
      </w:pPr>
    </w:p>
    <w:p w14:paraId="74CD554E" w14:textId="0528CD1D" w:rsidR="00D662B9" w:rsidRDefault="00D662B9" w:rsidP="00C15BDE">
      <w:pPr>
        <w:rPr>
          <w:rFonts w:ascii="Calibri" w:eastAsia="Calibri" w:hAnsi="Calibri" w:cs="Times New Roman"/>
          <w:kern w:val="2"/>
          <w14:ligatures w14:val="standardContextual"/>
        </w:rPr>
      </w:pPr>
      <w:r>
        <w:rPr>
          <w:rFonts w:ascii="Calibri" w:eastAsia="Calibri" w:hAnsi="Calibri" w:cs="Times New Roman"/>
          <w:bCs/>
          <w:kern w:val="2"/>
          <w14:ligatures w14:val="standardContextual"/>
        </w:rPr>
        <w:t>As part of its annual reporting, to measure the impact of the Affiliation, t</w:t>
      </w:r>
      <w:r w:rsidRPr="00D662B9">
        <w:rPr>
          <w:rFonts w:ascii="Calibri" w:eastAsia="Calibri" w:hAnsi="Calibri" w:cs="Times New Roman"/>
          <w:bCs/>
          <w:kern w:val="2"/>
          <w14:ligatures w14:val="standardContextual"/>
        </w:rPr>
        <w:t xml:space="preserve">he Applicant proposes to report on the following measures </w:t>
      </w:r>
      <w:r>
        <w:rPr>
          <w:rFonts w:ascii="Calibri" w:eastAsia="Calibri" w:hAnsi="Calibri" w:cs="Times New Roman"/>
          <w:bCs/>
          <w:kern w:val="2"/>
          <w14:ligatures w14:val="standardContextual"/>
        </w:rPr>
        <w:t>on</w:t>
      </w:r>
      <w:r w:rsidRPr="00D662B9">
        <w:rPr>
          <w:rFonts w:ascii="Calibri" w:eastAsia="Calibri" w:hAnsi="Calibri" w:cs="Times New Roman"/>
          <w:bCs/>
          <w:kern w:val="2"/>
          <w14:ligatures w14:val="standardContextual"/>
        </w:rPr>
        <w:t xml:space="preserve"> the Proposed Affiliation: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w:t>
      </w:r>
    </w:p>
    <w:p w14:paraId="564060B9" w14:textId="77777777" w:rsidR="00D662B9" w:rsidRDefault="00D662B9" w:rsidP="00C15BDE">
      <w:pPr>
        <w:rPr>
          <w:rFonts w:ascii="Calibri" w:eastAsia="Calibri" w:hAnsi="Calibri" w:cs="Times New Roman"/>
          <w:kern w:val="2"/>
          <w14:ligatures w14:val="standardContextual"/>
        </w:rPr>
      </w:pPr>
    </w:p>
    <w:p w14:paraId="73E6E20B" w14:textId="36FCC401" w:rsidR="00BF0F71" w:rsidRPr="00BF0F71" w:rsidRDefault="73EDC1F5" w:rsidP="00C15BDE">
      <w:pPr>
        <w:rPr>
          <w:rFonts w:ascii="Calibri" w:eastAsia="Calibri" w:hAnsi="Calibri" w:cs="Times New Roman"/>
          <w:kern w:val="2"/>
          <w14:ligatures w14:val="standardContextual"/>
        </w:rPr>
      </w:pPr>
      <w:r w:rsidRPr="00BF0F71">
        <w:rPr>
          <w:rFonts w:ascii="Calibri" w:eastAsia="Calibri" w:hAnsi="Calibri" w:cs="Times New Roman"/>
          <w:kern w:val="2"/>
          <w14:ligatures w14:val="standardContextual"/>
        </w:rPr>
        <w:t xml:space="preserve">The Applicant </w:t>
      </w:r>
      <w:r w:rsidR="00DD4087">
        <w:rPr>
          <w:rFonts w:ascii="Calibri" w:eastAsia="Calibri" w:hAnsi="Calibri" w:cs="Times New Roman"/>
          <w:kern w:val="2"/>
          <w14:ligatures w14:val="standardContextual"/>
        </w:rPr>
        <w:t xml:space="preserve">describes </w:t>
      </w:r>
      <w:r w:rsidRPr="00BF0F71">
        <w:rPr>
          <w:rFonts w:ascii="Calibri" w:eastAsia="Calibri" w:hAnsi="Calibri" w:cs="Times New Roman"/>
          <w:kern w:val="2"/>
          <w14:ligatures w14:val="standardContextual"/>
        </w:rPr>
        <w:t xml:space="preserve">how </w:t>
      </w:r>
      <w:r w:rsidRPr="00023B06">
        <w:rPr>
          <w:rFonts w:ascii="Calibri" w:eastAsia="Calibri" w:hAnsi="Calibri" w:cs="Times New Roman"/>
          <w:kern w:val="2"/>
          <w14:ligatures w14:val="standardContextual"/>
        </w:rPr>
        <w:t xml:space="preserve">the Proposed </w:t>
      </w:r>
      <w:r w:rsidR="6312CF87">
        <w:rPr>
          <w:rFonts w:ascii="Calibri" w:eastAsia="Calibri" w:hAnsi="Calibri" w:cs="Times New Roman"/>
          <w:kern w:val="2"/>
          <w14:ligatures w14:val="standardContextual"/>
        </w:rPr>
        <w:t xml:space="preserve">Affiliation </w:t>
      </w:r>
      <w:r w:rsidRPr="00BF0F71">
        <w:rPr>
          <w:rFonts w:ascii="Calibri" w:eastAsia="Calibri" w:hAnsi="Calibri" w:cs="Times New Roman"/>
          <w:kern w:val="2"/>
          <w14:ligatures w14:val="standardContextual"/>
        </w:rPr>
        <w:t xml:space="preserve">will </w:t>
      </w:r>
      <w:r w:rsidR="6312CF87">
        <w:rPr>
          <w:rFonts w:ascii="Calibri" w:eastAsia="Calibri" w:hAnsi="Calibri" w:cs="Times New Roman"/>
          <w:kern w:val="2"/>
          <w14:ligatures w14:val="standardContextual"/>
        </w:rPr>
        <w:t>preserve and</w:t>
      </w:r>
      <w:r w:rsidR="3A76F2FC">
        <w:rPr>
          <w:rFonts w:ascii="Calibri" w:eastAsia="Calibri" w:hAnsi="Calibri" w:cs="Times New Roman"/>
          <w:kern w:val="2"/>
          <w14:ligatures w14:val="standardContextual"/>
        </w:rPr>
        <w:t xml:space="preserve"> may</w:t>
      </w:r>
      <w:r w:rsidR="6312CF87">
        <w:rPr>
          <w:rFonts w:ascii="Calibri" w:eastAsia="Calibri" w:hAnsi="Calibri" w:cs="Times New Roman"/>
          <w:kern w:val="2"/>
          <w14:ligatures w14:val="standardContextual"/>
        </w:rPr>
        <w:t xml:space="preserve"> </w:t>
      </w:r>
      <w:r w:rsidRPr="00BF0F71">
        <w:rPr>
          <w:rFonts w:ascii="Calibri" w:eastAsia="Calibri" w:hAnsi="Calibri" w:cs="Times New Roman"/>
          <w:kern w:val="2"/>
          <w14:ligatures w14:val="standardContextual"/>
        </w:rPr>
        <w:t xml:space="preserve">improve </w:t>
      </w:r>
      <w:r w:rsidR="6312CF87">
        <w:rPr>
          <w:rFonts w:ascii="Calibri" w:eastAsia="Calibri" w:hAnsi="Calibri" w:cs="Times New Roman"/>
          <w:kern w:val="2"/>
          <w14:ligatures w14:val="standardContextual"/>
        </w:rPr>
        <w:t>MR</w:t>
      </w:r>
      <w:r w:rsidR="00265B00">
        <w:rPr>
          <w:rFonts w:ascii="Calibri" w:eastAsia="Calibri" w:hAnsi="Calibri" w:cs="Times New Roman"/>
          <w:kern w:val="2"/>
          <w14:ligatures w14:val="standardContextual"/>
        </w:rPr>
        <w:t>M</w:t>
      </w:r>
      <w:r w:rsidR="6312CF87">
        <w:rPr>
          <w:rFonts w:ascii="Calibri" w:eastAsia="Calibri" w:hAnsi="Calibri" w:cs="Times New Roman"/>
          <w:kern w:val="2"/>
          <w14:ligatures w14:val="standardContextual"/>
        </w:rPr>
        <w:t>C’s</w:t>
      </w:r>
      <w:r w:rsidRPr="00023B06">
        <w:rPr>
          <w:rFonts w:ascii="Calibri" w:eastAsia="Calibri" w:hAnsi="Calibri" w:cs="Times New Roman"/>
          <w:kern w:val="2"/>
          <w14:ligatures w14:val="standardContextual"/>
        </w:rPr>
        <w:t xml:space="preserve"> ability </w:t>
      </w:r>
      <w:r w:rsidR="6312CF87">
        <w:rPr>
          <w:rFonts w:ascii="Calibri" w:eastAsia="Calibri" w:hAnsi="Calibri" w:cs="Times New Roman"/>
          <w:kern w:val="2"/>
          <w14:ligatures w14:val="standardContextual"/>
        </w:rPr>
        <w:t xml:space="preserve">provide quality, accessible health care </w:t>
      </w:r>
      <w:r w:rsidRPr="00023B06">
        <w:rPr>
          <w:rFonts w:ascii="Calibri" w:eastAsia="Calibri" w:hAnsi="Calibri" w:cs="Times New Roman"/>
          <w:kern w:val="2"/>
          <w14:ligatures w14:val="standardContextual"/>
        </w:rPr>
        <w:t xml:space="preserve">to </w:t>
      </w:r>
      <w:r w:rsidR="6312CF87">
        <w:rPr>
          <w:rFonts w:ascii="Calibri" w:eastAsia="Calibri" w:hAnsi="Calibri" w:cs="Times New Roman"/>
          <w:kern w:val="2"/>
          <w14:ligatures w14:val="standardContextual"/>
        </w:rPr>
        <w:t>its community.</w:t>
      </w:r>
    </w:p>
    <w:p w14:paraId="32EAA93E" w14:textId="77777777" w:rsidR="007B1DAB" w:rsidRPr="00D14DFE" w:rsidRDefault="007B1DAB" w:rsidP="002715A1"/>
    <w:p w14:paraId="3BB95CC3" w14:textId="6319D380" w:rsidR="00822C58" w:rsidRPr="007B1DAB" w:rsidRDefault="15451349" w:rsidP="002715A1">
      <w:pPr>
        <w:rPr>
          <w:b/>
          <w:bCs/>
          <w:i/>
          <w:iCs/>
          <w:sz w:val="28"/>
          <w:szCs w:val="28"/>
        </w:rPr>
      </w:pPr>
      <w:r w:rsidRPr="6F80FCDD">
        <w:rPr>
          <w:color w:val="000000" w:themeColor="text1"/>
        </w:rPr>
        <w:t xml:space="preserve">Staff has reviewed </w:t>
      </w:r>
      <w:r w:rsidR="59F842AF" w:rsidRPr="6F80FCDD">
        <w:rPr>
          <w:color w:val="000000" w:themeColor="text1"/>
        </w:rPr>
        <w:t xml:space="preserve">and concurs </w:t>
      </w:r>
      <w:r w:rsidR="18ABFE9A" w:rsidRPr="6F80FCDD">
        <w:rPr>
          <w:color w:val="000000" w:themeColor="text1"/>
        </w:rPr>
        <w:t xml:space="preserve">that </w:t>
      </w:r>
      <w:r w:rsidR="37DD63E5" w:rsidRPr="6F80FCDD">
        <w:rPr>
          <w:color w:val="000000" w:themeColor="text1"/>
        </w:rPr>
        <w:t xml:space="preserve">the </w:t>
      </w:r>
      <w:r w:rsidR="46CD4640" w:rsidRPr="6F80FCDD">
        <w:rPr>
          <w:color w:val="000000" w:themeColor="text1"/>
        </w:rPr>
        <w:t>P</w:t>
      </w:r>
      <w:r w:rsidR="3FDFC2CB" w:rsidRPr="6F80FCDD">
        <w:rPr>
          <w:color w:val="000000" w:themeColor="text1"/>
        </w:rPr>
        <w:t xml:space="preserve">roposed </w:t>
      </w:r>
      <w:r w:rsidR="46CD4640" w:rsidRPr="6F80FCDD">
        <w:rPr>
          <w:color w:val="000000" w:themeColor="text1"/>
        </w:rPr>
        <w:t xml:space="preserve">Project </w:t>
      </w:r>
      <w:r w:rsidR="1E2B5125" w:rsidRPr="6F80FCDD">
        <w:rPr>
          <w:color w:val="000000" w:themeColor="text1"/>
        </w:rPr>
        <w:t xml:space="preserve">will </w:t>
      </w:r>
      <w:r w:rsidR="1159FB78">
        <w:t>add public health value in terms of improved health outcomes</w:t>
      </w:r>
      <w:r w:rsidR="00C15BDE">
        <w:t xml:space="preserve">, </w:t>
      </w:r>
      <w:r w:rsidR="1159FB78">
        <w:t xml:space="preserve">quality of </w:t>
      </w:r>
      <w:r w:rsidR="00621161">
        <w:t>life</w:t>
      </w:r>
      <w:r w:rsidR="1159FB78">
        <w:t xml:space="preserve"> </w:t>
      </w:r>
      <w:r w:rsidR="00C15BDE">
        <w:t xml:space="preserve">and equity </w:t>
      </w:r>
      <w:r w:rsidR="1E2B5125" w:rsidRPr="6F80FCDD">
        <w:rPr>
          <w:color w:val="000000" w:themeColor="text1"/>
        </w:rPr>
        <w:t xml:space="preserve">for both </w:t>
      </w:r>
      <w:r w:rsidR="00A84591">
        <w:rPr>
          <w:color w:val="000000" w:themeColor="text1"/>
        </w:rPr>
        <w:t>UMMHC’s and MR</w:t>
      </w:r>
      <w:r w:rsidR="00265B00">
        <w:rPr>
          <w:color w:val="000000" w:themeColor="text1"/>
        </w:rPr>
        <w:t>M</w:t>
      </w:r>
      <w:r w:rsidR="00A84591">
        <w:rPr>
          <w:color w:val="000000" w:themeColor="text1"/>
        </w:rPr>
        <w:t xml:space="preserve">C’s </w:t>
      </w:r>
      <w:r w:rsidR="1159FB78">
        <w:t>Patient Panel</w:t>
      </w:r>
      <w:r w:rsidR="1E2B5125">
        <w:t>s</w:t>
      </w:r>
      <w:r w:rsidR="1159FB78">
        <w:t>.</w:t>
      </w:r>
      <w:r w:rsidR="29A2D2C1">
        <w:t xml:space="preserve"> </w:t>
      </w:r>
    </w:p>
    <w:p w14:paraId="462CDF9A" w14:textId="77777777" w:rsidR="003E2749" w:rsidRPr="00621161" w:rsidRDefault="003E2749" w:rsidP="00B31381">
      <w:pPr>
        <w:pStyle w:val="Heading1"/>
        <w:spacing w:before="0" w:line="240" w:lineRule="auto"/>
        <w:rPr>
          <w:rFonts w:ascii="Garamond" w:hAnsi="Garamond"/>
          <w:sz w:val="24"/>
          <w:szCs w:val="24"/>
        </w:rPr>
      </w:pPr>
      <w:bookmarkStart w:id="46" w:name="_Toc18922409"/>
      <w:bookmarkStart w:id="47" w:name="_Toc17151150"/>
      <w:bookmarkStart w:id="48" w:name="_Toc17322394"/>
      <w:bookmarkEnd w:id="44"/>
      <w:bookmarkEnd w:id="45"/>
    </w:p>
    <w:p w14:paraId="4E8BED05" w14:textId="0507631E" w:rsidR="00BB7B4F" w:rsidRPr="00B13F08" w:rsidRDefault="00BB7B4F" w:rsidP="6CE004FB">
      <w:pPr>
        <w:pStyle w:val="Heading1"/>
        <w:spacing w:before="0" w:line="240" w:lineRule="auto"/>
        <w:rPr>
          <w:rFonts w:asciiTheme="minorHAnsi" w:hAnsiTheme="minorHAnsi" w:cstheme="minorBidi"/>
        </w:rPr>
      </w:pPr>
      <w:bookmarkStart w:id="49" w:name="_Toc157428829"/>
      <w:bookmarkStart w:id="50" w:name="_Toc169264788"/>
      <w:r w:rsidRPr="6CE004FB">
        <w:rPr>
          <w:rFonts w:asciiTheme="minorHAnsi" w:hAnsiTheme="minorHAnsi" w:cstheme="minorBidi"/>
        </w:rPr>
        <w:t>Factor 1: c) Efficiency, Continuity of Care, Coordination of Care</w:t>
      </w:r>
      <w:bookmarkStart w:id="51" w:name="_Toc17322393"/>
      <w:bookmarkStart w:id="52" w:name="_Toc17748465"/>
      <w:bookmarkEnd w:id="46"/>
      <w:bookmarkEnd w:id="49"/>
      <w:bookmarkEnd w:id="50"/>
    </w:p>
    <w:bookmarkEnd w:id="51"/>
    <w:bookmarkEnd w:id="52"/>
    <w:p w14:paraId="76F43D70" w14:textId="77777777" w:rsidR="008C5590" w:rsidRDefault="008C5590" w:rsidP="008C5590">
      <w:pPr>
        <w:contextualSpacing/>
      </w:pPr>
    </w:p>
    <w:p w14:paraId="34AF25F6" w14:textId="5398C952" w:rsidR="008C5590" w:rsidRPr="008C5590" w:rsidRDefault="00C15BDE" w:rsidP="008C5590">
      <w:pPr>
        <w:contextualSpacing/>
      </w:pPr>
      <w:r>
        <w:t>The Applicant states that w</w:t>
      </w:r>
      <w:r w:rsidR="008C5590" w:rsidRPr="008C5590">
        <w:t xml:space="preserve">ith UMMHC providing financial stability, </w:t>
      </w:r>
      <w:r w:rsidRPr="008C5590">
        <w:t>management,</w:t>
      </w:r>
      <w:r w:rsidR="008C5590" w:rsidRPr="008C5590">
        <w:t xml:space="preserve"> and administrative resources, MRMC will be able to continue as a community hospital. UMMHC has a </w:t>
      </w:r>
      <w:r>
        <w:t xml:space="preserve">successful </w:t>
      </w:r>
      <w:r w:rsidR="008C5590" w:rsidRPr="008C5590">
        <w:t xml:space="preserve">track record with the operational and market challenges community hospitals face, and it can leverage synergies in operations as well as the capital reserves necessary to preserve MRMC. </w:t>
      </w:r>
    </w:p>
    <w:p w14:paraId="7DB570A3" w14:textId="77777777" w:rsidR="008C5590" w:rsidRDefault="008C5590" w:rsidP="0074546D">
      <w:pPr>
        <w:contextualSpacing/>
      </w:pPr>
    </w:p>
    <w:p w14:paraId="7A8097BE" w14:textId="5FAA5CE6" w:rsidR="0074546D" w:rsidRDefault="0074546D" w:rsidP="0074546D">
      <w:pPr>
        <w:contextualSpacing/>
      </w:pPr>
      <w:r>
        <w:t xml:space="preserve">The Applicant states the Proposed Affiliation will improve continuity and coordination of care for UMMHC’s and MRMC’s patient panel, with a particular emphasis on creating appropriate linkages to patients’ primary care services, through 1) a common Electronic Health Record (EHR), 2) the initiatives of the UMMHC Office of Clinical Integration (OCI) to close gaps in care, and 3) closer alignment between MRMC and UMMHC physicians. </w:t>
      </w:r>
    </w:p>
    <w:p w14:paraId="1F38F5B4" w14:textId="77777777" w:rsidR="00314845" w:rsidRPr="0074546D" w:rsidRDefault="00314845" w:rsidP="0074546D">
      <w:pPr>
        <w:contextualSpacing/>
      </w:pPr>
    </w:p>
    <w:p w14:paraId="324A5CEB" w14:textId="7F24B407" w:rsidR="0074546D" w:rsidRDefault="0074546D" w:rsidP="0074546D">
      <w:pPr>
        <w:contextualSpacing/>
      </w:pPr>
      <w:r w:rsidRPr="0074546D">
        <w:t xml:space="preserve">1) All UMMHC hospitals and physicians </w:t>
      </w:r>
      <w:r w:rsidR="005D4259">
        <w:t>are integrated using</w:t>
      </w:r>
      <w:r w:rsidRPr="0074546D">
        <w:t xml:space="preserve"> the Epic system</w:t>
      </w:r>
      <w:r w:rsidR="005D4259">
        <w:t>.</w:t>
      </w:r>
      <w:r w:rsidRPr="0074546D">
        <w:t xml:space="preserve"> </w:t>
      </w:r>
      <w:r w:rsidR="005D4259">
        <w:t>This</w:t>
      </w:r>
      <w:r w:rsidRPr="0074546D">
        <w:t xml:space="preserve"> has led to increased efficiencies, economies of scale, standard</w:t>
      </w:r>
      <w:r w:rsidR="005D4259">
        <w:t xml:space="preserve">ization of </w:t>
      </w:r>
      <w:r w:rsidRPr="0074546D">
        <w:t xml:space="preserve">practices, knowledge sharing, protocol alignment, and, ultimately, enhanced continuity and coordination of care through improved shared documentation. </w:t>
      </w:r>
    </w:p>
    <w:p w14:paraId="3A53D151" w14:textId="77777777" w:rsidR="00314845" w:rsidRPr="0074546D" w:rsidRDefault="00314845" w:rsidP="0074546D">
      <w:pPr>
        <w:contextualSpacing/>
      </w:pPr>
    </w:p>
    <w:p w14:paraId="4E2F478F" w14:textId="73E2B07E" w:rsidR="007F38B2" w:rsidRDefault="0074546D" w:rsidP="0074546D">
      <w:pPr>
        <w:contextualSpacing/>
      </w:pPr>
      <w:r>
        <w:t>MRMC’s hospital and physician group use different IT platform</w:t>
      </w:r>
      <w:r w:rsidR="005D4259">
        <w:t>s</w:t>
      </w:r>
      <w:r>
        <w:t>. MRMC’s physician group practice</w:t>
      </w:r>
      <w:r w:rsidR="005D4259">
        <w:t>s</w:t>
      </w:r>
      <w:r>
        <w:t xml:space="preserve"> rely on “Epic Care Link,” which is a web-based application for connecting client organizations to community practices</w:t>
      </w:r>
      <w:r w:rsidR="005D4259">
        <w:t xml:space="preserve"> </w:t>
      </w:r>
      <w:r>
        <w:t>that provides read-only access t</w:t>
      </w:r>
      <w:r w:rsidR="008E27DB">
        <w:t>o a</w:t>
      </w:r>
      <w:r>
        <w:t xml:space="preserve"> patient’s chart. </w:t>
      </w:r>
      <w:r w:rsidR="00844618">
        <w:t>T</w:t>
      </w:r>
      <w:r>
        <w:t xml:space="preserve">he hospital </w:t>
      </w:r>
      <w:r w:rsidR="00844618">
        <w:t xml:space="preserve">uses </w:t>
      </w:r>
      <w:r w:rsidR="005D4259">
        <w:t>the</w:t>
      </w:r>
      <w:r>
        <w:t xml:space="preserve"> Meditech </w:t>
      </w:r>
      <w:r w:rsidR="005D4259">
        <w:t>platform</w:t>
      </w:r>
      <w:r w:rsidR="00844618">
        <w:t>.</w:t>
      </w:r>
      <w:r w:rsidR="005D4259">
        <w:t xml:space="preserve"> These two </w:t>
      </w:r>
      <w:r>
        <w:t>EHR systems operate independently from UMMHC’s EHR</w:t>
      </w:r>
      <w:r w:rsidR="007F38B2">
        <w:t xml:space="preserve">, </w:t>
      </w:r>
      <w:r w:rsidR="002C5E6A">
        <w:t>therefore</w:t>
      </w:r>
      <w:r w:rsidR="007F38B2">
        <w:t xml:space="preserve"> shared patients can have several medical record numbers. </w:t>
      </w:r>
    </w:p>
    <w:p w14:paraId="69DB77D0" w14:textId="22447A4B" w:rsidR="0074546D" w:rsidRPr="0074546D" w:rsidRDefault="0074546D" w:rsidP="0074546D">
      <w:pPr>
        <w:contextualSpacing/>
      </w:pPr>
    </w:p>
    <w:p w14:paraId="7416F224" w14:textId="0BE13976" w:rsidR="0074546D" w:rsidRDefault="0074546D" w:rsidP="0074546D">
      <w:pPr>
        <w:contextualSpacing/>
      </w:pPr>
      <w:r w:rsidRPr="0074546D">
        <w:t xml:space="preserve">The Applicant states the parties </w:t>
      </w:r>
      <w:r w:rsidR="00844618">
        <w:t xml:space="preserve">will </w:t>
      </w:r>
      <w:r w:rsidRPr="0074546D">
        <w:t xml:space="preserve">develop an EHR implementation strategy, similar to the approach taken with Harrington Hospital, which </w:t>
      </w:r>
      <w:r w:rsidR="007F38B2">
        <w:t xml:space="preserve">recently </w:t>
      </w:r>
      <w:r w:rsidRPr="0074546D">
        <w:t xml:space="preserve">integrated </w:t>
      </w:r>
      <w:r w:rsidR="0045440D">
        <w:t xml:space="preserve">to </w:t>
      </w:r>
      <w:r w:rsidRPr="0074546D">
        <w:t>a common EHR system among the parties</w:t>
      </w:r>
      <w:r w:rsidR="007F38B2">
        <w:t xml:space="preserve">, thereby </w:t>
      </w:r>
      <w:r w:rsidR="00D33407" w:rsidRPr="0074546D">
        <w:t>providing clinicians systemwide with all the current necessary patient information in real time</w:t>
      </w:r>
      <w:r w:rsidR="00D33407">
        <w:t xml:space="preserve"> </w:t>
      </w:r>
      <w:r w:rsidRPr="0074546D">
        <w:t>improv</w:t>
      </w:r>
      <w:r w:rsidR="007F38B2">
        <w:t>ing</w:t>
      </w:r>
      <w:r w:rsidRPr="0074546D">
        <w:t xml:space="preserve"> clinicians</w:t>
      </w:r>
      <w:r w:rsidR="00844618">
        <w:t>’ ability</w:t>
      </w:r>
      <w:r w:rsidRPr="0074546D">
        <w:t xml:space="preserve"> to better manage and coordinate patient care</w:t>
      </w:r>
      <w:r w:rsidR="00D33407">
        <w:t>.</w:t>
      </w:r>
      <w:r w:rsidRPr="0074546D">
        <w:t xml:space="preserve"> </w:t>
      </w:r>
      <w:r w:rsidR="00844618">
        <w:t>Through the Proposed Affiliation, w</w:t>
      </w:r>
      <w:r w:rsidRPr="0074546D">
        <w:t>ith ease of access to a single</w:t>
      </w:r>
      <w:r w:rsidR="0045440D">
        <w:t xml:space="preserve"> medical</w:t>
      </w:r>
      <w:r w:rsidRPr="0074546D">
        <w:t xml:space="preserve"> </w:t>
      </w:r>
      <w:r w:rsidR="0045440D">
        <w:t xml:space="preserve">record </w:t>
      </w:r>
      <w:r w:rsidRPr="0074546D">
        <w:t xml:space="preserve">of the patient history and current patient data, patient safety can be improved by avoiding delays in patient care, eliminating duplication of bloodwork and of imaging studies. Such delays are associated with delays in transferring clinical data, and information between organizations; minimizing such delays is especially important for patients who are critically or acutely ill. Additional benefits of the single upgraded </w:t>
      </w:r>
      <w:r>
        <w:t>E</w:t>
      </w:r>
      <w:r w:rsidRPr="0074546D">
        <w:t>HR include:</w:t>
      </w:r>
    </w:p>
    <w:p w14:paraId="0D222526" w14:textId="77777777" w:rsidR="0074546D" w:rsidRPr="0074546D" w:rsidRDefault="0074546D" w:rsidP="0074546D">
      <w:pPr>
        <w:contextualSpacing/>
      </w:pPr>
    </w:p>
    <w:p w14:paraId="2F544F0F" w14:textId="77777777" w:rsidR="0074546D" w:rsidRPr="0074546D" w:rsidRDefault="0074546D" w:rsidP="00A50A54">
      <w:pPr>
        <w:numPr>
          <w:ilvl w:val="0"/>
          <w:numId w:val="3"/>
        </w:numPr>
        <w:contextualSpacing/>
      </w:pPr>
      <w:r w:rsidRPr="0074546D">
        <w:t xml:space="preserve">Reducing care costs by streamlining processes and eliminating information redundancies, including the exchange of authorizations to transfer information, faxing paper between organizations, or obtaining CDs to transport radiology images, etc.; </w:t>
      </w:r>
    </w:p>
    <w:p w14:paraId="5069AF37" w14:textId="048D48B3" w:rsidR="0074546D" w:rsidRPr="0074546D" w:rsidRDefault="50D21FA8" w:rsidP="00A50A54">
      <w:pPr>
        <w:numPr>
          <w:ilvl w:val="0"/>
          <w:numId w:val="3"/>
        </w:numPr>
        <w:contextualSpacing/>
      </w:pPr>
      <w:r w:rsidRPr="0074546D">
        <w:t xml:space="preserve">Including </w:t>
      </w:r>
      <w:r w:rsidR="6E1C9397">
        <w:t xml:space="preserve">IT </w:t>
      </w:r>
      <w:r w:rsidRPr="0074546D">
        <w:t>upgrades that foster greater patient engagement and empowerment in their healthcare experience</w:t>
      </w:r>
      <w:r w:rsidR="0074546D" w:rsidRPr="0074546D">
        <w:rPr>
          <w:vertAlign w:val="superscript"/>
        </w:rPr>
        <w:footnoteReference w:id="33"/>
      </w:r>
      <w:r w:rsidRPr="0074546D">
        <w:t>; and</w:t>
      </w:r>
    </w:p>
    <w:p w14:paraId="0173B6BD" w14:textId="55AF945E" w:rsidR="0074546D" w:rsidRPr="0074546D" w:rsidRDefault="0074546D" w:rsidP="0074546D">
      <w:pPr>
        <w:ind w:left="1080"/>
        <w:contextualSpacing/>
      </w:pPr>
      <w:r w:rsidRPr="0074546D">
        <w:t xml:space="preserve">  </w:t>
      </w:r>
    </w:p>
    <w:p w14:paraId="4F361766" w14:textId="0F1DBBED" w:rsidR="0074546D" w:rsidRDefault="0074546D" w:rsidP="0074546D">
      <w:pPr>
        <w:contextualSpacing/>
      </w:pPr>
      <w:r w:rsidRPr="0074546D">
        <w:t xml:space="preserve">Currently, challenges exist with coordinating care across UMMHC and MRMC platforms. One example involves UMMHC patients who receive care at Tri River Family Health Center in Uxbridge, and who often have </w:t>
      </w:r>
      <w:r w:rsidR="00834665">
        <w:t xml:space="preserve">diagnostic studies </w:t>
      </w:r>
      <w:r w:rsidRPr="0074546D">
        <w:t>performed at MRMC. Since EHR systems or other radiology result</w:t>
      </w:r>
      <w:r w:rsidR="009B65D3">
        <w:t>s</w:t>
      </w:r>
      <w:r w:rsidR="004F41FC">
        <w:t xml:space="preserve"> </w:t>
      </w:r>
      <w:r w:rsidRPr="0074546D">
        <w:t>interfaces between MRMC and UMMHC are not integrated, results are currently sent back to the ordering provider via fax. Delays in care may result from technical issues with fax transmission, or human error such as misplacement of paper results. Once MRMC is transitioned to UMMHC’s system, all tests performed at MRMC will automatically become available in the “In Basket” of the UMMHC/ Tri River ordering provider.</w:t>
      </w:r>
    </w:p>
    <w:p w14:paraId="000017C7" w14:textId="77777777" w:rsidR="0074546D" w:rsidRPr="0074546D" w:rsidRDefault="0074546D" w:rsidP="0074546D">
      <w:pPr>
        <w:contextualSpacing/>
      </w:pPr>
    </w:p>
    <w:p w14:paraId="692C7A5F" w14:textId="426F7D3C" w:rsidR="0074546D" w:rsidRDefault="0074546D" w:rsidP="0074546D">
      <w:pPr>
        <w:contextualSpacing/>
      </w:pPr>
      <w:r w:rsidRPr="0074546D">
        <w:t xml:space="preserve">2) In addition, the </w:t>
      </w:r>
      <w:r w:rsidR="0045440D">
        <w:t xml:space="preserve">aforementioned </w:t>
      </w:r>
      <w:r w:rsidRPr="0074546D">
        <w:t xml:space="preserve">UMMHC OCI assists with closing gaps in care and with delivering high-quality ambulatory care by tracking performance at the clinic, provider, and patient level. Additionally, OCI works with Conifer, a population health care management vendor of UMMHC, to provide care coordination to patients and employees − e.g., multi-visit patients and patients who have health related social needs. The facilitators reach out to complex patients and assist them </w:t>
      </w:r>
      <w:r w:rsidR="0045440D">
        <w:t xml:space="preserve">with care </w:t>
      </w:r>
      <w:r w:rsidRPr="0074546D">
        <w:t>manage</w:t>
      </w:r>
      <w:r w:rsidR="0045440D">
        <w:t>ment</w:t>
      </w:r>
      <w:r w:rsidRPr="0074546D">
        <w:t>. Once MRMC becomes part of the UMMHC system, OCI can help coordinate the care of patients served by MRMC, monitor, and facilitate closure of care gaps to help deliver more comprehensive care.</w:t>
      </w:r>
    </w:p>
    <w:p w14:paraId="2DCA0C56" w14:textId="77777777" w:rsidR="0074546D" w:rsidRPr="0074546D" w:rsidRDefault="0074546D" w:rsidP="0074546D">
      <w:pPr>
        <w:contextualSpacing/>
      </w:pPr>
    </w:p>
    <w:p w14:paraId="6A5F7D67" w14:textId="5476E76C" w:rsidR="0074546D" w:rsidRDefault="50D21FA8" w:rsidP="0074546D">
      <w:pPr>
        <w:contextualSpacing/>
      </w:pPr>
      <w:r w:rsidRPr="0074546D">
        <w:t>3) The integration of MRMC into the UMMHC EHR will also allow for greater integration of clinical and social support services.</w:t>
      </w:r>
      <w:r w:rsidR="0074546D" w:rsidRPr="0074546D">
        <w:rPr>
          <w:vertAlign w:val="superscript"/>
        </w:rPr>
        <w:footnoteReference w:id="34"/>
      </w:r>
      <w:r w:rsidRPr="0074546D">
        <w:t xml:space="preserve"> Clinical providers will be able to communicate with non-clinical support </w:t>
      </w:r>
      <w:r w:rsidR="31CE5FB3">
        <w:t xml:space="preserve">to </w:t>
      </w:r>
      <w:r w:rsidRPr="0074546D">
        <w:t>help coordinate social care service</w:t>
      </w:r>
      <w:r w:rsidR="33444628">
        <w:t xml:space="preserve"> resources</w:t>
      </w:r>
      <w:r w:rsidRPr="0074546D">
        <w:t xml:space="preserve"> based on SDOH screens</w:t>
      </w:r>
      <w:r w:rsidR="33444628">
        <w:t xml:space="preserve"> </w:t>
      </w:r>
      <w:r w:rsidR="0CFC83F3">
        <w:t xml:space="preserve">through </w:t>
      </w:r>
      <w:r w:rsidR="0CFC83F3" w:rsidRPr="0074546D">
        <w:t>communication</w:t>
      </w:r>
      <w:r w:rsidRPr="0074546D">
        <w:t xml:space="preserve"> with social service departments and staff</w:t>
      </w:r>
      <w:r w:rsidR="33444628">
        <w:t xml:space="preserve">. </w:t>
      </w:r>
    </w:p>
    <w:p w14:paraId="55310C3E" w14:textId="77777777" w:rsidR="0074546D" w:rsidRPr="0074546D" w:rsidRDefault="0074546D" w:rsidP="0074546D">
      <w:pPr>
        <w:contextualSpacing/>
      </w:pPr>
    </w:p>
    <w:p w14:paraId="4A06DCAE" w14:textId="77777777" w:rsidR="0074546D" w:rsidRPr="0074546D" w:rsidRDefault="0074546D" w:rsidP="0074546D">
      <w:pPr>
        <w:contextualSpacing/>
        <w:rPr>
          <w:b/>
          <w:bCs/>
          <w:i/>
          <w:iCs/>
        </w:rPr>
      </w:pPr>
      <w:r w:rsidRPr="0074546D">
        <w:rPr>
          <w:b/>
          <w:bCs/>
          <w:i/>
          <w:iCs/>
        </w:rPr>
        <w:t>Analysis</w:t>
      </w:r>
    </w:p>
    <w:p w14:paraId="044CCCB1" w14:textId="77777777" w:rsidR="0074546D" w:rsidRPr="0074546D" w:rsidRDefault="0074546D" w:rsidP="0074546D">
      <w:pPr>
        <w:contextualSpacing/>
      </w:pPr>
    </w:p>
    <w:p w14:paraId="11554EBD" w14:textId="5AE9D84A" w:rsidR="0074546D" w:rsidRPr="0074546D" w:rsidRDefault="0074546D" w:rsidP="0074546D">
      <w:pPr>
        <w:contextualSpacing/>
      </w:pPr>
      <w:r w:rsidRPr="0074546D">
        <w:t>The Applicant has detailed how</w:t>
      </w:r>
      <w:r w:rsidR="00A9615F">
        <w:t xml:space="preserve"> </w:t>
      </w:r>
      <w:r w:rsidRPr="0074546D">
        <w:t xml:space="preserve">the management of patient care across appropriate levels from community based primary and specialty care and to tertiary acute care is enhanced by keeping patients in the UMMHC system. When care goes outside of UMMHC, to Boston or </w:t>
      </w:r>
      <w:r w:rsidR="00322A70">
        <w:t xml:space="preserve">to </w:t>
      </w:r>
      <w:r w:rsidRPr="0074546D">
        <w:t xml:space="preserve">Western Massachusetts, </w:t>
      </w:r>
      <w:r w:rsidR="00322A70">
        <w:t xml:space="preserve">it </w:t>
      </w:r>
      <w:r w:rsidR="00A9615F">
        <w:t xml:space="preserve">can </w:t>
      </w:r>
      <w:r w:rsidRPr="0074546D">
        <w:t xml:space="preserve">become fragmented, communication becomes difficult and slow, and utilization </w:t>
      </w:r>
      <w:r w:rsidR="00A9615F">
        <w:t xml:space="preserve">may </w:t>
      </w:r>
      <w:r w:rsidRPr="0074546D">
        <w:t>increase unnecessarily.</w:t>
      </w:r>
      <w:r w:rsidR="00A9615F">
        <w:t xml:space="preserve"> Through the Proposed Affiliation’s EHR system these challenges will be mitigated.</w:t>
      </w:r>
    </w:p>
    <w:p w14:paraId="10BA5120" w14:textId="77777777" w:rsidR="0074546D" w:rsidRPr="0074546D" w:rsidRDefault="0074546D" w:rsidP="0074546D">
      <w:pPr>
        <w:contextualSpacing/>
      </w:pPr>
    </w:p>
    <w:p w14:paraId="56C6EF66" w14:textId="33A3BCD2" w:rsidR="0074546D" w:rsidRPr="0074546D" w:rsidRDefault="0074546D" w:rsidP="0074546D">
      <w:pPr>
        <w:contextualSpacing/>
      </w:pPr>
      <w:r w:rsidRPr="0074546D">
        <w:t>Studies show that integrated health information technology systems directly affect health outcomes, as access to a single, integrated health record improves care coordination, can reduce errors, improve patient safety, and support better patient outcomes.</w:t>
      </w:r>
      <w:r w:rsidRPr="0074546D">
        <w:rPr>
          <w:vertAlign w:val="superscript"/>
        </w:rPr>
        <w:t>gg</w:t>
      </w:r>
      <w:r w:rsidRPr="0074546D">
        <w:t xml:space="preserve"> Successful care coordination includes strong communication and effective care plan transitions among providers</w:t>
      </w:r>
      <w:r w:rsidR="00322A70">
        <w:t>,</w:t>
      </w:r>
      <w:r w:rsidRPr="0074546D">
        <w:t xml:space="preserve"> and the </w:t>
      </w:r>
      <w:r w:rsidR="00322A70">
        <w:t xml:space="preserve">clear communication </w:t>
      </w:r>
      <w:r w:rsidRPr="0074546D">
        <w:t>of information that patients can understand.</w:t>
      </w:r>
      <w:r w:rsidRPr="0074546D">
        <w:rPr>
          <w:vertAlign w:val="superscript"/>
        </w:rPr>
        <w:t>ee</w:t>
      </w:r>
      <w:r w:rsidRPr="0074546D">
        <w:t xml:space="preserve"> Effective care coordination can improve </w:t>
      </w:r>
      <w:r w:rsidR="00322A70">
        <w:t xml:space="preserve">a </w:t>
      </w:r>
      <w:r w:rsidRPr="0074546D">
        <w:t>patient</w:t>
      </w:r>
      <w:r w:rsidR="00322A70">
        <w:t>’s</w:t>
      </w:r>
      <w:r w:rsidRPr="0074546D">
        <w:t xml:space="preserve"> experience, increase patient safety and reduce medical </w:t>
      </w:r>
      <w:proofErr w:type="spellStart"/>
      <w:r w:rsidRPr="0074546D">
        <w:t>errors.</w:t>
      </w:r>
      <w:r w:rsidRPr="0074546D">
        <w:rPr>
          <w:vertAlign w:val="superscript"/>
        </w:rPr>
        <w:t>ff</w:t>
      </w:r>
      <w:proofErr w:type="spellEnd"/>
      <w:r w:rsidRPr="0074546D">
        <w:t xml:space="preserve"> Uniform, integrated IT systems that include scheduling, EHR and patient communication tools, are timesavers which improve efficiencies. Accordingly, staff find that the Proposed Project will create efficiencies through the support of continuity and coordination of care initiatives for the Patient Panel.</w:t>
      </w:r>
    </w:p>
    <w:bookmarkEnd w:id="47"/>
    <w:bookmarkEnd w:id="48"/>
    <w:p w14:paraId="3E46B0E2" w14:textId="77777777" w:rsidR="00621161" w:rsidRPr="007C36FF" w:rsidRDefault="00621161" w:rsidP="00621161">
      <w:pPr>
        <w:pStyle w:val="ListParagraph"/>
        <w:spacing w:after="0" w:line="240" w:lineRule="auto"/>
        <w:ind w:left="360"/>
      </w:pPr>
    </w:p>
    <w:p w14:paraId="0521E143" w14:textId="0772349E" w:rsidR="00E40FAA" w:rsidRDefault="00371842" w:rsidP="6CE004FB">
      <w:pPr>
        <w:pStyle w:val="Heading1"/>
        <w:spacing w:before="0" w:line="240" w:lineRule="auto"/>
        <w:rPr>
          <w:rFonts w:asciiTheme="minorHAnsi" w:hAnsiTheme="minorHAnsi" w:cstheme="minorBidi"/>
        </w:rPr>
      </w:pPr>
      <w:bookmarkStart w:id="53" w:name="_Toc18922415"/>
      <w:bookmarkStart w:id="54" w:name="_Toc157428830"/>
      <w:bookmarkStart w:id="55" w:name="_Toc169264789"/>
      <w:r w:rsidRPr="6CE004FB">
        <w:rPr>
          <w:rFonts w:asciiTheme="minorHAnsi" w:hAnsiTheme="minorHAnsi" w:cstheme="minorBidi"/>
        </w:rPr>
        <w:t>Factor 1: d) Consultatio</w:t>
      </w:r>
      <w:bookmarkEnd w:id="53"/>
      <w:r w:rsidR="00114B38" w:rsidRPr="6CE004FB">
        <w:rPr>
          <w:rFonts w:asciiTheme="minorHAnsi" w:hAnsiTheme="minorHAnsi" w:cstheme="minorBidi"/>
        </w:rPr>
        <w:t>n</w:t>
      </w:r>
      <w:bookmarkEnd w:id="54"/>
      <w:bookmarkEnd w:id="55"/>
      <w:r w:rsidR="008B3C74" w:rsidRPr="6CE004FB">
        <w:rPr>
          <w:rFonts w:asciiTheme="minorHAnsi" w:hAnsiTheme="minorHAnsi" w:cstheme="minorBidi"/>
        </w:rPr>
        <w:t xml:space="preserve"> </w:t>
      </w:r>
    </w:p>
    <w:p w14:paraId="42B5BE4E" w14:textId="77777777" w:rsidR="007B1DAB" w:rsidRPr="007B1DAB" w:rsidRDefault="007B1DAB" w:rsidP="007C36FF"/>
    <w:p w14:paraId="5EB74BF8" w14:textId="77777777" w:rsidR="00FF52C0" w:rsidRDefault="00C12BBA" w:rsidP="00FF52C0">
      <w:r w:rsidRPr="008E54FA">
        <w:t xml:space="preserve">The Applicant has provided evidence of consultation, both prior to and after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56" w:name="_Toc157428831"/>
      <w:bookmarkStart w:id="57" w:name="_Toc18922416"/>
    </w:p>
    <w:p w14:paraId="4CEFFA80" w14:textId="77777777" w:rsidR="004137EA" w:rsidRDefault="004137EA" w:rsidP="00FF52C0"/>
    <w:p w14:paraId="2D337550" w14:textId="43594626" w:rsidR="0074546D" w:rsidRPr="004137EA" w:rsidRDefault="004137EA" w:rsidP="6CE004FB">
      <w:pPr>
        <w:pStyle w:val="Heading1"/>
        <w:spacing w:before="0" w:line="240" w:lineRule="auto"/>
        <w:rPr>
          <w:rFonts w:asciiTheme="minorHAnsi" w:hAnsiTheme="minorHAnsi" w:cstheme="minorBidi"/>
          <w:b w:val="0"/>
          <w:bCs w:val="0"/>
        </w:rPr>
      </w:pPr>
      <w:bookmarkStart w:id="58" w:name="_Toc169264790"/>
      <w:r w:rsidRPr="6CE004FB">
        <w:rPr>
          <w:rFonts w:asciiTheme="minorHAnsi" w:hAnsiTheme="minorHAnsi" w:cstheme="minorBidi"/>
        </w:rPr>
        <w:t xml:space="preserve">Factor </w:t>
      </w:r>
      <w:r w:rsidR="00076B1A" w:rsidRPr="6CE004FB">
        <w:rPr>
          <w:rStyle w:val="Heading1Char"/>
          <w:rFonts w:asciiTheme="minorHAnsi" w:hAnsiTheme="minorHAnsi" w:cstheme="minorBidi"/>
          <w:b/>
          <w:bCs/>
        </w:rPr>
        <w:t>1: e) Evidence of Sound Community Engagement through the Patient Panel</w:t>
      </w:r>
      <w:bookmarkEnd w:id="56"/>
      <w:bookmarkEnd w:id="58"/>
      <w:r w:rsidR="0074546D" w:rsidRPr="6CE004FB">
        <w:rPr>
          <w:rStyle w:val="Heading1Char"/>
          <w:rFonts w:asciiTheme="minorHAnsi" w:hAnsiTheme="minorHAnsi" w:cstheme="minorBidi"/>
        </w:rPr>
        <w:t xml:space="preserve"> </w:t>
      </w:r>
    </w:p>
    <w:p w14:paraId="3649F9F1" w14:textId="1256F64C" w:rsidR="007B1DAB" w:rsidRPr="000E10E9" w:rsidRDefault="008B3C74" w:rsidP="00FF52C0">
      <w:r>
        <w:rPr>
          <w:rStyle w:val="Heading1Char"/>
          <w:rFonts w:asciiTheme="minorHAnsi" w:hAnsiTheme="minorHAnsi" w:cstheme="minorHAnsi"/>
        </w:rPr>
        <w:t xml:space="preserve"> </w:t>
      </w:r>
    </w:p>
    <w:p w14:paraId="705387AA" w14:textId="57C97D0A" w:rsidR="00811286" w:rsidRPr="006B4932" w:rsidRDefault="655BAC20" w:rsidP="007C36FF">
      <w:pPr>
        <w:contextualSpacing/>
      </w:pPr>
      <w:r w:rsidRPr="006B4932">
        <w:rPr>
          <w:rFonts w:eastAsia="Calibri"/>
        </w:rPr>
        <w:t>The Department’s Guideline</w:t>
      </w:r>
      <w:r w:rsidR="00B73799" w:rsidRPr="006B4932">
        <w:rPr>
          <w:rFonts w:eastAsia="Calibri"/>
          <w:vertAlign w:val="superscript"/>
        </w:rPr>
        <w:endnoteReference w:id="16"/>
      </w:r>
      <w:r w:rsidR="7C4B4F30" w:rsidRPr="006B4932">
        <w:rPr>
          <w:rFonts w:eastAsia="Calibri"/>
        </w:rPr>
        <w:t xml:space="preserve"> </w:t>
      </w:r>
      <w:r w:rsidRPr="006B4932">
        <w:rPr>
          <w:rFonts w:eastAsia="Calibri"/>
        </w:rPr>
        <w:t>for community engagement defines “community” as the Patient Panel and requires that</w:t>
      </w:r>
      <w:r w:rsidR="463A19E8" w:rsidRPr="006B4932">
        <w:rPr>
          <w:rFonts w:eastAsia="Calibri"/>
        </w:rPr>
        <w:t>,</w:t>
      </w:r>
      <w:r w:rsidRPr="006B4932">
        <w:rPr>
          <w:rFonts w:eastAsia="Calibri"/>
        </w:rPr>
        <w:t xml:space="preserve"> at minimum, the Applicant must “consult” with groups representative of the Applicant</w:t>
      </w:r>
      <w:r w:rsidR="5F10DBE3" w:rsidRPr="006B4932">
        <w:rPr>
          <w:rFonts w:eastAsia="Calibri"/>
        </w:rPr>
        <w:t>’</w:t>
      </w:r>
      <w:r w:rsidRPr="006B4932">
        <w:rPr>
          <w:rFonts w:eastAsia="Calibri"/>
        </w:rPr>
        <w:t xml:space="preserve">s Patient Panel. Regulations state that </w:t>
      </w:r>
      <w:r w:rsidR="2BE9604C" w:rsidRPr="006B4932">
        <w:rPr>
          <w:rFonts w:eastAsia="Calibri"/>
        </w:rPr>
        <w:t xml:space="preserve">efforts in </w:t>
      </w:r>
      <w:r w:rsidRPr="006B4932">
        <w:rPr>
          <w:rFonts w:eastAsia="Calibri"/>
        </w:rPr>
        <w:t>such consultation</w:t>
      </w:r>
      <w:r w:rsidR="2BE9604C" w:rsidRPr="006B4932">
        <w:rPr>
          <w:rFonts w:eastAsia="Calibri"/>
        </w:rPr>
        <w:t xml:space="preserve"> should </w:t>
      </w:r>
      <w:r w:rsidRPr="006B4932">
        <w:rPr>
          <w:rFonts w:eastAsia="Calibri"/>
        </w:rPr>
        <w:t xml:space="preserve">consist of </w:t>
      </w:r>
      <w:r w:rsidR="2BE9604C" w:rsidRPr="006B4932">
        <w:rPr>
          <w:rFonts w:eastAsia="Calibri"/>
        </w:rPr>
        <w:t>engaging</w:t>
      </w:r>
      <w:r w:rsidRPr="006B4932">
        <w:rPr>
          <w:rFonts w:eastAsia="Calibri"/>
        </w:rPr>
        <w:t xml:space="preserve"> </w:t>
      </w:r>
      <w:r w:rsidRPr="006B4932">
        <w:t>“community coalition</w:t>
      </w:r>
      <w:r w:rsidR="2BE9604C" w:rsidRPr="006B4932">
        <w:t>s</w:t>
      </w:r>
      <w:r w:rsidRPr="006B4932">
        <w:t xml:space="preserve"> statistically representative of the </w:t>
      </w:r>
      <w:r w:rsidR="2BE9604C" w:rsidRPr="006B4932">
        <w:t>P</w:t>
      </w:r>
      <w:r w:rsidRPr="006B4932">
        <w:t xml:space="preserve">atient </w:t>
      </w:r>
      <w:r w:rsidR="2BE9604C" w:rsidRPr="006B4932">
        <w:t>P</w:t>
      </w:r>
      <w:r w:rsidRPr="006B4932">
        <w:t>anel.”</w:t>
      </w:r>
      <w:r w:rsidR="00B73799" w:rsidRPr="006B4932">
        <w:rPr>
          <w:vertAlign w:val="superscript"/>
        </w:rPr>
        <w:endnoteReference w:id="17"/>
      </w:r>
      <w:r w:rsidR="7C4B4F30" w:rsidRPr="006B4932">
        <w:t xml:space="preserve"> </w:t>
      </w:r>
    </w:p>
    <w:p w14:paraId="36532BC4" w14:textId="5E36902C" w:rsidR="00963E82" w:rsidRPr="006B4932" w:rsidRDefault="00963E82" w:rsidP="007C36FF">
      <w:pPr>
        <w:contextualSpacing/>
      </w:pPr>
    </w:p>
    <w:p w14:paraId="41E5A96F" w14:textId="1A1D7291" w:rsidR="008B3C74" w:rsidRPr="008B3C74" w:rsidRDefault="008B3C74" w:rsidP="008B3C74">
      <w:pPr>
        <w:spacing w:after="120"/>
        <w:rPr>
          <w:rFonts w:ascii="Calibri" w:eastAsia="Calibri" w:hAnsi="Calibri" w:cs="Calibri"/>
        </w:rPr>
      </w:pPr>
      <w:r w:rsidRPr="008B3C74">
        <w:rPr>
          <w:rFonts w:ascii="Calibri" w:eastAsia="Calibri" w:hAnsi="Calibri" w:cs="Calibri"/>
        </w:rPr>
        <w:t>The Applicant states that the community engagement representatives from UMMHC and MRMC worked collaboratively to develop a process for consulting with the community about the Proposed Affiliation and held weekly meetings to develop community awareness, to facilitate a community voice, to inform the MRMC community of the expected impact and benefits of the affiliation, and to establish transparency. </w:t>
      </w:r>
    </w:p>
    <w:p w14:paraId="22A1DD1F" w14:textId="77777777" w:rsidR="008B3C74" w:rsidRPr="008B3C74" w:rsidRDefault="008B3C74" w:rsidP="008B3C74">
      <w:pPr>
        <w:spacing w:after="120"/>
        <w:rPr>
          <w:rFonts w:ascii="Calibri" w:eastAsia="Calibri" w:hAnsi="Calibri" w:cs="Calibri"/>
        </w:rPr>
      </w:pPr>
      <w:r w:rsidRPr="008B3C74">
        <w:rPr>
          <w:rFonts w:ascii="Calibri" w:eastAsia="Calibri" w:hAnsi="Calibri" w:cs="Calibri"/>
        </w:rPr>
        <w:t>These efforts include the following activities:</w:t>
      </w:r>
    </w:p>
    <w:p w14:paraId="36ACA0EA" w14:textId="51C47721" w:rsidR="008B3C74" w:rsidRPr="00F054AD" w:rsidRDefault="008B3C74" w:rsidP="00A50A54">
      <w:pPr>
        <w:pStyle w:val="ListParagraph"/>
        <w:numPr>
          <w:ilvl w:val="0"/>
          <w:numId w:val="9"/>
        </w:numPr>
        <w:spacing w:after="120" w:line="240" w:lineRule="auto"/>
        <w:rPr>
          <w:rFonts w:ascii="Calibri" w:eastAsia="Calibri" w:hAnsi="Calibri" w:cs="Calibri"/>
          <w:sz w:val="24"/>
          <w:szCs w:val="24"/>
        </w:rPr>
      </w:pPr>
      <w:r w:rsidRPr="00F054AD">
        <w:rPr>
          <w:rFonts w:ascii="Calibri" w:eastAsia="Calibri" w:hAnsi="Calibri" w:cs="Calibri"/>
          <w:sz w:val="24"/>
          <w:szCs w:val="24"/>
        </w:rPr>
        <w:t>Presentation by the leadership of both organizations at the MRMC Patient Family Advisory Council (PFAC) meeting on December 6, 2023.</w:t>
      </w:r>
    </w:p>
    <w:p w14:paraId="17A602C2" w14:textId="77777777" w:rsidR="008B3C74" w:rsidRPr="00F054AD" w:rsidRDefault="008B3C74" w:rsidP="00A50A54">
      <w:pPr>
        <w:pStyle w:val="ListParagraph"/>
        <w:numPr>
          <w:ilvl w:val="0"/>
          <w:numId w:val="9"/>
        </w:numPr>
        <w:spacing w:after="120" w:line="240" w:lineRule="auto"/>
        <w:rPr>
          <w:rFonts w:ascii="Calibri" w:eastAsia="Calibri" w:hAnsi="Calibri" w:cs="Calibri"/>
          <w:sz w:val="24"/>
          <w:szCs w:val="24"/>
        </w:rPr>
      </w:pPr>
      <w:r w:rsidRPr="00F054AD">
        <w:rPr>
          <w:rFonts w:ascii="Calibri" w:eastAsia="Calibri" w:hAnsi="Calibri" w:cs="Calibri"/>
          <w:sz w:val="24"/>
          <w:szCs w:val="24"/>
        </w:rPr>
        <w:t>A Community Forum on December 14, 2023, that included presentations by both organizations’ leadership, as well as a question-and-answer session. This forum had between 120-130 participants.</w:t>
      </w:r>
    </w:p>
    <w:p w14:paraId="56C48678" w14:textId="58D197AA" w:rsidR="008B3C74" w:rsidRPr="00F054AD" w:rsidRDefault="008B3C74" w:rsidP="00A50A54">
      <w:pPr>
        <w:pStyle w:val="ListParagraph"/>
        <w:numPr>
          <w:ilvl w:val="0"/>
          <w:numId w:val="9"/>
        </w:numPr>
        <w:spacing w:after="120" w:line="240" w:lineRule="auto"/>
        <w:rPr>
          <w:rFonts w:ascii="Calibri" w:eastAsia="Calibri" w:hAnsi="Calibri" w:cs="Calibri"/>
          <w:sz w:val="24"/>
          <w:szCs w:val="24"/>
        </w:rPr>
      </w:pPr>
      <w:r w:rsidRPr="00F054AD">
        <w:rPr>
          <w:rFonts w:ascii="Calibri" w:eastAsia="Calibri" w:hAnsi="Calibri" w:cs="Calibri"/>
          <w:sz w:val="24"/>
          <w:szCs w:val="24"/>
        </w:rPr>
        <w:t xml:space="preserve">Presentation at the MRMC Annual Meeting of the Corporation on January 22, </w:t>
      </w:r>
      <w:r w:rsidR="004F41FC" w:rsidRPr="00F054AD">
        <w:rPr>
          <w:rFonts w:ascii="Calibri" w:eastAsia="Calibri" w:hAnsi="Calibri" w:cs="Calibri"/>
          <w:sz w:val="24"/>
          <w:szCs w:val="24"/>
        </w:rPr>
        <w:t>2024,</w:t>
      </w:r>
      <w:r w:rsidRPr="00F054AD">
        <w:rPr>
          <w:rFonts w:ascii="Calibri" w:eastAsia="Calibri" w:hAnsi="Calibri" w:cs="Calibri"/>
          <w:sz w:val="24"/>
          <w:szCs w:val="24"/>
        </w:rPr>
        <w:t xml:space="preserve"> that included the attendance of Dr. Eric Dickson, </w:t>
      </w:r>
      <w:proofErr w:type="gramStart"/>
      <w:r w:rsidRPr="00F054AD">
        <w:rPr>
          <w:rFonts w:ascii="Calibri" w:eastAsia="Calibri" w:hAnsi="Calibri" w:cs="Calibri"/>
          <w:sz w:val="24"/>
          <w:szCs w:val="24"/>
        </w:rPr>
        <w:t>President</w:t>
      </w:r>
      <w:proofErr w:type="gramEnd"/>
      <w:r w:rsidRPr="00F054AD">
        <w:rPr>
          <w:rFonts w:ascii="Calibri" w:eastAsia="Calibri" w:hAnsi="Calibri" w:cs="Calibri"/>
          <w:sz w:val="24"/>
          <w:szCs w:val="24"/>
        </w:rPr>
        <w:t xml:space="preserve"> and CEO of UMMHC. This Meeting had an estimated 100 participants. </w:t>
      </w:r>
    </w:p>
    <w:p w14:paraId="3D8E23F1" w14:textId="77777777" w:rsidR="008B3C74" w:rsidRPr="00F054AD" w:rsidRDefault="008B3C74" w:rsidP="00A50A54">
      <w:pPr>
        <w:pStyle w:val="ListParagraph"/>
        <w:numPr>
          <w:ilvl w:val="0"/>
          <w:numId w:val="9"/>
        </w:numPr>
        <w:spacing w:after="120" w:line="240" w:lineRule="auto"/>
        <w:rPr>
          <w:rFonts w:ascii="Calibri" w:eastAsia="Calibri" w:hAnsi="Calibri" w:cs="Calibri"/>
          <w:sz w:val="24"/>
          <w:szCs w:val="24"/>
        </w:rPr>
      </w:pPr>
      <w:r w:rsidRPr="00F054AD">
        <w:rPr>
          <w:rFonts w:ascii="Calibri" w:eastAsia="Calibri" w:hAnsi="Calibri" w:cs="Calibri"/>
          <w:sz w:val="24"/>
          <w:szCs w:val="24"/>
        </w:rPr>
        <w:t>Development and distribution of a one-pager providing information about the Project to both organizations’ community networks as an additional touch point to engage the community.</w:t>
      </w:r>
    </w:p>
    <w:p w14:paraId="11059D02" w14:textId="77777777" w:rsidR="008B3C74" w:rsidRPr="00F054AD" w:rsidRDefault="008B3C74" w:rsidP="00A50A54">
      <w:pPr>
        <w:pStyle w:val="ListParagraph"/>
        <w:numPr>
          <w:ilvl w:val="0"/>
          <w:numId w:val="9"/>
        </w:numPr>
        <w:spacing w:after="120" w:line="240" w:lineRule="auto"/>
        <w:rPr>
          <w:rFonts w:ascii="Calibri" w:eastAsia="Calibri" w:hAnsi="Calibri" w:cs="Calibri"/>
          <w:sz w:val="24"/>
          <w:szCs w:val="24"/>
        </w:rPr>
      </w:pPr>
      <w:r w:rsidRPr="00F054AD">
        <w:rPr>
          <w:rFonts w:ascii="Calibri" w:eastAsia="Calibri" w:hAnsi="Calibri" w:cs="Calibri"/>
          <w:sz w:val="24"/>
          <w:szCs w:val="24"/>
        </w:rPr>
        <w:t>Outreach to local agencies and partners that serve the Milford community, including visiting a local community health center, and outreach to agencies that serve the increasing Brazilian and Ecuadorian population. These efforts will continue after the corporate affiliation between the entities.</w:t>
      </w:r>
    </w:p>
    <w:p w14:paraId="1F652202" w14:textId="77777777" w:rsidR="008B3C74" w:rsidRPr="00F054AD" w:rsidRDefault="44097B39" w:rsidP="00A50A54">
      <w:pPr>
        <w:pStyle w:val="ListParagraph"/>
        <w:numPr>
          <w:ilvl w:val="0"/>
          <w:numId w:val="9"/>
        </w:numPr>
        <w:spacing w:after="120" w:line="240" w:lineRule="auto"/>
        <w:rPr>
          <w:rFonts w:ascii="Calibri" w:eastAsia="Calibri" w:hAnsi="Calibri" w:cs="Calibri"/>
          <w:sz w:val="24"/>
          <w:szCs w:val="24"/>
        </w:rPr>
      </w:pPr>
      <w:r w:rsidRPr="00F054AD">
        <w:rPr>
          <w:rFonts w:ascii="Calibri" w:eastAsia="Calibri" w:hAnsi="Calibri" w:cs="Calibri"/>
          <w:sz w:val="24"/>
          <w:szCs w:val="24"/>
        </w:rPr>
        <w:t>Outreach and conversations with local elected officials.</w:t>
      </w:r>
      <w:r w:rsidR="008B3C74" w:rsidRPr="00F054AD">
        <w:rPr>
          <w:sz w:val="24"/>
          <w:szCs w:val="24"/>
          <w:vertAlign w:val="superscript"/>
        </w:rPr>
        <w:footnoteReference w:id="35"/>
      </w:r>
    </w:p>
    <w:p w14:paraId="2BDEBCBC" w14:textId="01D8A615" w:rsidR="008B3C74" w:rsidRPr="008B3C74" w:rsidRDefault="44097B39" w:rsidP="00115A61">
      <w:pPr>
        <w:tabs>
          <w:tab w:val="left" w:pos="9450"/>
        </w:tabs>
        <w:spacing w:after="120"/>
        <w:ind w:left="45"/>
        <w:rPr>
          <w:rFonts w:ascii="Calibri" w:eastAsia="Calibri" w:hAnsi="Calibri" w:cs="Calibri"/>
        </w:rPr>
      </w:pPr>
      <w:r w:rsidRPr="755C40DB">
        <w:rPr>
          <w:rFonts w:ascii="Calibri" w:eastAsia="Calibri" w:hAnsi="Calibri" w:cs="Calibri"/>
        </w:rPr>
        <w:t xml:space="preserve">Some of the discussions focused on the following: </w:t>
      </w:r>
      <w:r w:rsidR="6157CA97" w:rsidRPr="755C40DB">
        <w:rPr>
          <w:rFonts w:ascii="Calibri" w:eastAsia="Calibri" w:hAnsi="Calibri" w:cs="Calibri"/>
        </w:rPr>
        <w:t xml:space="preserve">the </w:t>
      </w:r>
      <w:r w:rsidRPr="755C40DB">
        <w:rPr>
          <w:rFonts w:ascii="Calibri" w:eastAsia="Calibri" w:hAnsi="Calibri" w:cs="Calibri"/>
        </w:rPr>
        <w:t xml:space="preserve">impact </w:t>
      </w:r>
      <w:r w:rsidR="6157CA97" w:rsidRPr="755C40DB">
        <w:rPr>
          <w:rFonts w:ascii="Calibri" w:eastAsia="Calibri" w:hAnsi="Calibri" w:cs="Calibri"/>
        </w:rPr>
        <w:t xml:space="preserve">of the Affiliation on </w:t>
      </w:r>
      <w:r w:rsidRPr="755C40DB">
        <w:rPr>
          <w:rFonts w:ascii="Calibri" w:eastAsia="Calibri" w:hAnsi="Calibri" w:cs="Calibri"/>
        </w:rPr>
        <w:t>the workforce</w:t>
      </w:r>
      <w:r w:rsidR="6157CA97" w:rsidRPr="755C40DB">
        <w:rPr>
          <w:rFonts w:ascii="Calibri" w:eastAsia="Calibri" w:hAnsi="Calibri" w:cs="Calibri"/>
        </w:rPr>
        <w:t>,</w:t>
      </w:r>
      <w:r w:rsidRPr="755C40DB">
        <w:rPr>
          <w:rFonts w:ascii="Calibri" w:eastAsia="Calibri" w:hAnsi="Calibri" w:cs="Calibri"/>
        </w:rPr>
        <w:t xml:space="preserve"> the benefits of IT integration including the EHR, the history of UMMHC and MRMC clinical collaboration</w:t>
      </w:r>
      <w:r w:rsidR="548F7DBB" w:rsidRPr="755C40DB">
        <w:rPr>
          <w:rFonts w:ascii="Calibri" w:eastAsia="Calibri" w:hAnsi="Calibri" w:cs="Calibri"/>
        </w:rPr>
        <w:t>.</w:t>
      </w:r>
      <w:r w:rsidRPr="755C40DB">
        <w:rPr>
          <w:rFonts w:ascii="Calibri" w:eastAsia="Calibri" w:hAnsi="Calibri" w:cs="Calibri"/>
        </w:rPr>
        <w:t xml:space="preserve"> Since these meetings</w:t>
      </w:r>
      <w:r w:rsidR="00542620">
        <w:rPr>
          <w:rFonts w:ascii="Calibri" w:eastAsia="Calibri" w:hAnsi="Calibri" w:cs="Calibri"/>
        </w:rPr>
        <w:t xml:space="preserve"> occurred</w:t>
      </w:r>
      <w:r w:rsidRPr="755C40DB">
        <w:rPr>
          <w:rFonts w:ascii="Calibri" w:eastAsia="Calibri" w:hAnsi="Calibri" w:cs="Calibri"/>
        </w:rPr>
        <w:t>, UMMHC and MRMC have continued to work together to facilitate and plan additional community engagement</w:t>
      </w:r>
      <w:r w:rsidR="6157CA97" w:rsidRPr="755C40DB">
        <w:rPr>
          <w:rFonts w:ascii="Calibri" w:eastAsia="Calibri" w:hAnsi="Calibri" w:cs="Calibri"/>
        </w:rPr>
        <w:t xml:space="preserve"> commitments</w:t>
      </w:r>
      <w:r w:rsidRPr="755C40DB">
        <w:rPr>
          <w:rFonts w:ascii="Calibri" w:eastAsia="Calibri" w:hAnsi="Calibri" w:cs="Calibri"/>
        </w:rPr>
        <w:t>.</w:t>
      </w:r>
    </w:p>
    <w:p w14:paraId="2A08375C" w14:textId="29F1012C" w:rsidR="008B3C74" w:rsidRPr="008B3C74" w:rsidRDefault="44097B39" w:rsidP="00854398">
      <w:pPr>
        <w:spacing w:after="120"/>
        <w:rPr>
          <w:rFonts w:ascii="Calibri" w:eastAsia="Calibri" w:hAnsi="Calibri" w:cs="Calibri"/>
        </w:rPr>
      </w:pPr>
      <w:r w:rsidRPr="008B3C74">
        <w:rPr>
          <w:rFonts w:ascii="Calibri" w:eastAsia="Calibri" w:hAnsi="Calibri" w:cs="Calibri"/>
        </w:rPr>
        <w:t xml:space="preserve">The Applicant described ongoing commitment </w:t>
      </w:r>
      <w:r w:rsidR="6157CA97" w:rsidRPr="008B3C74">
        <w:rPr>
          <w:rFonts w:ascii="Calibri" w:eastAsia="Calibri" w:hAnsi="Calibri" w:cs="Calibri"/>
        </w:rPr>
        <w:t xml:space="preserve">to </w:t>
      </w:r>
      <w:r w:rsidR="6157CA97">
        <w:rPr>
          <w:rFonts w:ascii="Calibri" w:eastAsia="Calibri" w:hAnsi="Calibri" w:cs="Calibri"/>
        </w:rPr>
        <w:t xml:space="preserve">strengthen </w:t>
      </w:r>
      <w:r w:rsidRPr="008B3C74">
        <w:rPr>
          <w:rFonts w:ascii="Calibri" w:eastAsia="Calibri" w:hAnsi="Calibri" w:cs="Calibri"/>
        </w:rPr>
        <w:t>linkages with the community to address disparities that impact the health of the community, especially its underserved populations with a stated goal of engaging community stakeholders to develop trust and partnerships</w:t>
      </w:r>
      <w:r w:rsidR="6B871352">
        <w:rPr>
          <w:rFonts w:ascii="Calibri" w:eastAsia="Calibri" w:hAnsi="Calibri" w:cs="Calibri"/>
        </w:rPr>
        <w:t>. Further it</w:t>
      </w:r>
      <w:r w:rsidRPr="008B3C74">
        <w:rPr>
          <w:rFonts w:ascii="Calibri" w:eastAsia="Calibri" w:hAnsi="Calibri" w:cs="Calibri"/>
        </w:rPr>
        <w:t xml:space="preserve"> emphasiz</w:t>
      </w:r>
      <w:r w:rsidR="6B871352">
        <w:rPr>
          <w:rFonts w:ascii="Calibri" w:eastAsia="Calibri" w:hAnsi="Calibri" w:cs="Calibri"/>
        </w:rPr>
        <w:t>ed</w:t>
      </w:r>
      <w:r w:rsidRPr="008B3C74">
        <w:rPr>
          <w:rFonts w:ascii="Calibri" w:eastAsia="Calibri" w:hAnsi="Calibri" w:cs="Calibri"/>
        </w:rPr>
        <w:t xml:space="preserve"> that it is intentional about community work</w:t>
      </w:r>
      <w:r w:rsidR="6157CA97">
        <w:rPr>
          <w:rFonts w:ascii="Calibri" w:eastAsia="Calibri" w:hAnsi="Calibri" w:cs="Calibri"/>
        </w:rPr>
        <w:t>, and</w:t>
      </w:r>
      <w:r w:rsidR="003B47AE">
        <w:rPr>
          <w:rStyle w:val="FootnoteReference"/>
          <w:rFonts w:ascii="Calibri" w:eastAsia="Calibri" w:hAnsi="Calibri" w:cs="Calibri"/>
        </w:rPr>
        <w:footnoteReference w:id="36"/>
      </w:r>
      <w:r w:rsidR="5777A3D7">
        <w:rPr>
          <w:rFonts w:ascii="Calibri" w:eastAsia="Calibri" w:hAnsi="Calibri" w:cs="Calibri"/>
        </w:rPr>
        <w:t xml:space="preserve"> </w:t>
      </w:r>
      <w:r w:rsidR="6157CA97">
        <w:rPr>
          <w:rFonts w:ascii="Calibri" w:eastAsia="Calibri" w:hAnsi="Calibri" w:cs="Calibri"/>
        </w:rPr>
        <w:t xml:space="preserve">that it </w:t>
      </w:r>
      <w:r w:rsidR="33D516FA">
        <w:rPr>
          <w:rFonts w:ascii="Calibri" w:eastAsia="Calibri" w:hAnsi="Calibri" w:cs="Calibri"/>
        </w:rPr>
        <w:t xml:space="preserve">makes </w:t>
      </w:r>
      <w:r w:rsidR="33D516FA" w:rsidRPr="008B3C74">
        <w:rPr>
          <w:rFonts w:ascii="Calibri" w:eastAsia="Calibri" w:hAnsi="Calibri" w:cs="Calibri"/>
        </w:rPr>
        <w:t>decisions</w:t>
      </w:r>
      <w:r w:rsidRPr="008B3C74">
        <w:rPr>
          <w:rFonts w:ascii="Calibri" w:eastAsia="Calibri" w:hAnsi="Calibri" w:cs="Calibri"/>
        </w:rPr>
        <w:t xml:space="preserve"> through a health and race-conscious equity lens. Accordingly, UMMHC intends to engage with the MRMC community in a multi-faceted manner to maximize 1) structured planning, </w:t>
      </w:r>
      <w:r w:rsidR="4DD76727" w:rsidRPr="008B3C74">
        <w:rPr>
          <w:rFonts w:ascii="Calibri" w:eastAsia="Calibri" w:hAnsi="Calibri" w:cs="Calibri"/>
        </w:rPr>
        <w:t>evaluation,</w:t>
      </w:r>
      <w:r w:rsidRPr="008B3C74">
        <w:rPr>
          <w:rFonts w:ascii="Calibri" w:eastAsia="Calibri" w:hAnsi="Calibri" w:cs="Calibri"/>
        </w:rPr>
        <w:t xml:space="preserve"> and implementation, 2) accountability for engagement of diverse community members; and 3) transparency and reporting on interventions and outcomes to ensure they have the intended impact of addressing identified community need. Further the Applicant asserts it recognizes that building a healthy community requires long-term efforts. </w:t>
      </w:r>
    </w:p>
    <w:p w14:paraId="65D1143C" w14:textId="77777777" w:rsidR="008B3C74" w:rsidRPr="008B3C74" w:rsidRDefault="008B3C74" w:rsidP="008B3C74">
      <w:pPr>
        <w:spacing w:after="120"/>
        <w:rPr>
          <w:rFonts w:ascii="Calibri" w:eastAsia="Calibri" w:hAnsi="Calibri" w:cs="Calibri"/>
          <w:b/>
          <w:i/>
        </w:rPr>
      </w:pPr>
      <w:r w:rsidRPr="008B3C74">
        <w:rPr>
          <w:rFonts w:ascii="Calibri" w:eastAsia="Calibri" w:hAnsi="Calibri" w:cs="Calibri"/>
          <w:b/>
          <w:i/>
        </w:rPr>
        <w:t>Analysis</w:t>
      </w:r>
    </w:p>
    <w:p w14:paraId="6D51C9C1" w14:textId="6C5D862E" w:rsidR="008B3C74" w:rsidRDefault="008B3C74" w:rsidP="008B3C74">
      <w:pPr>
        <w:spacing w:after="120"/>
        <w:rPr>
          <w:rFonts w:ascii="Calibri" w:eastAsia="Calibri" w:hAnsi="Calibri" w:cs="Calibri"/>
        </w:rPr>
      </w:pPr>
      <w:r w:rsidRPr="008B3C74">
        <w:rPr>
          <w:rFonts w:ascii="Calibri" w:eastAsia="Calibri" w:hAnsi="Calibri" w:cs="Calibri"/>
        </w:rPr>
        <w:t>Staff reviewed the information on the Applicant’s community engagement and finds that it has met the required community engagement standard of Consult in the planning phase of the Proposed Project.</w:t>
      </w:r>
    </w:p>
    <w:p w14:paraId="4A960CCB" w14:textId="616BE76C" w:rsidR="00E40FAA" w:rsidRDefault="00E40FAA" w:rsidP="00DF6219">
      <w:pPr>
        <w:pStyle w:val="Heading1"/>
        <w:spacing w:line="240" w:lineRule="auto"/>
        <w:rPr>
          <w:rFonts w:asciiTheme="minorHAnsi" w:hAnsiTheme="minorHAnsi" w:cstheme="minorBidi"/>
        </w:rPr>
      </w:pPr>
      <w:bookmarkStart w:id="59" w:name="_Toc18922417"/>
      <w:bookmarkStart w:id="60" w:name="_Toc157428832"/>
      <w:bookmarkStart w:id="61" w:name="_Toc169264791"/>
      <w:bookmarkStart w:id="62" w:name="_Toc17322399"/>
      <w:bookmarkEnd w:id="57"/>
      <w:r w:rsidRPr="6CE004FB">
        <w:rPr>
          <w:rFonts w:asciiTheme="minorHAnsi" w:hAnsiTheme="minorHAnsi" w:cstheme="minorBidi"/>
        </w:rPr>
        <w:t xml:space="preserve">Factor 1: f) Competition </w:t>
      </w:r>
      <w:r w:rsidR="00471349" w:rsidRPr="6CE004FB">
        <w:rPr>
          <w:rFonts w:asciiTheme="minorHAnsi" w:hAnsiTheme="minorHAnsi" w:cstheme="minorBidi"/>
        </w:rPr>
        <w:t>on Price, Total Medical Expenses (</w:t>
      </w:r>
      <w:r w:rsidR="00371842" w:rsidRPr="6CE004FB">
        <w:rPr>
          <w:rFonts w:asciiTheme="minorHAnsi" w:hAnsiTheme="minorHAnsi" w:cstheme="minorBidi"/>
        </w:rPr>
        <w:t>TME</w:t>
      </w:r>
      <w:r w:rsidR="00471349" w:rsidRPr="6CE004FB">
        <w:rPr>
          <w:rFonts w:asciiTheme="minorHAnsi" w:hAnsiTheme="minorHAnsi" w:cstheme="minorBidi"/>
        </w:rPr>
        <w:t>), Costs and Other Measures of Health Care Spending</w:t>
      </w:r>
      <w:bookmarkEnd w:id="59"/>
      <w:bookmarkEnd w:id="60"/>
      <w:bookmarkEnd w:id="61"/>
    </w:p>
    <w:p w14:paraId="449FA9CA" w14:textId="77777777" w:rsidR="00892713" w:rsidRPr="00892713" w:rsidRDefault="00892713" w:rsidP="00892713"/>
    <w:p w14:paraId="66F75168" w14:textId="77777777" w:rsidR="00C43448" w:rsidRDefault="00C43448" w:rsidP="00AC0EA6">
      <w:pPr>
        <w:spacing w:after="240"/>
        <w:rPr>
          <w:rFonts w:ascii="Calibri" w:eastAsia="PMingLiU" w:hAnsi="Calibri" w:cs="Times New Roman"/>
          <w:szCs w:val="22"/>
        </w:rPr>
      </w:pPr>
      <w:bookmarkStart w:id="63" w:name="_Hlk155903708"/>
      <w:bookmarkStart w:id="64" w:name="_Hlk17663634"/>
      <w:bookmarkEnd w:id="62"/>
      <w:r w:rsidRPr="00C43448">
        <w:rPr>
          <w:rFonts w:ascii="Calibri" w:eastAsia="PMingLiU" w:hAnsi="Calibri" w:cs="Times New Roman"/>
          <w:szCs w:val="22"/>
        </w:rPr>
        <w:t xml:space="preserve">The Applicant states the Proposed Affiliation is not anticipated to have an adverse impact on competition in the Massachusetts health care market based on price, total medical expense (“TME”), provider costs, or other recognized measures of health care spending. </w:t>
      </w:r>
    </w:p>
    <w:p w14:paraId="31910940" w14:textId="04C68519" w:rsidR="00C43448" w:rsidRPr="00A644DA" w:rsidRDefault="2652CE45" w:rsidP="7974A61C">
      <w:pPr>
        <w:rPr>
          <w:rFonts w:ascii="Calibri" w:eastAsia="PMingLiU" w:hAnsi="Calibri" w:cs="Times New Roman"/>
        </w:rPr>
      </w:pPr>
      <w:r w:rsidRPr="7974A61C">
        <w:rPr>
          <w:rFonts w:ascii="Calibri" w:eastAsia="PMingLiU" w:hAnsi="Calibri" w:cs="Times New Roman"/>
        </w:rPr>
        <w:t>The Applicant and MR</w:t>
      </w:r>
      <w:r w:rsidR="00265B00">
        <w:rPr>
          <w:rFonts w:ascii="Calibri" w:eastAsia="PMingLiU" w:hAnsi="Calibri" w:cs="Times New Roman"/>
        </w:rPr>
        <w:t>M</w:t>
      </w:r>
      <w:r w:rsidRPr="7974A61C">
        <w:rPr>
          <w:rFonts w:ascii="Calibri" w:eastAsia="PMingLiU" w:hAnsi="Calibri" w:cs="Times New Roman"/>
        </w:rPr>
        <w:t>C are both providers whose costs are within the mid to lower ranges of their respective Center for Health Information and Analysis (“CHIA”) hospital cohorts. The most recent data published by CHIA</w:t>
      </w:r>
      <w:r w:rsidR="00C43448" w:rsidRPr="7974A61C">
        <w:rPr>
          <w:rFonts w:ascii="Calibri" w:eastAsia="PMingLiU" w:hAnsi="Calibri" w:cs="Times New Roman"/>
          <w:vertAlign w:val="superscript"/>
        </w:rPr>
        <w:footnoteReference w:id="37"/>
      </w:r>
      <w:r w:rsidRPr="7974A61C">
        <w:rPr>
          <w:rFonts w:ascii="Calibri" w:eastAsia="PMingLiU" w:hAnsi="Calibri" w:cs="Times New Roman"/>
        </w:rPr>
        <w:t xml:space="preserve"> show that MRMC’s statewide relative price (“RP”) and net patient service revenue (“NPSR”) per case mix adjusted discharge</w:t>
      </w:r>
      <w:r w:rsidR="00C43448" w:rsidRPr="7974A61C">
        <w:rPr>
          <w:rFonts w:ascii="Calibri" w:eastAsia="PMingLiU" w:hAnsi="Calibri" w:cs="Times New Roman"/>
          <w:vertAlign w:val="superscript"/>
        </w:rPr>
        <w:footnoteReference w:id="38"/>
      </w:r>
      <w:r w:rsidRPr="7974A61C">
        <w:rPr>
          <w:rFonts w:ascii="Calibri" w:eastAsia="PMingLiU" w:hAnsi="Calibri" w:cs="Times New Roman"/>
        </w:rPr>
        <w:t xml:space="preserve"> (“CMAD”) were similar to those of UMMHC’s member community hospitals. (See Table </w:t>
      </w:r>
      <w:r w:rsidR="667E3DEC" w:rsidRPr="7974A61C">
        <w:rPr>
          <w:rFonts w:ascii="Calibri" w:eastAsia="PMingLiU" w:hAnsi="Calibri" w:cs="Times New Roman"/>
        </w:rPr>
        <w:t>7</w:t>
      </w:r>
      <w:r w:rsidRPr="7974A61C">
        <w:rPr>
          <w:rFonts w:ascii="Calibri" w:eastAsia="PMingLiU" w:hAnsi="Calibri" w:cs="Times New Roman"/>
        </w:rPr>
        <w:t>)</w:t>
      </w:r>
      <w:r w:rsidR="01FCA4FD" w:rsidRPr="282949F7">
        <w:rPr>
          <w:rFonts w:ascii="Calibri" w:eastAsia="PMingLiU" w:hAnsi="Calibri" w:cs="Times New Roman"/>
        </w:rPr>
        <w:t xml:space="preserve">. Further there is </w:t>
      </w:r>
      <w:r w:rsidR="198D6663" w:rsidRPr="282949F7">
        <w:rPr>
          <w:rFonts w:ascii="Calibri" w:eastAsia="PMingLiU" w:hAnsi="Calibri" w:cs="Times New Roman"/>
        </w:rPr>
        <w:t>no</w:t>
      </w:r>
      <w:r w:rsidR="01FCA4FD" w:rsidRPr="282949F7">
        <w:rPr>
          <w:rFonts w:ascii="Calibri" w:eastAsia="PMingLiU" w:hAnsi="Calibri" w:cs="Times New Roman"/>
        </w:rPr>
        <w:t xml:space="preserve"> change in Statewide RP from 2018 </w:t>
      </w:r>
      <w:r w:rsidR="6FD14614" w:rsidRPr="282949F7">
        <w:rPr>
          <w:rFonts w:ascii="Calibri" w:eastAsia="PMingLiU" w:hAnsi="Calibri" w:cs="Times New Roman"/>
        </w:rPr>
        <w:t xml:space="preserve">to 2021, before and after the merger </w:t>
      </w:r>
      <w:r w:rsidR="3ABF25EC" w:rsidRPr="282949F7">
        <w:rPr>
          <w:rFonts w:ascii="Calibri" w:eastAsia="PMingLiU" w:hAnsi="Calibri" w:cs="Times New Roman"/>
        </w:rPr>
        <w:t>of Harrington with UMMHC.</w:t>
      </w:r>
    </w:p>
    <w:p w14:paraId="2A526508" w14:textId="77777777" w:rsidR="00AC0EA6" w:rsidRPr="00A644DA" w:rsidRDefault="00AC0EA6" w:rsidP="00C43448">
      <w:pPr>
        <w:rPr>
          <w:rFonts w:ascii="Calibri" w:eastAsia="PMingLiU" w:hAnsi="Calibri" w:cs="Times New Roman"/>
          <w:szCs w:val="22"/>
        </w:rPr>
      </w:pPr>
    </w:p>
    <w:p w14:paraId="241CA7A1" w14:textId="28109613" w:rsidR="00C43448" w:rsidRPr="00854398" w:rsidRDefault="2652CE45" w:rsidP="00C43448">
      <w:pPr>
        <w:spacing w:after="240"/>
        <w:jc w:val="center"/>
        <w:rPr>
          <w:rFonts w:ascii="Calibri" w:eastAsia="PMingLiU" w:hAnsi="Calibri" w:cs="Times New Roman"/>
          <w:b/>
          <w:bCs/>
          <w:szCs w:val="22"/>
        </w:rPr>
      </w:pPr>
      <w:r w:rsidRPr="3BC6E168">
        <w:rPr>
          <w:rFonts w:ascii="Calibri" w:eastAsia="PMingLiU" w:hAnsi="Calibri" w:cs="Times New Roman"/>
          <w:b/>
          <w:bCs/>
        </w:rPr>
        <w:t>Table</w:t>
      </w:r>
      <w:r w:rsidR="667E3DEC" w:rsidRPr="3BC6E168">
        <w:rPr>
          <w:rFonts w:ascii="Calibri" w:eastAsia="PMingLiU" w:hAnsi="Calibri" w:cs="Times New Roman"/>
          <w:b/>
          <w:bCs/>
        </w:rPr>
        <w:t xml:space="preserve"> 7:</w:t>
      </w:r>
      <w:r w:rsidRPr="3BC6E168">
        <w:rPr>
          <w:rFonts w:ascii="Calibri" w:eastAsia="PMingLiU" w:hAnsi="Calibri" w:cs="Times New Roman"/>
          <w:b/>
          <w:bCs/>
        </w:rPr>
        <w:t xml:space="preserve">  UMMHC COMMUNITY HOSPITALS RELATIVE PRICE &amp; </w:t>
      </w:r>
      <w:r w:rsidRPr="00A644DA">
        <w:rPr>
          <w:rFonts w:ascii="Calibri" w:eastAsia="PMingLiU" w:hAnsi="Calibri" w:cs="Calibri"/>
          <w:b/>
          <w:bCs/>
        </w:rPr>
        <w:t>NPSR/CMAD</w:t>
      </w:r>
      <w:r w:rsidR="00C43448" w:rsidRPr="3BC6E168">
        <w:rPr>
          <w:rFonts w:ascii="Calibri" w:eastAsia="PMingLiU" w:hAnsi="Calibri" w:cs="Times New Roman"/>
          <w:b/>
          <w:bCs/>
          <w:vertAlign w:val="superscript"/>
        </w:rPr>
        <w:footnoteReference w:id="39"/>
      </w:r>
      <w:r w:rsidRPr="00A644DA">
        <w:rPr>
          <w:rFonts w:ascii="Calibri" w:eastAsia="PMingLiU" w:hAnsi="Calibri" w:cs="Calibri"/>
          <w:b/>
          <w:bCs/>
        </w:rPr>
        <w:t xml:space="preserve"> CY 2021</w:t>
      </w:r>
    </w:p>
    <w:tbl>
      <w:tblPr>
        <w:tblStyle w:val="TableGrid11"/>
        <w:tblW w:w="10081" w:type="dxa"/>
        <w:jc w:val="center"/>
        <w:tblLook w:val="04A0" w:firstRow="1" w:lastRow="0" w:firstColumn="1" w:lastColumn="0" w:noHBand="0" w:noVBand="1"/>
      </w:tblPr>
      <w:tblGrid>
        <w:gridCol w:w="2605"/>
        <w:gridCol w:w="2409"/>
        <w:gridCol w:w="1952"/>
        <w:gridCol w:w="1927"/>
        <w:gridCol w:w="1188"/>
      </w:tblGrid>
      <w:tr w:rsidR="00C43448" w:rsidRPr="00C43448" w14:paraId="6732FB5A" w14:textId="77777777" w:rsidTr="0068659B">
        <w:trPr>
          <w:cantSplit/>
          <w:trHeight w:val="1007"/>
          <w:tblHeader/>
          <w:jc w:val="center"/>
        </w:trPr>
        <w:tc>
          <w:tcPr>
            <w:tcW w:w="2605" w:type="dxa"/>
            <w:tcBorders>
              <w:top w:val="single" w:sz="4" w:space="0" w:color="auto"/>
              <w:left w:val="single" w:sz="4" w:space="0" w:color="auto"/>
              <w:bottom w:val="single" w:sz="4" w:space="0" w:color="auto"/>
              <w:right w:val="single" w:sz="4" w:space="0" w:color="auto"/>
            </w:tcBorders>
            <w:shd w:val="clear" w:color="auto" w:fill="E1F9FF"/>
            <w:vAlign w:val="center"/>
            <w:hideMark/>
          </w:tcPr>
          <w:p w14:paraId="7A579AFC" w14:textId="77777777" w:rsidR="00C43448" w:rsidRPr="00C43448" w:rsidRDefault="00C43448" w:rsidP="00AC0EA6">
            <w:pPr>
              <w:jc w:val="center"/>
              <w:rPr>
                <w:rFonts w:ascii="Calibri" w:eastAsia="Calibri" w:hAnsi="Calibri" w:cs="Calibri"/>
                <w:b/>
                <w:bCs/>
                <w:sz w:val="24"/>
                <w:szCs w:val="24"/>
              </w:rPr>
            </w:pPr>
            <w:r w:rsidRPr="00C43448">
              <w:rPr>
                <w:rFonts w:ascii="Calibri" w:eastAsia="Calibri" w:hAnsi="Calibri" w:cs="Calibri"/>
                <w:b/>
                <w:bCs/>
                <w:sz w:val="24"/>
                <w:szCs w:val="24"/>
              </w:rPr>
              <w:t>Hospital</w:t>
            </w:r>
          </w:p>
        </w:tc>
        <w:tc>
          <w:tcPr>
            <w:tcW w:w="2409" w:type="dxa"/>
            <w:tcBorders>
              <w:top w:val="single" w:sz="4" w:space="0" w:color="auto"/>
              <w:left w:val="single" w:sz="4" w:space="0" w:color="auto"/>
              <w:bottom w:val="single" w:sz="4" w:space="0" w:color="auto"/>
              <w:right w:val="single" w:sz="4" w:space="0" w:color="auto"/>
            </w:tcBorders>
            <w:shd w:val="clear" w:color="auto" w:fill="E1F9FF"/>
            <w:vAlign w:val="center"/>
            <w:hideMark/>
          </w:tcPr>
          <w:p w14:paraId="0DE1AB0A" w14:textId="77777777" w:rsidR="00C43448" w:rsidRPr="00C43448" w:rsidRDefault="00C43448" w:rsidP="00AC0EA6">
            <w:pPr>
              <w:jc w:val="center"/>
              <w:rPr>
                <w:rFonts w:ascii="Calibri" w:eastAsia="Calibri" w:hAnsi="Calibri" w:cs="Calibri"/>
                <w:b/>
                <w:bCs/>
                <w:sz w:val="24"/>
                <w:szCs w:val="24"/>
              </w:rPr>
            </w:pPr>
            <w:r w:rsidRPr="00C43448">
              <w:rPr>
                <w:rFonts w:ascii="Calibri" w:eastAsia="Calibri" w:hAnsi="Calibri" w:cs="Calibri"/>
                <w:b/>
                <w:bCs/>
                <w:sz w:val="24"/>
                <w:szCs w:val="24"/>
              </w:rPr>
              <w:t>Hospital System</w:t>
            </w:r>
          </w:p>
        </w:tc>
        <w:tc>
          <w:tcPr>
            <w:tcW w:w="1952" w:type="dxa"/>
            <w:tcBorders>
              <w:top w:val="single" w:sz="4" w:space="0" w:color="auto"/>
              <w:left w:val="single" w:sz="4" w:space="0" w:color="auto"/>
              <w:bottom w:val="single" w:sz="4" w:space="0" w:color="auto"/>
              <w:right w:val="single" w:sz="4" w:space="0" w:color="auto"/>
            </w:tcBorders>
            <w:shd w:val="clear" w:color="auto" w:fill="E1F9FF"/>
            <w:vAlign w:val="center"/>
          </w:tcPr>
          <w:p w14:paraId="4EB5DAD0" w14:textId="708377B6" w:rsidR="755C40DB" w:rsidRDefault="486FAC11" w:rsidP="0068659B">
            <w:pPr>
              <w:jc w:val="center"/>
              <w:rPr>
                <w:rFonts w:ascii="Calibri" w:eastAsia="Calibri" w:hAnsi="Calibri" w:cs="Calibri"/>
                <w:b/>
                <w:bCs/>
                <w:sz w:val="24"/>
                <w:szCs w:val="24"/>
              </w:rPr>
            </w:pPr>
            <w:r w:rsidRPr="282949F7">
              <w:rPr>
                <w:rFonts w:ascii="Calibri" w:eastAsia="Calibri" w:hAnsi="Calibri" w:cs="Calibri"/>
                <w:b/>
                <w:bCs/>
                <w:sz w:val="24"/>
                <w:szCs w:val="24"/>
              </w:rPr>
              <w:t>Statewide (Cross-Payer RP)</w:t>
            </w:r>
            <w:r w:rsidR="57AB9E68" w:rsidRPr="282949F7">
              <w:rPr>
                <w:rFonts w:ascii="Calibri" w:eastAsia="Calibri" w:hAnsi="Calibri" w:cs="Calibri"/>
                <w:b/>
                <w:bCs/>
                <w:sz w:val="24"/>
                <w:szCs w:val="24"/>
              </w:rPr>
              <w:t xml:space="preserve"> 20</w:t>
            </w:r>
            <w:r w:rsidR="232C29A9" w:rsidRPr="282949F7">
              <w:rPr>
                <w:rFonts w:ascii="Calibri" w:eastAsia="Calibri" w:hAnsi="Calibri" w:cs="Calibri"/>
                <w:b/>
                <w:bCs/>
                <w:sz w:val="24"/>
                <w:szCs w:val="24"/>
              </w:rPr>
              <w:t>18</w:t>
            </w:r>
            <w:r w:rsidR="34B63341" w:rsidRPr="755C40DB">
              <w:rPr>
                <w:rStyle w:val="FootnoteReference"/>
                <w:rFonts w:ascii="Calibri" w:eastAsia="Calibri" w:hAnsi="Calibri" w:cs="Calibri"/>
                <w:b/>
                <w:bCs/>
                <w:sz w:val="24"/>
                <w:szCs w:val="24"/>
              </w:rPr>
              <w:footnoteReference w:id="40"/>
            </w:r>
          </w:p>
        </w:tc>
        <w:tc>
          <w:tcPr>
            <w:tcW w:w="1927" w:type="dxa"/>
            <w:tcBorders>
              <w:top w:val="single" w:sz="4" w:space="0" w:color="auto"/>
              <w:left w:val="single" w:sz="4" w:space="0" w:color="auto"/>
              <w:bottom w:val="single" w:sz="4" w:space="0" w:color="auto"/>
              <w:right w:val="single" w:sz="4" w:space="0" w:color="auto"/>
            </w:tcBorders>
            <w:shd w:val="clear" w:color="auto" w:fill="E1F9FF"/>
            <w:vAlign w:val="center"/>
            <w:hideMark/>
          </w:tcPr>
          <w:p w14:paraId="7CEFC772" w14:textId="4BBA3754" w:rsidR="00C43448" w:rsidRPr="00C43448" w:rsidRDefault="00C43448" w:rsidP="755C40DB">
            <w:pPr>
              <w:jc w:val="center"/>
              <w:rPr>
                <w:rFonts w:ascii="Calibri" w:eastAsia="Calibri" w:hAnsi="Calibri" w:cs="Calibri"/>
                <w:b/>
                <w:bCs/>
                <w:sz w:val="24"/>
                <w:szCs w:val="24"/>
              </w:rPr>
            </w:pPr>
            <w:r w:rsidRPr="755C40DB">
              <w:rPr>
                <w:rFonts w:ascii="Calibri" w:eastAsia="Calibri" w:hAnsi="Calibri" w:cs="Calibri"/>
                <w:b/>
                <w:bCs/>
                <w:sz w:val="24"/>
                <w:szCs w:val="24"/>
              </w:rPr>
              <w:t>Statewide (Cross-Payer RP)</w:t>
            </w:r>
          </w:p>
          <w:p w14:paraId="256B4AEB" w14:textId="351F86CB" w:rsidR="00C43448" w:rsidRPr="00C43448" w:rsidRDefault="13C97A73" w:rsidP="755C40DB">
            <w:pPr>
              <w:jc w:val="center"/>
              <w:rPr>
                <w:rFonts w:ascii="Calibri" w:eastAsia="Calibri" w:hAnsi="Calibri" w:cs="Calibri"/>
                <w:b/>
                <w:bCs/>
                <w:sz w:val="24"/>
                <w:szCs w:val="24"/>
              </w:rPr>
            </w:pPr>
            <w:r w:rsidRPr="282949F7">
              <w:rPr>
                <w:rFonts w:ascii="Calibri" w:eastAsia="Calibri" w:hAnsi="Calibri" w:cs="Calibri"/>
                <w:b/>
                <w:bCs/>
                <w:sz w:val="24"/>
                <w:szCs w:val="24"/>
              </w:rPr>
              <w:t>2021</w:t>
            </w:r>
            <w:r w:rsidR="00C43448" w:rsidRPr="755C40DB">
              <w:rPr>
                <w:rStyle w:val="FootnoteReference"/>
                <w:rFonts w:ascii="Calibri" w:eastAsia="Calibri" w:hAnsi="Calibri" w:cs="Calibri"/>
                <w:b/>
                <w:bCs/>
                <w:sz w:val="24"/>
                <w:szCs w:val="24"/>
              </w:rPr>
              <w:footnoteReference w:id="41"/>
            </w:r>
          </w:p>
        </w:tc>
        <w:tc>
          <w:tcPr>
            <w:tcW w:w="1188" w:type="dxa"/>
            <w:tcBorders>
              <w:top w:val="single" w:sz="4" w:space="0" w:color="auto"/>
              <w:left w:val="single" w:sz="4" w:space="0" w:color="auto"/>
              <w:bottom w:val="single" w:sz="4" w:space="0" w:color="auto"/>
              <w:right w:val="single" w:sz="4" w:space="0" w:color="auto"/>
            </w:tcBorders>
            <w:shd w:val="clear" w:color="auto" w:fill="E1F9FF"/>
            <w:vAlign w:val="center"/>
            <w:hideMark/>
          </w:tcPr>
          <w:p w14:paraId="4BA284E1" w14:textId="52C57DC7" w:rsidR="00C43448" w:rsidRPr="00C43448" w:rsidRDefault="00C43448" w:rsidP="755C40DB">
            <w:pPr>
              <w:jc w:val="center"/>
              <w:rPr>
                <w:rFonts w:ascii="Calibri" w:eastAsia="Calibri" w:hAnsi="Calibri" w:cs="Calibri"/>
                <w:b/>
                <w:bCs/>
                <w:sz w:val="24"/>
                <w:szCs w:val="24"/>
              </w:rPr>
            </w:pPr>
            <w:r w:rsidRPr="755C40DB">
              <w:rPr>
                <w:rFonts w:ascii="Calibri" w:eastAsia="Calibri" w:hAnsi="Calibri" w:cs="Calibri"/>
                <w:b/>
                <w:bCs/>
                <w:sz w:val="24"/>
                <w:szCs w:val="24"/>
              </w:rPr>
              <w:t>NPSR per CMAD</w:t>
            </w:r>
          </w:p>
          <w:p w14:paraId="2025DA43" w14:textId="0116F06E" w:rsidR="00C43448" w:rsidRPr="00C43448" w:rsidRDefault="66C2B32D" w:rsidP="755C40DB">
            <w:pPr>
              <w:jc w:val="center"/>
              <w:rPr>
                <w:rFonts w:ascii="Calibri" w:eastAsia="Calibri" w:hAnsi="Calibri" w:cs="Calibri"/>
                <w:b/>
                <w:bCs/>
                <w:sz w:val="24"/>
                <w:szCs w:val="24"/>
              </w:rPr>
            </w:pPr>
            <w:r w:rsidRPr="755C40DB">
              <w:rPr>
                <w:rFonts w:ascii="Calibri" w:eastAsia="Calibri" w:hAnsi="Calibri" w:cs="Calibri"/>
                <w:b/>
                <w:bCs/>
                <w:sz w:val="24"/>
                <w:szCs w:val="24"/>
              </w:rPr>
              <w:t>2021</w:t>
            </w:r>
          </w:p>
        </w:tc>
      </w:tr>
      <w:tr w:rsidR="00C43448" w:rsidRPr="00C43448" w14:paraId="6E33B515" w14:textId="77777777" w:rsidTr="0068659B">
        <w:trPr>
          <w:cantSplit/>
          <w:trHeight w:val="300"/>
          <w:jc w:val="center"/>
        </w:trPr>
        <w:tc>
          <w:tcPr>
            <w:tcW w:w="2605" w:type="dxa"/>
            <w:tcBorders>
              <w:top w:val="single" w:sz="4" w:space="0" w:color="auto"/>
              <w:left w:val="single" w:sz="4" w:space="0" w:color="auto"/>
              <w:bottom w:val="single" w:sz="4" w:space="0" w:color="auto"/>
              <w:right w:val="single" w:sz="4" w:space="0" w:color="auto"/>
            </w:tcBorders>
            <w:hideMark/>
          </w:tcPr>
          <w:p w14:paraId="29E1A2AF" w14:textId="77777777" w:rsidR="00C43448" w:rsidRPr="00C43448" w:rsidRDefault="00C43448" w:rsidP="00AC0EA6">
            <w:pPr>
              <w:rPr>
                <w:rFonts w:ascii="Calibri" w:eastAsia="Calibri" w:hAnsi="Calibri" w:cs="Calibri"/>
                <w:sz w:val="24"/>
                <w:szCs w:val="24"/>
              </w:rPr>
            </w:pPr>
            <w:r w:rsidRPr="00C43448">
              <w:rPr>
                <w:rFonts w:ascii="Calibri" w:eastAsia="Calibri" w:hAnsi="Calibri" w:cs="Calibri"/>
                <w:sz w:val="24"/>
                <w:szCs w:val="24"/>
              </w:rPr>
              <w:t>Harrington Memorial Hospital</w:t>
            </w:r>
          </w:p>
        </w:tc>
        <w:tc>
          <w:tcPr>
            <w:tcW w:w="2409" w:type="dxa"/>
            <w:tcBorders>
              <w:top w:val="single" w:sz="4" w:space="0" w:color="auto"/>
              <w:left w:val="single" w:sz="4" w:space="0" w:color="auto"/>
              <w:bottom w:val="single" w:sz="4" w:space="0" w:color="auto"/>
              <w:right w:val="single" w:sz="4" w:space="0" w:color="auto"/>
            </w:tcBorders>
            <w:hideMark/>
          </w:tcPr>
          <w:p w14:paraId="502AD822" w14:textId="77777777" w:rsidR="00C43448" w:rsidRPr="00C43448" w:rsidRDefault="00C43448" w:rsidP="00AC0EA6">
            <w:pPr>
              <w:rPr>
                <w:rFonts w:ascii="Calibri" w:eastAsia="Calibri" w:hAnsi="Calibri" w:cs="Calibri"/>
                <w:sz w:val="24"/>
                <w:szCs w:val="24"/>
              </w:rPr>
            </w:pPr>
            <w:r w:rsidRPr="00C43448">
              <w:rPr>
                <w:rFonts w:ascii="Calibri" w:eastAsia="Calibri" w:hAnsi="Calibri" w:cs="Calibri"/>
                <w:sz w:val="24"/>
                <w:szCs w:val="24"/>
              </w:rPr>
              <w:t xml:space="preserve">Harrington Healthcare System, Inc. </w:t>
            </w:r>
          </w:p>
        </w:tc>
        <w:tc>
          <w:tcPr>
            <w:tcW w:w="1952" w:type="dxa"/>
            <w:tcBorders>
              <w:top w:val="single" w:sz="4" w:space="0" w:color="auto"/>
              <w:left w:val="single" w:sz="4" w:space="0" w:color="auto"/>
              <w:bottom w:val="single" w:sz="4" w:space="0" w:color="auto"/>
              <w:right w:val="single" w:sz="4" w:space="0" w:color="auto"/>
            </w:tcBorders>
            <w:vAlign w:val="center"/>
          </w:tcPr>
          <w:p w14:paraId="6A891718" w14:textId="78D96DC0" w:rsidR="1035E6B8" w:rsidRDefault="69465338" w:rsidP="755C40DB">
            <w:pPr>
              <w:jc w:val="center"/>
              <w:rPr>
                <w:rFonts w:ascii="Calibri" w:eastAsia="Calibri" w:hAnsi="Calibri" w:cs="Calibri"/>
                <w:sz w:val="24"/>
                <w:szCs w:val="24"/>
              </w:rPr>
            </w:pPr>
            <w:r w:rsidRPr="5326C409">
              <w:rPr>
                <w:rFonts w:ascii="Calibri" w:eastAsia="Calibri" w:hAnsi="Calibri" w:cs="Calibri"/>
                <w:sz w:val="24"/>
                <w:szCs w:val="24"/>
              </w:rPr>
              <w:t>.85</w:t>
            </w:r>
          </w:p>
        </w:tc>
        <w:tc>
          <w:tcPr>
            <w:tcW w:w="1927" w:type="dxa"/>
            <w:tcBorders>
              <w:top w:val="single" w:sz="4" w:space="0" w:color="auto"/>
              <w:left w:val="single" w:sz="4" w:space="0" w:color="auto"/>
              <w:bottom w:val="single" w:sz="4" w:space="0" w:color="auto"/>
              <w:right w:val="single" w:sz="4" w:space="0" w:color="auto"/>
            </w:tcBorders>
            <w:vAlign w:val="center"/>
            <w:hideMark/>
          </w:tcPr>
          <w:p w14:paraId="16B271E9" w14:textId="77777777" w:rsidR="00C43448" w:rsidRPr="00C43448" w:rsidRDefault="00C43448" w:rsidP="00AC0EA6">
            <w:pPr>
              <w:jc w:val="center"/>
              <w:rPr>
                <w:rFonts w:ascii="Calibri" w:eastAsia="Calibri" w:hAnsi="Calibri" w:cs="Calibri"/>
                <w:sz w:val="24"/>
                <w:szCs w:val="24"/>
              </w:rPr>
            </w:pPr>
            <w:r w:rsidRPr="00C43448">
              <w:rPr>
                <w:rFonts w:ascii="Calibri" w:eastAsia="Calibri" w:hAnsi="Calibri" w:cs="Calibri"/>
                <w:sz w:val="24"/>
                <w:szCs w:val="24"/>
              </w:rPr>
              <w:t>.85</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6C8BE27" w14:textId="77777777" w:rsidR="00C43448" w:rsidRPr="00C43448" w:rsidRDefault="00C43448" w:rsidP="00AC0EA6">
            <w:pPr>
              <w:jc w:val="right"/>
              <w:rPr>
                <w:rFonts w:ascii="Calibri" w:eastAsia="Calibri" w:hAnsi="Calibri" w:cs="Calibri"/>
                <w:sz w:val="24"/>
                <w:szCs w:val="24"/>
              </w:rPr>
            </w:pPr>
            <w:r w:rsidRPr="00C43448">
              <w:rPr>
                <w:rFonts w:ascii="Calibri" w:eastAsia="Calibri" w:hAnsi="Calibri" w:cs="Calibri"/>
                <w:sz w:val="24"/>
                <w:szCs w:val="24"/>
              </w:rPr>
              <w:t>$8,400</w:t>
            </w:r>
          </w:p>
        </w:tc>
      </w:tr>
      <w:tr w:rsidR="00C43448" w:rsidRPr="00C43448" w14:paraId="6D72E5B5" w14:textId="77777777" w:rsidTr="0068659B">
        <w:trPr>
          <w:cantSplit/>
          <w:trHeight w:val="300"/>
          <w:jc w:val="center"/>
        </w:trPr>
        <w:tc>
          <w:tcPr>
            <w:tcW w:w="2605" w:type="dxa"/>
            <w:tcBorders>
              <w:top w:val="single" w:sz="4" w:space="0" w:color="auto"/>
              <w:left w:val="single" w:sz="4" w:space="0" w:color="auto"/>
              <w:bottom w:val="single" w:sz="4" w:space="0" w:color="auto"/>
              <w:right w:val="single" w:sz="4" w:space="0" w:color="auto"/>
            </w:tcBorders>
            <w:hideMark/>
          </w:tcPr>
          <w:p w14:paraId="50B6DB71" w14:textId="77777777" w:rsidR="00C43448" w:rsidRPr="00C43448" w:rsidRDefault="00C43448" w:rsidP="00AC0EA6">
            <w:pPr>
              <w:rPr>
                <w:rFonts w:ascii="Calibri" w:eastAsia="Calibri" w:hAnsi="Calibri" w:cs="Calibri"/>
                <w:sz w:val="24"/>
                <w:szCs w:val="24"/>
              </w:rPr>
            </w:pPr>
            <w:r w:rsidRPr="00C43448">
              <w:rPr>
                <w:rFonts w:ascii="Calibri" w:eastAsia="Calibri" w:hAnsi="Calibri" w:cs="Calibri"/>
                <w:sz w:val="24"/>
                <w:szCs w:val="24"/>
              </w:rPr>
              <w:t>Marlborough Hospital</w:t>
            </w:r>
          </w:p>
        </w:tc>
        <w:tc>
          <w:tcPr>
            <w:tcW w:w="2409" w:type="dxa"/>
            <w:tcBorders>
              <w:top w:val="single" w:sz="4" w:space="0" w:color="auto"/>
              <w:left w:val="single" w:sz="4" w:space="0" w:color="auto"/>
              <w:bottom w:val="single" w:sz="4" w:space="0" w:color="auto"/>
              <w:right w:val="single" w:sz="4" w:space="0" w:color="auto"/>
            </w:tcBorders>
            <w:hideMark/>
          </w:tcPr>
          <w:p w14:paraId="120D5EC9" w14:textId="77777777" w:rsidR="00C43448" w:rsidRPr="00C43448" w:rsidRDefault="00C43448" w:rsidP="00AC0EA6">
            <w:pPr>
              <w:rPr>
                <w:rFonts w:ascii="Calibri" w:eastAsia="Calibri" w:hAnsi="Calibri" w:cs="Calibri"/>
                <w:sz w:val="24"/>
                <w:szCs w:val="24"/>
              </w:rPr>
            </w:pPr>
            <w:r w:rsidRPr="00C43448">
              <w:rPr>
                <w:rFonts w:ascii="Calibri" w:eastAsia="Calibri" w:hAnsi="Calibri" w:cs="Calibri"/>
                <w:sz w:val="24"/>
                <w:szCs w:val="24"/>
              </w:rPr>
              <w:t>UMass Memorial Health Care</w:t>
            </w:r>
          </w:p>
        </w:tc>
        <w:tc>
          <w:tcPr>
            <w:tcW w:w="1952" w:type="dxa"/>
            <w:tcBorders>
              <w:top w:val="single" w:sz="4" w:space="0" w:color="auto"/>
              <w:left w:val="single" w:sz="4" w:space="0" w:color="auto"/>
              <w:bottom w:val="single" w:sz="4" w:space="0" w:color="auto"/>
              <w:right w:val="single" w:sz="4" w:space="0" w:color="auto"/>
            </w:tcBorders>
            <w:vAlign w:val="center"/>
          </w:tcPr>
          <w:p w14:paraId="61A46BE0" w14:textId="368CD267" w:rsidR="3652C7F9" w:rsidRDefault="08CC11C4" w:rsidP="755C40DB">
            <w:pPr>
              <w:jc w:val="center"/>
              <w:rPr>
                <w:rFonts w:ascii="Calibri" w:eastAsia="Calibri" w:hAnsi="Calibri" w:cs="Calibri"/>
                <w:sz w:val="24"/>
                <w:szCs w:val="24"/>
              </w:rPr>
            </w:pPr>
            <w:r w:rsidRPr="5326C409">
              <w:rPr>
                <w:rFonts w:ascii="Calibri" w:eastAsia="Calibri" w:hAnsi="Calibri" w:cs="Calibri"/>
                <w:sz w:val="24"/>
                <w:szCs w:val="24"/>
              </w:rPr>
              <w:t>.88</w:t>
            </w:r>
          </w:p>
        </w:tc>
        <w:tc>
          <w:tcPr>
            <w:tcW w:w="1927" w:type="dxa"/>
            <w:tcBorders>
              <w:top w:val="single" w:sz="4" w:space="0" w:color="auto"/>
              <w:left w:val="single" w:sz="4" w:space="0" w:color="auto"/>
              <w:bottom w:val="single" w:sz="4" w:space="0" w:color="auto"/>
              <w:right w:val="single" w:sz="4" w:space="0" w:color="auto"/>
            </w:tcBorders>
            <w:vAlign w:val="center"/>
            <w:hideMark/>
          </w:tcPr>
          <w:p w14:paraId="25FA0B9B" w14:textId="77777777" w:rsidR="00C43448" w:rsidRPr="00C43448" w:rsidRDefault="00C43448" w:rsidP="00AC0EA6">
            <w:pPr>
              <w:jc w:val="center"/>
              <w:rPr>
                <w:rFonts w:ascii="Calibri" w:eastAsia="Calibri" w:hAnsi="Calibri" w:cs="Calibri"/>
                <w:sz w:val="24"/>
                <w:szCs w:val="24"/>
              </w:rPr>
            </w:pPr>
            <w:r w:rsidRPr="00C43448">
              <w:rPr>
                <w:rFonts w:ascii="Calibri" w:eastAsia="Calibri" w:hAnsi="Calibri" w:cs="Calibri"/>
                <w:sz w:val="24"/>
                <w:szCs w:val="24"/>
              </w:rPr>
              <w:t>.94</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49BF0D6" w14:textId="77777777" w:rsidR="00C43448" w:rsidRPr="00C43448" w:rsidRDefault="00C43448" w:rsidP="00AC0EA6">
            <w:pPr>
              <w:jc w:val="right"/>
              <w:rPr>
                <w:rFonts w:ascii="Calibri" w:eastAsia="Calibri" w:hAnsi="Calibri" w:cs="Calibri"/>
                <w:sz w:val="24"/>
                <w:szCs w:val="24"/>
              </w:rPr>
            </w:pPr>
            <w:r w:rsidRPr="00C43448">
              <w:rPr>
                <w:rFonts w:ascii="Calibri" w:eastAsia="Calibri" w:hAnsi="Calibri" w:cs="Calibri"/>
                <w:sz w:val="24"/>
                <w:szCs w:val="24"/>
              </w:rPr>
              <w:t>$8,871</w:t>
            </w:r>
          </w:p>
        </w:tc>
      </w:tr>
      <w:tr w:rsidR="00C43448" w:rsidRPr="00C43448" w14:paraId="67D0BA4E" w14:textId="77777777" w:rsidTr="0068659B">
        <w:trPr>
          <w:cantSplit/>
          <w:trHeight w:val="300"/>
          <w:jc w:val="center"/>
        </w:trPr>
        <w:tc>
          <w:tcPr>
            <w:tcW w:w="2605" w:type="dxa"/>
            <w:tcBorders>
              <w:top w:val="single" w:sz="4" w:space="0" w:color="auto"/>
              <w:left w:val="single" w:sz="4" w:space="0" w:color="auto"/>
              <w:bottom w:val="single" w:sz="4" w:space="0" w:color="auto"/>
              <w:right w:val="single" w:sz="4" w:space="0" w:color="auto"/>
            </w:tcBorders>
            <w:hideMark/>
          </w:tcPr>
          <w:p w14:paraId="6BE331C9" w14:textId="77777777" w:rsidR="00C43448" w:rsidRPr="00C43448" w:rsidRDefault="00C43448" w:rsidP="00AC0EA6">
            <w:pPr>
              <w:rPr>
                <w:rFonts w:ascii="Calibri" w:eastAsia="Calibri" w:hAnsi="Calibri" w:cs="Calibri"/>
                <w:sz w:val="24"/>
                <w:szCs w:val="24"/>
              </w:rPr>
            </w:pPr>
            <w:r w:rsidRPr="00C43448">
              <w:rPr>
                <w:rFonts w:ascii="Calibri" w:eastAsia="Calibri" w:hAnsi="Calibri" w:cs="Calibri"/>
                <w:sz w:val="24"/>
                <w:szCs w:val="24"/>
              </w:rPr>
              <w:t>HealthAlliance-Clinton Hospital</w:t>
            </w:r>
          </w:p>
        </w:tc>
        <w:tc>
          <w:tcPr>
            <w:tcW w:w="2409" w:type="dxa"/>
            <w:tcBorders>
              <w:top w:val="single" w:sz="4" w:space="0" w:color="auto"/>
              <w:left w:val="single" w:sz="4" w:space="0" w:color="auto"/>
              <w:bottom w:val="single" w:sz="4" w:space="0" w:color="auto"/>
              <w:right w:val="single" w:sz="4" w:space="0" w:color="auto"/>
            </w:tcBorders>
            <w:hideMark/>
          </w:tcPr>
          <w:p w14:paraId="05F9CE8E" w14:textId="77777777" w:rsidR="00C43448" w:rsidRPr="00C43448" w:rsidRDefault="00C43448" w:rsidP="00AC0EA6">
            <w:pPr>
              <w:rPr>
                <w:rFonts w:ascii="Calibri" w:eastAsia="Calibri" w:hAnsi="Calibri" w:cs="Calibri"/>
                <w:sz w:val="24"/>
                <w:szCs w:val="24"/>
              </w:rPr>
            </w:pPr>
            <w:r w:rsidRPr="00C43448">
              <w:rPr>
                <w:rFonts w:ascii="Calibri" w:eastAsia="Calibri" w:hAnsi="Calibri" w:cs="Calibri"/>
                <w:sz w:val="24"/>
                <w:szCs w:val="24"/>
              </w:rPr>
              <w:t>UMass Memorial Health Care</w:t>
            </w:r>
          </w:p>
        </w:tc>
        <w:tc>
          <w:tcPr>
            <w:tcW w:w="1952" w:type="dxa"/>
            <w:tcBorders>
              <w:top w:val="single" w:sz="4" w:space="0" w:color="auto"/>
              <w:left w:val="single" w:sz="4" w:space="0" w:color="auto"/>
              <w:bottom w:val="single" w:sz="4" w:space="0" w:color="auto"/>
              <w:right w:val="single" w:sz="4" w:space="0" w:color="auto"/>
            </w:tcBorders>
            <w:vAlign w:val="center"/>
          </w:tcPr>
          <w:p w14:paraId="727BE879" w14:textId="514D5AAF" w:rsidR="71905A7D" w:rsidRDefault="324B1799" w:rsidP="755C40DB">
            <w:pPr>
              <w:jc w:val="center"/>
              <w:rPr>
                <w:rFonts w:ascii="Calibri" w:eastAsia="Calibri" w:hAnsi="Calibri" w:cs="Calibri"/>
                <w:sz w:val="24"/>
                <w:szCs w:val="24"/>
              </w:rPr>
            </w:pPr>
            <w:r w:rsidRPr="5326C409">
              <w:rPr>
                <w:rFonts w:ascii="Calibri" w:eastAsia="Calibri" w:hAnsi="Calibri" w:cs="Calibri"/>
                <w:sz w:val="24"/>
                <w:szCs w:val="24"/>
              </w:rPr>
              <w:t>.87</w:t>
            </w:r>
          </w:p>
        </w:tc>
        <w:tc>
          <w:tcPr>
            <w:tcW w:w="1927" w:type="dxa"/>
            <w:tcBorders>
              <w:top w:val="single" w:sz="4" w:space="0" w:color="auto"/>
              <w:left w:val="single" w:sz="4" w:space="0" w:color="auto"/>
              <w:bottom w:val="single" w:sz="4" w:space="0" w:color="auto"/>
              <w:right w:val="single" w:sz="4" w:space="0" w:color="auto"/>
            </w:tcBorders>
            <w:vAlign w:val="center"/>
            <w:hideMark/>
          </w:tcPr>
          <w:p w14:paraId="5B75CBAA" w14:textId="77777777" w:rsidR="00C43448" w:rsidRPr="00C43448" w:rsidRDefault="00C43448" w:rsidP="00AC0EA6">
            <w:pPr>
              <w:jc w:val="center"/>
              <w:rPr>
                <w:rFonts w:ascii="Calibri" w:eastAsia="Calibri" w:hAnsi="Calibri" w:cs="Calibri"/>
                <w:sz w:val="24"/>
                <w:szCs w:val="24"/>
              </w:rPr>
            </w:pPr>
            <w:r w:rsidRPr="00C43448">
              <w:rPr>
                <w:rFonts w:ascii="Calibri" w:eastAsia="Calibri" w:hAnsi="Calibri" w:cs="Calibri"/>
                <w:sz w:val="24"/>
                <w:szCs w:val="24"/>
              </w:rPr>
              <w:t>.85</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1132DCC" w14:textId="77777777" w:rsidR="00C43448" w:rsidRPr="00C43448" w:rsidRDefault="00C43448" w:rsidP="00AC0EA6">
            <w:pPr>
              <w:jc w:val="right"/>
              <w:rPr>
                <w:rFonts w:ascii="Calibri" w:eastAsia="Calibri" w:hAnsi="Calibri" w:cs="Calibri"/>
                <w:sz w:val="24"/>
                <w:szCs w:val="24"/>
              </w:rPr>
            </w:pPr>
            <w:r w:rsidRPr="00C43448">
              <w:rPr>
                <w:rFonts w:ascii="Calibri" w:eastAsia="Calibri" w:hAnsi="Calibri" w:cs="Calibri"/>
                <w:sz w:val="24"/>
                <w:szCs w:val="24"/>
              </w:rPr>
              <w:t>$9,447</w:t>
            </w:r>
          </w:p>
        </w:tc>
      </w:tr>
      <w:tr w:rsidR="00C43448" w:rsidRPr="00C43448" w14:paraId="31BB60FF" w14:textId="77777777" w:rsidTr="0068659B">
        <w:trPr>
          <w:cantSplit/>
          <w:trHeight w:val="300"/>
          <w:jc w:val="center"/>
        </w:trPr>
        <w:tc>
          <w:tcPr>
            <w:tcW w:w="2605" w:type="dxa"/>
            <w:tcBorders>
              <w:top w:val="single" w:sz="4" w:space="0" w:color="auto"/>
              <w:left w:val="single" w:sz="4" w:space="0" w:color="auto"/>
              <w:bottom w:val="single" w:sz="4" w:space="0" w:color="auto"/>
              <w:right w:val="single" w:sz="4" w:space="0" w:color="auto"/>
            </w:tcBorders>
            <w:hideMark/>
          </w:tcPr>
          <w:p w14:paraId="4D884250" w14:textId="77777777" w:rsidR="00C43448" w:rsidRPr="00C43448" w:rsidRDefault="00C43448" w:rsidP="00AC0EA6">
            <w:pPr>
              <w:rPr>
                <w:rFonts w:ascii="Calibri" w:eastAsia="Calibri" w:hAnsi="Calibri" w:cs="Calibri"/>
                <w:b/>
                <w:bCs/>
                <w:sz w:val="24"/>
                <w:szCs w:val="24"/>
              </w:rPr>
            </w:pPr>
            <w:r w:rsidRPr="00C43448">
              <w:rPr>
                <w:rFonts w:ascii="Calibri" w:eastAsia="Calibri" w:hAnsi="Calibri" w:cs="Calibri"/>
                <w:b/>
                <w:bCs/>
                <w:sz w:val="24"/>
                <w:szCs w:val="24"/>
              </w:rPr>
              <w:t>Milford Regional Medical Center</w:t>
            </w:r>
          </w:p>
        </w:tc>
        <w:tc>
          <w:tcPr>
            <w:tcW w:w="2409" w:type="dxa"/>
            <w:tcBorders>
              <w:top w:val="single" w:sz="4" w:space="0" w:color="auto"/>
              <w:left w:val="single" w:sz="4" w:space="0" w:color="auto"/>
              <w:bottom w:val="single" w:sz="4" w:space="0" w:color="auto"/>
              <w:right w:val="single" w:sz="4" w:space="0" w:color="auto"/>
            </w:tcBorders>
            <w:hideMark/>
          </w:tcPr>
          <w:p w14:paraId="7F64DA30" w14:textId="77777777" w:rsidR="00C43448" w:rsidRPr="00C43448" w:rsidRDefault="00C43448" w:rsidP="00AC0EA6">
            <w:pPr>
              <w:rPr>
                <w:rFonts w:ascii="Calibri" w:eastAsia="Calibri" w:hAnsi="Calibri" w:cs="Calibri"/>
                <w:b/>
                <w:bCs/>
                <w:sz w:val="24"/>
                <w:szCs w:val="24"/>
              </w:rPr>
            </w:pPr>
            <w:r w:rsidRPr="00C43448">
              <w:rPr>
                <w:rFonts w:ascii="Calibri" w:eastAsia="Calibri" w:hAnsi="Calibri" w:cs="Calibri"/>
                <w:b/>
                <w:bCs/>
                <w:sz w:val="24"/>
                <w:szCs w:val="24"/>
              </w:rPr>
              <w:t xml:space="preserve">Milford Regional Medical Ctr., Inc </w:t>
            </w:r>
          </w:p>
        </w:tc>
        <w:tc>
          <w:tcPr>
            <w:tcW w:w="1952" w:type="dxa"/>
            <w:tcBorders>
              <w:top w:val="single" w:sz="4" w:space="0" w:color="auto"/>
              <w:left w:val="single" w:sz="4" w:space="0" w:color="auto"/>
              <w:bottom w:val="single" w:sz="4" w:space="0" w:color="auto"/>
              <w:right w:val="single" w:sz="4" w:space="0" w:color="auto"/>
            </w:tcBorders>
            <w:vAlign w:val="center"/>
          </w:tcPr>
          <w:p w14:paraId="436FC90B" w14:textId="4FC45955" w:rsidR="04E77B7F" w:rsidRDefault="667757EA" w:rsidP="755C40DB">
            <w:pPr>
              <w:jc w:val="center"/>
              <w:rPr>
                <w:rFonts w:ascii="Calibri" w:eastAsia="Calibri" w:hAnsi="Calibri" w:cs="Calibri"/>
                <w:b/>
                <w:bCs/>
                <w:sz w:val="24"/>
                <w:szCs w:val="24"/>
              </w:rPr>
            </w:pPr>
            <w:r w:rsidRPr="5326C409">
              <w:rPr>
                <w:rFonts w:ascii="Calibri" w:eastAsia="Calibri" w:hAnsi="Calibri" w:cs="Calibri"/>
                <w:b/>
                <w:bCs/>
                <w:sz w:val="24"/>
                <w:szCs w:val="24"/>
              </w:rPr>
              <w:t>.86</w:t>
            </w:r>
          </w:p>
        </w:tc>
        <w:tc>
          <w:tcPr>
            <w:tcW w:w="1927" w:type="dxa"/>
            <w:tcBorders>
              <w:top w:val="single" w:sz="4" w:space="0" w:color="auto"/>
              <w:left w:val="single" w:sz="4" w:space="0" w:color="auto"/>
              <w:bottom w:val="single" w:sz="4" w:space="0" w:color="auto"/>
              <w:right w:val="single" w:sz="4" w:space="0" w:color="auto"/>
            </w:tcBorders>
            <w:vAlign w:val="center"/>
            <w:hideMark/>
          </w:tcPr>
          <w:p w14:paraId="5B136F8D" w14:textId="77777777" w:rsidR="00C43448" w:rsidRPr="00C43448" w:rsidRDefault="00C43448" w:rsidP="00AC0EA6">
            <w:pPr>
              <w:jc w:val="center"/>
              <w:rPr>
                <w:rFonts w:ascii="Calibri" w:eastAsia="Calibri" w:hAnsi="Calibri" w:cs="Calibri"/>
                <w:b/>
                <w:bCs/>
                <w:sz w:val="24"/>
                <w:szCs w:val="24"/>
              </w:rPr>
            </w:pPr>
            <w:r w:rsidRPr="00C43448">
              <w:rPr>
                <w:rFonts w:ascii="Calibri" w:eastAsia="Calibri" w:hAnsi="Calibri" w:cs="Calibri"/>
                <w:b/>
                <w:bCs/>
                <w:sz w:val="24"/>
                <w:szCs w:val="24"/>
              </w:rPr>
              <w:t>.88</w:t>
            </w:r>
          </w:p>
        </w:tc>
        <w:tc>
          <w:tcPr>
            <w:tcW w:w="1188" w:type="dxa"/>
            <w:tcBorders>
              <w:top w:val="single" w:sz="4" w:space="0" w:color="auto"/>
              <w:left w:val="single" w:sz="4" w:space="0" w:color="auto"/>
              <w:bottom w:val="single" w:sz="4" w:space="0" w:color="auto"/>
              <w:right w:val="single" w:sz="4" w:space="0" w:color="auto"/>
            </w:tcBorders>
            <w:vAlign w:val="center"/>
            <w:hideMark/>
          </w:tcPr>
          <w:p w14:paraId="13AB67D7" w14:textId="77777777" w:rsidR="00C43448" w:rsidRPr="00C43448" w:rsidRDefault="00C43448" w:rsidP="00AC0EA6">
            <w:pPr>
              <w:jc w:val="right"/>
              <w:rPr>
                <w:rFonts w:ascii="Calibri" w:eastAsia="Calibri" w:hAnsi="Calibri" w:cs="Calibri"/>
                <w:b/>
                <w:bCs/>
                <w:sz w:val="24"/>
                <w:szCs w:val="24"/>
              </w:rPr>
            </w:pPr>
            <w:r w:rsidRPr="00C43448">
              <w:rPr>
                <w:rFonts w:ascii="Calibri" w:eastAsia="Calibri" w:hAnsi="Calibri" w:cs="Calibri"/>
                <w:b/>
                <w:bCs/>
                <w:sz w:val="24"/>
                <w:szCs w:val="24"/>
              </w:rPr>
              <w:t>$8,588</w:t>
            </w:r>
          </w:p>
        </w:tc>
      </w:tr>
    </w:tbl>
    <w:p w14:paraId="7C84F1D2" w14:textId="77777777" w:rsidR="00C43448" w:rsidRPr="00C43448" w:rsidRDefault="00C43448" w:rsidP="00C43448">
      <w:pPr>
        <w:spacing w:after="240"/>
        <w:jc w:val="both"/>
        <w:rPr>
          <w:rFonts w:ascii="Calibri" w:eastAsia="PMingLiU" w:hAnsi="Calibri" w:cs="Times New Roman"/>
          <w:szCs w:val="22"/>
        </w:rPr>
      </w:pPr>
    </w:p>
    <w:p w14:paraId="133E07AB" w14:textId="5D348C3F" w:rsidR="00C43448" w:rsidRPr="00854398" w:rsidRDefault="00C43448" w:rsidP="7974A61C">
      <w:pPr>
        <w:spacing w:after="240"/>
        <w:rPr>
          <w:rFonts w:ascii="Calibri" w:eastAsia="PMingLiU" w:hAnsi="Calibri" w:cs="Times New Roman"/>
          <w:b/>
          <w:bCs/>
        </w:rPr>
      </w:pPr>
      <w:r w:rsidRPr="7974A61C">
        <w:rPr>
          <w:rFonts w:ascii="Calibri" w:eastAsia="PMingLiU" w:hAnsi="Calibri" w:cs="Times New Roman"/>
        </w:rPr>
        <w:t xml:space="preserve">Table </w:t>
      </w:r>
      <w:r w:rsidR="00A644DA" w:rsidRPr="7974A61C">
        <w:rPr>
          <w:rFonts w:ascii="Calibri" w:eastAsia="PMingLiU" w:hAnsi="Calibri" w:cs="Times New Roman"/>
        </w:rPr>
        <w:t>8</w:t>
      </w:r>
      <w:r w:rsidRPr="7974A61C">
        <w:rPr>
          <w:rFonts w:ascii="Calibri" w:eastAsia="PMingLiU" w:hAnsi="Calibri" w:cs="Times New Roman"/>
        </w:rPr>
        <w:t xml:space="preserve"> depicts the most recent CHIA data that shows MRMC’s measures of health care spending are among the lowest among all eleven community hospitals in its cohort.</w:t>
      </w:r>
      <w:r w:rsidRPr="7974A61C">
        <w:rPr>
          <w:rFonts w:ascii="Aptos" w:eastAsia="Aptos" w:hAnsi="Aptos" w:cs="Aptos"/>
        </w:rPr>
        <w:t xml:space="preserve"> </w:t>
      </w:r>
      <w:r w:rsidRPr="7974A61C">
        <w:rPr>
          <w:rFonts w:ascii="Calibri" w:eastAsia="PMingLiU" w:hAnsi="Calibri" w:cs="Times New Roman"/>
        </w:rPr>
        <w:t xml:space="preserve">The Statewide relative price across all payers was the third lowest in its cohort and below the statewide median of .94. Further, the case-mix adjusted discharge (“CMAD”) payment rate shows that </w:t>
      </w:r>
      <w:r w:rsidR="004137EA" w:rsidRPr="7974A61C">
        <w:rPr>
          <w:rFonts w:ascii="Calibri" w:eastAsia="PMingLiU" w:hAnsi="Calibri" w:cs="Times New Roman"/>
        </w:rPr>
        <w:t>Milford’s</w:t>
      </w:r>
      <w:r w:rsidRPr="7974A61C">
        <w:rPr>
          <w:rFonts w:ascii="Calibri" w:eastAsia="PMingLiU" w:hAnsi="Calibri" w:cs="Times New Roman"/>
        </w:rPr>
        <w:t xml:space="preserve"> payments were the lowest of all hospitals</w:t>
      </w:r>
      <w:r w:rsidR="005E25B0">
        <w:rPr>
          <w:rFonts w:ascii="Calibri" w:eastAsia="PMingLiU" w:hAnsi="Calibri" w:cs="Times New Roman"/>
        </w:rPr>
        <w:t xml:space="preserve"> in its cohort.</w:t>
      </w:r>
      <w:r w:rsidRPr="00611AD2">
        <w:rPr>
          <w:rFonts w:ascii="Calibri" w:eastAsia="PMingLiU" w:hAnsi="Calibri" w:cs="Times New Roman"/>
          <w:b/>
          <w:bCs/>
        </w:rPr>
        <w:t xml:space="preserve"> </w:t>
      </w:r>
    </w:p>
    <w:p w14:paraId="4DB8E0B2" w14:textId="223418FC" w:rsidR="00C43448" w:rsidRPr="00854398" w:rsidRDefault="00C43448" w:rsidP="00AC0EA6">
      <w:pPr>
        <w:spacing w:before="240" w:after="240"/>
        <w:jc w:val="center"/>
        <w:rPr>
          <w:rFonts w:ascii="Calibri" w:eastAsia="PMingLiU" w:hAnsi="Calibri" w:cs="Times New Roman"/>
          <w:b/>
          <w:bCs/>
          <w:szCs w:val="22"/>
        </w:rPr>
      </w:pPr>
      <w:r w:rsidRPr="00A644DA">
        <w:rPr>
          <w:rFonts w:ascii="Calibri" w:eastAsia="PMingLiU" w:hAnsi="Calibri" w:cs="Times New Roman"/>
          <w:b/>
          <w:bCs/>
          <w:szCs w:val="22"/>
        </w:rPr>
        <w:t xml:space="preserve">Table </w:t>
      </w:r>
      <w:r w:rsidR="00A644DA" w:rsidRPr="00A644DA">
        <w:rPr>
          <w:rFonts w:ascii="Calibri" w:eastAsia="PMingLiU" w:hAnsi="Calibri" w:cs="Times New Roman"/>
          <w:b/>
          <w:bCs/>
          <w:szCs w:val="22"/>
        </w:rPr>
        <w:t>8</w:t>
      </w:r>
      <w:r w:rsidR="00A644DA">
        <w:rPr>
          <w:rFonts w:ascii="Calibri" w:eastAsia="PMingLiU" w:hAnsi="Calibri" w:cs="Times New Roman"/>
          <w:b/>
          <w:bCs/>
          <w:szCs w:val="22"/>
        </w:rPr>
        <w:t>:</w:t>
      </w:r>
      <w:r w:rsidRPr="00854398">
        <w:rPr>
          <w:rFonts w:ascii="Calibri" w:eastAsia="PMingLiU" w:hAnsi="Calibri" w:cs="Times New Roman"/>
          <w:b/>
          <w:bCs/>
          <w:szCs w:val="22"/>
        </w:rPr>
        <w:t xml:space="preserve"> COMMUNITY HOSPITALS RELATIVE PRICE &amp; </w:t>
      </w:r>
      <w:r w:rsidRPr="00854398">
        <w:rPr>
          <w:rFonts w:ascii="Calibri" w:eastAsia="PMingLiU" w:hAnsi="Calibri" w:cs="Calibri"/>
          <w:b/>
          <w:bCs/>
        </w:rPr>
        <w:t>NPSR/CMAD</w:t>
      </w:r>
      <w:r w:rsidRPr="00854398">
        <w:rPr>
          <w:rFonts w:ascii="Calibri" w:eastAsia="PMingLiU" w:hAnsi="Calibri" w:cs="Times New Roman"/>
          <w:b/>
          <w:bCs/>
          <w:szCs w:val="22"/>
        </w:rPr>
        <w:t xml:space="preserve"> CY 2021</w:t>
      </w:r>
    </w:p>
    <w:tbl>
      <w:tblPr>
        <w:tblStyle w:val="TableGrid11"/>
        <w:tblW w:w="10345" w:type="dxa"/>
        <w:jc w:val="center"/>
        <w:tblLook w:val="04A0" w:firstRow="1" w:lastRow="0" w:firstColumn="1" w:lastColumn="0" w:noHBand="0" w:noVBand="1"/>
      </w:tblPr>
      <w:tblGrid>
        <w:gridCol w:w="2515"/>
        <w:gridCol w:w="2610"/>
        <w:gridCol w:w="1899"/>
        <w:gridCol w:w="1431"/>
        <w:gridCol w:w="1890"/>
      </w:tblGrid>
      <w:tr w:rsidR="00C43448" w:rsidRPr="00C43448" w14:paraId="4A0290CE" w14:textId="77777777" w:rsidTr="00A644DA">
        <w:trPr>
          <w:cantSplit/>
          <w:tblHeader/>
          <w:jc w:val="center"/>
        </w:trPr>
        <w:tc>
          <w:tcPr>
            <w:tcW w:w="2515" w:type="dxa"/>
            <w:shd w:val="clear" w:color="auto" w:fill="E1F9FF"/>
            <w:vAlign w:val="center"/>
          </w:tcPr>
          <w:p w14:paraId="4890E1A2" w14:textId="77777777" w:rsidR="00C43448" w:rsidRPr="00C43448" w:rsidRDefault="00C43448" w:rsidP="00C43448">
            <w:pPr>
              <w:jc w:val="center"/>
              <w:rPr>
                <w:rFonts w:eastAsia="Calibri" w:cstheme="minorHAnsi"/>
                <w:b/>
                <w:bCs/>
                <w:color w:val="000000"/>
                <w:kern w:val="24"/>
                <w:sz w:val="24"/>
                <w:szCs w:val="24"/>
              </w:rPr>
            </w:pPr>
            <w:r w:rsidRPr="00C43448">
              <w:rPr>
                <w:rFonts w:eastAsia="Calibri" w:cstheme="minorHAnsi"/>
                <w:b/>
                <w:bCs/>
                <w:color w:val="000000"/>
                <w:kern w:val="24"/>
                <w:sz w:val="24"/>
                <w:szCs w:val="24"/>
              </w:rPr>
              <w:t>CHIA Cohort</w:t>
            </w:r>
          </w:p>
          <w:p w14:paraId="792CDCF0" w14:textId="77777777" w:rsidR="00C43448" w:rsidRPr="00C43448" w:rsidRDefault="00C43448" w:rsidP="00C43448">
            <w:pPr>
              <w:jc w:val="center"/>
              <w:rPr>
                <w:rFonts w:eastAsia="Calibri" w:cstheme="minorHAnsi"/>
                <w:b/>
                <w:bCs/>
                <w:color w:val="000000"/>
                <w:kern w:val="24"/>
                <w:sz w:val="24"/>
                <w:szCs w:val="24"/>
              </w:rPr>
            </w:pPr>
            <w:r w:rsidRPr="00C43448">
              <w:rPr>
                <w:rFonts w:eastAsia="Calibri" w:cstheme="minorHAnsi"/>
                <w:b/>
                <w:bCs/>
                <w:color w:val="000000"/>
                <w:kern w:val="24"/>
                <w:sz w:val="24"/>
                <w:szCs w:val="24"/>
              </w:rPr>
              <w:t>Community Hospital</w:t>
            </w:r>
          </w:p>
        </w:tc>
        <w:tc>
          <w:tcPr>
            <w:tcW w:w="2610" w:type="dxa"/>
            <w:shd w:val="clear" w:color="auto" w:fill="E1F9FF"/>
            <w:vAlign w:val="center"/>
          </w:tcPr>
          <w:p w14:paraId="4924E244" w14:textId="77777777" w:rsidR="00C43448" w:rsidRPr="00C43448" w:rsidRDefault="00C43448" w:rsidP="00C43448">
            <w:pPr>
              <w:rPr>
                <w:rFonts w:eastAsia="Calibri" w:cstheme="minorHAnsi"/>
                <w:b/>
                <w:bCs/>
                <w:color w:val="000000"/>
                <w:kern w:val="24"/>
                <w:sz w:val="24"/>
                <w:szCs w:val="24"/>
              </w:rPr>
            </w:pPr>
            <w:r w:rsidRPr="00C43448">
              <w:rPr>
                <w:rFonts w:eastAsia="Calibri" w:cstheme="minorHAnsi"/>
                <w:b/>
                <w:bCs/>
                <w:color w:val="000000"/>
                <w:kern w:val="24"/>
                <w:sz w:val="24"/>
                <w:szCs w:val="24"/>
              </w:rPr>
              <w:t>Hospital System</w:t>
            </w:r>
          </w:p>
        </w:tc>
        <w:tc>
          <w:tcPr>
            <w:tcW w:w="1899" w:type="dxa"/>
            <w:shd w:val="clear" w:color="auto" w:fill="E1F9FF"/>
            <w:vAlign w:val="center"/>
          </w:tcPr>
          <w:p w14:paraId="270926F1" w14:textId="77777777" w:rsidR="00C43448" w:rsidRPr="00C43448" w:rsidRDefault="00C43448" w:rsidP="00C43448">
            <w:pPr>
              <w:jc w:val="center"/>
              <w:rPr>
                <w:rFonts w:eastAsia="Calibri" w:cstheme="minorHAnsi"/>
                <w:b/>
                <w:bCs/>
                <w:color w:val="000000"/>
                <w:kern w:val="24"/>
                <w:sz w:val="24"/>
                <w:szCs w:val="24"/>
              </w:rPr>
            </w:pPr>
            <w:r w:rsidRPr="00C43448">
              <w:rPr>
                <w:rFonts w:eastAsia="Calibri" w:cstheme="minorHAnsi"/>
                <w:b/>
                <w:bCs/>
                <w:color w:val="000000"/>
                <w:kern w:val="24"/>
                <w:sz w:val="24"/>
                <w:szCs w:val="24"/>
              </w:rPr>
              <w:t>Statewide (Cross-Payer) RP</w:t>
            </w:r>
          </w:p>
        </w:tc>
        <w:tc>
          <w:tcPr>
            <w:tcW w:w="1431" w:type="dxa"/>
            <w:shd w:val="clear" w:color="auto" w:fill="E1F9FF"/>
            <w:vAlign w:val="center"/>
          </w:tcPr>
          <w:p w14:paraId="2527B608" w14:textId="77777777" w:rsidR="00C43448" w:rsidRPr="00C43448" w:rsidRDefault="00C43448" w:rsidP="00C43448">
            <w:pPr>
              <w:jc w:val="center"/>
              <w:rPr>
                <w:rFonts w:eastAsia="Calibri" w:cstheme="minorHAnsi"/>
                <w:b/>
                <w:bCs/>
                <w:color w:val="000000"/>
                <w:kern w:val="24"/>
                <w:sz w:val="24"/>
                <w:szCs w:val="24"/>
              </w:rPr>
            </w:pPr>
            <w:r w:rsidRPr="00C43448">
              <w:rPr>
                <w:rFonts w:eastAsia="Calibri" w:cstheme="minorHAnsi"/>
                <w:b/>
                <w:bCs/>
                <w:color w:val="000000"/>
                <w:kern w:val="24"/>
                <w:sz w:val="24"/>
                <w:szCs w:val="24"/>
              </w:rPr>
              <w:t>Cohort Median SRP</w:t>
            </w:r>
          </w:p>
        </w:tc>
        <w:tc>
          <w:tcPr>
            <w:tcW w:w="1890" w:type="dxa"/>
            <w:shd w:val="clear" w:color="auto" w:fill="E1F9FF"/>
            <w:vAlign w:val="center"/>
          </w:tcPr>
          <w:p w14:paraId="7F7F1982" w14:textId="77777777" w:rsidR="00C43448" w:rsidRPr="00C43448" w:rsidRDefault="00C43448" w:rsidP="00C43448">
            <w:pPr>
              <w:jc w:val="center"/>
              <w:rPr>
                <w:rFonts w:eastAsia="Calibri" w:cstheme="minorHAnsi"/>
                <w:b/>
                <w:bCs/>
                <w:color w:val="000000"/>
                <w:kern w:val="24"/>
                <w:sz w:val="24"/>
                <w:szCs w:val="24"/>
              </w:rPr>
            </w:pPr>
            <w:r w:rsidRPr="00C43448">
              <w:rPr>
                <w:rFonts w:eastAsia="Calibri" w:cstheme="minorHAnsi"/>
                <w:b/>
                <w:bCs/>
                <w:color w:val="000000"/>
                <w:kern w:val="24"/>
                <w:sz w:val="24"/>
                <w:szCs w:val="24"/>
              </w:rPr>
              <w:t>Inpatient NPSR per CMAD</w:t>
            </w:r>
          </w:p>
        </w:tc>
      </w:tr>
      <w:tr w:rsidR="00C43448" w:rsidRPr="00C43448" w14:paraId="13FA43C3" w14:textId="77777777" w:rsidTr="007732A5">
        <w:trPr>
          <w:cantSplit/>
          <w:jc w:val="center"/>
        </w:trPr>
        <w:tc>
          <w:tcPr>
            <w:tcW w:w="2515" w:type="dxa"/>
            <w:vAlign w:val="center"/>
          </w:tcPr>
          <w:p w14:paraId="5F79FCFC"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Nantucket Cottage Hospital</w:t>
            </w:r>
          </w:p>
        </w:tc>
        <w:tc>
          <w:tcPr>
            <w:tcW w:w="2610" w:type="dxa"/>
            <w:vAlign w:val="center"/>
          </w:tcPr>
          <w:p w14:paraId="65EB3AB1"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Mass General Brigham</w:t>
            </w:r>
          </w:p>
        </w:tc>
        <w:tc>
          <w:tcPr>
            <w:tcW w:w="1899" w:type="dxa"/>
            <w:vAlign w:val="center"/>
          </w:tcPr>
          <w:p w14:paraId="0C378EC4"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1.81</w:t>
            </w:r>
          </w:p>
        </w:tc>
        <w:tc>
          <w:tcPr>
            <w:tcW w:w="1431" w:type="dxa"/>
            <w:vAlign w:val="center"/>
          </w:tcPr>
          <w:p w14:paraId="4A6CAF59"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468FC15F"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$17,623</w:t>
            </w:r>
          </w:p>
        </w:tc>
      </w:tr>
      <w:tr w:rsidR="00C43448" w:rsidRPr="00C43448" w14:paraId="57EE8A4B" w14:textId="77777777" w:rsidTr="007732A5">
        <w:trPr>
          <w:cantSplit/>
          <w:jc w:val="center"/>
        </w:trPr>
        <w:tc>
          <w:tcPr>
            <w:tcW w:w="2515" w:type="dxa"/>
            <w:vAlign w:val="center"/>
          </w:tcPr>
          <w:p w14:paraId="0306590D"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Martha’s Vineyard Hospital</w:t>
            </w:r>
          </w:p>
        </w:tc>
        <w:tc>
          <w:tcPr>
            <w:tcW w:w="2610" w:type="dxa"/>
            <w:vAlign w:val="center"/>
          </w:tcPr>
          <w:p w14:paraId="2592E698"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Mass General Brigham</w:t>
            </w:r>
          </w:p>
        </w:tc>
        <w:tc>
          <w:tcPr>
            <w:tcW w:w="1899" w:type="dxa"/>
            <w:vAlign w:val="center"/>
          </w:tcPr>
          <w:p w14:paraId="0FA528C5"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1.5</w:t>
            </w:r>
          </w:p>
        </w:tc>
        <w:tc>
          <w:tcPr>
            <w:tcW w:w="1431" w:type="dxa"/>
            <w:vAlign w:val="center"/>
          </w:tcPr>
          <w:p w14:paraId="4E19C5FD"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4DCD4C22"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$18,553</w:t>
            </w:r>
          </w:p>
        </w:tc>
      </w:tr>
      <w:tr w:rsidR="00C43448" w:rsidRPr="00C43448" w14:paraId="04310335" w14:textId="77777777" w:rsidTr="007732A5">
        <w:trPr>
          <w:cantSplit/>
          <w:jc w:val="center"/>
        </w:trPr>
        <w:tc>
          <w:tcPr>
            <w:tcW w:w="2515" w:type="dxa"/>
            <w:vAlign w:val="center"/>
          </w:tcPr>
          <w:p w14:paraId="753C4632"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South Shore Hospital</w:t>
            </w:r>
          </w:p>
        </w:tc>
        <w:tc>
          <w:tcPr>
            <w:tcW w:w="2610" w:type="dxa"/>
            <w:vAlign w:val="center"/>
          </w:tcPr>
          <w:p w14:paraId="245DDC09"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South Shore Health System</w:t>
            </w:r>
          </w:p>
        </w:tc>
        <w:tc>
          <w:tcPr>
            <w:tcW w:w="1899" w:type="dxa"/>
            <w:vAlign w:val="center"/>
          </w:tcPr>
          <w:p w14:paraId="3FCF0017"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1.01</w:t>
            </w:r>
          </w:p>
        </w:tc>
        <w:tc>
          <w:tcPr>
            <w:tcW w:w="1431" w:type="dxa"/>
            <w:vAlign w:val="center"/>
          </w:tcPr>
          <w:p w14:paraId="03433C63"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45706720"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$11,827</w:t>
            </w:r>
          </w:p>
        </w:tc>
      </w:tr>
      <w:tr w:rsidR="00C43448" w:rsidRPr="00C43448" w14:paraId="0D1AB4CF" w14:textId="77777777" w:rsidTr="007732A5">
        <w:trPr>
          <w:cantSplit/>
          <w:jc w:val="center"/>
        </w:trPr>
        <w:tc>
          <w:tcPr>
            <w:tcW w:w="2515" w:type="dxa"/>
            <w:vAlign w:val="center"/>
          </w:tcPr>
          <w:p w14:paraId="6754C4CB"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Brigham and Women’s Faulkner Hospital</w:t>
            </w:r>
          </w:p>
        </w:tc>
        <w:tc>
          <w:tcPr>
            <w:tcW w:w="2610" w:type="dxa"/>
            <w:vAlign w:val="center"/>
          </w:tcPr>
          <w:p w14:paraId="3A0E96F5"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Mass General Brigham</w:t>
            </w:r>
          </w:p>
        </w:tc>
        <w:tc>
          <w:tcPr>
            <w:tcW w:w="1899" w:type="dxa"/>
            <w:vAlign w:val="center"/>
          </w:tcPr>
          <w:p w14:paraId="5CC20E78"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1</w:t>
            </w:r>
          </w:p>
        </w:tc>
        <w:tc>
          <w:tcPr>
            <w:tcW w:w="1431" w:type="dxa"/>
            <w:vAlign w:val="center"/>
          </w:tcPr>
          <w:p w14:paraId="1BB1E6CA"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12EF9B04"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$13,503</w:t>
            </w:r>
          </w:p>
        </w:tc>
      </w:tr>
      <w:tr w:rsidR="00C43448" w:rsidRPr="00C43448" w14:paraId="5BACD5C4" w14:textId="77777777" w:rsidTr="007732A5">
        <w:trPr>
          <w:cantSplit/>
          <w:jc w:val="center"/>
        </w:trPr>
        <w:tc>
          <w:tcPr>
            <w:tcW w:w="2515" w:type="dxa"/>
            <w:vAlign w:val="center"/>
          </w:tcPr>
          <w:p w14:paraId="54972032"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Newton-Wellesley Hospital</w:t>
            </w:r>
          </w:p>
        </w:tc>
        <w:tc>
          <w:tcPr>
            <w:tcW w:w="2610" w:type="dxa"/>
            <w:vAlign w:val="center"/>
          </w:tcPr>
          <w:p w14:paraId="44BB0471"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Mass General Brigham</w:t>
            </w:r>
          </w:p>
        </w:tc>
        <w:tc>
          <w:tcPr>
            <w:tcW w:w="1899" w:type="dxa"/>
            <w:vAlign w:val="center"/>
          </w:tcPr>
          <w:p w14:paraId="55A63A91"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.96</w:t>
            </w:r>
          </w:p>
        </w:tc>
        <w:tc>
          <w:tcPr>
            <w:tcW w:w="1431" w:type="dxa"/>
            <w:vAlign w:val="center"/>
          </w:tcPr>
          <w:p w14:paraId="6521AC82"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57E3DD47"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12,198</w:t>
            </w:r>
          </w:p>
        </w:tc>
      </w:tr>
      <w:tr w:rsidR="00C43448" w:rsidRPr="00C43448" w14:paraId="699FAD44" w14:textId="77777777" w:rsidTr="007732A5">
        <w:trPr>
          <w:cantSplit/>
          <w:jc w:val="center"/>
        </w:trPr>
        <w:tc>
          <w:tcPr>
            <w:tcW w:w="2515" w:type="dxa"/>
            <w:vAlign w:val="center"/>
          </w:tcPr>
          <w:p w14:paraId="1091AC67"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Beth Israel Deaconess Hospital - Needham</w:t>
            </w:r>
          </w:p>
        </w:tc>
        <w:tc>
          <w:tcPr>
            <w:tcW w:w="2610" w:type="dxa"/>
            <w:vAlign w:val="center"/>
          </w:tcPr>
          <w:p w14:paraId="3F8FA9FC"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Beth Israel Lahey Health</w:t>
            </w:r>
          </w:p>
        </w:tc>
        <w:tc>
          <w:tcPr>
            <w:tcW w:w="1899" w:type="dxa"/>
            <w:vAlign w:val="center"/>
          </w:tcPr>
          <w:p w14:paraId="0578F5BA"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431" w:type="dxa"/>
            <w:vAlign w:val="center"/>
          </w:tcPr>
          <w:p w14:paraId="0C77977F"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62FB9C15"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$9,802</w:t>
            </w:r>
          </w:p>
        </w:tc>
      </w:tr>
      <w:tr w:rsidR="00C43448" w:rsidRPr="00C43448" w14:paraId="77064AAB" w14:textId="77777777" w:rsidTr="007732A5">
        <w:trPr>
          <w:cantSplit/>
          <w:jc w:val="center"/>
        </w:trPr>
        <w:tc>
          <w:tcPr>
            <w:tcW w:w="2515" w:type="dxa"/>
            <w:vAlign w:val="center"/>
          </w:tcPr>
          <w:p w14:paraId="2DC6E92A"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Emerson Hospital</w:t>
            </w:r>
          </w:p>
        </w:tc>
        <w:tc>
          <w:tcPr>
            <w:tcW w:w="2610" w:type="dxa"/>
            <w:vAlign w:val="center"/>
          </w:tcPr>
          <w:p w14:paraId="42EBB378" w14:textId="55C737EF"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 xml:space="preserve">Emerson Health System Inc </w:t>
            </w:r>
            <w:r w:rsidR="007732A5">
              <w:rPr>
                <w:rFonts w:eastAsia="Calibri" w:cstheme="minorHAnsi"/>
                <w:color w:val="000000"/>
                <w:kern w:val="24"/>
                <w:sz w:val="24"/>
                <w:szCs w:val="24"/>
              </w:rPr>
              <w:t xml:space="preserve">&amp; </w:t>
            </w:r>
            <w:r w:rsidRPr="00C43448">
              <w:rPr>
                <w:rFonts w:eastAsia="Calibri" w:cstheme="minorHAnsi"/>
                <w:color w:val="000000"/>
                <w:kern w:val="24"/>
                <w:sz w:val="24"/>
                <w:szCs w:val="24"/>
              </w:rPr>
              <w:t>Subsid</w:t>
            </w:r>
          </w:p>
        </w:tc>
        <w:tc>
          <w:tcPr>
            <w:tcW w:w="1899" w:type="dxa"/>
            <w:vAlign w:val="center"/>
          </w:tcPr>
          <w:p w14:paraId="6750D9CF"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.93</w:t>
            </w:r>
          </w:p>
        </w:tc>
        <w:tc>
          <w:tcPr>
            <w:tcW w:w="1431" w:type="dxa"/>
            <w:vAlign w:val="center"/>
          </w:tcPr>
          <w:p w14:paraId="23C0C486"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354018DB"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$11,754</w:t>
            </w:r>
          </w:p>
        </w:tc>
      </w:tr>
      <w:tr w:rsidR="00C43448" w:rsidRPr="00C43448" w14:paraId="412D2663" w14:textId="77777777" w:rsidTr="005E25B0">
        <w:trPr>
          <w:cantSplit/>
          <w:trHeight w:val="341"/>
          <w:jc w:val="center"/>
        </w:trPr>
        <w:tc>
          <w:tcPr>
            <w:tcW w:w="2515" w:type="dxa"/>
            <w:vAlign w:val="center"/>
          </w:tcPr>
          <w:p w14:paraId="476B7C67"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Winchester Hospital</w:t>
            </w:r>
          </w:p>
        </w:tc>
        <w:tc>
          <w:tcPr>
            <w:tcW w:w="2610" w:type="dxa"/>
            <w:vAlign w:val="center"/>
          </w:tcPr>
          <w:p w14:paraId="0190660C"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Beth Israel Lahey Health</w:t>
            </w:r>
          </w:p>
        </w:tc>
        <w:tc>
          <w:tcPr>
            <w:tcW w:w="1899" w:type="dxa"/>
            <w:vAlign w:val="center"/>
          </w:tcPr>
          <w:p w14:paraId="1BA779AF"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w:t>
            </w:r>
          </w:p>
        </w:tc>
        <w:tc>
          <w:tcPr>
            <w:tcW w:w="1431" w:type="dxa"/>
            <w:vAlign w:val="center"/>
          </w:tcPr>
          <w:p w14:paraId="02F3DF35"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60C6AECF"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$12,142</w:t>
            </w:r>
          </w:p>
        </w:tc>
      </w:tr>
      <w:tr w:rsidR="00C43448" w:rsidRPr="00C43448" w14:paraId="7DC9CEE5" w14:textId="77777777" w:rsidTr="007732A5">
        <w:trPr>
          <w:cantSplit/>
          <w:jc w:val="center"/>
        </w:trPr>
        <w:tc>
          <w:tcPr>
            <w:tcW w:w="2515" w:type="dxa"/>
            <w:vAlign w:val="center"/>
          </w:tcPr>
          <w:p w14:paraId="7C267B54" w14:textId="77777777" w:rsidR="00C43448" w:rsidRPr="00C43448" w:rsidRDefault="00C43448" w:rsidP="00C43448">
            <w:pPr>
              <w:rPr>
                <w:rFonts w:eastAsia="Calibri" w:cstheme="minorHAnsi"/>
                <w:b/>
                <w:bCs/>
                <w:color w:val="000000"/>
                <w:kern w:val="24"/>
                <w:sz w:val="24"/>
                <w:szCs w:val="24"/>
              </w:rPr>
            </w:pPr>
            <w:r w:rsidRPr="00C43448">
              <w:rPr>
                <w:rFonts w:eastAsia="Calibri" w:cstheme="minorHAnsi"/>
                <w:b/>
                <w:bCs/>
                <w:color w:val="000000"/>
                <w:kern w:val="24"/>
                <w:sz w:val="24"/>
                <w:szCs w:val="24"/>
              </w:rPr>
              <w:t>Milford Regional Medical Center</w:t>
            </w:r>
          </w:p>
        </w:tc>
        <w:tc>
          <w:tcPr>
            <w:tcW w:w="2610" w:type="dxa"/>
            <w:vAlign w:val="center"/>
          </w:tcPr>
          <w:p w14:paraId="6B563DC6" w14:textId="77777777" w:rsidR="00C43448" w:rsidRPr="00C43448" w:rsidRDefault="00C43448" w:rsidP="00C43448">
            <w:pPr>
              <w:rPr>
                <w:rFonts w:eastAsia="Calibri" w:cstheme="minorHAnsi"/>
                <w:b/>
                <w:bCs/>
                <w:color w:val="000000"/>
                <w:kern w:val="24"/>
                <w:sz w:val="24"/>
                <w:szCs w:val="24"/>
              </w:rPr>
            </w:pPr>
            <w:r w:rsidRPr="00C43448">
              <w:rPr>
                <w:rFonts w:eastAsia="Calibri" w:cstheme="minorHAnsi"/>
                <w:b/>
                <w:bCs/>
                <w:color w:val="000000"/>
                <w:kern w:val="24"/>
                <w:sz w:val="24"/>
                <w:szCs w:val="24"/>
              </w:rPr>
              <w:t xml:space="preserve">Milford Regional Medical Ctr, Inc. &amp; </w:t>
            </w:r>
            <w:proofErr w:type="spellStart"/>
            <w:r w:rsidRPr="00C43448">
              <w:rPr>
                <w:rFonts w:eastAsia="Calibri" w:cstheme="minorHAnsi"/>
                <w:b/>
                <w:bCs/>
                <w:color w:val="000000"/>
                <w:kern w:val="24"/>
                <w:sz w:val="24"/>
                <w:szCs w:val="24"/>
              </w:rPr>
              <w:t>Affil</w:t>
            </w:r>
            <w:proofErr w:type="spellEnd"/>
            <w:r w:rsidRPr="00C43448">
              <w:rPr>
                <w:rFonts w:eastAsia="Calibri" w:cstheme="minorHAnsi"/>
                <w:b/>
                <w:bCs/>
                <w:color w:val="000000"/>
                <w:kern w:val="24"/>
                <w:sz w:val="24"/>
                <w:szCs w:val="24"/>
              </w:rPr>
              <w:t>.</w:t>
            </w:r>
          </w:p>
        </w:tc>
        <w:tc>
          <w:tcPr>
            <w:tcW w:w="1899" w:type="dxa"/>
            <w:vAlign w:val="center"/>
          </w:tcPr>
          <w:p w14:paraId="668CC34C" w14:textId="77777777" w:rsidR="00C43448" w:rsidRPr="00C43448" w:rsidRDefault="00C43448" w:rsidP="00C43448">
            <w:pPr>
              <w:jc w:val="center"/>
              <w:rPr>
                <w:rFonts w:eastAsia="Calibri" w:cstheme="minorHAnsi"/>
                <w:b/>
                <w:bCs/>
                <w:color w:val="000000"/>
                <w:kern w:val="24"/>
                <w:sz w:val="24"/>
                <w:szCs w:val="24"/>
              </w:rPr>
            </w:pPr>
            <w:r w:rsidRPr="00C43448">
              <w:rPr>
                <w:rFonts w:eastAsia="Calibri" w:cstheme="minorHAnsi"/>
                <w:b/>
                <w:bCs/>
                <w:color w:val="000000"/>
                <w:kern w:val="24"/>
                <w:sz w:val="24"/>
                <w:szCs w:val="24"/>
              </w:rPr>
              <w:t>.88</w:t>
            </w:r>
          </w:p>
        </w:tc>
        <w:tc>
          <w:tcPr>
            <w:tcW w:w="1431" w:type="dxa"/>
            <w:vAlign w:val="center"/>
          </w:tcPr>
          <w:p w14:paraId="412D29E1" w14:textId="77777777" w:rsidR="00C43448" w:rsidRPr="00C43448" w:rsidRDefault="00C43448" w:rsidP="00C43448">
            <w:pPr>
              <w:jc w:val="center"/>
              <w:rPr>
                <w:rFonts w:eastAsia="Calibri" w:cstheme="minorHAnsi"/>
                <w:b/>
                <w:bCs/>
                <w:color w:val="000000"/>
                <w:kern w:val="24"/>
                <w:sz w:val="24"/>
                <w:szCs w:val="24"/>
              </w:rPr>
            </w:pPr>
            <w:r w:rsidRPr="00C43448">
              <w:rPr>
                <w:rFonts w:eastAsia="Calibri" w:cstheme="minorHAnsi"/>
                <w:b/>
                <w:bCs/>
                <w:color w:val="000000"/>
                <w:kern w:val="24"/>
                <w:sz w:val="24"/>
                <w:szCs w:val="24"/>
              </w:rPr>
              <w:t>.94</w:t>
            </w:r>
          </w:p>
        </w:tc>
        <w:tc>
          <w:tcPr>
            <w:tcW w:w="1890" w:type="dxa"/>
            <w:vAlign w:val="center"/>
          </w:tcPr>
          <w:p w14:paraId="7CAC6C75" w14:textId="77777777" w:rsidR="00C43448" w:rsidRPr="00C43448" w:rsidRDefault="00C43448" w:rsidP="00C43448">
            <w:pPr>
              <w:jc w:val="right"/>
              <w:rPr>
                <w:rFonts w:eastAsia="Calibri" w:cstheme="minorHAnsi"/>
                <w:b/>
                <w:bCs/>
                <w:color w:val="000000"/>
                <w:kern w:val="24"/>
                <w:sz w:val="24"/>
                <w:szCs w:val="24"/>
              </w:rPr>
            </w:pPr>
            <w:r w:rsidRPr="00C43448">
              <w:rPr>
                <w:rFonts w:eastAsia="Calibri" w:cstheme="minorHAnsi"/>
                <w:b/>
                <w:bCs/>
                <w:color w:val="000000"/>
                <w:kern w:val="24"/>
                <w:sz w:val="24"/>
                <w:szCs w:val="24"/>
              </w:rPr>
              <w:t>$8,588</w:t>
            </w:r>
          </w:p>
        </w:tc>
      </w:tr>
      <w:tr w:rsidR="00C43448" w:rsidRPr="00C43448" w14:paraId="60FD50FC" w14:textId="77777777" w:rsidTr="007732A5">
        <w:trPr>
          <w:cantSplit/>
          <w:jc w:val="center"/>
        </w:trPr>
        <w:tc>
          <w:tcPr>
            <w:tcW w:w="2515" w:type="dxa"/>
            <w:vAlign w:val="center"/>
          </w:tcPr>
          <w:p w14:paraId="421313EA"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Beth Israel Deaconess Hospital - Milton</w:t>
            </w:r>
          </w:p>
        </w:tc>
        <w:tc>
          <w:tcPr>
            <w:tcW w:w="2610" w:type="dxa"/>
            <w:vAlign w:val="center"/>
          </w:tcPr>
          <w:p w14:paraId="70EFC10F"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Beth Israel Lahey Health</w:t>
            </w:r>
          </w:p>
        </w:tc>
        <w:tc>
          <w:tcPr>
            <w:tcW w:w="1899" w:type="dxa"/>
            <w:vAlign w:val="center"/>
          </w:tcPr>
          <w:p w14:paraId="38CE6079"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.83</w:t>
            </w:r>
          </w:p>
        </w:tc>
        <w:tc>
          <w:tcPr>
            <w:tcW w:w="1431" w:type="dxa"/>
            <w:vAlign w:val="center"/>
          </w:tcPr>
          <w:p w14:paraId="6057DDE4"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25E86F29"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$10,948</w:t>
            </w:r>
          </w:p>
        </w:tc>
      </w:tr>
      <w:tr w:rsidR="00C43448" w:rsidRPr="00C43448" w14:paraId="72219243" w14:textId="77777777" w:rsidTr="005E25B0">
        <w:trPr>
          <w:cantSplit/>
          <w:trHeight w:val="332"/>
          <w:jc w:val="center"/>
        </w:trPr>
        <w:tc>
          <w:tcPr>
            <w:tcW w:w="2515" w:type="dxa"/>
            <w:vAlign w:val="center"/>
          </w:tcPr>
          <w:p w14:paraId="7118AC42"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Anna Jacques Hospital</w:t>
            </w:r>
          </w:p>
        </w:tc>
        <w:tc>
          <w:tcPr>
            <w:tcW w:w="2610" w:type="dxa"/>
            <w:vAlign w:val="center"/>
          </w:tcPr>
          <w:p w14:paraId="5A956293" w14:textId="77777777" w:rsidR="00C43448" w:rsidRPr="00C43448" w:rsidRDefault="00C43448" w:rsidP="00C43448">
            <w:pPr>
              <w:rPr>
                <w:rFonts w:eastAsia="Calibri" w:cstheme="minorHAnsi"/>
                <w:color w:val="000000"/>
                <w:kern w:val="24"/>
                <w:sz w:val="24"/>
                <w:szCs w:val="24"/>
              </w:rPr>
            </w:pPr>
            <w:r w:rsidRPr="00C43448">
              <w:rPr>
                <w:rFonts w:eastAsia="Calibri" w:cstheme="minorHAnsi"/>
                <w:color w:val="000000"/>
                <w:kern w:val="24"/>
                <w:sz w:val="24"/>
                <w:szCs w:val="24"/>
              </w:rPr>
              <w:t>Beth Israel Lahey Health</w:t>
            </w:r>
          </w:p>
        </w:tc>
        <w:tc>
          <w:tcPr>
            <w:tcW w:w="1899" w:type="dxa"/>
            <w:vAlign w:val="center"/>
          </w:tcPr>
          <w:p w14:paraId="2FF39252"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.76</w:t>
            </w:r>
          </w:p>
        </w:tc>
        <w:tc>
          <w:tcPr>
            <w:tcW w:w="1431" w:type="dxa"/>
            <w:vAlign w:val="center"/>
          </w:tcPr>
          <w:p w14:paraId="2E41235D" w14:textId="77777777" w:rsidR="00C43448" w:rsidRPr="00C43448" w:rsidRDefault="00C43448" w:rsidP="00C43448">
            <w:pPr>
              <w:jc w:val="center"/>
              <w:rPr>
                <w:rFonts w:eastAsia="Calibri" w:cstheme="minorHAnsi"/>
                <w:color w:val="000000"/>
                <w:kern w:val="24"/>
                <w:sz w:val="24"/>
                <w:szCs w:val="24"/>
              </w:rPr>
            </w:pPr>
            <w:r w:rsidRPr="00C43448">
              <w:rPr>
                <w:rFonts w:eastAsia="Calibri" w:cstheme="minorHAnsi"/>
                <w:color w:val="000000"/>
                <w:kern w:val="24"/>
                <w:sz w:val="24"/>
                <w:szCs w:val="24"/>
              </w:rPr>
              <w:t>.94</w:t>
            </w:r>
          </w:p>
        </w:tc>
        <w:tc>
          <w:tcPr>
            <w:tcW w:w="1890" w:type="dxa"/>
            <w:vAlign w:val="center"/>
          </w:tcPr>
          <w:p w14:paraId="13F67CE1" w14:textId="77777777" w:rsidR="00C43448" w:rsidRPr="00C43448" w:rsidRDefault="00C43448" w:rsidP="00C43448">
            <w:pPr>
              <w:jc w:val="right"/>
              <w:rPr>
                <w:rFonts w:eastAsia="Calibri" w:cstheme="minorHAnsi"/>
                <w:color w:val="000000"/>
                <w:kern w:val="24"/>
                <w:sz w:val="24"/>
                <w:szCs w:val="24"/>
              </w:rPr>
            </w:pPr>
            <w:r w:rsidRPr="00C43448">
              <w:rPr>
                <w:rFonts w:eastAsia="Calibri" w:cstheme="minorHAnsi"/>
                <w:color w:val="000000"/>
                <w:kern w:val="24"/>
                <w:sz w:val="24"/>
                <w:szCs w:val="24"/>
              </w:rPr>
              <w:t>$8,939</w:t>
            </w:r>
          </w:p>
        </w:tc>
      </w:tr>
    </w:tbl>
    <w:p w14:paraId="0CF4FBF8" w14:textId="77777777" w:rsidR="00C43448" w:rsidRPr="00C43448" w:rsidRDefault="00C43448" w:rsidP="00C43448">
      <w:pPr>
        <w:spacing w:after="240"/>
        <w:jc w:val="both"/>
        <w:rPr>
          <w:rFonts w:ascii="Calibri" w:eastAsia="PMingLiU" w:hAnsi="Calibri" w:cs="Times New Roman"/>
          <w:szCs w:val="22"/>
        </w:rPr>
      </w:pPr>
    </w:p>
    <w:p w14:paraId="2D7314AA" w14:textId="1673A066" w:rsidR="00C43448" w:rsidRPr="00C43448" w:rsidRDefault="00C43448" w:rsidP="7974A61C">
      <w:pPr>
        <w:spacing w:after="240"/>
        <w:rPr>
          <w:rFonts w:ascii="Calibri" w:eastAsia="PMingLiU" w:hAnsi="Calibri" w:cs="Times New Roman"/>
        </w:rPr>
      </w:pPr>
      <w:r w:rsidRPr="2C044470">
        <w:rPr>
          <w:rFonts w:ascii="Calibri" w:eastAsia="PMingLiU" w:hAnsi="Calibri" w:cs="Times New Roman"/>
        </w:rPr>
        <w:t xml:space="preserve">The Applicant </w:t>
      </w:r>
      <w:r w:rsidR="00F561DB" w:rsidRPr="2C044470">
        <w:rPr>
          <w:rFonts w:ascii="Calibri" w:eastAsia="PMingLiU" w:hAnsi="Calibri" w:cs="Times New Roman"/>
        </w:rPr>
        <w:t xml:space="preserve">asserts that </w:t>
      </w:r>
      <w:r w:rsidRPr="2C044470">
        <w:rPr>
          <w:rFonts w:ascii="Calibri" w:eastAsia="PMingLiU" w:hAnsi="Calibri" w:cs="Times New Roman"/>
        </w:rPr>
        <w:t>it</w:t>
      </w:r>
      <w:r w:rsidR="005E25B0">
        <w:rPr>
          <w:rFonts w:ascii="Calibri" w:eastAsia="PMingLiU" w:hAnsi="Calibri" w:cs="Times New Roman"/>
        </w:rPr>
        <w:t xml:space="preserve"> i</w:t>
      </w:r>
      <w:r w:rsidRPr="2C044470">
        <w:rPr>
          <w:rFonts w:ascii="Calibri" w:eastAsia="PMingLiU" w:hAnsi="Calibri" w:cs="Times New Roman"/>
        </w:rPr>
        <w:t>s commit</w:t>
      </w:r>
      <w:r w:rsidR="005E25B0">
        <w:rPr>
          <w:rFonts w:ascii="Calibri" w:eastAsia="PMingLiU" w:hAnsi="Calibri" w:cs="Times New Roman"/>
        </w:rPr>
        <w:t>ted</w:t>
      </w:r>
      <w:r w:rsidRPr="2C044470">
        <w:rPr>
          <w:rFonts w:ascii="Calibri" w:eastAsia="PMingLiU" w:hAnsi="Calibri" w:cs="Times New Roman"/>
        </w:rPr>
        <w:t xml:space="preserve"> to keeping care in local communities </w:t>
      </w:r>
      <w:r w:rsidR="005E25B0">
        <w:rPr>
          <w:rFonts w:ascii="Calibri" w:eastAsia="PMingLiU" w:hAnsi="Calibri" w:cs="Times New Roman"/>
        </w:rPr>
        <w:t xml:space="preserve">of </w:t>
      </w:r>
      <w:r w:rsidRPr="2C044470">
        <w:rPr>
          <w:rFonts w:ascii="Calibri" w:eastAsia="PMingLiU" w:hAnsi="Calibri" w:cs="Times New Roman"/>
        </w:rPr>
        <w:t xml:space="preserve">its member hospitals, </w:t>
      </w:r>
      <w:r w:rsidR="00F561DB" w:rsidRPr="2C044470">
        <w:rPr>
          <w:rFonts w:ascii="Calibri" w:eastAsia="PMingLiU" w:hAnsi="Calibri" w:cs="Times New Roman"/>
        </w:rPr>
        <w:t>when</w:t>
      </w:r>
      <w:r w:rsidRPr="2C044470">
        <w:rPr>
          <w:rFonts w:ascii="Calibri" w:eastAsia="PMingLiU" w:hAnsi="Calibri" w:cs="Times New Roman"/>
        </w:rPr>
        <w:t xml:space="preserve"> clinically appropriate; and that in so doing, patients in the community are able to receive cost effective, convenient, high-quality care and while enabling UMMHC to keep total medical expenses low. </w:t>
      </w:r>
    </w:p>
    <w:p w14:paraId="32EC80BF" w14:textId="1C164D50" w:rsidR="00C43448" w:rsidRDefault="00C43448" w:rsidP="2840621B">
      <w:pPr>
        <w:spacing w:after="240"/>
        <w:rPr>
          <w:rFonts w:ascii="Calibri" w:eastAsia="PMingLiU" w:hAnsi="Calibri" w:cs="Times New Roman"/>
        </w:rPr>
      </w:pPr>
      <w:r w:rsidRPr="755C40DB">
        <w:rPr>
          <w:rFonts w:ascii="Calibri" w:eastAsia="PMingLiU" w:hAnsi="Calibri" w:cs="Times New Roman"/>
        </w:rPr>
        <w:t xml:space="preserve">Furthermore, the most recent CHIA data, shows the Applicant’s tertiary/quaternary medical center, UMMMC, has the second lowest RP and NPSR/CMAD of the other six academic medical centers in Massachusetts. UMMMC reports a lower RP than </w:t>
      </w:r>
      <w:r w:rsidR="008E27DB" w:rsidRPr="755C40DB">
        <w:rPr>
          <w:rFonts w:ascii="Calibri" w:eastAsia="PMingLiU" w:hAnsi="Calibri" w:cs="Times New Roman"/>
        </w:rPr>
        <w:t xml:space="preserve">its </w:t>
      </w:r>
      <w:r w:rsidRPr="755C40DB">
        <w:rPr>
          <w:rFonts w:ascii="Calibri" w:eastAsia="PMingLiU" w:hAnsi="Calibri" w:cs="Times New Roman"/>
        </w:rPr>
        <w:t xml:space="preserve">peer academic medical centers Mass General Brigham Hospitals (MGH, BWH), Boston Medical Center (BMC) and Tufts Medical Center (Tufts). This means that when patients </w:t>
      </w:r>
      <w:r w:rsidR="00F85ED4" w:rsidRPr="755C40DB">
        <w:rPr>
          <w:rFonts w:ascii="Calibri" w:eastAsia="PMingLiU" w:hAnsi="Calibri" w:cs="Times New Roman"/>
        </w:rPr>
        <w:t>seek care at</w:t>
      </w:r>
      <w:r w:rsidRPr="755C40DB">
        <w:rPr>
          <w:rFonts w:ascii="Calibri" w:eastAsia="PMingLiU" w:hAnsi="Calibri" w:cs="Times New Roman"/>
        </w:rPr>
        <w:t xml:space="preserve"> UMMHC’s competitors based in Eastern Massachusetts</w:t>
      </w:r>
      <w:r w:rsidR="00F85ED4" w:rsidRPr="755C40DB">
        <w:rPr>
          <w:rFonts w:ascii="Calibri" w:eastAsia="PMingLiU" w:hAnsi="Calibri" w:cs="Times New Roman"/>
        </w:rPr>
        <w:t>,</w:t>
      </w:r>
      <w:r w:rsidRPr="755C40DB">
        <w:rPr>
          <w:rFonts w:ascii="Calibri" w:eastAsia="PMingLiU" w:hAnsi="Calibri" w:cs="Times New Roman"/>
        </w:rPr>
        <w:t xml:space="preserve"> </w:t>
      </w:r>
      <w:r w:rsidR="00F85ED4" w:rsidRPr="755C40DB">
        <w:rPr>
          <w:rFonts w:ascii="Calibri" w:eastAsia="PMingLiU" w:hAnsi="Calibri" w:cs="Times New Roman"/>
        </w:rPr>
        <w:t xml:space="preserve">when </w:t>
      </w:r>
      <w:r w:rsidRPr="755C40DB">
        <w:rPr>
          <w:rFonts w:ascii="Calibri" w:eastAsia="PMingLiU" w:hAnsi="Calibri" w:cs="Times New Roman"/>
        </w:rPr>
        <w:t xml:space="preserve">they could have received </w:t>
      </w:r>
      <w:r w:rsidR="00F85ED4" w:rsidRPr="755C40DB">
        <w:rPr>
          <w:rFonts w:ascii="Calibri" w:eastAsia="PMingLiU" w:hAnsi="Calibri" w:cs="Times New Roman"/>
        </w:rPr>
        <w:t xml:space="preserve">care </w:t>
      </w:r>
      <w:r w:rsidRPr="755C40DB">
        <w:rPr>
          <w:rFonts w:ascii="Calibri" w:eastAsia="PMingLiU" w:hAnsi="Calibri" w:cs="Times New Roman"/>
        </w:rPr>
        <w:t xml:space="preserve">at UMMHC, the overall cost of care is higher than it would have been at UMMHC. </w:t>
      </w:r>
    </w:p>
    <w:p w14:paraId="3613E1B3" w14:textId="087EB863" w:rsidR="00C43448" w:rsidRPr="00A644DA" w:rsidRDefault="00C43448" w:rsidP="00C43448">
      <w:pPr>
        <w:spacing w:before="240"/>
        <w:jc w:val="center"/>
        <w:rPr>
          <w:rFonts w:ascii="Calibri" w:eastAsia="PMingLiU" w:hAnsi="Calibri" w:cs="Times New Roman"/>
          <w:b/>
          <w:bCs/>
        </w:rPr>
      </w:pPr>
      <w:r w:rsidRPr="00A644DA">
        <w:rPr>
          <w:rFonts w:ascii="Calibri" w:eastAsia="PMingLiU" w:hAnsi="Calibri" w:cs="Times New Roman"/>
          <w:b/>
          <w:bCs/>
          <w:szCs w:val="22"/>
        </w:rPr>
        <w:t xml:space="preserve">Table </w:t>
      </w:r>
      <w:r w:rsidR="00A644DA" w:rsidRPr="00A644DA">
        <w:rPr>
          <w:rFonts w:ascii="Calibri" w:eastAsia="PMingLiU" w:hAnsi="Calibri" w:cs="Times New Roman"/>
          <w:b/>
          <w:bCs/>
          <w:szCs w:val="22"/>
        </w:rPr>
        <w:t>9</w:t>
      </w:r>
      <w:r w:rsidR="00A644DA">
        <w:rPr>
          <w:rFonts w:ascii="Calibri" w:eastAsia="PMingLiU" w:hAnsi="Calibri" w:cs="Times New Roman"/>
          <w:b/>
          <w:bCs/>
          <w:szCs w:val="22"/>
        </w:rPr>
        <w:t>:</w:t>
      </w:r>
      <w:r w:rsidRPr="00A644DA">
        <w:rPr>
          <w:rFonts w:ascii="Calibri" w:eastAsia="PMingLiU" w:hAnsi="Calibri" w:cs="Times New Roman"/>
          <w:b/>
          <w:bCs/>
          <w:szCs w:val="22"/>
        </w:rPr>
        <w:t xml:space="preserve"> </w:t>
      </w:r>
      <w:r w:rsidRPr="00A644DA">
        <w:rPr>
          <w:rFonts w:ascii="Calibri" w:eastAsia="PMingLiU" w:hAnsi="Calibri" w:cs="Calibri"/>
          <w:b/>
          <w:bCs/>
        </w:rPr>
        <w:t xml:space="preserve">UMMMC CASE MIX, RELATIVE PRICE, NPSR/CMAD </w:t>
      </w:r>
      <w:r w:rsidRPr="00A644DA">
        <w:rPr>
          <w:rFonts w:ascii="Calibri" w:eastAsia="PMingLiU" w:hAnsi="Calibri" w:cs="Times New Roman"/>
          <w:b/>
          <w:bCs/>
          <w:szCs w:val="22"/>
        </w:rPr>
        <w:t>CY 2021</w:t>
      </w:r>
    </w:p>
    <w:p w14:paraId="33C6605A" w14:textId="77777777" w:rsidR="00C43448" w:rsidRPr="00C43448" w:rsidRDefault="00C43448" w:rsidP="005E25B0">
      <w:pPr>
        <w:rPr>
          <w:rFonts w:ascii="Aptos" w:eastAsia="Aptos" w:hAnsi="Aptos" w:cs="Aptos"/>
        </w:rPr>
      </w:pPr>
      <w:r w:rsidRPr="00C43448">
        <w:rPr>
          <w:rFonts w:ascii="Aptos" w:eastAsia="Aptos" w:hAnsi="Aptos" w:cs="Aptos"/>
          <w:color w:val="2B579A"/>
          <w:shd w:val="clear" w:color="auto" w:fill="E6E6E6"/>
        </w:rPr>
        <w:fldChar w:fldCharType="begin"/>
      </w:r>
      <w:r w:rsidRPr="00C43448">
        <w:rPr>
          <w:rFonts w:ascii="Aptos" w:eastAsia="Aptos" w:hAnsi="Aptos" w:cs="Aptos"/>
        </w:rPr>
        <w:instrText xml:space="preserve"> LINK Excel.Sheet.12 "Book1" "Sheet1!R2C1:R8C4" \a \f 4 \h  \* MERGEFORMAT </w:instrText>
      </w:r>
      <w:r w:rsidRPr="00C43448">
        <w:rPr>
          <w:rFonts w:ascii="Aptos" w:eastAsia="Aptos" w:hAnsi="Aptos" w:cs="Aptos"/>
          <w:color w:val="2B579A"/>
          <w:shd w:val="clear" w:color="auto" w:fill="E6E6E6"/>
        </w:rPr>
        <w:fldChar w:fldCharType="separate"/>
      </w:r>
    </w:p>
    <w:tbl>
      <w:tblPr>
        <w:tblW w:w="7030" w:type="dxa"/>
        <w:jc w:val="center"/>
        <w:tblLook w:val="04A0" w:firstRow="1" w:lastRow="0" w:firstColumn="1" w:lastColumn="0" w:noHBand="0" w:noVBand="1"/>
      </w:tblPr>
      <w:tblGrid>
        <w:gridCol w:w="1440"/>
        <w:gridCol w:w="1900"/>
        <w:gridCol w:w="2070"/>
        <w:gridCol w:w="1620"/>
      </w:tblGrid>
      <w:tr w:rsidR="00C43448" w:rsidRPr="00C43448" w14:paraId="69F3CE68" w14:textId="77777777" w:rsidTr="00A644DA">
        <w:trPr>
          <w:cantSplit/>
          <w:trHeight w:val="421"/>
          <w:jc w:val="center"/>
        </w:trPr>
        <w:tc>
          <w:tcPr>
            <w:tcW w:w="1440" w:type="dxa"/>
            <w:tcBorders>
              <w:top w:val="single" w:sz="8" w:space="0" w:color="auto"/>
              <w:left w:val="single" w:sz="8" w:space="0" w:color="auto"/>
              <w:bottom w:val="single" w:sz="8" w:space="0" w:color="auto"/>
              <w:right w:val="single" w:sz="8" w:space="0" w:color="auto"/>
            </w:tcBorders>
            <w:shd w:val="clear" w:color="auto" w:fill="E1F9FF"/>
            <w:vAlign w:val="center"/>
            <w:hideMark/>
          </w:tcPr>
          <w:p w14:paraId="5C6B2BBE" w14:textId="77777777" w:rsidR="00C43448" w:rsidRPr="00F85ED4" w:rsidRDefault="00C43448" w:rsidP="00C43448">
            <w:pPr>
              <w:jc w:val="center"/>
              <w:rPr>
                <w:rFonts w:ascii="Calibri" w:eastAsia="Times New Roman" w:hAnsi="Calibri" w:cs="Calibri"/>
                <w:b/>
                <w:bCs/>
                <w:color w:val="000000"/>
              </w:rPr>
            </w:pPr>
            <w:r w:rsidRPr="00F85ED4">
              <w:rPr>
                <w:rFonts w:ascii="Calibri" w:eastAsia="Times New Roman" w:hAnsi="Calibri" w:cs="Calibri"/>
                <w:b/>
                <w:bCs/>
                <w:color w:val="000000"/>
              </w:rPr>
              <w:t>Hospital</w:t>
            </w:r>
          </w:p>
        </w:tc>
        <w:tc>
          <w:tcPr>
            <w:tcW w:w="1900" w:type="dxa"/>
            <w:tcBorders>
              <w:top w:val="single" w:sz="8" w:space="0" w:color="auto"/>
              <w:left w:val="nil"/>
              <w:bottom w:val="single" w:sz="8" w:space="0" w:color="auto"/>
              <w:right w:val="single" w:sz="8" w:space="0" w:color="auto"/>
            </w:tcBorders>
            <w:shd w:val="clear" w:color="auto" w:fill="E1F9FF"/>
            <w:vAlign w:val="center"/>
            <w:hideMark/>
          </w:tcPr>
          <w:p w14:paraId="167A0A11" w14:textId="77777777" w:rsidR="00C43448" w:rsidRPr="00F85ED4" w:rsidRDefault="00C43448" w:rsidP="00C43448">
            <w:pPr>
              <w:jc w:val="center"/>
              <w:rPr>
                <w:rFonts w:ascii="Calibri" w:eastAsia="Times New Roman" w:hAnsi="Calibri" w:cs="Calibri"/>
                <w:b/>
                <w:bCs/>
                <w:color w:val="000000"/>
              </w:rPr>
            </w:pPr>
            <w:r w:rsidRPr="00F85ED4">
              <w:rPr>
                <w:rFonts w:ascii="Calibri" w:eastAsia="Times New Roman" w:hAnsi="Calibri" w:cs="Calibri"/>
                <w:b/>
                <w:bCs/>
                <w:color w:val="000000"/>
              </w:rPr>
              <w:t>Case Mix Index</w:t>
            </w:r>
          </w:p>
        </w:tc>
        <w:tc>
          <w:tcPr>
            <w:tcW w:w="2070" w:type="dxa"/>
            <w:tcBorders>
              <w:top w:val="single" w:sz="8" w:space="0" w:color="auto"/>
              <w:left w:val="nil"/>
              <w:bottom w:val="single" w:sz="8" w:space="0" w:color="auto"/>
              <w:right w:val="single" w:sz="8" w:space="0" w:color="auto"/>
            </w:tcBorders>
            <w:shd w:val="clear" w:color="auto" w:fill="E1F9FF"/>
            <w:vAlign w:val="center"/>
            <w:hideMark/>
          </w:tcPr>
          <w:p w14:paraId="62E0F32F" w14:textId="77777777" w:rsidR="00C43448" w:rsidRPr="00F85ED4" w:rsidRDefault="00C43448" w:rsidP="00C43448">
            <w:pPr>
              <w:jc w:val="center"/>
              <w:rPr>
                <w:rFonts w:ascii="Calibri" w:eastAsia="Times New Roman" w:hAnsi="Calibri" w:cs="Calibri"/>
                <w:b/>
                <w:bCs/>
                <w:color w:val="000000"/>
              </w:rPr>
            </w:pPr>
            <w:r w:rsidRPr="00F85ED4">
              <w:rPr>
                <w:rFonts w:ascii="Calibri" w:eastAsia="Times New Roman" w:hAnsi="Calibri" w:cs="Calibri"/>
                <w:b/>
                <w:bCs/>
                <w:color w:val="000000"/>
              </w:rPr>
              <w:t>Relative Price</w:t>
            </w:r>
          </w:p>
        </w:tc>
        <w:tc>
          <w:tcPr>
            <w:tcW w:w="1620" w:type="dxa"/>
            <w:tcBorders>
              <w:top w:val="single" w:sz="8" w:space="0" w:color="auto"/>
              <w:left w:val="nil"/>
              <w:bottom w:val="single" w:sz="8" w:space="0" w:color="auto"/>
              <w:right w:val="single" w:sz="8" w:space="0" w:color="auto"/>
            </w:tcBorders>
            <w:shd w:val="clear" w:color="auto" w:fill="E1F9FF"/>
            <w:vAlign w:val="center"/>
            <w:hideMark/>
          </w:tcPr>
          <w:p w14:paraId="6ADE3713" w14:textId="77777777" w:rsidR="00C43448" w:rsidRPr="00F85ED4" w:rsidRDefault="00C43448" w:rsidP="00C43448">
            <w:pPr>
              <w:jc w:val="center"/>
              <w:rPr>
                <w:rFonts w:ascii="Calibri" w:eastAsia="Times New Roman" w:hAnsi="Calibri" w:cs="Calibri"/>
                <w:b/>
                <w:bCs/>
                <w:color w:val="000000"/>
              </w:rPr>
            </w:pPr>
            <w:r w:rsidRPr="00F85ED4">
              <w:rPr>
                <w:rFonts w:ascii="Calibri" w:eastAsia="Times New Roman" w:hAnsi="Calibri" w:cs="Calibri"/>
                <w:b/>
                <w:bCs/>
                <w:color w:val="000000"/>
              </w:rPr>
              <w:t>NPSR /CMAD</w:t>
            </w:r>
          </w:p>
        </w:tc>
      </w:tr>
      <w:tr w:rsidR="00C43448" w:rsidRPr="00C43448" w14:paraId="117A207C" w14:textId="77777777" w:rsidTr="00A644DA">
        <w:trPr>
          <w:cantSplit/>
          <w:trHeight w:val="320"/>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9426B62" w14:textId="77777777" w:rsidR="00C43448" w:rsidRPr="00C43448" w:rsidRDefault="00C43448" w:rsidP="00C43448">
            <w:pPr>
              <w:jc w:val="both"/>
              <w:rPr>
                <w:rFonts w:ascii="Calibri" w:eastAsia="Times New Roman" w:hAnsi="Calibri" w:cs="Calibri"/>
                <w:color w:val="000000"/>
              </w:rPr>
            </w:pPr>
            <w:r w:rsidRPr="00C43448">
              <w:rPr>
                <w:rFonts w:ascii="Calibri" w:eastAsia="Times New Roman" w:hAnsi="Calibri" w:cs="Calibri"/>
                <w:color w:val="000000"/>
              </w:rPr>
              <w:t>BIDMC</w:t>
            </w:r>
          </w:p>
        </w:tc>
        <w:tc>
          <w:tcPr>
            <w:tcW w:w="1900" w:type="dxa"/>
            <w:tcBorders>
              <w:top w:val="nil"/>
              <w:left w:val="nil"/>
              <w:bottom w:val="single" w:sz="8" w:space="0" w:color="auto"/>
              <w:right w:val="single" w:sz="8" w:space="0" w:color="auto"/>
            </w:tcBorders>
            <w:shd w:val="clear" w:color="auto" w:fill="auto"/>
            <w:vAlign w:val="center"/>
            <w:hideMark/>
          </w:tcPr>
          <w:p w14:paraId="141E7542"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1.63</w:t>
            </w:r>
          </w:p>
        </w:tc>
        <w:tc>
          <w:tcPr>
            <w:tcW w:w="2070" w:type="dxa"/>
            <w:tcBorders>
              <w:top w:val="nil"/>
              <w:left w:val="nil"/>
              <w:bottom w:val="single" w:sz="8" w:space="0" w:color="auto"/>
              <w:right w:val="single" w:sz="8" w:space="0" w:color="auto"/>
            </w:tcBorders>
            <w:shd w:val="clear" w:color="auto" w:fill="auto"/>
            <w:vAlign w:val="center"/>
            <w:hideMark/>
          </w:tcPr>
          <w:p w14:paraId="6F85129B"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1.08</w:t>
            </w:r>
          </w:p>
        </w:tc>
        <w:tc>
          <w:tcPr>
            <w:tcW w:w="1620" w:type="dxa"/>
            <w:tcBorders>
              <w:top w:val="nil"/>
              <w:left w:val="nil"/>
              <w:bottom w:val="single" w:sz="8" w:space="0" w:color="auto"/>
              <w:right w:val="single" w:sz="8" w:space="0" w:color="auto"/>
            </w:tcBorders>
            <w:shd w:val="clear" w:color="auto" w:fill="auto"/>
            <w:vAlign w:val="center"/>
            <w:hideMark/>
          </w:tcPr>
          <w:p w14:paraId="5F27B5E6" w14:textId="77777777" w:rsidR="00C43448" w:rsidRPr="00C43448" w:rsidRDefault="00C43448" w:rsidP="00C43448">
            <w:pPr>
              <w:jc w:val="right"/>
              <w:rPr>
                <w:rFonts w:ascii="Calibri" w:eastAsia="Times New Roman" w:hAnsi="Calibri" w:cs="Calibri"/>
                <w:color w:val="000000"/>
              </w:rPr>
            </w:pPr>
            <w:r w:rsidRPr="00C43448">
              <w:rPr>
                <w:rFonts w:ascii="Calibri" w:eastAsia="Times New Roman" w:hAnsi="Calibri" w:cs="Calibri"/>
                <w:color w:val="000000"/>
              </w:rPr>
              <w:t xml:space="preserve">$14,064 </w:t>
            </w:r>
          </w:p>
        </w:tc>
      </w:tr>
      <w:tr w:rsidR="00C43448" w:rsidRPr="00C43448" w14:paraId="01A04AEC" w14:textId="77777777" w:rsidTr="00A644DA">
        <w:trPr>
          <w:cantSplit/>
          <w:trHeight w:val="358"/>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153CE60E" w14:textId="77777777" w:rsidR="00C43448" w:rsidRPr="00C43448" w:rsidRDefault="00C43448" w:rsidP="00C43448">
            <w:pPr>
              <w:jc w:val="both"/>
              <w:rPr>
                <w:rFonts w:ascii="Calibri" w:eastAsia="Times New Roman" w:hAnsi="Calibri" w:cs="Calibri"/>
                <w:color w:val="000000"/>
              </w:rPr>
            </w:pPr>
            <w:r w:rsidRPr="00C43448">
              <w:rPr>
                <w:rFonts w:ascii="Calibri" w:eastAsia="Times New Roman" w:hAnsi="Calibri" w:cs="Calibri"/>
                <w:color w:val="000000"/>
              </w:rPr>
              <w:t>UMMMC</w:t>
            </w:r>
          </w:p>
        </w:tc>
        <w:tc>
          <w:tcPr>
            <w:tcW w:w="1900" w:type="dxa"/>
            <w:tcBorders>
              <w:top w:val="nil"/>
              <w:left w:val="nil"/>
              <w:bottom w:val="single" w:sz="8" w:space="0" w:color="auto"/>
              <w:right w:val="single" w:sz="8" w:space="0" w:color="auto"/>
            </w:tcBorders>
            <w:shd w:val="clear" w:color="auto" w:fill="auto"/>
            <w:vAlign w:val="center"/>
            <w:hideMark/>
          </w:tcPr>
          <w:p w14:paraId="5C52529E"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1.55</w:t>
            </w:r>
          </w:p>
        </w:tc>
        <w:tc>
          <w:tcPr>
            <w:tcW w:w="2070" w:type="dxa"/>
            <w:tcBorders>
              <w:top w:val="nil"/>
              <w:left w:val="nil"/>
              <w:bottom w:val="single" w:sz="8" w:space="0" w:color="auto"/>
              <w:right w:val="single" w:sz="8" w:space="0" w:color="auto"/>
            </w:tcBorders>
            <w:shd w:val="clear" w:color="auto" w:fill="auto"/>
            <w:vAlign w:val="center"/>
            <w:hideMark/>
          </w:tcPr>
          <w:p w14:paraId="5D3865B1"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1.14</w:t>
            </w:r>
          </w:p>
        </w:tc>
        <w:tc>
          <w:tcPr>
            <w:tcW w:w="1620" w:type="dxa"/>
            <w:tcBorders>
              <w:top w:val="nil"/>
              <w:left w:val="nil"/>
              <w:bottom w:val="single" w:sz="8" w:space="0" w:color="auto"/>
              <w:right w:val="single" w:sz="8" w:space="0" w:color="auto"/>
            </w:tcBorders>
            <w:shd w:val="clear" w:color="auto" w:fill="auto"/>
            <w:vAlign w:val="center"/>
            <w:hideMark/>
          </w:tcPr>
          <w:p w14:paraId="57A21F86" w14:textId="77777777" w:rsidR="00C43448" w:rsidRPr="00C43448" w:rsidRDefault="00C43448" w:rsidP="00C43448">
            <w:pPr>
              <w:jc w:val="right"/>
              <w:rPr>
                <w:rFonts w:ascii="Calibri" w:eastAsia="Times New Roman" w:hAnsi="Calibri" w:cs="Calibri"/>
                <w:color w:val="000000"/>
              </w:rPr>
            </w:pPr>
            <w:r w:rsidRPr="00C43448">
              <w:rPr>
                <w:rFonts w:ascii="Calibri" w:eastAsia="Times New Roman" w:hAnsi="Calibri" w:cs="Calibri"/>
                <w:color w:val="000000"/>
              </w:rPr>
              <w:t xml:space="preserve">$14,692 </w:t>
            </w:r>
          </w:p>
        </w:tc>
      </w:tr>
      <w:tr w:rsidR="00C43448" w:rsidRPr="00C43448" w14:paraId="2636A587" w14:textId="77777777" w:rsidTr="00A644DA">
        <w:trPr>
          <w:cantSplit/>
          <w:trHeight w:val="320"/>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7D670125" w14:textId="77777777" w:rsidR="00C43448" w:rsidRPr="00C43448" w:rsidRDefault="00C43448" w:rsidP="00C43448">
            <w:pPr>
              <w:jc w:val="both"/>
              <w:rPr>
                <w:rFonts w:ascii="Calibri" w:eastAsia="Times New Roman" w:hAnsi="Calibri" w:cs="Calibri"/>
                <w:color w:val="000000"/>
              </w:rPr>
            </w:pPr>
            <w:r w:rsidRPr="00C43448">
              <w:rPr>
                <w:rFonts w:ascii="Calibri" w:eastAsia="Times New Roman" w:hAnsi="Calibri" w:cs="Calibri"/>
                <w:color w:val="000000"/>
              </w:rPr>
              <w:t>BMC</w:t>
            </w:r>
          </w:p>
        </w:tc>
        <w:tc>
          <w:tcPr>
            <w:tcW w:w="1900" w:type="dxa"/>
            <w:tcBorders>
              <w:top w:val="nil"/>
              <w:left w:val="nil"/>
              <w:bottom w:val="single" w:sz="8" w:space="0" w:color="auto"/>
              <w:right w:val="single" w:sz="8" w:space="0" w:color="auto"/>
            </w:tcBorders>
            <w:shd w:val="clear" w:color="auto" w:fill="auto"/>
            <w:vAlign w:val="center"/>
            <w:hideMark/>
          </w:tcPr>
          <w:p w14:paraId="73A3D83C"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1.47</w:t>
            </w:r>
          </w:p>
        </w:tc>
        <w:tc>
          <w:tcPr>
            <w:tcW w:w="2070" w:type="dxa"/>
            <w:tcBorders>
              <w:top w:val="nil"/>
              <w:left w:val="nil"/>
              <w:bottom w:val="single" w:sz="8" w:space="0" w:color="auto"/>
              <w:right w:val="single" w:sz="8" w:space="0" w:color="auto"/>
            </w:tcBorders>
            <w:shd w:val="clear" w:color="auto" w:fill="auto"/>
            <w:vAlign w:val="center"/>
            <w:hideMark/>
          </w:tcPr>
          <w:p w14:paraId="6FAB5B79"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1.17</w:t>
            </w:r>
          </w:p>
        </w:tc>
        <w:tc>
          <w:tcPr>
            <w:tcW w:w="1620" w:type="dxa"/>
            <w:tcBorders>
              <w:top w:val="nil"/>
              <w:left w:val="nil"/>
              <w:bottom w:val="single" w:sz="8" w:space="0" w:color="auto"/>
              <w:right w:val="single" w:sz="8" w:space="0" w:color="auto"/>
            </w:tcBorders>
            <w:shd w:val="clear" w:color="auto" w:fill="auto"/>
            <w:vAlign w:val="center"/>
            <w:hideMark/>
          </w:tcPr>
          <w:p w14:paraId="1BE11D88" w14:textId="77777777" w:rsidR="00C43448" w:rsidRPr="00C43448" w:rsidRDefault="00C43448" w:rsidP="00C43448">
            <w:pPr>
              <w:jc w:val="right"/>
              <w:rPr>
                <w:rFonts w:ascii="Calibri" w:eastAsia="Times New Roman" w:hAnsi="Calibri" w:cs="Calibri"/>
                <w:color w:val="000000"/>
              </w:rPr>
            </w:pPr>
            <w:r w:rsidRPr="00C43448">
              <w:rPr>
                <w:rFonts w:ascii="Calibri" w:eastAsia="Times New Roman" w:hAnsi="Calibri" w:cs="Calibri"/>
                <w:color w:val="000000"/>
              </w:rPr>
              <w:t xml:space="preserve">$16,202 </w:t>
            </w:r>
          </w:p>
        </w:tc>
      </w:tr>
      <w:tr w:rsidR="00C43448" w:rsidRPr="00C43448" w14:paraId="6438BFB0" w14:textId="77777777" w:rsidTr="00A644DA">
        <w:trPr>
          <w:cantSplit/>
          <w:trHeight w:val="320"/>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1978EB96" w14:textId="77777777" w:rsidR="00C43448" w:rsidRPr="00C43448" w:rsidRDefault="00C43448" w:rsidP="00C43448">
            <w:pPr>
              <w:jc w:val="both"/>
              <w:rPr>
                <w:rFonts w:ascii="Calibri" w:eastAsia="Times New Roman" w:hAnsi="Calibri" w:cs="Calibri"/>
                <w:color w:val="000000"/>
              </w:rPr>
            </w:pPr>
            <w:r w:rsidRPr="00C43448">
              <w:rPr>
                <w:rFonts w:ascii="Calibri" w:eastAsia="Times New Roman" w:hAnsi="Calibri" w:cs="Calibri"/>
                <w:color w:val="000000"/>
              </w:rPr>
              <w:t>Tufts</w:t>
            </w:r>
          </w:p>
        </w:tc>
        <w:tc>
          <w:tcPr>
            <w:tcW w:w="1900" w:type="dxa"/>
            <w:tcBorders>
              <w:top w:val="nil"/>
              <w:left w:val="nil"/>
              <w:bottom w:val="single" w:sz="8" w:space="0" w:color="auto"/>
              <w:right w:val="single" w:sz="8" w:space="0" w:color="auto"/>
            </w:tcBorders>
            <w:shd w:val="clear" w:color="auto" w:fill="auto"/>
            <w:vAlign w:val="center"/>
            <w:hideMark/>
          </w:tcPr>
          <w:p w14:paraId="4EF28E2B"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1.82</w:t>
            </w:r>
          </w:p>
        </w:tc>
        <w:tc>
          <w:tcPr>
            <w:tcW w:w="2070" w:type="dxa"/>
            <w:tcBorders>
              <w:top w:val="nil"/>
              <w:left w:val="nil"/>
              <w:bottom w:val="single" w:sz="8" w:space="0" w:color="auto"/>
              <w:right w:val="single" w:sz="8" w:space="0" w:color="auto"/>
            </w:tcBorders>
            <w:shd w:val="clear" w:color="auto" w:fill="auto"/>
            <w:vAlign w:val="center"/>
            <w:hideMark/>
          </w:tcPr>
          <w:p w14:paraId="4A44D5B2"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1.11</w:t>
            </w:r>
          </w:p>
        </w:tc>
        <w:tc>
          <w:tcPr>
            <w:tcW w:w="1620" w:type="dxa"/>
            <w:tcBorders>
              <w:top w:val="nil"/>
              <w:left w:val="nil"/>
              <w:bottom w:val="single" w:sz="8" w:space="0" w:color="auto"/>
              <w:right w:val="single" w:sz="8" w:space="0" w:color="auto"/>
            </w:tcBorders>
            <w:shd w:val="clear" w:color="auto" w:fill="auto"/>
            <w:vAlign w:val="center"/>
            <w:hideMark/>
          </w:tcPr>
          <w:p w14:paraId="4DC6F1D8" w14:textId="77777777" w:rsidR="00C43448" w:rsidRPr="00C43448" w:rsidRDefault="00C43448" w:rsidP="00C43448">
            <w:pPr>
              <w:jc w:val="right"/>
              <w:rPr>
                <w:rFonts w:ascii="Calibri" w:eastAsia="Times New Roman" w:hAnsi="Calibri" w:cs="Calibri"/>
                <w:color w:val="000000"/>
              </w:rPr>
            </w:pPr>
            <w:r w:rsidRPr="00C43448">
              <w:rPr>
                <w:rFonts w:ascii="Calibri" w:eastAsia="Times New Roman" w:hAnsi="Calibri" w:cs="Calibri"/>
                <w:color w:val="000000"/>
              </w:rPr>
              <w:t xml:space="preserve">$16,366 </w:t>
            </w:r>
          </w:p>
        </w:tc>
      </w:tr>
      <w:tr w:rsidR="00C43448" w:rsidRPr="00C43448" w14:paraId="2819DCF2" w14:textId="77777777" w:rsidTr="00A644DA">
        <w:trPr>
          <w:cantSplit/>
          <w:trHeight w:val="320"/>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701EA311" w14:textId="77777777" w:rsidR="00C43448" w:rsidRPr="00C43448" w:rsidRDefault="00C43448" w:rsidP="00C43448">
            <w:pPr>
              <w:spacing w:line="276" w:lineRule="auto"/>
              <w:jc w:val="both"/>
              <w:rPr>
                <w:rFonts w:ascii="Calibri" w:eastAsia="Times New Roman" w:hAnsi="Calibri" w:cs="Calibri"/>
                <w:color w:val="000000"/>
              </w:rPr>
            </w:pPr>
            <w:r w:rsidRPr="00C43448">
              <w:rPr>
                <w:rFonts w:ascii="Calibri" w:eastAsia="Times New Roman" w:hAnsi="Calibri" w:cs="Calibri"/>
                <w:color w:val="000000"/>
              </w:rPr>
              <w:t>MGH</w:t>
            </w:r>
          </w:p>
        </w:tc>
        <w:tc>
          <w:tcPr>
            <w:tcW w:w="1900" w:type="dxa"/>
            <w:tcBorders>
              <w:top w:val="nil"/>
              <w:left w:val="nil"/>
              <w:bottom w:val="single" w:sz="8" w:space="0" w:color="auto"/>
              <w:right w:val="single" w:sz="8" w:space="0" w:color="auto"/>
            </w:tcBorders>
            <w:shd w:val="clear" w:color="auto" w:fill="auto"/>
            <w:vAlign w:val="center"/>
            <w:hideMark/>
          </w:tcPr>
          <w:p w14:paraId="6262C51A"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1.9</w:t>
            </w:r>
          </w:p>
        </w:tc>
        <w:tc>
          <w:tcPr>
            <w:tcW w:w="2070" w:type="dxa"/>
            <w:tcBorders>
              <w:top w:val="nil"/>
              <w:left w:val="nil"/>
              <w:bottom w:val="single" w:sz="8" w:space="0" w:color="auto"/>
              <w:right w:val="single" w:sz="8" w:space="0" w:color="auto"/>
            </w:tcBorders>
            <w:shd w:val="clear" w:color="auto" w:fill="auto"/>
            <w:vAlign w:val="center"/>
            <w:hideMark/>
          </w:tcPr>
          <w:p w14:paraId="02304F17"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1.42</w:t>
            </w:r>
          </w:p>
        </w:tc>
        <w:tc>
          <w:tcPr>
            <w:tcW w:w="1620" w:type="dxa"/>
            <w:tcBorders>
              <w:top w:val="nil"/>
              <w:left w:val="nil"/>
              <w:bottom w:val="single" w:sz="8" w:space="0" w:color="auto"/>
              <w:right w:val="single" w:sz="8" w:space="0" w:color="auto"/>
            </w:tcBorders>
            <w:shd w:val="clear" w:color="auto" w:fill="auto"/>
            <w:vAlign w:val="center"/>
            <w:hideMark/>
          </w:tcPr>
          <w:p w14:paraId="1256D444" w14:textId="77777777" w:rsidR="00C43448" w:rsidRPr="00C43448" w:rsidRDefault="00C43448" w:rsidP="00C43448">
            <w:pPr>
              <w:jc w:val="right"/>
              <w:rPr>
                <w:rFonts w:ascii="Calibri" w:eastAsia="Times New Roman" w:hAnsi="Calibri" w:cs="Calibri"/>
                <w:color w:val="000000"/>
              </w:rPr>
            </w:pPr>
            <w:r w:rsidRPr="00C43448">
              <w:rPr>
                <w:rFonts w:ascii="Calibri" w:eastAsia="Times New Roman" w:hAnsi="Calibri" w:cs="Calibri"/>
                <w:color w:val="000000"/>
              </w:rPr>
              <w:t xml:space="preserve">$16,404 </w:t>
            </w:r>
          </w:p>
        </w:tc>
      </w:tr>
      <w:tr w:rsidR="00C43448" w:rsidRPr="00C43448" w14:paraId="0B873A35" w14:textId="77777777" w:rsidTr="00A644DA">
        <w:trPr>
          <w:cantSplit/>
          <w:trHeight w:val="320"/>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033DE8CA" w14:textId="77777777" w:rsidR="00C43448" w:rsidRPr="00C43448" w:rsidRDefault="00C43448" w:rsidP="00C43448">
            <w:pPr>
              <w:jc w:val="both"/>
              <w:rPr>
                <w:rFonts w:ascii="Calibri" w:eastAsia="Times New Roman" w:hAnsi="Calibri" w:cs="Calibri"/>
                <w:color w:val="000000"/>
              </w:rPr>
            </w:pPr>
            <w:r w:rsidRPr="00C43448">
              <w:rPr>
                <w:rFonts w:ascii="Calibri" w:eastAsia="Times New Roman" w:hAnsi="Calibri" w:cs="Calibri"/>
                <w:color w:val="000000"/>
              </w:rPr>
              <w:t>BWH</w:t>
            </w:r>
          </w:p>
        </w:tc>
        <w:tc>
          <w:tcPr>
            <w:tcW w:w="1900" w:type="dxa"/>
            <w:tcBorders>
              <w:top w:val="nil"/>
              <w:left w:val="nil"/>
              <w:bottom w:val="single" w:sz="8" w:space="0" w:color="auto"/>
              <w:right w:val="single" w:sz="8" w:space="0" w:color="auto"/>
            </w:tcBorders>
            <w:shd w:val="clear" w:color="auto" w:fill="auto"/>
            <w:vAlign w:val="center"/>
            <w:hideMark/>
          </w:tcPr>
          <w:p w14:paraId="79183BAF"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1.72</w:t>
            </w:r>
          </w:p>
        </w:tc>
        <w:tc>
          <w:tcPr>
            <w:tcW w:w="2070" w:type="dxa"/>
            <w:tcBorders>
              <w:top w:val="nil"/>
              <w:left w:val="nil"/>
              <w:bottom w:val="single" w:sz="8" w:space="0" w:color="auto"/>
              <w:right w:val="single" w:sz="8" w:space="0" w:color="auto"/>
            </w:tcBorders>
            <w:shd w:val="clear" w:color="auto" w:fill="auto"/>
            <w:vAlign w:val="center"/>
            <w:hideMark/>
          </w:tcPr>
          <w:p w14:paraId="31B6B285" w14:textId="77777777" w:rsidR="00C43448" w:rsidRPr="00C43448" w:rsidRDefault="00C43448" w:rsidP="00C43448">
            <w:pPr>
              <w:jc w:val="center"/>
              <w:rPr>
                <w:rFonts w:ascii="Calibri" w:eastAsia="Times New Roman" w:hAnsi="Calibri" w:cs="Calibri"/>
                <w:color w:val="000000"/>
              </w:rPr>
            </w:pPr>
            <w:r w:rsidRPr="00C43448">
              <w:rPr>
                <w:rFonts w:ascii="Calibri" w:eastAsia="Times New Roman" w:hAnsi="Calibri" w:cs="Calibri"/>
                <w:color w:val="000000"/>
              </w:rPr>
              <w:t>1.44</w:t>
            </w:r>
          </w:p>
        </w:tc>
        <w:tc>
          <w:tcPr>
            <w:tcW w:w="1620" w:type="dxa"/>
            <w:tcBorders>
              <w:top w:val="nil"/>
              <w:left w:val="nil"/>
              <w:bottom w:val="single" w:sz="8" w:space="0" w:color="auto"/>
              <w:right w:val="single" w:sz="8" w:space="0" w:color="auto"/>
            </w:tcBorders>
            <w:shd w:val="clear" w:color="auto" w:fill="auto"/>
            <w:vAlign w:val="center"/>
            <w:hideMark/>
          </w:tcPr>
          <w:p w14:paraId="48EB7228" w14:textId="77777777" w:rsidR="00C43448" w:rsidRPr="00C43448" w:rsidRDefault="00C43448" w:rsidP="00C43448">
            <w:pPr>
              <w:jc w:val="right"/>
              <w:rPr>
                <w:rFonts w:ascii="Calibri" w:eastAsia="Times New Roman" w:hAnsi="Calibri" w:cs="Calibri"/>
                <w:color w:val="000000"/>
              </w:rPr>
            </w:pPr>
            <w:r w:rsidRPr="00C43448">
              <w:rPr>
                <w:rFonts w:ascii="Calibri" w:eastAsia="Times New Roman" w:hAnsi="Calibri" w:cs="Calibri"/>
                <w:color w:val="000000"/>
              </w:rPr>
              <w:t xml:space="preserve">$19,873 </w:t>
            </w:r>
          </w:p>
        </w:tc>
      </w:tr>
    </w:tbl>
    <w:p w14:paraId="5DD0B647" w14:textId="77777777" w:rsidR="00C43448" w:rsidRPr="00C43448" w:rsidRDefault="00C43448" w:rsidP="00C43448">
      <w:pPr>
        <w:spacing w:after="240"/>
        <w:rPr>
          <w:rFonts w:ascii="Calibri" w:eastAsia="PMingLiU" w:hAnsi="Calibri" w:cs="Times New Roman"/>
          <w:szCs w:val="22"/>
        </w:rPr>
      </w:pPr>
      <w:r w:rsidRPr="00C43448">
        <w:rPr>
          <w:rFonts w:ascii="Calibri" w:eastAsia="PMingLiU" w:hAnsi="Calibri" w:cs="Times New Roman"/>
          <w:color w:val="2B579A"/>
          <w:szCs w:val="22"/>
          <w:shd w:val="clear" w:color="auto" w:fill="E6E6E6"/>
        </w:rPr>
        <w:fldChar w:fldCharType="end"/>
      </w:r>
    </w:p>
    <w:p w14:paraId="2AEDB662" w14:textId="09FB2660" w:rsidR="00C43448" w:rsidRPr="00C43448" w:rsidRDefault="00C43448" w:rsidP="005D1C6E">
      <w:pPr>
        <w:spacing w:after="240"/>
        <w:rPr>
          <w:rFonts w:ascii="Calibri" w:eastAsia="PMingLiU" w:hAnsi="Calibri" w:cs="Times New Roman"/>
        </w:rPr>
      </w:pPr>
      <w:r w:rsidRPr="6CE004FB">
        <w:rPr>
          <w:rFonts w:ascii="Calibri" w:eastAsia="PMingLiU" w:hAnsi="Calibri" w:cs="Times New Roman"/>
        </w:rPr>
        <w:t xml:space="preserve">Accordingly, the Proposed Affiliation presents an opportunity to maintain or reduce TME by maintaining and expanding MRMC patients’ access to care locally, and within the UMMHC system, </w:t>
      </w:r>
      <w:r w:rsidR="005D1C6E" w:rsidRPr="6CE004FB">
        <w:rPr>
          <w:rFonts w:ascii="Calibri" w:eastAsia="PMingLiU" w:hAnsi="Calibri" w:cs="Times New Roman"/>
        </w:rPr>
        <w:t>is</w:t>
      </w:r>
      <w:r w:rsidRPr="6CE004FB">
        <w:rPr>
          <w:rFonts w:ascii="Calibri" w:eastAsia="PMingLiU" w:hAnsi="Calibri" w:cs="Times New Roman"/>
        </w:rPr>
        <w:t xml:space="preserve"> a more affordable system, </w:t>
      </w:r>
      <w:r w:rsidR="005E25B0">
        <w:rPr>
          <w:rFonts w:ascii="Calibri" w:eastAsia="PMingLiU" w:hAnsi="Calibri" w:cs="Times New Roman"/>
        </w:rPr>
        <w:t xml:space="preserve">compared </w:t>
      </w:r>
      <w:r w:rsidRPr="6CE004FB">
        <w:rPr>
          <w:rFonts w:ascii="Calibri" w:eastAsia="PMingLiU" w:hAnsi="Calibri" w:cs="Times New Roman"/>
        </w:rPr>
        <w:t xml:space="preserve">to outmigration to the higher cost tertiary/quaternary medical centers in Eastern Massachusetts. </w:t>
      </w:r>
    </w:p>
    <w:p w14:paraId="7C7A995A" w14:textId="6E2DBE90" w:rsidR="00C43448" w:rsidRPr="00C43448" w:rsidRDefault="00C43448" w:rsidP="005D1C6E">
      <w:pPr>
        <w:spacing w:after="240"/>
        <w:rPr>
          <w:rFonts w:ascii="Calibri" w:eastAsia="PMingLiU" w:hAnsi="Calibri" w:cs="Times New Roman"/>
        </w:rPr>
      </w:pPr>
      <w:r w:rsidRPr="00C43448">
        <w:rPr>
          <w:rFonts w:ascii="Calibri" w:eastAsia="PMingLiU" w:hAnsi="Calibri" w:cs="Times New Roman"/>
        </w:rPr>
        <w:t>Additionally, the Applicant asserts that one of its top priorities is to improve access to ambulatory services for patients. With the addition of MRMC to the Applicant’s system, MR</w:t>
      </w:r>
      <w:r w:rsidR="00265B00">
        <w:rPr>
          <w:rFonts w:ascii="Calibri" w:eastAsia="PMingLiU" w:hAnsi="Calibri" w:cs="Times New Roman"/>
        </w:rPr>
        <w:t>M</w:t>
      </w:r>
      <w:r w:rsidRPr="00C43448">
        <w:rPr>
          <w:rFonts w:ascii="Calibri" w:eastAsia="PMingLiU" w:hAnsi="Calibri" w:cs="Times New Roman"/>
        </w:rPr>
        <w:t>C’s patients will gain greater access to ambulatory services and allow them to retain care at the local level. Both UMMHC and MRMC participate in value-based programs. The ability to keep health care at the clinically appropriate level of care within the UMMHC system</w:t>
      </w:r>
      <w:r w:rsidR="005E25B0">
        <w:rPr>
          <w:rFonts w:ascii="Calibri" w:eastAsia="PMingLiU" w:hAnsi="Calibri" w:cs="Times New Roman"/>
        </w:rPr>
        <w:t>’s network</w:t>
      </w:r>
      <w:r w:rsidRPr="00C43448">
        <w:rPr>
          <w:rFonts w:ascii="Calibri" w:eastAsia="PMingLiU" w:hAnsi="Calibri" w:cs="Times New Roman"/>
        </w:rPr>
        <w:t xml:space="preserve"> means that the total medical expense for those patients may be reduced through better coordinated care. This is better for patients and better for the financial success of value-based programs because it reduces unnecessary emergency department usage, readmissions, and the overall cost of care.</w:t>
      </w:r>
    </w:p>
    <w:bookmarkEnd w:id="63"/>
    <w:p w14:paraId="56E4235C" w14:textId="43BE4F55" w:rsidR="00C43448" w:rsidRPr="00C43448" w:rsidRDefault="00863E19" w:rsidP="7974A61C">
      <w:pPr>
        <w:spacing w:before="240" w:after="240"/>
        <w:rPr>
          <w:rFonts w:ascii="Calibri" w:eastAsia="PMingLiU" w:hAnsi="Calibri" w:cs="Times New Roman"/>
          <w:b/>
          <w:bCs/>
          <w:i/>
          <w:iCs/>
        </w:rPr>
      </w:pPr>
      <w:r w:rsidRPr="7974A61C">
        <w:rPr>
          <w:rFonts w:ascii="Calibri" w:eastAsia="PMingLiU" w:hAnsi="Calibri" w:cs="Times New Roman"/>
          <w:b/>
          <w:bCs/>
          <w:i/>
          <w:iCs/>
        </w:rPr>
        <w:t>Analysis</w:t>
      </w:r>
    </w:p>
    <w:p w14:paraId="79D4111B" w14:textId="2DB52593" w:rsidR="00E255D1" w:rsidRPr="00AC0EA6" w:rsidRDefault="00863E19" w:rsidP="005D1C6E">
      <w:pPr>
        <w:contextualSpacing/>
        <w:rPr>
          <w:bCs/>
          <w:iCs/>
        </w:rPr>
      </w:pPr>
      <w:r w:rsidRPr="779763D6">
        <w:t>Staff notes that in Fiscal Year 2022 UMMHC had 7.5% of all Massachusetts Acute Care Hospital Inpatient Discharges.</w:t>
      </w:r>
      <w:r w:rsidRPr="779763D6">
        <w:rPr>
          <w:vertAlign w:val="superscript"/>
        </w:rPr>
        <w:endnoteReference w:id="18"/>
      </w:r>
      <w:r w:rsidRPr="779763D6">
        <w:t xml:space="preserve"> Milford Regional Health Care had 1.4% of all Massachusetts Acute Care Hospital Inpatient Discharges. As such any increase in market </w:t>
      </w:r>
      <w:r w:rsidR="00F85ED4" w:rsidRPr="779763D6">
        <w:t xml:space="preserve">share </w:t>
      </w:r>
      <w:r w:rsidRPr="779763D6">
        <w:t>(which is not cumulative since there may be overlap in the patients at the Applicant’s facilities) is likely to allow the Applicant and its proposed new affiliate to remain competitive within the central Massachusetts service area</w:t>
      </w:r>
      <w:r w:rsidR="00F85ED4" w:rsidRPr="779763D6">
        <w:t xml:space="preserve"> without a significant price impact</w:t>
      </w:r>
      <w:r w:rsidR="00B83E5E">
        <w:rPr>
          <w:bCs/>
          <w:iCs/>
        </w:rPr>
        <w:t xml:space="preserve"> </w:t>
      </w:r>
      <w:r w:rsidR="009F5BD4" w:rsidRPr="779763D6">
        <w:t xml:space="preserve">on TME given that both providers are among the lowest cost providers in their </w:t>
      </w:r>
      <w:proofErr w:type="gramStart"/>
      <w:r w:rsidR="009F5BD4" w:rsidRPr="779763D6">
        <w:t>Hospital</w:t>
      </w:r>
      <w:proofErr w:type="gramEnd"/>
      <w:r w:rsidR="009F5BD4" w:rsidRPr="779763D6">
        <w:t xml:space="preserve"> cohort.</w:t>
      </w:r>
      <w:r w:rsidRPr="00AC0EA6">
        <w:rPr>
          <w:bCs/>
          <w:iCs/>
        </w:rPr>
        <w:t xml:space="preserve"> </w:t>
      </w:r>
    </w:p>
    <w:p w14:paraId="753464F1" w14:textId="77777777" w:rsidR="00764C52" w:rsidRDefault="00764C52" w:rsidP="005D1C6E"/>
    <w:p w14:paraId="34627538" w14:textId="12D149CA" w:rsidR="009A050C" w:rsidRPr="009A050C" w:rsidRDefault="009A050C" w:rsidP="005D1C6E">
      <w:pPr>
        <w:rPr>
          <w:b/>
          <w:bCs/>
          <w:i/>
          <w:iCs/>
        </w:rPr>
      </w:pPr>
      <w:r w:rsidRPr="009A050C">
        <w:rPr>
          <w:b/>
          <w:bCs/>
          <w:i/>
          <w:iCs/>
        </w:rPr>
        <w:t>Factor 1 Summary Analysis</w:t>
      </w:r>
    </w:p>
    <w:p w14:paraId="15AD3CFB" w14:textId="5397715E" w:rsidR="009A050C" w:rsidRPr="009A050C" w:rsidRDefault="009A050C" w:rsidP="005D1C6E"/>
    <w:p w14:paraId="29DFAD73" w14:textId="0CA5DEE0" w:rsidR="005D3A9E" w:rsidRPr="00AC0EA6" w:rsidRDefault="00F85ED4" w:rsidP="009F5BD4">
      <w:pPr>
        <w:rPr>
          <w:rFonts w:ascii="Calibri" w:eastAsia="Garamond" w:hAnsi="Calibri" w:cs="Calibri"/>
        </w:rPr>
      </w:pPr>
      <w:r>
        <w:t>The Applicant described the importance to the Milford Service area of securing the financial viability of MR</w:t>
      </w:r>
      <w:r w:rsidR="0085262F">
        <w:t>M</w:t>
      </w:r>
      <w:r>
        <w:t>C so that the full spectrum of acute and non-acute care services can be maintained.</w:t>
      </w:r>
      <w:r w:rsidR="009F5BD4">
        <w:t xml:space="preserve"> </w:t>
      </w:r>
      <w:r w:rsidR="009B65D3">
        <w:t>In Factor 1(b), t</w:t>
      </w:r>
      <w:r w:rsidR="009F5BD4">
        <w:t>he</w:t>
      </w:r>
      <w:r w:rsidR="009B65D3">
        <w:t xml:space="preserve"> Applicant</w:t>
      </w:r>
      <w:r w:rsidR="009F5BD4">
        <w:t xml:space="preserve"> cited evidence that when access to local care is diminished those covered by Medicare, MassHealth, or other government programs, who are more likely to rely on locally based care</w:t>
      </w:r>
      <w:r w:rsidR="008E27DB">
        <w:t>,</w:t>
      </w:r>
      <w:r w:rsidR="009F5BD4">
        <w:t xml:space="preserve"> are disproportionately impacted. </w:t>
      </w:r>
      <w:r w:rsidR="2E7B9C6B">
        <w:t>Staff finds that the Proposed Project will</w:t>
      </w:r>
      <w:r w:rsidR="005D3A9E">
        <w:t xml:space="preserve"> </w:t>
      </w:r>
      <w:r w:rsidR="005D3A9E" w:rsidRPr="6CE004FB">
        <w:rPr>
          <w:rFonts w:ascii="Calibri" w:eastAsia="Garamond" w:hAnsi="Calibri" w:cs="Calibri"/>
        </w:rPr>
        <w:t>secure the financial viability of MR</w:t>
      </w:r>
      <w:r w:rsidR="0085262F">
        <w:rPr>
          <w:rFonts w:ascii="Calibri" w:eastAsia="Garamond" w:hAnsi="Calibri" w:cs="Calibri"/>
        </w:rPr>
        <w:t>M</w:t>
      </w:r>
      <w:r w:rsidR="005D3A9E" w:rsidRPr="6CE004FB">
        <w:rPr>
          <w:rFonts w:ascii="Calibri" w:eastAsia="Garamond" w:hAnsi="Calibri" w:cs="Calibri"/>
        </w:rPr>
        <w:t xml:space="preserve">C so that access to local care and to specialty services can be maintained for the </w:t>
      </w:r>
      <w:r w:rsidR="00713D5E" w:rsidRPr="6CE004FB">
        <w:rPr>
          <w:rFonts w:ascii="Calibri" w:eastAsia="Garamond" w:hAnsi="Calibri" w:cs="Calibri"/>
        </w:rPr>
        <w:t>Patient Panel of MR</w:t>
      </w:r>
      <w:r w:rsidR="0085262F">
        <w:rPr>
          <w:rFonts w:ascii="Calibri" w:eastAsia="Garamond" w:hAnsi="Calibri" w:cs="Calibri"/>
        </w:rPr>
        <w:t>M</w:t>
      </w:r>
      <w:r w:rsidR="00713D5E" w:rsidRPr="6CE004FB">
        <w:rPr>
          <w:rFonts w:ascii="Calibri" w:eastAsia="Garamond" w:hAnsi="Calibri" w:cs="Calibri"/>
        </w:rPr>
        <w:t>C.</w:t>
      </w:r>
      <w:r w:rsidR="009F5BD4" w:rsidRPr="6CE004FB">
        <w:rPr>
          <w:rFonts w:ascii="Calibri" w:eastAsia="Garamond" w:hAnsi="Calibri" w:cs="Calibri"/>
        </w:rPr>
        <w:t xml:space="preserve"> </w:t>
      </w:r>
    </w:p>
    <w:p w14:paraId="6F9A47F8" w14:textId="77777777" w:rsidR="005D3A9E" w:rsidRPr="00AC0EA6" w:rsidRDefault="005D3A9E" w:rsidP="005D1C6E"/>
    <w:p w14:paraId="5A354BE7" w14:textId="5947BA41" w:rsidR="00140989" w:rsidRPr="00AC0EA6" w:rsidRDefault="002D535F" w:rsidP="005D1C6E">
      <w:r w:rsidRPr="00AC0EA6">
        <w:t xml:space="preserve">As a result of </w:t>
      </w:r>
      <w:r w:rsidR="0088421A" w:rsidRPr="00AC0EA6">
        <w:t xml:space="preserve">the </w:t>
      </w:r>
      <w:r w:rsidRPr="00AC0EA6">
        <w:t>information provided by the Applicant and additional analysis, staf</w:t>
      </w:r>
      <w:r w:rsidR="00D07308" w:rsidRPr="00AC0EA6">
        <w:t xml:space="preserve">f finds </w:t>
      </w:r>
      <w:r w:rsidR="0014242D" w:rsidRPr="00AC0EA6">
        <w:t>tha</w:t>
      </w:r>
      <w:r w:rsidR="00562778" w:rsidRPr="00AC0EA6">
        <w:t xml:space="preserve">t </w:t>
      </w:r>
      <w:r w:rsidRPr="00AC0EA6">
        <w:t xml:space="preserve">the Applicant has demonstrated that the Proposed Project </w:t>
      </w:r>
      <w:r w:rsidR="00251229" w:rsidRPr="00AC0EA6">
        <w:t>meets</w:t>
      </w:r>
      <w:r w:rsidRPr="00AC0EA6">
        <w:t xml:space="preserve"> Factor 1(a-f).</w:t>
      </w:r>
    </w:p>
    <w:bookmarkEnd w:id="64"/>
    <w:p w14:paraId="3020A853" w14:textId="77777777" w:rsidR="00471349" w:rsidRDefault="00471349" w:rsidP="005D1C6E">
      <w:pPr>
        <w:pStyle w:val="Heading1"/>
        <w:spacing w:before="0" w:line="240" w:lineRule="auto"/>
        <w:rPr>
          <w:rFonts w:asciiTheme="minorHAnsi" w:hAnsiTheme="minorHAnsi" w:cstheme="minorHAnsi"/>
        </w:rPr>
      </w:pPr>
    </w:p>
    <w:p w14:paraId="36BC3E73" w14:textId="4CA9885F" w:rsidR="002D535F" w:rsidRDefault="00664406" w:rsidP="6CE004FB">
      <w:pPr>
        <w:pStyle w:val="Heading1"/>
        <w:spacing w:before="0" w:line="240" w:lineRule="auto"/>
        <w:rPr>
          <w:rFonts w:asciiTheme="minorHAnsi" w:hAnsiTheme="minorHAnsi" w:cstheme="minorBidi"/>
        </w:rPr>
      </w:pPr>
      <w:bookmarkStart w:id="65" w:name="_Toc157428834"/>
      <w:bookmarkStart w:id="66" w:name="_Toc169264792"/>
      <w:r w:rsidRPr="6CE004FB">
        <w:rPr>
          <w:rFonts w:asciiTheme="minorHAnsi" w:hAnsiTheme="minorHAnsi" w:cstheme="minorBidi"/>
        </w:rPr>
        <w:t>Factor</w:t>
      </w:r>
      <w:r w:rsidR="002D535F" w:rsidRPr="6CE004FB">
        <w:rPr>
          <w:rFonts w:asciiTheme="minorHAnsi" w:hAnsiTheme="minorHAnsi" w:cstheme="minorBidi"/>
        </w:rPr>
        <w:t xml:space="preserve"> 2: Cost </w:t>
      </w:r>
      <w:r w:rsidR="00471349" w:rsidRPr="6CE004FB">
        <w:rPr>
          <w:rFonts w:asciiTheme="minorHAnsi" w:hAnsiTheme="minorHAnsi" w:cstheme="minorBidi"/>
        </w:rPr>
        <w:t>C</w:t>
      </w:r>
      <w:r w:rsidR="002D535F" w:rsidRPr="6CE004FB">
        <w:rPr>
          <w:rFonts w:asciiTheme="minorHAnsi" w:hAnsiTheme="minorHAnsi" w:cstheme="minorBidi"/>
        </w:rPr>
        <w:t>ontainment, Improved Public Health Outcomes and Delivery System Transformation</w:t>
      </w:r>
      <w:bookmarkEnd w:id="65"/>
      <w:bookmarkEnd w:id="66"/>
      <w:r w:rsidR="006839DB" w:rsidRPr="6CE004FB">
        <w:rPr>
          <w:rFonts w:asciiTheme="minorHAnsi" w:hAnsiTheme="minorHAnsi" w:cstheme="minorBidi"/>
        </w:rPr>
        <w:t xml:space="preserve"> </w:t>
      </w:r>
    </w:p>
    <w:p w14:paraId="44B4C547" w14:textId="66010C02" w:rsidR="00794127" w:rsidRDefault="00794127" w:rsidP="00794127"/>
    <w:p w14:paraId="1AA1E61E" w14:textId="77777777" w:rsidR="0048789D" w:rsidRPr="00174F97" w:rsidRDefault="004A2DCA" w:rsidP="00174F97">
      <w:pPr>
        <w:spacing w:after="240"/>
        <w:rPr>
          <w:rFonts w:eastAsia="Calibri"/>
          <w:b/>
          <w:bCs/>
        </w:rPr>
      </w:pPr>
      <w:r w:rsidRPr="00174F97">
        <w:rPr>
          <w:rFonts w:eastAsia="Calibri"/>
          <w:b/>
          <w:bCs/>
        </w:rPr>
        <w:t>Cost Containment</w:t>
      </w:r>
    </w:p>
    <w:p w14:paraId="6FE167F6" w14:textId="6983A498" w:rsidR="00D21191" w:rsidRPr="00174F97" w:rsidRDefault="00D21191" w:rsidP="00174F97">
      <w:pPr>
        <w:spacing w:after="120"/>
        <w:rPr>
          <w:rFonts w:eastAsia="Calibri"/>
        </w:rPr>
      </w:pPr>
      <w:r w:rsidRPr="00174F97">
        <w:rPr>
          <w:rFonts w:eastAsia="Calibri"/>
        </w:rPr>
        <w:t>The Applicant asserts that the Proposed Affiliation is aligned with the Commonwealth’s goals for cost containment for the following reasons:</w:t>
      </w:r>
    </w:p>
    <w:p w14:paraId="355E30AB" w14:textId="77777777" w:rsidR="00D21191" w:rsidRPr="00174F97" w:rsidRDefault="00D21191" w:rsidP="00A50A54">
      <w:pPr>
        <w:numPr>
          <w:ilvl w:val="0"/>
          <w:numId w:val="6"/>
        </w:numPr>
        <w:spacing w:after="120"/>
        <w:rPr>
          <w:rFonts w:eastAsia="Calibri"/>
        </w:rPr>
      </w:pPr>
      <w:r w:rsidRPr="00174F97">
        <w:rPr>
          <w:rFonts w:eastAsia="Calibri"/>
        </w:rPr>
        <w:t>Both Parties’ TME is among the lowest in their hospital cohort,</w:t>
      </w:r>
    </w:p>
    <w:p w14:paraId="797DE3F6" w14:textId="77777777" w:rsidR="00D21191" w:rsidRPr="00174F97" w:rsidRDefault="00D21191" w:rsidP="00A50A54">
      <w:pPr>
        <w:numPr>
          <w:ilvl w:val="0"/>
          <w:numId w:val="6"/>
        </w:numPr>
        <w:spacing w:after="120"/>
        <w:rPr>
          <w:rFonts w:eastAsia="Calibri"/>
        </w:rPr>
      </w:pPr>
      <w:r w:rsidRPr="00174F97">
        <w:rPr>
          <w:rFonts w:eastAsia="Calibri"/>
        </w:rPr>
        <w:t xml:space="preserve">By providing long-term financial stability, the parties will benefit from investments that will enable better coordination of care which can lower the cost of </w:t>
      </w:r>
      <w:proofErr w:type="gramStart"/>
      <w:r w:rsidRPr="00174F97">
        <w:rPr>
          <w:rFonts w:eastAsia="Calibri"/>
        </w:rPr>
        <w:t>care</w:t>
      </w:r>
      <w:proofErr w:type="gramEnd"/>
    </w:p>
    <w:p w14:paraId="6D9F5E62" w14:textId="0F3C42DE" w:rsidR="00D21191" w:rsidRPr="00174F97" w:rsidRDefault="00D21191" w:rsidP="00A50A54">
      <w:pPr>
        <w:numPr>
          <w:ilvl w:val="0"/>
          <w:numId w:val="6"/>
        </w:numPr>
        <w:spacing w:after="120"/>
        <w:rPr>
          <w:rFonts w:eastAsia="Calibri"/>
        </w:rPr>
      </w:pPr>
      <w:r w:rsidRPr="779763D6">
        <w:rPr>
          <w:rFonts w:eastAsia="Calibri"/>
        </w:rPr>
        <w:t xml:space="preserve">By improving communication and coordination of care, </w:t>
      </w:r>
      <w:r w:rsidR="005D1C6E" w:rsidRPr="779763D6">
        <w:rPr>
          <w:rFonts w:eastAsia="Calibri"/>
        </w:rPr>
        <w:t>value-based</w:t>
      </w:r>
      <w:r w:rsidRPr="779763D6">
        <w:rPr>
          <w:rFonts w:eastAsia="Calibri"/>
        </w:rPr>
        <w:t xml:space="preserve"> programs may</w:t>
      </w:r>
      <w:r w:rsidR="00E75566" w:rsidRPr="779763D6">
        <w:rPr>
          <w:rFonts w:eastAsia="Calibri"/>
        </w:rPr>
        <w:t xml:space="preserve"> be</w:t>
      </w:r>
      <w:r w:rsidRPr="779763D6">
        <w:rPr>
          <w:rFonts w:eastAsia="Calibri"/>
        </w:rPr>
        <w:t xml:space="preserve"> </w:t>
      </w:r>
      <w:proofErr w:type="gramStart"/>
      <w:r w:rsidRPr="779763D6">
        <w:rPr>
          <w:rFonts w:eastAsia="Calibri"/>
        </w:rPr>
        <w:t>enhanced</w:t>
      </w:r>
      <w:proofErr w:type="gramEnd"/>
    </w:p>
    <w:p w14:paraId="15F4C5EC" w14:textId="675C6BBF" w:rsidR="00D21191" w:rsidRPr="00174F97" w:rsidRDefault="00D21191" w:rsidP="00174F97">
      <w:pPr>
        <w:spacing w:after="120"/>
        <w:rPr>
          <w:rFonts w:eastAsia="Calibri"/>
        </w:rPr>
      </w:pPr>
      <w:r w:rsidRPr="6CE004FB">
        <w:rPr>
          <w:rFonts w:eastAsia="Calibri"/>
        </w:rPr>
        <w:t xml:space="preserve">1)  The Proposed Affiliation is intended to preserve and strengthen cost effective, local care in the MRMC service area. It is anticipated that by enabling residents to continue to receive their care locally in Central Massachusetts, total medical expense (TME) will remain lower because patients will not need to seek care outside of their local community. As referenced in Factor 1(f) MRMC ranks among the lowest in TME </w:t>
      </w:r>
      <w:r w:rsidR="005D1C6E" w:rsidRPr="6CE004FB">
        <w:rPr>
          <w:rFonts w:eastAsia="Calibri"/>
        </w:rPr>
        <w:t xml:space="preserve">measures </w:t>
      </w:r>
      <w:r w:rsidRPr="6CE004FB">
        <w:rPr>
          <w:rFonts w:eastAsia="Calibri"/>
        </w:rPr>
        <w:t xml:space="preserve">among all community hospitals and as compared to the Boston area health care systems, UMMHC has lower TME. </w:t>
      </w:r>
    </w:p>
    <w:p w14:paraId="6A59ACFF" w14:textId="2794301D" w:rsidR="00D21191" w:rsidRPr="00174F97" w:rsidRDefault="00D21191" w:rsidP="00174F97">
      <w:pPr>
        <w:spacing w:after="120"/>
        <w:rPr>
          <w:rFonts w:eastAsia="Calibri"/>
        </w:rPr>
      </w:pPr>
      <w:r w:rsidRPr="00174F97">
        <w:rPr>
          <w:rFonts w:eastAsia="Calibri"/>
        </w:rPr>
        <w:t xml:space="preserve">2) As described in Factor 1, MRMC has had three consecutive fiscal years (FY21 to FY23) of negative operating margins that range from $11.9M to $15.3M, or 3.6% to 4.0%. If the Proposed Affiliation does not go forward, there is a substantial risk that MRMC will not be able to meet its debt covenants over time. Without this Proposed Affiliation, constraints resulting from insufficient funds including investments in maintaining plant and equipment, as well as health care services will </w:t>
      </w:r>
      <w:r w:rsidR="005D1C6E" w:rsidRPr="00174F97">
        <w:rPr>
          <w:rFonts w:eastAsia="Calibri"/>
        </w:rPr>
        <w:t xml:space="preserve">likely </w:t>
      </w:r>
      <w:r w:rsidRPr="00174F97">
        <w:rPr>
          <w:rFonts w:eastAsia="Calibri"/>
        </w:rPr>
        <w:t xml:space="preserve">occur. </w:t>
      </w:r>
    </w:p>
    <w:p w14:paraId="0D4EB0AB" w14:textId="046770A1" w:rsidR="00D21191" w:rsidRPr="00174F97" w:rsidRDefault="00D21191" w:rsidP="00174F97">
      <w:pPr>
        <w:spacing w:after="120"/>
        <w:rPr>
          <w:rFonts w:eastAsia="Calibri"/>
        </w:rPr>
      </w:pPr>
      <w:r w:rsidRPr="00174F97">
        <w:rPr>
          <w:rFonts w:eastAsia="Calibri"/>
        </w:rPr>
        <w:t xml:space="preserve">The Proposed Affiliation will provide MRMC with the long-term financial stability necessary </w:t>
      </w:r>
      <w:r w:rsidR="005D1C6E" w:rsidRPr="00174F97">
        <w:rPr>
          <w:rFonts w:eastAsia="Calibri"/>
        </w:rPr>
        <w:t xml:space="preserve">to </w:t>
      </w:r>
      <w:r w:rsidRPr="00174F97">
        <w:rPr>
          <w:rFonts w:eastAsia="Calibri"/>
        </w:rPr>
        <w:t xml:space="preserve">advance initiatives </w:t>
      </w:r>
      <w:r w:rsidR="005D1C6E" w:rsidRPr="00174F97">
        <w:rPr>
          <w:rFonts w:eastAsia="Calibri"/>
        </w:rPr>
        <w:t xml:space="preserve">that </w:t>
      </w:r>
      <w:r w:rsidRPr="00174F97">
        <w:rPr>
          <w:rFonts w:eastAsia="Calibri"/>
        </w:rPr>
        <w:t xml:space="preserve">contribute to the Commonwealth’s goals of cost containment, improved quality, and greater access to UMMHC cost saving initiatives as noted Factor 1(b), the improved management of patient care, along the full continuum of care, including tertiary and community level inpatient care, ambulatory and post-acute care, will be enhanced by providing patients greater coordination of care within the integrated UMMHC community. </w:t>
      </w:r>
    </w:p>
    <w:p w14:paraId="1EDC5788" w14:textId="4DF08C1A" w:rsidR="00D21191" w:rsidRPr="00174F97" w:rsidRDefault="00D21191" w:rsidP="00174F97">
      <w:pPr>
        <w:spacing w:after="120"/>
        <w:rPr>
          <w:rFonts w:eastAsia="Calibri"/>
        </w:rPr>
      </w:pPr>
      <w:r w:rsidRPr="00174F97">
        <w:rPr>
          <w:rFonts w:eastAsia="Calibri"/>
        </w:rPr>
        <w:t>3) The closer affiliation between UMMHC and MRMC will enable better communication and more coordinated care potentially reducing unnecessary emergency department usage, readmissions, and the overall cost of care which is better for the patients and better for the financial success of value-based programs</w:t>
      </w:r>
      <w:r w:rsidR="005D1C6E" w:rsidRPr="00174F97">
        <w:rPr>
          <w:rFonts w:eastAsia="Calibri"/>
        </w:rPr>
        <w:t xml:space="preserve"> as described in Factor 1(b).</w:t>
      </w:r>
    </w:p>
    <w:p w14:paraId="60C34AD7" w14:textId="5E03D8F4" w:rsidR="00794127" w:rsidRPr="00174F97" w:rsidRDefault="004A2DCA" w:rsidP="00174F97">
      <w:pPr>
        <w:rPr>
          <w:rFonts w:eastAsia="Calibri"/>
          <w:b/>
        </w:rPr>
      </w:pPr>
      <w:r w:rsidRPr="00174F97">
        <w:rPr>
          <w:rFonts w:eastAsia="Calibri"/>
          <w:b/>
        </w:rPr>
        <w:t>P</w:t>
      </w:r>
      <w:r w:rsidR="00794127" w:rsidRPr="00174F97">
        <w:rPr>
          <w:rFonts w:eastAsia="Calibri"/>
          <w:b/>
        </w:rPr>
        <w:t>ublic Health Outcomes</w:t>
      </w:r>
    </w:p>
    <w:p w14:paraId="6ED21576" w14:textId="77777777" w:rsidR="00B56E64" w:rsidRPr="00174F97" w:rsidRDefault="00B56E64" w:rsidP="00174F97">
      <w:pPr>
        <w:rPr>
          <w:rFonts w:eastAsia="Calibri"/>
          <w:bCs/>
        </w:rPr>
      </w:pPr>
    </w:p>
    <w:p w14:paraId="6722E938" w14:textId="4D3B2612" w:rsidR="00B56E64" w:rsidRPr="00174F97" w:rsidRDefault="43350519" w:rsidP="2840621B">
      <w:pPr>
        <w:spacing w:after="160"/>
        <w:rPr>
          <w:rFonts w:eastAsia="Aptos"/>
        </w:rPr>
      </w:pPr>
      <w:r w:rsidRPr="2840621B">
        <w:rPr>
          <w:rFonts w:eastAsia="Aptos"/>
        </w:rPr>
        <w:t xml:space="preserve">The Applicant notes that </w:t>
      </w:r>
      <w:r w:rsidR="31582F47" w:rsidRPr="2840621B">
        <w:rPr>
          <w:rFonts w:eastAsia="Aptos"/>
        </w:rPr>
        <w:t>w</w:t>
      </w:r>
      <w:r w:rsidR="00D21191" w:rsidRPr="2840621B">
        <w:rPr>
          <w:rFonts w:eastAsia="Aptos"/>
        </w:rPr>
        <w:t>hen care goes outside of UMMHC to Boston, or even Western Massachusetts, the care becomes fragmented, communication becomes difficult, information can be lost, and utilization is often increased unnecessarily (e.g., duplication of tests) and costs increase.</w:t>
      </w:r>
      <w:r w:rsidR="6CB187DB" w:rsidRPr="2840621B">
        <w:rPr>
          <w:rFonts w:eastAsia="Aptos"/>
        </w:rPr>
        <w:t xml:space="preserve"> With the Proposed Affiliation, care will remain within the service area within an integrated health system.</w:t>
      </w:r>
      <w:r w:rsidR="00D92CCC">
        <w:rPr>
          <w:rFonts w:eastAsia="Aptos"/>
        </w:rPr>
        <w:t xml:space="preserve"> </w:t>
      </w:r>
      <w:r w:rsidR="00D21191" w:rsidRPr="2840621B">
        <w:rPr>
          <w:rFonts w:eastAsia="Aptos"/>
        </w:rPr>
        <w:t>Failure to meet aforementioned debt covenants will likely lead to reductions in public health value through decreased access to necessary medical services in the MRMC service area negatively impacting the health of the Milford community.</w:t>
      </w:r>
      <w:r w:rsidR="009B65D3" w:rsidRPr="2840621B">
        <w:rPr>
          <w:rFonts w:eastAsia="Aptos"/>
        </w:rPr>
        <w:t xml:space="preserve"> </w:t>
      </w:r>
    </w:p>
    <w:p w14:paraId="4558EB66" w14:textId="15ACCFF8" w:rsidR="00B56E64" w:rsidRPr="00174F97" w:rsidRDefault="1D9E7450" w:rsidP="2840621B">
      <w:pPr>
        <w:spacing w:after="160"/>
        <w:rPr>
          <w:rFonts w:eastAsia="Calibri"/>
        </w:rPr>
      </w:pPr>
      <w:r w:rsidRPr="2840621B">
        <w:rPr>
          <w:rFonts w:eastAsia="Aptos"/>
        </w:rPr>
        <w:t xml:space="preserve">The </w:t>
      </w:r>
      <w:r w:rsidR="73D93E13" w:rsidRPr="2840621B">
        <w:rPr>
          <w:rFonts w:eastAsia="Aptos"/>
        </w:rPr>
        <w:t>Proposed Affiliation is expected to improve health outcomes by retaining and strengthening high-quality, comprehensive services in the Milford service area.</w:t>
      </w:r>
      <w:r w:rsidR="078CFC6D" w:rsidRPr="2840621B">
        <w:rPr>
          <w:rFonts w:eastAsia="Aptos"/>
        </w:rPr>
        <w:t xml:space="preserve"> </w:t>
      </w:r>
      <w:r w:rsidR="73D93E13" w:rsidRPr="3BC6E168">
        <w:rPr>
          <w:rFonts w:eastAsia="Calibri"/>
        </w:rPr>
        <w:t>Through the Proposed Affiliation, t</w:t>
      </w:r>
      <w:r w:rsidR="72EF957B" w:rsidRPr="3BC6E168">
        <w:rPr>
          <w:rFonts w:eastAsia="Calibri"/>
        </w:rPr>
        <w:t>he parties anticipate that MRMC’s transition to UMMHC’s EHR system will improve MRMC’s ability to manage and coordinate patient care across the UMMHC system.</w:t>
      </w:r>
      <w:r w:rsidR="00B56E64" w:rsidRPr="3BC6E168">
        <w:rPr>
          <w:rFonts w:eastAsia="Calibri"/>
          <w:vertAlign w:val="superscript"/>
        </w:rPr>
        <w:footnoteReference w:id="42"/>
      </w:r>
      <w:r w:rsidR="72EF957B" w:rsidRPr="3BC6E168">
        <w:rPr>
          <w:rFonts w:eastAsia="Calibri"/>
        </w:rPr>
        <w:t xml:space="preserve"> </w:t>
      </w:r>
      <w:r w:rsidR="6C092D00" w:rsidRPr="3BC6E168">
        <w:rPr>
          <w:rFonts w:eastAsia="Calibri"/>
        </w:rPr>
        <w:t xml:space="preserve">This initiative </w:t>
      </w:r>
      <w:r w:rsidR="72EF957B" w:rsidRPr="3BC6E168">
        <w:rPr>
          <w:rFonts w:eastAsia="Calibri"/>
        </w:rPr>
        <w:t xml:space="preserve">is aligned with the government’s Healthy People 2030 twin objectives of increasing care access, and exchange of health information </w:t>
      </w:r>
      <w:r w:rsidR="6C092D00" w:rsidRPr="3BC6E168">
        <w:rPr>
          <w:rFonts w:eastAsia="Calibri"/>
        </w:rPr>
        <w:t>among</w:t>
      </w:r>
      <w:r w:rsidR="72EF957B" w:rsidRPr="3BC6E168">
        <w:rPr>
          <w:rFonts w:eastAsia="Calibri"/>
        </w:rPr>
        <w:t xml:space="preserve"> hospitals.</w:t>
      </w:r>
      <w:r w:rsidR="00B56E64" w:rsidRPr="3BC6E168">
        <w:rPr>
          <w:rFonts w:eastAsia="Calibri"/>
          <w:vertAlign w:val="superscript"/>
        </w:rPr>
        <w:endnoteReference w:id="19"/>
      </w:r>
      <w:r w:rsidR="72EF957B" w:rsidRPr="3BC6E168">
        <w:rPr>
          <w:rFonts w:eastAsia="Calibri"/>
        </w:rPr>
        <w:t xml:space="preserve"> The Healthy People 2030 Health IT objectives generally focus on streamlining health IT systems in order to permit easier exchange of health information, which may result in improved health outcomes.</w:t>
      </w:r>
      <w:r w:rsidR="00B56E64" w:rsidRPr="3BC6E168">
        <w:rPr>
          <w:rFonts w:eastAsia="Calibri"/>
          <w:vertAlign w:val="superscript"/>
        </w:rPr>
        <w:footnoteReference w:id="43"/>
      </w:r>
    </w:p>
    <w:p w14:paraId="09FEA637" w14:textId="77777777" w:rsidR="00794127" w:rsidRPr="00174F97" w:rsidRDefault="00794127" w:rsidP="00174F97">
      <w:pPr>
        <w:rPr>
          <w:rFonts w:eastAsia="Calibri"/>
          <w:b/>
        </w:rPr>
      </w:pPr>
    </w:p>
    <w:p w14:paraId="23B221D8" w14:textId="606BF396" w:rsidR="00794127" w:rsidRPr="00174F97" w:rsidRDefault="00794127" w:rsidP="00174F97">
      <w:pPr>
        <w:tabs>
          <w:tab w:val="left" w:pos="720"/>
        </w:tabs>
        <w:rPr>
          <w:rFonts w:eastAsia="Calibri"/>
          <w:b/>
        </w:rPr>
      </w:pPr>
      <w:r w:rsidRPr="00174F97">
        <w:rPr>
          <w:rFonts w:eastAsia="Calibri"/>
          <w:b/>
        </w:rPr>
        <w:t>Delivery System Transformation</w:t>
      </w:r>
    </w:p>
    <w:p w14:paraId="48C36289" w14:textId="77777777" w:rsidR="00BA6C02" w:rsidRPr="00174F97" w:rsidRDefault="00BA6C02" w:rsidP="00174F97">
      <w:pPr>
        <w:tabs>
          <w:tab w:val="left" w:pos="720"/>
        </w:tabs>
        <w:rPr>
          <w:rFonts w:eastAsia="Calibri"/>
          <w:b/>
          <w:u w:val="single"/>
        </w:rPr>
      </w:pPr>
    </w:p>
    <w:p w14:paraId="217AC77E" w14:textId="77777777" w:rsidR="004D508A" w:rsidRPr="00174F97" w:rsidRDefault="00D21191" w:rsidP="00174F97">
      <w:pPr>
        <w:rPr>
          <w:rFonts w:eastAsia="Calibri"/>
        </w:rPr>
      </w:pPr>
      <w:r w:rsidRPr="00174F97">
        <w:rPr>
          <w:rFonts w:eastAsia="Calibri"/>
        </w:rPr>
        <w:t xml:space="preserve">The </w:t>
      </w:r>
      <w:r w:rsidR="007A046E" w:rsidRPr="00174F97">
        <w:rPr>
          <w:rFonts w:eastAsia="Calibri"/>
        </w:rPr>
        <w:t xml:space="preserve">Applicant asserts the </w:t>
      </w:r>
      <w:r w:rsidRPr="00174F97">
        <w:rPr>
          <w:rFonts w:eastAsia="Calibri"/>
        </w:rPr>
        <w:t>incorporation of social services and community-based expertise are critical to the achievement of the parties’ delivery system transformation objectives</w:t>
      </w:r>
      <w:r w:rsidR="007A046E" w:rsidRPr="00174F97">
        <w:rPr>
          <w:rFonts w:eastAsia="Calibri"/>
        </w:rPr>
        <w:t xml:space="preserve"> and </w:t>
      </w:r>
      <w:r w:rsidR="004D508A" w:rsidRPr="00174F97">
        <w:rPr>
          <w:rFonts w:eastAsia="Calibri"/>
        </w:rPr>
        <w:t>gives some examples of community initiatives undertaken systemwide and locally in Factor 1(b)</w:t>
      </w:r>
      <w:r w:rsidR="007A046E" w:rsidRPr="00174F97">
        <w:rPr>
          <w:rFonts w:eastAsia="Calibri"/>
        </w:rPr>
        <w:t xml:space="preserve">. </w:t>
      </w:r>
    </w:p>
    <w:p w14:paraId="10F29B67" w14:textId="77777777" w:rsidR="004D508A" w:rsidRPr="00174F97" w:rsidRDefault="004D508A" w:rsidP="00174F97">
      <w:pPr>
        <w:rPr>
          <w:rFonts w:eastAsia="Calibri"/>
        </w:rPr>
      </w:pPr>
    </w:p>
    <w:p w14:paraId="27CA1BB8" w14:textId="62E3B72F" w:rsidR="00D21191" w:rsidRPr="00174F97" w:rsidRDefault="00D21191" w:rsidP="00174F97">
      <w:pPr>
        <w:rPr>
          <w:rFonts w:eastAsia="Calibri"/>
        </w:rPr>
      </w:pPr>
      <w:r w:rsidRPr="00174F97">
        <w:rPr>
          <w:rFonts w:eastAsia="Calibri"/>
        </w:rPr>
        <w:t>UMMHC has adopted a multifaceted strategy that addresses SDOH as part of the care planning process.</w:t>
      </w:r>
      <w:r w:rsidR="004D508A" w:rsidRPr="00174F97">
        <w:rPr>
          <w:rFonts w:eastAsia="Calibri"/>
        </w:rPr>
        <w:t xml:space="preserve"> </w:t>
      </w:r>
      <w:r w:rsidRPr="00174F97">
        <w:rPr>
          <w:rFonts w:eastAsia="Calibri"/>
        </w:rPr>
        <w:t>For over five years, UMMHC has been screening patients for SDOH in ambulatory settings.</w:t>
      </w:r>
      <w:r w:rsidR="00E67A29">
        <w:rPr>
          <w:rFonts w:eastAsia="Calibri"/>
        </w:rPr>
        <w:t xml:space="preserve"> </w:t>
      </w:r>
      <w:r w:rsidRPr="00174F97">
        <w:rPr>
          <w:rFonts w:eastAsia="Calibri"/>
        </w:rPr>
        <w:t xml:space="preserve">This has been accomplished by UMMHC’s clinic staff asking patients SDOH questions while they are roomed. The percentage of patients screened by UMMHC ambulatory clinics has gradually increased, with 44.5% of UMMHC’s primary care patients screened during CY2024. Patients who are identified as having a health-related social need can access a user-friendly solution called </w:t>
      </w:r>
      <w:proofErr w:type="spellStart"/>
      <w:r w:rsidRPr="00174F97">
        <w:rPr>
          <w:rFonts w:eastAsia="Calibri"/>
        </w:rPr>
        <w:t>CommunityHelp</w:t>
      </w:r>
      <w:proofErr w:type="spellEnd"/>
      <w:r w:rsidRPr="00174F97">
        <w:rPr>
          <w:rFonts w:eastAsia="Calibri"/>
        </w:rPr>
        <w:t xml:space="preserve">, which is described in Factor 1(b). While </w:t>
      </w:r>
      <w:proofErr w:type="spellStart"/>
      <w:r w:rsidRPr="00174F97">
        <w:rPr>
          <w:rFonts w:eastAsia="Calibri"/>
        </w:rPr>
        <w:t>CommunityHelp</w:t>
      </w:r>
      <w:proofErr w:type="spellEnd"/>
      <w:r w:rsidRPr="00174F97">
        <w:rPr>
          <w:rFonts w:eastAsia="Calibri"/>
        </w:rPr>
        <w:t xml:space="preserve"> can be accessed from within the patient’s medical record, patients and community members can also search for resources themselves. </w:t>
      </w:r>
    </w:p>
    <w:p w14:paraId="03245A3F" w14:textId="77777777" w:rsidR="00D21191" w:rsidRPr="00174F97" w:rsidRDefault="00D21191" w:rsidP="00174F97">
      <w:pPr>
        <w:rPr>
          <w:rFonts w:eastAsia="Calibri"/>
        </w:rPr>
      </w:pPr>
    </w:p>
    <w:p w14:paraId="0C83138A" w14:textId="5A6A2480" w:rsidR="00D21191" w:rsidRPr="00174F97" w:rsidRDefault="00D21191" w:rsidP="00174F97">
      <w:pPr>
        <w:rPr>
          <w:rFonts w:eastAsia="Calibri"/>
        </w:rPr>
      </w:pPr>
      <w:r w:rsidRPr="00174F97">
        <w:rPr>
          <w:rFonts w:eastAsia="Calibri"/>
        </w:rPr>
        <w:t xml:space="preserve">In 2024, UMMHC plans to expand SDOH screening to all inpatients, as well as streamline workflows in the ambulatory setting </w:t>
      </w:r>
      <w:r w:rsidR="004D508A" w:rsidRPr="00174F97">
        <w:rPr>
          <w:rFonts w:eastAsia="Calibri"/>
        </w:rPr>
        <w:t xml:space="preserve">using </w:t>
      </w:r>
      <w:r w:rsidRPr="00174F97">
        <w:rPr>
          <w:rFonts w:eastAsia="Calibri"/>
        </w:rPr>
        <w:t xml:space="preserve">the Navigate Platform implemented by Get Well, whereby upon admission, patients will receive text messages encouraging them to complete a brief survey about their SDOH. If any SDOH are identified, Get Well will assist patients in navigating available resources that may help address their need for social services supports—either via a text or phone-based platform. In some cases, social workers and virtual community health workers may </w:t>
      </w:r>
      <w:r w:rsidR="004D508A" w:rsidRPr="00174F97">
        <w:rPr>
          <w:rFonts w:eastAsia="Calibri"/>
        </w:rPr>
        <w:t>to assist the</w:t>
      </w:r>
      <w:r w:rsidRPr="00174F97">
        <w:rPr>
          <w:rFonts w:eastAsia="Calibri"/>
        </w:rPr>
        <w:t xml:space="preserve"> patient </w:t>
      </w:r>
      <w:r w:rsidR="004D508A" w:rsidRPr="00174F97">
        <w:rPr>
          <w:rFonts w:eastAsia="Calibri"/>
        </w:rPr>
        <w:t>with</w:t>
      </w:r>
      <w:r w:rsidRPr="00174F97">
        <w:rPr>
          <w:rFonts w:eastAsia="Calibri"/>
        </w:rPr>
        <w:t xml:space="preserve"> identify</w:t>
      </w:r>
      <w:r w:rsidR="004D508A" w:rsidRPr="00174F97">
        <w:rPr>
          <w:rFonts w:eastAsia="Calibri"/>
        </w:rPr>
        <w:t>ing</w:t>
      </w:r>
      <w:r w:rsidRPr="00174F97">
        <w:rPr>
          <w:rFonts w:eastAsia="Calibri"/>
        </w:rPr>
        <w:t xml:space="preserve"> </w:t>
      </w:r>
      <w:r w:rsidR="009B65D3" w:rsidRPr="00174F97">
        <w:rPr>
          <w:rFonts w:eastAsia="Calibri"/>
        </w:rPr>
        <w:t xml:space="preserve">needed </w:t>
      </w:r>
      <w:r w:rsidRPr="00174F97">
        <w:rPr>
          <w:rFonts w:eastAsia="Calibri"/>
        </w:rPr>
        <w:t>services. These SDOH screening initiatives will be extended to MRMC’s ambulatory and inpatient patient populations to ensure that the MRMC patient</w:t>
      </w:r>
      <w:r w:rsidR="004D508A" w:rsidRPr="00174F97">
        <w:rPr>
          <w:rFonts w:eastAsia="Calibri"/>
        </w:rPr>
        <w:t xml:space="preserve">s </w:t>
      </w:r>
      <w:r w:rsidR="001377F3" w:rsidRPr="00174F97">
        <w:rPr>
          <w:rFonts w:eastAsia="Calibri"/>
        </w:rPr>
        <w:t>benefit</w:t>
      </w:r>
      <w:r w:rsidRPr="00174F97">
        <w:rPr>
          <w:rFonts w:eastAsia="Calibri"/>
        </w:rPr>
        <w:t xml:space="preserve"> from UMMHC’s collective experience and resources to help address SDOH in the MRMC community.</w:t>
      </w:r>
    </w:p>
    <w:p w14:paraId="58905D8C" w14:textId="16B07F14" w:rsidR="0037053A" w:rsidRPr="00174F97" w:rsidRDefault="0037053A" w:rsidP="00174F97">
      <w:pPr>
        <w:rPr>
          <w:rFonts w:eastAsia="Calibri"/>
        </w:rPr>
      </w:pPr>
    </w:p>
    <w:p w14:paraId="08B1F2AB" w14:textId="39475F2D" w:rsidR="002D535F" w:rsidRPr="00174F97" w:rsidRDefault="009A050C" w:rsidP="00174F97">
      <w:pPr>
        <w:contextualSpacing/>
        <w:rPr>
          <w:b/>
          <w:i/>
          <w:iCs/>
        </w:rPr>
      </w:pPr>
      <w:bookmarkStart w:id="67" w:name="_Toc17731330"/>
      <w:bookmarkStart w:id="68" w:name="_Toc17748250"/>
      <w:bookmarkStart w:id="69" w:name="_Toc17748477"/>
      <w:bookmarkStart w:id="70" w:name="_Toc17748721"/>
      <w:bookmarkStart w:id="71" w:name="_Toc18420200"/>
      <w:bookmarkStart w:id="72" w:name="_Toc18922421"/>
      <w:r w:rsidRPr="00174F97">
        <w:rPr>
          <w:b/>
          <w:i/>
          <w:iCs/>
        </w:rPr>
        <w:t xml:space="preserve">Factor 2 Summary </w:t>
      </w:r>
      <w:r w:rsidR="002D535F" w:rsidRPr="00174F97">
        <w:rPr>
          <w:b/>
          <w:i/>
          <w:iCs/>
        </w:rPr>
        <w:t>Analysis</w:t>
      </w:r>
      <w:r w:rsidR="00661459" w:rsidRPr="00174F97">
        <w:rPr>
          <w:b/>
          <w:i/>
          <w:iCs/>
        </w:rPr>
        <w:t xml:space="preserve"> </w:t>
      </w:r>
    </w:p>
    <w:p w14:paraId="131A8B75" w14:textId="5DE905FF" w:rsidR="00155601" w:rsidRPr="00174F97" w:rsidRDefault="00155601" w:rsidP="00174F97">
      <w:pPr>
        <w:pStyle w:val="Heading1"/>
        <w:spacing w:before="0" w:line="240" w:lineRule="auto"/>
        <w:rPr>
          <w:rFonts w:asciiTheme="minorHAnsi" w:hAnsiTheme="minorHAnsi" w:cstheme="minorHAnsi"/>
          <w:sz w:val="24"/>
          <w:szCs w:val="24"/>
        </w:rPr>
      </w:pPr>
      <w:bookmarkStart w:id="73" w:name="_Toc17748725"/>
      <w:bookmarkStart w:id="74" w:name="_Toc17748726"/>
      <w:bookmarkEnd w:id="67"/>
      <w:bookmarkEnd w:id="68"/>
      <w:bookmarkEnd w:id="69"/>
      <w:bookmarkEnd w:id="70"/>
      <w:bookmarkEnd w:id="71"/>
      <w:bookmarkEnd w:id="72"/>
    </w:p>
    <w:p w14:paraId="46E48EC0" w14:textId="605467F6" w:rsidR="004D508A" w:rsidRPr="00174F97" w:rsidRDefault="00D21191" w:rsidP="00174F97">
      <w:pPr>
        <w:tabs>
          <w:tab w:val="left" w:pos="3240"/>
        </w:tabs>
        <w:contextualSpacing/>
      </w:pPr>
      <w:r w:rsidRPr="00174F97">
        <w:t xml:space="preserve">Staff has summarized </w:t>
      </w:r>
      <w:r w:rsidR="004D508A" w:rsidRPr="00174F97">
        <w:t>a</w:t>
      </w:r>
      <w:r w:rsidRPr="00174F97">
        <w:t xml:space="preserve"> number of credible ways the Proposed Affiliation will maintain or reduce costs, improve public health value and lead to delivery system transformation that were described by the Applicant.</w:t>
      </w:r>
      <w:r w:rsidR="004D508A" w:rsidRPr="00174F97">
        <w:t xml:space="preserve"> As a result of the information provided by the Applicant and additional analysis, staff finds that the Applicant has demonstrated that the Proposed Project meets Factor</w:t>
      </w:r>
      <w:r w:rsidR="007D56AA" w:rsidRPr="00174F97">
        <w:t xml:space="preserve"> 2</w:t>
      </w:r>
    </w:p>
    <w:p w14:paraId="2F22143A" w14:textId="77777777" w:rsidR="004D508A" w:rsidRPr="007A57C4" w:rsidRDefault="004D508A" w:rsidP="005D1C6E">
      <w:pPr>
        <w:contextualSpacing/>
        <w:rPr>
          <w:rFonts w:ascii="Garamond" w:eastAsia="Calibri" w:hAnsi="Garamond"/>
          <w:bCs/>
        </w:rPr>
      </w:pPr>
    </w:p>
    <w:p w14:paraId="05CE3E66" w14:textId="77777777" w:rsidR="00A644DA" w:rsidRDefault="002D535F" w:rsidP="6CE004FB">
      <w:pPr>
        <w:pStyle w:val="Heading1"/>
        <w:spacing w:before="0" w:line="240" w:lineRule="auto"/>
        <w:contextualSpacing/>
        <w:rPr>
          <w:rFonts w:asciiTheme="minorHAnsi" w:hAnsiTheme="minorHAnsi" w:cstheme="minorBidi"/>
        </w:rPr>
      </w:pPr>
      <w:bookmarkStart w:id="75" w:name="_Toc157428835"/>
      <w:bookmarkStart w:id="76" w:name="_Toc169264793"/>
      <w:r w:rsidRPr="6CE004FB">
        <w:rPr>
          <w:rFonts w:asciiTheme="minorHAnsi" w:hAnsiTheme="minorHAnsi" w:cstheme="minorBidi"/>
        </w:rPr>
        <w:t>Factor 3: Relevant Licensure/Oversight Compliance</w:t>
      </w:r>
      <w:bookmarkEnd w:id="73"/>
      <w:bookmarkEnd w:id="75"/>
      <w:bookmarkEnd w:id="76"/>
      <w:r w:rsidR="008F1B14" w:rsidRPr="6CE004FB">
        <w:rPr>
          <w:rFonts w:asciiTheme="minorHAnsi" w:hAnsiTheme="minorHAnsi" w:cstheme="minorBidi"/>
        </w:rPr>
        <w:t xml:space="preserve"> </w:t>
      </w:r>
    </w:p>
    <w:p w14:paraId="0FD849BB" w14:textId="179D3A32" w:rsidR="00DE4CD3" w:rsidRPr="00A644DA" w:rsidRDefault="008F1B14" w:rsidP="00A644DA">
      <w:pPr>
        <w:pStyle w:val="Heading1"/>
        <w:spacing w:before="0" w:line="240" w:lineRule="auto"/>
        <w:contextualSpacing/>
        <w:rPr>
          <w:rFonts w:asciiTheme="minorHAnsi" w:hAnsiTheme="minorHAnsi" w:cstheme="minorHAnsi"/>
        </w:rPr>
      </w:pPr>
      <w:r>
        <w:t xml:space="preserve"> </w:t>
      </w:r>
    </w:p>
    <w:p w14:paraId="685EFDFE" w14:textId="564693CA" w:rsidR="002D535F" w:rsidRPr="008E54FA" w:rsidRDefault="5E2AB898" w:rsidP="005D1C6E">
      <w:pPr>
        <w:contextualSpacing/>
      </w:pPr>
      <w:r>
        <w:t xml:space="preserve">The Applicant has provided evidence of compliance and good standing with federal, state, and local laws and regulations and </w:t>
      </w:r>
      <w:r w:rsidR="4F1AAE1E">
        <w:t xml:space="preserve">this Factor </w:t>
      </w:r>
      <w:r>
        <w:t>will not be addressed further in this report. As a result of information provided by the Applicant, staff finds the Applicant has reasonably met the standards of Factor 3.</w:t>
      </w:r>
    </w:p>
    <w:p w14:paraId="32DEA9AD" w14:textId="3F7B5B4E" w:rsidR="468D1D2F" w:rsidRDefault="468D1D2F" w:rsidP="468D1D2F">
      <w:pPr>
        <w:contextualSpacing/>
      </w:pPr>
    </w:p>
    <w:p w14:paraId="07D92E1C" w14:textId="4F3B25DC" w:rsidR="18C24C20" w:rsidRDefault="18C24C20">
      <w:pPr>
        <w:contextualSpacing/>
      </w:pPr>
      <w:r>
        <w:t xml:space="preserve">The Applicant </w:t>
      </w:r>
      <w:proofErr w:type="gramStart"/>
      <w:r>
        <w:t>is in compliance with</w:t>
      </w:r>
      <w:proofErr w:type="gramEnd"/>
      <w:r>
        <w:t xml:space="preserve"> the Essential Services regulatory process outlined in the regul</w:t>
      </w:r>
      <w:r w:rsidR="7E2B0EE0">
        <w:t>ations</w:t>
      </w:r>
      <w:r w:rsidR="61EB0354">
        <w:t xml:space="preserve"> (</w:t>
      </w:r>
      <w:r w:rsidR="61EB0354" w:rsidRPr="468D1D2F">
        <w:rPr>
          <w:rFonts w:ascii="Arial" w:eastAsia="Arial" w:hAnsi="Arial" w:cs="Arial"/>
          <w:sz w:val="22"/>
          <w:szCs w:val="22"/>
        </w:rPr>
        <w:t>105 CMR 130.122).</w:t>
      </w:r>
    </w:p>
    <w:p w14:paraId="745D1D6C" w14:textId="77777777" w:rsidR="004E3B63" w:rsidRDefault="004E3B63" w:rsidP="005D1C6E">
      <w:pPr>
        <w:pStyle w:val="Heading1"/>
        <w:spacing w:before="0" w:line="240" w:lineRule="auto"/>
        <w:contextualSpacing/>
        <w:rPr>
          <w:rFonts w:ascii="Garamond" w:hAnsi="Garamond"/>
        </w:rPr>
      </w:pPr>
    </w:p>
    <w:p w14:paraId="1F42F715" w14:textId="543C854D" w:rsidR="002D535F" w:rsidRDefault="002D535F" w:rsidP="6CE004FB">
      <w:pPr>
        <w:pStyle w:val="Heading1"/>
        <w:spacing w:before="0" w:line="240" w:lineRule="auto"/>
        <w:contextualSpacing/>
        <w:rPr>
          <w:rFonts w:asciiTheme="minorHAnsi" w:hAnsiTheme="minorHAnsi" w:cstheme="minorBidi"/>
        </w:rPr>
      </w:pPr>
      <w:bookmarkStart w:id="77" w:name="_Toc157428836"/>
      <w:bookmarkStart w:id="78" w:name="_Toc169264794"/>
      <w:r w:rsidRPr="6CE004FB">
        <w:rPr>
          <w:rFonts w:asciiTheme="minorHAnsi" w:hAnsiTheme="minorHAnsi" w:cstheme="minorBidi"/>
        </w:rPr>
        <w:t>Factor 4: Demonstration of Sufficient Funds Independent CPA Analysis</w:t>
      </w:r>
      <w:bookmarkEnd w:id="74"/>
      <w:bookmarkEnd w:id="77"/>
      <w:bookmarkEnd w:id="78"/>
      <w:r w:rsidR="00983114" w:rsidRPr="6CE004FB">
        <w:rPr>
          <w:rFonts w:asciiTheme="minorHAnsi" w:hAnsiTheme="minorHAnsi" w:cstheme="minorBidi"/>
        </w:rPr>
        <w:t xml:space="preserve"> </w:t>
      </w:r>
    </w:p>
    <w:p w14:paraId="215ABF9D" w14:textId="77777777" w:rsidR="00A644DA" w:rsidRPr="00A644DA" w:rsidRDefault="00A644DA" w:rsidP="00A644DA"/>
    <w:p w14:paraId="1D5553DD" w14:textId="3C92AB9F" w:rsidR="00940CC4" w:rsidRPr="00174F97" w:rsidRDefault="00940CC4" w:rsidP="00174F97">
      <w:pPr>
        <w:spacing w:after="160"/>
        <w:rPr>
          <w:rFonts w:eastAsia="Aptos"/>
        </w:rPr>
      </w:pPr>
      <w:r w:rsidRPr="00174F97">
        <w:rPr>
          <w:rFonts w:eastAsia="Aptos"/>
        </w:rPr>
        <w:t>Under factor 4, the Applicant must demonstrate that it has sufficient funds available for capital and operating costs necessary to support the Proposed Project without negative effects or consequences to the existing Patient Panel. Documentation sufficient to make suc</w:t>
      </w:r>
      <w:r w:rsidR="001377F3" w:rsidRPr="00174F97">
        <w:rPr>
          <w:rFonts w:eastAsia="Aptos"/>
        </w:rPr>
        <w:t xml:space="preserve">h </w:t>
      </w:r>
      <w:r w:rsidR="00174F97" w:rsidRPr="00174F97">
        <w:rPr>
          <w:rFonts w:eastAsia="Aptos"/>
        </w:rPr>
        <w:t>a finding</w:t>
      </w:r>
      <w:r w:rsidRPr="00174F97">
        <w:rPr>
          <w:rFonts w:eastAsia="Aptos"/>
        </w:rPr>
        <w:t xml:space="preserve"> must be supported by an analysis by an independent CPA. </w:t>
      </w:r>
    </w:p>
    <w:p w14:paraId="6D7F0319" w14:textId="77777777" w:rsidR="00940CC4" w:rsidRPr="00174F97" w:rsidRDefault="00940CC4" w:rsidP="00174F97">
      <w:pPr>
        <w:spacing w:after="160"/>
        <w:rPr>
          <w:rFonts w:eastAsia="Aptos"/>
        </w:rPr>
      </w:pPr>
      <w:r w:rsidRPr="00174F97">
        <w:rPr>
          <w:rFonts w:eastAsia="Aptos"/>
        </w:rPr>
        <w:t xml:space="preserve">The CPA analysis included a review of numerous documents in order to form an opinion as to the reasonableness and feasibility of the projections regarding the Proposed Transfer of Ownership including: </w:t>
      </w:r>
    </w:p>
    <w:p w14:paraId="3CA6D0AA" w14:textId="77777777" w:rsidR="00940CC4" w:rsidRPr="00174F97" w:rsidRDefault="00940CC4" w:rsidP="00A50A54">
      <w:pPr>
        <w:numPr>
          <w:ilvl w:val="0"/>
          <w:numId w:val="5"/>
        </w:numPr>
        <w:rPr>
          <w:rFonts w:eastAsia="Aptos"/>
        </w:rPr>
      </w:pPr>
      <w:r w:rsidRPr="00174F97">
        <w:rPr>
          <w:rFonts w:eastAsia="Aptos"/>
        </w:rPr>
        <w:t xml:space="preserve">Financial Model for UMMHC &amp; MRMC both individually and combined from September 30, </w:t>
      </w:r>
      <w:proofErr w:type="gramStart"/>
      <w:r w:rsidRPr="00174F97">
        <w:rPr>
          <w:rFonts w:eastAsia="Aptos"/>
        </w:rPr>
        <w:t>2024</w:t>
      </w:r>
      <w:proofErr w:type="gramEnd"/>
      <w:r w:rsidRPr="00174F97">
        <w:rPr>
          <w:rFonts w:eastAsia="Aptos"/>
        </w:rPr>
        <w:t xml:space="preserve"> through September 30, 2029;</w:t>
      </w:r>
    </w:p>
    <w:p w14:paraId="669FE9E4" w14:textId="77777777" w:rsidR="00940CC4" w:rsidRPr="00174F97" w:rsidRDefault="00940CC4" w:rsidP="00A50A54">
      <w:pPr>
        <w:numPr>
          <w:ilvl w:val="0"/>
          <w:numId w:val="5"/>
        </w:numPr>
        <w:tabs>
          <w:tab w:val="num" w:pos="720"/>
        </w:tabs>
        <w:rPr>
          <w:rFonts w:eastAsia="Aptos"/>
        </w:rPr>
      </w:pPr>
      <w:r w:rsidRPr="00174F97">
        <w:rPr>
          <w:rFonts w:eastAsia="Aptos"/>
        </w:rPr>
        <w:t>Proposed FY’s 2023 and 2024 UMMHC Budget Presentation;</w:t>
      </w:r>
    </w:p>
    <w:p w14:paraId="1FDCAB65" w14:textId="77777777" w:rsidR="00940CC4" w:rsidRPr="00174F97" w:rsidRDefault="00940CC4" w:rsidP="00A50A54">
      <w:pPr>
        <w:numPr>
          <w:ilvl w:val="0"/>
          <w:numId w:val="5"/>
        </w:numPr>
        <w:tabs>
          <w:tab w:val="num" w:pos="720"/>
        </w:tabs>
        <w:rPr>
          <w:rFonts w:eastAsia="Aptos"/>
        </w:rPr>
      </w:pPr>
      <w:r w:rsidRPr="00174F97">
        <w:rPr>
          <w:rFonts w:eastAsia="Aptos"/>
        </w:rPr>
        <w:t xml:space="preserve">Audited FY’s 21-23 Financial Statements for both </w:t>
      </w:r>
      <w:bookmarkStart w:id="79" w:name="_Hlk57821392"/>
      <w:r w:rsidRPr="00174F97">
        <w:rPr>
          <w:rFonts w:eastAsia="Aptos"/>
        </w:rPr>
        <w:t xml:space="preserve">UMass Memorial Healthcare, Inc. </w:t>
      </w:r>
      <w:bookmarkEnd w:id="79"/>
      <w:r w:rsidRPr="00174F97">
        <w:rPr>
          <w:rFonts w:eastAsia="Aptos"/>
        </w:rPr>
        <w:t>and Milford Regional Medical Center, Inc.;</w:t>
      </w:r>
    </w:p>
    <w:p w14:paraId="6FA7F3D1" w14:textId="77777777" w:rsidR="00940CC4" w:rsidRPr="00174F97" w:rsidRDefault="00940CC4" w:rsidP="00A50A54">
      <w:pPr>
        <w:numPr>
          <w:ilvl w:val="0"/>
          <w:numId w:val="5"/>
        </w:numPr>
        <w:tabs>
          <w:tab w:val="num" w:pos="720"/>
        </w:tabs>
        <w:rPr>
          <w:rFonts w:eastAsia="Aptos"/>
        </w:rPr>
      </w:pPr>
      <w:r w:rsidRPr="00174F97">
        <w:rPr>
          <w:rFonts w:eastAsia="Aptos"/>
        </w:rPr>
        <w:t>Milford Savings Summary for FY 2025 prepared by Huron Consulting Group;</w:t>
      </w:r>
    </w:p>
    <w:p w14:paraId="194186A0" w14:textId="77777777" w:rsidR="00940CC4" w:rsidRPr="00174F97" w:rsidRDefault="00940CC4" w:rsidP="00A50A54">
      <w:pPr>
        <w:numPr>
          <w:ilvl w:val="0"/>
          <w:numId w:val="5"/>
        </w:numPr>
        <w:tabs>
          <w:tab w:val="num" w:pos="720"/>
        </w:tabs>
        <w:rPr>
          <w:rFonts w:eastAsia="Aptos"/>
        </w:rPr>
      </w:pPr>
      <w:r w:rsidRPr="00174F97">
        <w:rPr>
          <w:rFonts w:eastAsia="Aptos"/>
        </w:rPr>
        <w:t xml:space="preserve">Definitive Healthcare data; </w:t>
      </w:r>
    </w:p>
    <w:p w14:paraId="01D6589C" w14:textId="77777777" w:rsidR="00940CC4" w:rsidRPr="00174F97" w:rsidRDefault="00940CC4" w:rsidP="00A50A54">
      <w:pPr>
        <w:numPr>
          <w:ilvl w:val="0"/>
          <w:numId w:val="5"/>
        </w:numPr>
        <w:tabs>
          <w:tab w:val="num" w:pos="720"/>
        </w:tabs>
        <w:rPr>
          <w:rFonts w:eastAsia="Aptos"/>
        </w:rPr>
      </w:pPr>
      <w:r w:rsidRPr="00174F97">
        <w:rPr>
          <w:rFonts w:eastAsia="Aptos"/>
        </w:rPr>
        <w:t xml:space="preserve">Data obtained from Integra Information, A Division of </w:t>
      </w:r>
      <w:proofErr w:type="spellStart"/>
      <w:r w:rsidRPr="00174F97">
        <w:rPr>
          <w:rFonts w:eastAsia="Aptos"/>
        </w:rPr>
        <w:t>Microbilt</w:t>
      </w:r>
      <w:proofErr w:type="spellEnd"/>
      <w:r w:rsidRPr="00174F97">
        <w:rPr>
          <w:rFonts w:eastAsia="Aptos"/>
        </w:rPr>
        <w:t xml:space="preserve"> Corporation as of August 4, 2023; and, </w:t>
      </w:r>
    </w:p>
    <w:p w14:paraId="1711F9CB" w14:textId="77777777" w:rsidR="00940CC4" w:rsidRPr="00174F97" w:rsidRDefault="00940CC4" w:rsidP="00A50A54">
      <w:pPr>
        <w:numPr>
          <w:ilvl w:val="0"/>
          <w:numId w:val="5"/>
        </w:numPr>
        <w:tabs>
          <w:tab w:val="num" w:pos="720"/>
        </w:tabs>
        <w:rPr>
          <w:rFonts w:eastAsia="Aptos"/>
        </w:rPr>
      </w:pPr>
      <w:r w:rsidRPr="00174F97">
        <w:rPr>
          <w:rFonts w:eastAsia="Aptos"/>
        </w:rPr>
        <w:t>IBISWorld Industry Report, Hospitals in the US, dated November 2023.</w:t>
      </w:r>
    </w:p>
    <w:p w14:paraId="303244E6" w14:textId="1389F55D" w:rsidR="00940CC4" w:rsidRPr="00174F97" w:rsidRDefault="44C8D818" w:rsidP="00174F97">
      <w:pPr>
        <w:spacing w:before="240"/>
        <w:ind w:right="480"/>
        <w:rPr>
          <w:rFonts w:eastAsia="Aptos"/>
        </w:rPr>
      </w:pPr>
      <w:r w:rsidRPr="00174F97">
        <w:rPr>
          <w:rFonts w:eastAsia="Aptos"/>
        </w:rPr>
        <w:t>The CPA calculated standard financial ratios, reflecting profitability, liquidity, and solvency</w:t>
      </w:r>
      <w:r w:rsidR="00940CC4" w:rsidRPr="00174F97">
        <w:rPr>
          <w:rFonts w:eastAsia="Aptos"/>
          <w:vertAlign w:val="superscript"/>
        </w:rPr>
        <w:footnoteReference w:id="44"/>
      </w:r>
      <w:r w:rsidRPr="00174F97">
        <w:rPr>
          <w:rFonts w:eastAsia="Aptos"/>
        </w:rPr>
        <w:t xml:space="preserve"> of the forecasted operating results to market information from Integra Reports IBISWorld and Definitive Healthcare to assess the reasonableness of the Projections.</w:t>
      </w:r>
      <w:r w:rsidR="00940CC4" w:rsidRPr="00174F97">
        <w:rPr>
          <w:rFonts w:eastAsia="Aptos"/>
          <w:vertAlign w:val="superscript"/>
        </w:rPr>
        <w:footnoteReference w:id="45"/>
      </w:r>
      <w:r w:rsidRPr="00174F97">
        <w:rPr>
          <w:rFonts w:eastAsia="Aptos"/>
        </w:rPr>
        <w:t xml:space="preserve">  </w:t>
      </w:r>
    </w:p>
    <w:p w14:paraId="0AEEE481" w14:textId="700CA567" w:rsidR="00940CC4" w:rsidRPr="00174F97" w:rsidRDefault="44C8D818" w:rsidP="00174F97">
      <w:pPr>
        <w:spacing w:before="240" w:after="160"/>
        <w:rPr>
          <w:rFonts w:eastAsia="Aptos"/>
          <w:bCs/>
        </w:rPr>
      </w:pPr>
      <w:r w:rsidRPr="00174F97">
        <w:rPr>
          <w:rFonts w:eastAsia="Aptos"/>
          <w:b/>
          <w:bCs/>
        </w:rPr>
        <w:t>Revenues</w:t>
      </w:r>
      <w:r w:rsidR="00940CC4" w:rsidRPr="00174F97">
        <w:rPr>
          <w:rFonts w:eastAsia="Aptos"/>
          <w:vertAlign w:val="superscript"/>
        </w:rPr>
        <w:footnoteReference w:id="46"/>
      </w:r>
    </w:p>
    <w:p w14:paraId="09C0DEF7" w14:textId="3BC96199" w:rsidR="00940CC4" w:rsidRPr="00174F97" w:rsidRDefault="00940CC4" w:rsidP="00174F97">
      <w:pPr>
        <w:spacing w:after="160"/>
        <w:rPr>
          <w:rFonts w:eastAsia="Aptos"/>
        </w:rPr>
      </w:pPr>
      <w:r w:rsidRPr="00174F97">
        <w:rPr>
          <w:rFonts w:eastAsia="Aptos"/>
        </w:rPr>
        <w:t xml:space="preserve">Projected </w:t>
      </w:r>
      <w:r w:rsidR="009A050C" w:rsidRPr="00174F97">
        <w:rPr>
          <w:rFonts w:eastAsia="Aptos"/>
        </w:rPr>
        <w:t xml:space="preserve">net </w:t>
      </w:r>
      <w:r w:rsidRPr="00174F97">
        <w:rPr>
          <w:rFonts w:eastAsia="Aptos"/>
        </w:rPr>
        <w:t xml:space="preserve">patient service revenue for UMMHC is expected to grow by 12.9% in FY 2024 over FY 2023, and for FY’s 2025 and 2026 is projected to be 3.3% and 0.2%, respectively. For the remainder of the projection period (FY 2027 through FY 2029), </w:t>
      </w:r>
      <w:bookmarkStart w:id="80" w:name="_Hlk58239445"/>
      <w:r w:rsidRPr="00174F97">
        <w:rPr>
          <w:rFonts w:eastAsia="Aptos"/>
        </w:rPr>
        <w:t>Management projected nominal patient service revenue growth.</w:t>
      </w:r>
      <w:bookmarkStart w:id="81" w:name="_Hlk58008295"/>
      <w:r w:rsidRPr="00174F97">
        <w:rPr>
          <w:rFonts w:eastAsia="Aptos"/>
        </w:rPr>
        <w:t xml:space="preserve"> </w:t>
      </w:r>
      <w:bookmarkEnd w:id="80"/>
      <w:bookmarkEnd w:id="81"/>
      <w:r w:rsidRPr="00174F97">
        <w:rPr>
          <w:rFonts w:eastAsia="Aptos"/>
        </w:rPr>
        <w:t xml:space="preserve">Total operating revenue in FY 2024 for UMMHC represents 90.8% of the total combined operating revenue within the projections and is the basis for the projected revenue growth. In FY 2024 growth can be attributed to several factors including UMMHC's new computed tomography ("CT") project, along with the retention of higher acuity patients, and with a combination of volume and charge rate increases between 4.0%- 6.0%. Revenue growth in the recent and near term also relates to efficiency initiatives that UMMHC has implemented since FY 2018. One initiative is UMMHC’s ambulatory transformation which has helped the Applicant more efficiently utilize its existing clinical network and staff. Another is UMMHC’s implementation of a new electronic health record (“EHR”) system in FY2018-2019. As a result of UMMHC’s these and other operating improvement initiatives, the Applicant expects to be able to allocate patients with low acuity cases more efficiently and enable more senior physicians to focus on providing care to patients with higher acuity levels. </w:t>
      </w:r>
    </w:p>
    <w:p w14:paraId="56397865" w14:textId="5472D8B8" w:rsidR="00940CC4" w:rsidRPr="00174F97" w:rsidRDefault="00940CC4" w:rsidP="00174F97">
      <w:pPr>
        <w:spacing w:after="160"/>
        <w:rPr>
          <w:rFonts w:eastAsia="Aptos"/>
        </w:rPr>
      </w:pPr>
      <w:r w:rsidRPr="00174F97">
        <w:rPr>
          <w:rFonts w:eastAsia="Aptos"/>
        </w:rPr>
        <w:t>Milford’s revenue was expected to grow 3.1% in FY 2024 and 0.5% in FY 2025</w:t>
      </w:r>
      <w:r w:rsidR="00AB5472" w:rsidRPr="00174F97">
        <w:rPr>
          <w:rFonts w:eastAsia="Aptos"/>
        </w:rPr>
        <w:t>. F</w:t>
      </w:r>
      <w:r w:rsidRPr="00174F97">
        <w:rPr>
          <w:rFonts w:eastAsia="Aptos"/>
        </w:rPr>
        <w:t>or the remainder of the Projection Period (FY 2026 through FY 2029), Management projected nominal patient service revenue growth. The CPA notes</w:t>
      </w:r>
      <w:r w:rsidR="00AB5472" w:rsidRPr="00174F97">
        <w:rPr>
          <w:rFonts w:eastAsia="Aptos"/>
        </w:rPr>
        <w:t xml:space="preserve"> in Table</w:t>
      </w:r>
      <w:r w:rsidR="00A644DA" w:rsidRPr="00174F97">
        <w:rPr>
          <w:rFonts w:eastAsia="Aptos"/>
        </w:rPr>
        <w:t xml:space="preserve"> 10</w:t>
      </w:r>
      <w:r w:rsidRPr="00174F97">
        <w:rPr>
          <w:rFonts w:eastAsia="Aptos"/>
        </w:rPr>
        <w:t>, the combined total operating revenue growth for UMMHC and MRMC anticipated for FY 2024 is slightly above the FY 2021-23 compounded annual growth rate (“CAGR”)</w:t>
      </w:r>
      <w:r w:rsidR="009A050C" w:rsidRPr="00174F97">
        <w:rPr>
          <w:rFonts w:eastAsia="Aptos"/>
        </w:rPr>
        <w:t>;</w:t>
      </w:r>
      <w:r w:rsidRPr="00174F97">
        <w:rPr>
          <w:rFonts w:eastAsia="Aptos"/>
        </w:rPr>
        <w:t xml:space="preserve"> </w:t>
      </w:r>
      <w:r w:rsidR="009A050C" w:rsidRPr="00174F97">
        <w:rPr>
          <w:rFonts w:eastAsia="Aptos"/>
        </w:rPr>
        <w:t xml:space="preserve">and </w:t>
      </w:r>
      <w:r w:rsidRPr="00174F97">
        <w:rPr>
          <w:rFonts w:eastAsia="Aptos"/>
        </w:rPr>
        <w:t xml:space="preserve">the assumed nominal revenue growth beyond FY 2025 is based on Management’s consideration of changes in </w:t>
      </w:r>
      <w:r w:rsidR="00AB5472" w:rsidRPr="00174F97">
        <w:rPr>
          <w:rFonts w:eastAsia="Aptos"/>
        </w:rPr>
        <w:t>volume, not</w:t>
      </w:r>
      <w:r w:rsidRPr="00174F97">
        <w:rPr>
          <w:rFonts w:eastAsia="Aptos"/>
        </w:rPr>
        <w:t xml:space="preserve"> </w:t>
      </w:r>
      <w:r w:rsidR="00AB5472" w:rsidRPr="00174F97">
        <w:rPr>
          <w:rFonts w:eastAsia="Aptos"/>
        </w:rPr>
        <w:t xml:space="preserve">on </w:t>
      </w:r>
      <w:r w:rsidRPr="00174F97">
        <w:rPr>
          <w:rFonts w:eastAsia="Aptos"/>
        </w:rPr>
        <w:t xml:space="preserve">inflation or </w:t>
      </w:r>
      <w:r w:rsidR="00AB5472" w:rsidRPr="00174F97">
        <w:rPr>
          <w:rFonts w:eastAsia="Aptos"/>
        </w:rPr>
        <w:t xml:space="preserve">reimbursement </w:t>
      </w:r>
      <w:r w:rsidRPr="00174F97">
        <w:rPr>
          <w:rFonts w:eastAsia="Aptos"/>
        </w:rPr>
        <w:t>increases beyond FY 2025.</w:t>
      </w:r>
    </w:p>
    <w:p w14:paraId="4B3F9C24" w14:textId="026D62B4" w:rsidR="00A644DA" w:rsidRPr="00174F97" w:rsidRDefault="00A644DA" w:rsidP="00174F97">
      <w:pPr>
        <w:spacing w:after="160"/>
        <w:jc w:val="center"/>
        <w:rPr>
          <w:rFonts w:eastAsia="Aptos"/>
          <w:b/>
          <w:bCs/>
        </w:rPr>
      </w:pPr>
      <w:r w:rsidRPr="00174F97">
        <w:rPr>
          <w:rFonts w:eastAsia="Aptos"/>
          <w:b/>
          <w:bCs/>
        </w:rPr>
        <w:t xml:space="preserve">Table 10: </w:t>
      </w:r>
      <w:r w:rsidR="00265B00">
        <w:rPr>
          <w:rFonts w:eastAsia="Aptos"/>
          <w:b/>
          <w:bCs/>
        </w:rPr>
        <w:t xml:space="preserve">Combined </w:t>
      </w:r>
      <w:r w:rsidRPr="00174F97">
        <w:rPr>
          <w:rFonts w:eastAsia="Aptos"/>
          <w:b/>
          <w:bCs/>
        </w:rPr>
        <w:t>Revenue Growth Historical and Projected</w:t>
      </w:r>
      <w:r w:rsidR="00265B00">
        <w:rPr>
          <w:rFonts w:eastAsia="Aptos"/>
          <w:b/>
          <w:bCs/>
        </w:rPr>
        <w:t xml:space="preserve"> for UMMHC and MRMC</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1440"/>
        <w:gridCol w:w="2207"/>
        <w:gridCol w:w="1933"/>
        <w:gridCol w:w="1647"/>
        <w:gridCol w:w="2493"/>
      </w:tblGrid>
      <w:tr w:rsidR="00AB5472" w:rsidRPr="00174F97" w14:paraId="6C30612B" w14:textId="77777777" w:rsidTr="00A644DA">
        <w:trPr>
          <w:cantSplit/>
          <w:trHeight w:val="56"/>
        </w:trPr>
        <w:tc>
          <w:tcPr>
            <w:tcW w:w="1440" w:type="dxa"/>
            <w:vAlign w:val="center"/>
          </w:tcPr>
          <w:p w14:paraId="672FDACC" w14:textId="77777777" w:rsidR="00AB5472" w:rsidRPr="00174F97" w:rsidRDefault="00AB5472" w:rsidP="00174F97">
            <w:pPr>
              <w:rPr>
                <w:rFonts w:eastAsia="Aptos"/>
              </w:rPr>
            </w:pPr>
          </w:p>
        </w:tc>
        <w:tc>
          <w:tcPr>
            <w:tcW w:w="2207" w:type="dxa"/>
            <w:shd w:val="clear" w:color="auto" w:fill="E1F9FF"/>
            <w:vAlign w:val="center"/>
          </w:tcPr>
          <w:p w14:paraId="31E9A272" w14:textId="1D03F07C" w:rsidR="00AB5472" w:rsidRPr="00174F97" w:rsidRDefault="00AB5472" w:rsidP="00174F97">
            <w:pPr>
              <w:jc w:val="center"/>
              <w:rPr>
                <w:rFonts w:eastAsia="Aptos"/>
                <w:b/>
                <w:bCs/>
              </w:rPr>
            </w:pPr>
            <w:r w:rsidRPr="00174F97">
              <w:rPr>
                <w:rFonts w:eastAsia="Aptos"/>
                <w:b/>
                <w:bCs/>
              </w:rPr>
              <w:t>Annual Growth Range (FY 2021 –23)</w:t>
            </w:r>
          </w:p>
        </w:tc>
        <w:tc>
          <w:tcPr>
            <w:tcW w:w="1933" w:type="dxa"/>
            <w:shd w:val="clear" w:color="auto" w:fill="E1F9FF"/>
            <w:vAlign w:val="center"/>
          </w:tcPr>
          <w:p w14:paraId="3B2D76E0" w14:textId="77777777" w:rsidR="00AB5472" w:rsidRPr="00174F97" w:rsidRDefault="00AB5472" w:rsidP="00174F97">
            <w:pPr>
              <w:jc w:val="center"/>
              <w:rPr>
                <w:rFonts w:eastAsia="Aptos"/>
                <w:b/>
                <w:bCs/>
              </w:rPr>
            </w:pPr>
            <w:r w:rsidRPr="00174F97">
              <w:rPr>
                <w:rFonts w:eastAsia="Aptos"/>
                <w:b/>
                <w:bCs/>
              </w:rPr>
              <w:t>CAGR</w:t>
            </w:r>
          </w:p>
          <w:p w14:paraId="6B09BD30" w14:textId="5A364132" w:rsidR="00AB5472" w:rsidRPr="00174F97" w:rsidRDefault="00AB5472" w:rsidP="00174F97">
            <w:pPr>
              <w:jc w:val="center"/>
              <w:rPr>
                <w:rFonts w:eastAsia="Aptos"/>
                <w:b/>
                <w:bCs/>
              </w:rPr>
            </w:pPr>
            <w:r w:rsidRPr="00174F97">
              <w:rPr>
                <w:rFonts w:eastAsia="Aptos"/>
                <w:b/>
                <w:bCs/>
              </w:rPr>
              <w:t>(FY 2021 – 2023)</w:t>
            </w:r>
          </w:p>
        </w:tc>
        <w:tc>
          <w:tcPr>
            <w:tcW w:w="1647" w:type="dxa"/>
            <w:shd w:val="clear" w:color="auto" w:fill="E1F9FF"/>
            <w:vAlign w:val="center"/>
          </w:tcPr>
          <w:p w14:paraId="6FABC91B" w14:textId="6E70027D" w:rsidR="00AB5472" w:rsidRPr="00174F97" w:rsidRDefault="00AB5472" w:rsidP="00174F97">
            <w:pPr>
              <w:jc w:val="center"/>
              <w:rPr>
                <w:rFonts w:eastAsia="Aptos"/>
                <w:b/>
                <w:bCs/>
              </w:rPr>
            </w:pPr>
            <w:r w:rsidRPr="00174F97">
              <w:rPr>
                <w:rFonts w:eastAsia="Aptos"/>
                <w:b/>
                <w:bCs/>
              </w:rPr>
              <w:t>FY 2024 Growth</w:t>
            </w:r>
          </w:p>
        </w:tc>
        <w:tc>
          <w:tcPr>
            <w:tcW w:w="2493" w:type="dxa"/>
            <w:shd w:val="clear" w:color="auto" w:fill="E1F9FF"/>
            <w:vAlign w:val="center"/>
          </w:tcPr>
          <w:p w14:paraId="2C4EF597" w14:textId="5A1C61C1" w:rsidR="00AB5472" w:rsidRPr="00174F97" w:rsidRDefault="00AB5472" w:rsidP="00174F97">
            <w:pPr>
              <w:jc w:val="center"/>
              <w:rPr>
                <w:rFonts w:eastAsia="Aptos"/>
                <w:b/>
                <w:bCs/>
              </w:rPr>
            </w:pPr>
            <w:r w:rsidRPr="00174F97">
              <w:rPr>
                <w:rFonts w:eastAsia="Aptos"/>
                <w:b/>
                <w:bCs/>
              </w:rPr>
              <w:t>Annual Growth Range (FY 2025-29)</w:t>
            </w:r>
          </w:p>
        </w:tc>
      </w:tr>
      <w:tr w:rsidR="00AB5472" w:rsidRPr="00174F97" w14:paraId="4357D005" w14:textId="77777777" w:rsidTr="00A644DA">
        <w:trPr>
          <w:cantSplit/>
          <w:trHeight w:val="408"/>
        </w:trPr>
        <w:tc>
          <w:tcPr>
            <w:tcW w:w="1440" w:type="dxa"/>
            <w:vAlign w:val="center"/>
          </w:tcPr>
          <w:p w14:paraId="2D6B8C84" w14:textId="7AE6B222" w:rsidR="00AB5472" w:rsidRPr="00174F97" w:rsidRDefault="00AB5472" w:rsidP="00174F97">
            <w:pPr>
              <w:rPr>
                <w:rFonts w:eastAsia="Aptos"/>
              </w:rPr>
            </w:pPr>
            <w:r w:rsidRPr="00174F97">
              <w:rPr>
                <w:rFonts w:eastAsia="Aptos"/>
              </w:rPr>
              <w:t xml:space="preserve">Revenue </w:t>
            </w:r>
          </w:p>
        </w:tc>
        <w:tc>
          <w:tcPr>
            <w:tcW w:w="2207" w:type="dxa"/>
            <w:vAlign w:val="center"/>
          </w:tcPr>
          <w:p w14:paraId="4F1244F0" w14:textId="77777777" w:rsidR="00AB5472" w:rsidRPr="00174F97" w:rsidRDefault="00AB5472" w:rsidP="00174F97">
            <w:pPr>
              <w:jc w:val="center"/>
              <w:rPr>
                <w:rFonts w:eastAsia="Aptos"/>
              </w:rPr>
            </w:pPr>
            <w:r w:rsidRPr="00174F97">
              <w:rPr>
                <w:rFonts w:eastAsia="Aptos"/>
              </w:rPr>
              <w:t>7.9% – 11.4%</w:t>
            </w:r>
          </w:p>
        </w:tc>
        <w:tc>
          <w:tcPr>
            <w:tcW w:w="1933" w:type="dxa"/>
            <w:vAlign w:val="center"/>
          </w:tcPr>
          <w:p w14:paraId="0AEB9211" w14:textId="77777777" w:rsidR="00AB5472" w:rsidRPr="00174F97" w:rsidRDefault="00AB5472" w:rsidP="00174F97">
            <w:pPr>
              <w:jc w:val="center"/>
              <w:rPr>
                <w:rFonts w:eastAsia="Aptos"/>
              </w:rPr>
            </w:pPr>
            <w:r w:rsidRPr="00174F97">
              <w:rPr>
                <w:rFonts w:eastAsia="Aptos"/>
              </w:rPr>
              <w:t>9.7%</w:t>
            </w:r>
          </w:p>
        </w:tc>
        <w:tc>
          <w:tcPr>
            <w:tcW w:w="1647" w:type="dxa"/>
            <w:vAlign w:val="center"/>
          </w:tcPr>
          <w:p w14:paraId="0A4F58B7" w14:textId="77777777" w:rsidR="00AB5472" w:rsidRPr="00174F97" w:rsidRDefault="00AB5472" w:rsidP="00174F97">
            <w:pPr>
              <w:jc w:val="center"/>
              <w:rPr>
                <w:rFonts w:eastAsia="Aptos"/>
              </w:rPr>
            </w:pPr>
            <w:r w:rsidRPr="00174F97">
              <w:rPr>
                <w:rFonts w:eastAsia="Aptos"/>
              </w:rPr>
              <w:t>11.8%</w:t>
            </w:r>
          </w:p>
        </w:tc>
        <w:tc>
          <w:tcPr>
            <w:tcW w:w="2493" w:type="dxa"/>
            <w:vAlign w:val="center"/>
          </w:tcPr>
          <w:p w14:paraId="210B2359" w14:textId="77777777" w:rsidR="00AB5472" w:rsidRPr="00174F97" w:rsidRDefault="00AB5472" w:rsidP="00174F97">
            <w:pPr>
              <w:jc w:val="center"/>
              <w:rPr>
                <w:rFonts w:eastAsia="Aptos"/>
              </w:rPr>
            </w:pPr>
            <w:r w:rsidRPr="00174F97">
              <w:rPr>
                <w:rFonts w:eastAsia="Aptos"/>
              </w:rPr>
              <w:t>0.0% – 2.9%</w:t>
            </w:r>
          </w:p>
        </w:tc>
      </w:tr>
    </w:tbl>
    <w:p w14:paraId="1AD41C9F" w14:textId="77777777" w:rsidR="00940CC4" w:rsidRPr="00174F97" w:rsidRDefault="00940CC4" w:rsidP="00174F97">
      <w:pPr>
        <w:spacing w:after="160"/>
        <w:rPr>
          <w:rFonts w:eastAsia="Aptos"/>
        </w:rPr>
      </w:pPr>
    </w:p>
    <w:p w14:paraId="565ABA34" w14:textId="77777777" w:rsidR="00940CC4" w:rsidRDefault="00940CC4" w:rsidP="00E67A29">
      <w:pPr>
        <w:rPr>
          <w:rFonts w:eastAsia="Aptos"/>
        </w:rPr>
      </w:pPr>
      <w:r w:rsidRPr="00174F97">
        <w:rPr>
          <w:rFonts w:eastAsia="Aptos"/>
        </w:rPr>
        <w:t xml:space="preserve">In order to determine the reasonableness of the projected revenue, the CPA reviewed the underlying assumptions upon which Management relied that includes historical operating results and anticipated demographic trends in the UMMHC service area. </w:t>
      </w:r>
    </w:p>
    <w:p w14:paraId="02300574" w14:textId="77777777" w:rsidR="00E67A29" w:rsidRPr="00174F97" w:rsidRDefault="00E67A29" w:rsidP="00E67A29">
      <w:pPr>
        <w:rPr>
          <w:rFonts w:eastAsia="Aptos"/>
        </w:rPr>
      </w:pPr>
    </w:p>
    <w:p w14:paraId="71A650CD" w14:textId="77777777" w:rsidR="00940CC4" w:rsidRPr="00174F97" w:rsidRDefault="00940CC4" w:rsidP="00174F97">
      <w:pPr>
        <w:spacing w:after="160"/>
        <w:rPr>
          <w:rFonts w:eastAsia="Aptos"/>
        </w:rPr>
      </w:pPr>
      <w:r w:rsidRPr="00174F97">
        <w:rPr>
          <w:rFonts w:eastAsia="Aptos"/>
        </w:rPr>
        <w:t>As a result of the analysis, the CPA concludes that the revenue growth projected by the Applicant reflects a reasonable estimation of future revenue of UMMHC.</w:t>
      </w:r>
    </w:p>
    <w:p w14:paraId="1476C89A" w14:textId="77777777" w:rsidR="00940CC4" w:rsidRPr="00174F97" w:rsidRDefault="00940CC4" w:rsidP="00174F97">
      <w:pPr>
        <w:spacing w:after="160"/>
        <w:rPr>
          <w:rFonts w:eastAsia="Aptos"/>
          <w:b/>
          <w:bCs/>
        </w:rPr>
      </w:pPr>
      <w:r w:rsidRPr="00174F97">
        <w:rPr>
          <w:rFonts w:eastAsia="Aptos"/>
          <w:b/>
          <w:bCs/>
        </w:rPr>
        <w:t>Expenses</w:t>
      </w:r>
    </w:p>
    <w:p w14:paraId="2BFA86CD" w14:textId="51DB23EB" w:rsidR="00940CC4" w:rsidRPr="00174F97" w:rsidRDefault="44C8D818" w:rsidP="00174F97">
      <w:pPr>
        <w:rPr>
          <w:rFonts w:eastAsia="Aptos"/>
        </w:rPr>
      </w:pPr>
      <w:r w:rsidRPr="00174F97">
        <w:rPr>
          <w:rFonts w:eastAsia="Aptos"/>
        </w:rPr>
        <w:t>The CPA analyzed each category of projected operating expenses for reasonableness and feasibility.</w:t>
      </w:r>
      <w:r w:rsidR="00940CC4" w:rsidRPr="00174F97">
        <w:rPr>
          <w:rFonts w:eastAsia="Aptos"/>
          <w:vertAlign w:val="superscript"/>
        </w:rPr>
        <w:footnoteReference w:id="47"/>
      </w:r>
      <w:r w:rsidRPr="00174F97">
        <w:rPr>
          <w:rFonts w:eastAsia="Aptos"/>
        </w:rPr>
        <w:t xml:space="preserve"> Total expenses are projected to grow by 16.6% and 2.7% in FY 2024 and FY 2025, respectively, which is in-line with projected revenue growth. </w:t>
      </w:r>
      <w:r w:rsidR="62AA00DF" w:rsidRPr="00174F97">
        <w:rPr>
          <w:rFonts w:eastAsia="Aptos"/>
        </w:rPr>
        <w:t>S</w:t>
      </w:r>
      <w:r w:rsidRPr="00174F97">
        <w:rPr>
          <w:rFonts w:eastAsia="Aptos"/>
        </w:rPr>
        <w:t xml:space="preserve">tarting in FY 2026, Management held operating expenses relatively flat, assuming nominal growth for FY 2026 through FY 2029, except for interest expense which is projected based on UMMHC’s projected level of debt and current terms, depreciation and amortization, and other direct expenses. </w:t>
      </w:r>
      <w:r w:rsidR="344DE67B" w:rsidRPr="00174F97">
        <w:rPr>
          <w:rFonts w:eastAsia="Aptos"/>
        </w:rPr>
        <w:t>I</w:t>
      </w:r>
      <w:r w:rsidRPr="00174F97">
        <w:rPr>
          <w:rFonts w:eastAsia="Aptos"/>
        </w:rPr>
        <w:t>n the earlier years of the projections</w:t>
      </w:r>
      <w:r w:rsidR="7E3CF58A" w:rsidRPr="00174F97">
        <w:rPr>
          <w:rFonts w:eastAsia="Aptos"/>
        </w:rPr>
        <w:t>,</w:t>
      </w:r>
      <w:r w:rsidRPr="00174F97">
        <w:rPr>
          <w:rFonts w:eastAsia="Aptos"/>
        </w:rPr>
        <w:t xml:space="preserve"> </w:t>
      </w:r>
      <w:r w:rsidR="344DE67B" w:rsidRPr="00174F97">
        <w:rPr>
          <w:rFonts w:eastAsia="Aptos"/>
        </w:rPr>
        <w:t xml:space="preserve">increases </w:t>
      </w:r>
      <w:r w:rsidRPr="00174F97">
        <w:rPr>
          <w:rFonts w:eastAsia="Aptos"/>
        </w:rPr>
        <w:t xml:space="preserve">are related to salaries and benefits due to a competitive labor market and an increase in pharmaceutical costs. </w:t>
      </w:r>
    </w:p>
    <w:p w14:paraId="57E1FF18" w14:textId="77777777" w:rsidR="00940CC4" w:rsidRPr="00174F97" w:rsidRDefault="00940CC4" w:rsidP="00174F97">
      <w:pPr>
        <w:rPr>
          <w:rFonts w:eastAsia="Aptos"/>
        </w:rPr>
      </w:pPr>
    </w:p>
    <w:p w14:paraId="45122B8E" w14:textId="5543AEB1" w:rsidR="00940CC4" w:rsidRPr="00174F97" w:rsidRDefault="00940CC4" w:rsidP="00174F97">
      <w:pPr>
        <w:rPr>
          <w:rFonts w:eastAsia="Aptos"/>
        </w:rPr>
      </w:pPr>
      <w:r w:rsidRPr="00174F97">
        <w:rPr>
          <w:rFonts w:eastAsia="Aptos"/>
        </w:rPr>
        <w:t>Table</w:t>
      </w:r>
      <w:r w:rsidR="00A644DA" w:rsidRPr="00174F97">
        <w:rPr>
          <w:rFonts w:eastAsia="Aptos"/>
        </w:rPr>
        <w:t xml:space="preserve"> 11</w:t>
      </w:r>
      <w:r w:rsidRPr="00174F97">
        <w:rPr>
          <w:rFonts w:eastAsia="Aptos"/>
        </w:rPr>
        <w:t xml:space="preserve"> indicates</w:t>
      </w:r>
      <w:r w:rsidR="006644A9" w:rsidRPr="00174F97">
        <w:rPr>
          <w:rFonts w:eastAsia="Aptos"/>
        </w:rPr>
        <w:t xml:space="preserve"> that</w:t>
      </w:r>
      <w:r w:rsidRPr="00174F97">
        <w:rPr>
          <w:rFonts w:eastAsia="Aptos"/>
        </w:rPr>
        <w:t xml:space="preserve"> the range of</w:t>
      </w:r>
      <w:r w:rsidR="006644A9" w:rsidRPr="00174F97">
        <w:rPr>
          <w:rFonts w:eastAsia="Aptos"/>
        </w:rPr>
        <w:t xml:space="preserve"> expense</w:t>
      </w:r>
      <w:r w:rsidRPr="00174F97">
        <w:rPr>
          <w:rFonts w:eastAsia="Aptos"/>
        </w:rPr>
        <w:t xml:space="preserve"> growth </w:t>
      </w:r>
      <w:r w:rsidR="006644A9" w:rsidRPr="00174F97">
        <w:rPr>
          <w:rFonts w:eastAsia="Aptos"/>
        </w:rPr>
        <w:t>for</w:t>
      </w:r>
      <w:r w:rsidRPr="00174F97">
        <w:rPr>
          <w:rFonts w:eastAsia="Aptos"/>
        </w:rPr>
        <w:t xml:space="preserve"> FY 2024 </w:t>
      </w:r>
      <w:r w:rsidR="006644A9" w:rsidRPr="00174F97">
        <w:rPr>
          <w:rFonts w:eastAsia="Aptos"/>
        </w:rPr>
        <w:t>-</w:t>
      </w:r>
      <w:r w:rsidRPr="00174F97">
        <w:rPr>
          <w:rFonts w:eastAsia="Aptos"/>
        </w:rPr>
        <w:t>29 is above the two-year CAGR. The main drivers of th</w:t>
      </w:r>
      <w:r w:rsidR="006644A9" w:rsidRPr="00174F97">
        <w:rPr>
          <w:rFonts w:eastAsia="Aptos"/>
        </w:rPr>
        <w:t>is</w:t>
      </w:r>
      <w:r w:rsidRPr="00174F97">
        <w:rPr>
          <w:rFonts w:eastAsia="Aptos"/>
        </w:rPr>
        <w:t xml:space="preserve"> change are operational improvement plans and transformation initiatives which are expected to enable UMMHC to reduce administrative costs (including consulting and other professional services expenses), decrease in contractor rates (with a focus on replacing travel nurses with full time employees), and lower IT costs from UMMHC’s transition to new enterprise resource planning (“ERP”) and EMR systems. </w:t>
      </w:r>
    </w:p>
    <w:p w14:paraId="0C64D2D0" w14:textId="77777777" w:rsidR="00A644DA" w:rsidRPr="00174F97" w:rsidRDefault="00A644DA" w:rsidP="00174F97">
      <w:pPr>
        <w:rPr>
          <w:rFonts w:eastAsia="Aptos"/>
        </w:rPr>
      </w:pPr>
    </w:p>
    <w:p w14:paraId="5775FD58" w14:textId="27DA1A69" w:rsidR="00A644DA" w:rsidRPr="00174F97" w:rsidRDefault="00A644DA" w:rsidP="00174F97">
      <w:pPr>
        <w:jc w:val="center"/>
        <w:rPr>
          <w:rFonts w:eastAsia="Aptos"/>
          <w:b/>
          <w:bCs/>
        </w:rPr>
      </w:pPr>
      <w:r w:rsidRPr="00174F97">
        <w:rPr>
          <w:rFonts w:eastAsia="Aptos"/>
          <w:b/>
          <w:bCs/>
        </w:rPr>
        <w:t>Table 11: Expense Growth Historical and Projected</w:t>
      </w:r>
    </w:p>
    <w:p w14:paraId="651DD28E" w14:textId="77777777" w:rsidR="00940CC4" w:rsidRPr="00174F97" w:rsidRDefault="00940CC4" w:rsidP="00174F97">
      <w:pPr>
        <w:spacing w:after="160"/>
        <w:rPr>
          <w:rFonts w:eastAsia="Aptos"/>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1440"/>
        <w:gridCol w:w="2207"/>
        <w:gridCol w:w="1790"/>
        <w:gridCol w:w="1790"/>
        <w:gridCol w:w="2223"/>
      </w:tblGrid>
      <w:tr w:rsidR="00906F30" w:rsidRPr="00174F97" w14:paraId="40D2FC0D" w14:textId="77777777" w:rsidTr="009F5BD4">
        <w:trPr>
          <w:cantSplit/>
          <w:trHeight w:val="288"/>
        </w:trPr>
        <w:tc>
          <w:tcPr>
            <w:tcW w:w="1440" w:type="dxa"/>
            <w:shd w:val="clear" w:color="auto" w:fill="E1F9FF"/>
            <w:vAlign w:val="center"/>
          </w:tcPr>
          <w:p w14:paraId="442387F9" w14:textId="479DB1EF" w:rsidR="00906F30" w:rsidRPr="00174F97" w:rsidRDefault="00906F30" w:rsidP="00174F97">
            <w:pPr>
              <w:rPr>
                <w:rFonts w:eastAsia="Aptos"/>
              </w:rPr>
            </w:pPr>
          </w:p>
        </w:tc>
        <w:tc>
          <w:tcPr>
            <w:tcW w:w="2207" w:type="dxa"/>
            <w:shd w:val="clear" w:color="auto" w:fill="E1F9FF"/>
            <w:vAlign w:val="center"/>
          </w:tcPr>
          <w:p w14:paraId="6211F6CC" w14:textId="7911E751" w:rsidR="00906F30" w:rsidRPr="00174F97" w:rsidRDefault="00906F30" w:rsidP="00174F97">
            <w:pPr>
              <w:jc w:val="center"/>
              <w:rPr>
                <w:rFonts w:eastAsia="Aptos"/>
                <w:b/>
                <w:bCs/>
              </w:rPr>
            </w:pPr>
            <w:r w:rsidRPr="00174F97">
              <w:rPr>
                <w:rFonts w:eastAsia="Aptos"/>
                <w:b/>
                <w:bCs/>
              </w:rPr>
              <w:t>Annual Growth Range (</w:t>
            </w:r>
            <w:r w:rsidR="006644A9" w:rsidRPr="00174F97">
              <w:rPr>
                <w:rFonts w:eastAsia="Aptos"/>
                <w:b/>
                <w:bCs/>
              </w:rPr>
              <w:t xml:space="preserve">FY </w:t>
            </w:r>
            <w:r w:rsidRPr="00174F97">
              <w:rPr>
                <w:rFonts w:eastAsia="Aptos"/>
                <w:b/>
                <w:bCs/>
              </w:rPr>
              <w:t>2021 –23)</w:t>
            </w:r>
          </w:p>
        </w:tc>
        <w:tc>
          <w:tcPr>
            <w:tcW w:w="1790" w:type="dxa"/>
            <w:shd w:val="clear" w:color="auto" w:fill="E1F9FF"/>
            <w:vAlign w:val="center"/>
          </w:tcPr>
          <w:p w14:paraId="6635D9FB" w14:textId="3F2FED97" w:rsidR="00906F30" w:rsidRPr="00174F97" w:rsidRDefault="00906F30" w:rsidP="00174F97">
            <w:pPr>
              <w:jc w:val="center"/>
              <w:rPr>
                <w:rFonts w:eastAsia="Aptos"/>
                <w:b/>
                <w:bCs/>
              </w:rPr>
            </w:pPr>
            <w:r w:rsidRPr="00174F97">
              <w:rPr>
                <w:rFonts w:eastAsia="Aptos"/>
                <w:b/>
                <w:bCs/>
              </w:rPr>
              <w:t>CAGR</w:t>
            </w:r>
          </w:p>
          <w:p w14:paraId="3AF86546" w14:textId="5837C186" w:rsidR="00906F30" w:rsidRPr="00174F97" w:rsidRDefault="00906F30" w:rsidP="00174F97">
            <w:pPr>
              <w:jc w:val="center"/>
              <w:rPr>
                <w:rFonts w:eastAsia="Aptos"/>
                <w:b/>
                <w:bCs/>
              </w:rPr>
            </w:pPr>
            <w:r w:rsidRPr="00174F97">
              <w:rPr>
                <w:rFonts w:eastAsia="Aptos"/>
                <w:b/>
                <w:bCs/>
              </w:rPr>
              <w:t>(</w:t>
            </w:r>
            <w:r w:rsidR="006644A9" w:rsidRPr="00174F97">
              <w:rPr>
                <w:rFonts w:eastAsia="Aptos"/>
                <w:b/>
                <w:bCs/>
              </w:rPr>
              <w:t xml:space="preserve">FY </w:t>
            </w:r>
            <w:r w:rsidRPr="00174F97">
              <w:rPr>
                <w:rFonts w:eastAsia="Aptos"/>
                <w:b/>
                <w:bCs/>
              </w:rPr>
              <w:t>2021 – 2023)</w:t>
            </w:r>
          </w:p>
        </w:tc>
        <w:tc>
          <w:tcPr>
            <w:tcW w:w="1790" w:type="dxa"/>
            <w:shd w:val="clear" w:color="auto" w:fill="E1F9FF"/>
            <w:vAlign w:val="center"/>
          </w:tcPr>
          <w:p w14:paraId="66520844" w14:textId="00BF6529" w:rsidR="00906F30" w:rsidRPr="00174F97" w:rsidRDefault="006644A9" w:rsidP="00174F97">
            <w:pPr>
              <w:jc w:val="center"/>
              <w:rPr>
                <w:rFonts w:eastAsia="Aptos"/>
                <w:b/>
                <w:bCs/>
              </w:rPr>
            </w:pPr>
            <w:r w:rsidRPr="00174F97">
              <w:rPr>
                <w:rFonts w:eastAsia="Aptos"/>
                <w:b/>
                <w:bCs/>
              </w:rPr>
              <w:t xml:space="preserve">FY </w:t>
            </w:r>
            <w:r w:rsidR="00906F30" w:rsidRPr="00174F97">
              <w:rPr>
                <w:rFonts w:eastAsia="Aptos"/>
                <w:b/>
                <w:bCs/>
              </w:rPr>
              <w:t>2024 Growth</w:t>
            </w:r>
          </w:p>
        </w:tc>
        <w:tc>
          <w:tcPr>
            <w:tcW w:w="2223" w:type="dxa"/>
            <w:shd w:val="clear" w:color="auto" w:fill="E1F9FF"/>
            <w:vAlign w:val="center"/>
          </w:tcPr>
          <w:p w14:paraId="741410BC" w14:textId="74EA34DB" w:rsidR="00906F30" w:rsidRPr="00174F97" w:rsidRDefault="00906F30" w:rsidP="00174F97">
            <w:pPr>
              <w:jc w:val="center"/>
              <w:rPr>
                <w:rFonts w:eastAsia="Aptos"/>
                <w:b/>
                <w:bCs/>
              </w:rPr>
            </w:pPr>
            <w:r w:rsidRPr="00174F97">
              <w:rPr>
                <w:rFonts w:eastAsia="Aptos"/>
                <w:b/>
                <w:bCs/>
              </w:rPr>
              <w:t>Annual Growth Range (</w:t>
            </w:r>
            <w:r w:rsidR="006644A9" w:rsidRPr="00174F97">
              <w:rPr>
                <w:rFonts w:eastAsia="Aptos"/>
                <w:b/>
                <w:bCs/>
              </w:rPr>
              <w:t xml:space="preserve">FY </w:t>
            </w:r>
            <w:r w:rsidRPr="00174F97">
              <w:rPr>
                <w:rFonts w:eastAsia="Aptos"/>
                <w:b/>
                <w:bCs/>
              </w:rPr>
              <w:t>2025-29)</w:t>
            </w:r>
          </w:p>
        </w:tc>
      </w:tr>
      <w:tr w:rsidR="00906F30" w:rsidRPr="00174F97" w14:paraId="3FE11686" w14:textId="77777777" w:rsidTr="006644A9">
        <w:trPr>
          <w:cantSplit/>
          <w:trHeight w:val="56"/>
        </w:trPr>
        <w:tc>
          <w:tcPr>
            <w:tcW w:w="1440" w:type="dxa"/>
            <w:vAlign w:val="center"/>
          </w:tcPr>
          <w:p w14:paraId="791C4D05" w14:textId="3358D2AB" w:rsidR="00906F30" w:rsidRPr="00174F97" w:rsidRDefault="00906F30" w:rsidP="00174F97">
            <w:pPr>
              <w:rPr>
                <w:rFonts w:eastAsia="Aptos"/>
              </w:rPr>
            </w:pPr>
            <w:r w:rsidRPr="00174F97">
              <w:rPr>
                <w:rFonts w:eastAsia="Aptos"/>
              </w:rPr>
              <w:t>Expenses</w:t>
            </w:r>
          </w:p>
        </w:tc>
        <w:tc>
          <w:tcPr>
            <w:tcW w:w="2207" w:type="dxa"/>
          </w:tcPr>
          <w:p w14:paraId="678CB2C6" w14:textId="77777777" w:rsidR="00906F30" w:rsidRPr="00174F97" w:rsidRDefault="00906F30" w:rsidP="00174F97">
            <w:pPr>
              <w:jc w:val="center"/>
              <w:rPr>
                <w:rFonts w:eastAsia="Aptos"/>
              </w:rPr>
            </w:pPr>
            <w:r w:rsidRPr="00174F97">
              <w:rPr>
                <w:rFonts w:eastAsia="Aptos"/>
              </w:rPr>
              <w:t>2.6% - 15.0%</w:t>
            </w:r>
          </w:p>
        </w:tc>
        <w:tc>
          <w:tcPr>
            <w:tcW w:w="1790" w:type="dxa"/>
          </w:tcPr>
          <w:p w14:paraId="1BB33730" w14:textId="77777777" w:rsidR="00906F30" w:rsidRPr="00174F97" w:rsidRDefault="00906F30" w:rsidP="00174F97">
            <w:pPr>
              <w:jc w:val="center"/>
              <w:rPr>
                <w:rFonts w:eastAsia="Aptos"/>
              </w:rPr>
            </w:pPr>
            <w:r w:rsidRPr="00174F97">
              <w:rPr>
                <w:rFonts w:eastAsia="Aptos"/>
              </w:rPr>
              <w:t>8.6%</w:t>
            </w:r>
          </w:p>
        </w:tc>
        <w:tc>
          <w:tcPr>
            <w:tcW w:w="1790" w:type="dxa"/>
          </w:tcPr>
          <w:p w14:paraId="4558FD6F" w14:textId="77777777" w:rsidR="00906F30" w:rsidRPr="00174F97" w:rsidRDefault="00906F30" w:rsidP="00174F97">
            <w:pPr>
              <w:jc w:val="center"/>
              <w:rPr>
                <w:rFonts w:eastAsia="Aptos"/>
              </w:rPr>
            </w:pPr>
            <w:r w:rsidRPr="00174F97">
              <w:rPr>
                <w:rFonts w:eastAsia="Aptos"/>
              </w:rPr>
              <w:t>16.6%</w:t>
            </w:r>
          </w:p>
        </w:tc>
        <w:tc>
          <w:tcPr>
            <w:tcW w:w="2223" w:type="dxa"/>
          </w:tcPr>
          <w:p w14:paraId="01FF72BB" w14:textId="77777777" w:rsidR="00906F30" w:rsidRPr="00174F97" w:rsidRDefault="00906F30" w:rsidP="00174F97">
            <w:pPr>
              <w:jc w:val="center"/>
              <w:rPr>
                <w:rFonts w:eastAsia="Aptos"/>
              </w:rPr>
            </w:pPr>
            <w:r w:rsidRPr="00174F97">
              <w:rPr>
                <w:rFonts w:eastAsia="Aptos"/>
              </w:rPr>
              <w:t>0.0% - 2.7%</w:t>
            </w:r>
          </w:p>
        </w:tc>
      </w:tr>
    </w:tbl>
    <w:p w14:paraId="0EBACE94" w14:textId="77777777" w:rsidR="006644A9" w:rsidRPr="00174F97" w:rsidRDefault="006644A9" w:rsidP="00174F97">
      <w:pPr>
        <w:rPr>
          <w:rFonts w:eastAsia="Aptos"/>
        </w:rPr>
      </w:pPr>
    </w:p>
    <w:p w14:paraId="15C5D121" w14:textId="325905ED" w:rsidR="00940CC4" w:rsidRPr="00174F97" w:rsidRDefault="00940CC4" w:rsidP="00174F97">
      <w:pPr>
        <w:spacing w:after="160"/>
        <w:rPr>
          <w:rFonts w:eastAsia="Aptos"/>
        </w:rPr>
      </w:pPr>
      <w:r w:rsidRPr="00174F97">
        <w:rPr>
          <w:rFonts w:eastAsia="Aptos"/>
        </w:rPr>
        <w:t>The CPA notes that the projected total expenses for UMMHC as a percentage of total revenue range from 99.8% to 100.3% from FY 2024</w:t>
      </w:r>
      <w:r w:rsidR="00906F30" w:rsidRPr="00174F97">
        <w:rPr>
          <w:rFonts w:eastAsia="Aptos"/>
        </w:rPr>
        <w:t>-</w:t>
      </w:r>
      <w:r w:rsidRPr="00174F97">
        <w:rPr>
          <w:rFonts w:eastAsia="Aptos"/>
        </w:rPr>
        <w:t>29</w:t>
      </w:r>
      <w:r w:rsidR="00906F30" w:rsidRPr="00174F97">
        <w:rPr>
          <w:rFonts w:eastAsia="Aptos"/>
        </w:rPr>
        <w:t xml:space="preserve">. This </w:t>
      </w:r>
      <w:r w:rsidRPr="00174F97">
        <w:rPr>
          <w:rFonts w:eastAsia="Aptos"/>
        </w:rPr>
        <w:t xml:space="preserve">is consistent with the combined historical total expenses as a percentage of total revenue (which ranged from 96.1% to 101.1% from FY 2021 to FY 2023). As a result of its analysis the CPA concluded that operating expenses reflect reasonable estimation of future expenses </w:t>
      </w:r>
      <w:r w:rsidR="006644A9" w:rsidRPr="00174F97">
        <w:rPr>
          <w:rFonts w:eastAsia="Aptos"/>
        </w:rPr>
        <w:t>for</w:t>
      </w:r>
      <w:r w:rsidRPr="00174F97">
        <w:rPr>
          <w:rFonts w:eastAsia="Aptos"/>
        </w:rPr>
        <w:t xml:space="preserve"> the Applicant. </w:t>
      </w:r>
    </w:p>
    <w:p w14:paraId="2061BF64" w14:textId="77777777" w:rsidR="00940CC4" w:rsidRPr="00174F97" w:rsidRDefault="00940CC4" w:rsidP="00174F97">
      <w:pPr>
        <w:spacing w:after="160"/>
        <w:rPr>
          <w:rFonts w:eastAsia="Aptos"/>
          <w:b/>
        </w:rPr>
      </w:pPr>
      <w:r w:rsidRPr="00174F97">
        <w:rPr>
          <w:rFonts w:eastAsia="Aptos"/>
          <w:b/>
        </w:rPr>
        <w:t>Capital Expenditure</w:t>
      </w:r>
    </w:p>
    <w:p w14:paraId="60F8138D" w14:textId="7234BE5D" w:rsidR="00940CC4" w:rsidRPr="00174F97" w:rsidRDefault="00940CC4" w:rsidP="00174F97">
      <w:pPr>
        <w:spacing w:after="160"/>
        <w:rPr>
          <w:rFonts w:eastAsia="Aptos"/>
        </w:rPr>
      </w:pPr>
      <w:r w:rsidRPr="00174F97">
        <w:rPr>
          <w:rFonts w:eastAsia="Aptos"/>
        </w:rPr>
        <w:t xml:space="preserve">There is no </w:t>
      </w:r>
      <w:r w:rsidR="00906F30" w:rsidRPr="00174F97">
        <w:rPr>
          <w:rFonts w:eastAsia="Aptos"/>
        </w:rPr>
        <w:t xml:space="preserve">substantial </w:t>
      </w:r>
      <w:r w:rsidRPr="00174F97">
        <w:rPr>
          <w:rFonts w:eastAsia="Aptos"/>
        </w:rPr>
        <w:t xml:space="preserve">capital expenditure within the Proposed Project. The Applicant </w:t>
      </w:r>
      <w:r w:rsidR="00906F30" w:rsidRPr="00174F97">
        <w:rPr>
          <w:rFonts w:eastAsia="Aptos"/>
        </w:rPr>
        <w:t>will</w:t>
      </w:r>
      <w:r w:rsidRPr="00174F97">
        <w:rPr>
          <w:rFonts w:eastAsia="Aptos"/>
        </w:rPr>
        <w:t xml:space="preserve"> transition Milford to its EHR which is expected to require a</w:t>
      </w:r>
      <w:r w:rsidR="00906F30" w:rsidRPr="00174F97">
        <w:rPr>
          <w:rFonts w:eastAsia="Aptos"/>
        </w:rPr>
        <w:t xml:space="preserve">n </w:t>
      </w:r>
      <w:r w:rsidRPr="00174F97">
        <w:rPr>
          <w:rFonts w:eastAsia="Aptos"/>
        </w:rPr>
        <w:t xml:space="preserve">expenditure of approximately $55.0 million from FY 2025 to FY 2026. The forecasted capital expenditures budget for this was approved by UMMHC’s finance committee will be funded through current operations and unrestricted fundings. </w:t>
      </w:r>
    </w:p>
    <w:p w14:paraId="2812F937" w14:textId="77777777" w:rsidR="00940CC4" w:rsidRPr="00174F97" w:rsidRDefault="00940CC4" w:rsidP="00174F97">
      <w:pPr>
        <w:spacing w:after="160"/>
        <w:rPr>
          <w:rFonts w:eastAsia="Aptos"/>
        </w:rPr>
      </w:pPr>
      <w:r w:rsidRPr="00174F97">
        <w:rPr>
          <w:rFonts w:eastAsia="Aptos"/>
        </w:rPr>
        <w:t>Based on its review, the CPA determined that the capital expenditure projected reflect a reasonable estimation of future capital outlay of UMMHC.</w:t>
      </w:r>
    </w:p>
    <w:p w14:paraId="7AEF8985" w14:textId="77777777" w:rsidR="00940CC4" w:rsidRPr="00174F97" w:rsidRDefault="00940CC4" w:rsidP="00174F97">
      <w:pPr>
        <w:spacing w:after="160"/>
        <w:rPr>
          <w:rFonts w:eastAsia="Aptos"/>
          <w:b/>
          <w:bCs/>
        </w:rPr>
      </w:pPr>
      <w:r w:rsidRPr="00174F97">
        <w:rPr>
          <w:rFonts w:eastAsia="Aptos"/>
          <w:b/>
          <w:bCs/>
        </w:rPr>
        <w:t>CPA Conclusion</w:t>
      </w:r>
    </w:p>
    <w:p w14:paraId="6D74F4B7" w14:textId="16139DF3" w:rsidR="00940CC4" w:rsidRPr="00174F97" w:rsidRDefault="00940CC4" w:rsidP="00174F97">
      <w:pPr>
        <w:spacing w:after="160"/>
        <w:rPr>
          <w:rFonts w:eastAsia="Aptos"/>
        </w:rPr>
      </w:pPr>
      <w:r w:rsidRPr="00174F97">
        <w:rPr>
          <w:rFonts w:eastAsia="Aptos"/>
        </w:rPr>
        <w:t>The Projections exhibit a cumulative operating EBIDA surplus of approximately 4.7 percent of cumulative projected operating revenue for the six years from FY 2024 through FY 2029.</w:t>
      </w:r>
      <w:r w:rsidR="00906F30" w:rsidRPr="00174F97">
        <w:rPr>
          <w:rFonts w:eastAsia="Aptos"/>
        </w:rPr>
        <w:t xml:space="preserve"> T</w:t>
      </w:r>
      <w:r w:rsidRPr="00174F97">
        <w:rPr>
          <w:rFonts w:eastAsia="Aptos"/>
        </w:rPr>
        <w:t>he CPA determined the anticipated EBIDA surplus is a reasonable expectation and based upon feasible financial assumptions</w:t>
      </w:r>
      <w:r w:rsidR="00906F30" w:rsidRPr="00174F97">
        <w:rPr>
          <w:rFonts w:eastAsia="Aptos"/>
        </w:rPr>
        <w:t xml:space="preserve"> and projections</w:t>
      </w:r>
      <w:r w:rsidRPr="00174F97">
        <w:rPr>
          <w:rFonts w:eastAsia="Aptos"/>
        </w:rPr>
        <w:t>. Accordingly, it determined that</w:t>
      </w:r>
      <w:r w:rsidR="00906F30" w:rsidRPr="00174F97">
        <w:rPr>
          <w:rFonts w:eastAsia="Aptos"/>
        </w:rPr>
        <w:t xml:space="preserve"> the Proposed Affiliation is</w:t>
      </w:r>
      <w:r w:rsidRPr="00174F97">
        <w:rPr>
          <w:rFonts w:eastAsia="Aptos"/>
        </w:rPr>
        <w:t xml:space="preserve"> not likely to have a negative impact on the patient panel or result in a liquidation of assets of UMMHC.</w:t>
      </w:r>
    </w:p>
    <w:p w14:paraId="1A080E17" w14:textId="1FD1B34F" w:rsidR="001F2A30" w:rsidRPr="00174F97" w:rsidRDefault="001F2A30" w:rsidP="00174F97">
      <w:pPr>
        <w:spacing w:before="240" w:after="160"/>
        <w:rPr>
          <w:rFonts w:eastAsia="Calibri"/>
          <w:b/>
          <w:bCs/>
          <w:i/>
          <w:iCs/>
        </w:rPr>
      </w:pPr>
      <w:r w:rsidRPr="00174F97">
        <w:rPr>
          <w:rFonts w:eastAsia="Calibri"/>
          <w:b/>
          <w:bCs/>
          <w:i/>
          <w:iCs/>
        </w:rPr>
        <w:t xml:space="preserve">Factor 4 Analysis </w:t>
      </w:r>
    </w:p>
    <w:p w14:paraId="29A17285" w14:textId="68D3C4B3" w:rsidR="001F2A30" w:rsidRPr="00174F97" w:rsidRDefault="001F2A30" w:rsidP="00174F97">
      <w:pPr>
        <w:rPr>
          <w:rFonts w:eastAsia="Calibri"/>
        </w:rPr>
      </w:pPr>
      <w:r w:rsidRPr="00174F97">
        <w:rPr>
          <w:rFonts w:eastAsia="Calibri"/>
        </w:rPr>
        <w:t>As a result of information provided by the Applicant, staff finds that the Applicant has met Factor 4.</w:t>
      </w:r>
    </w:p>
    <w:p w14:paraId="3CC36793" w14:textId="77777777" w:rsidR="00906F30" w:rsidRPr="00174F97" w:rsidRDefault="00906F30" w:rsidP="00174F97">
      <w:pPr>
        <w:rPr>
          <w:rFonts w:eastAsia="Calibri"/>
        </w:rPr>
      </w:pPr>
    </w:p>
    <w:p w14:paraId="0E6E047F" w14:textId="77777777" w:rsidR="007D56AA" w:rsidRDefault="002D535F" w:rsidP="6CE004FB">
      <w:pPr>
        <w:pStyle w:val="Heading1"/>
        <w:spacing w:before="0" w:line="240" w:lineRule="auto"/>
        <w:contextualSpacing/>
        <w:rPr>
          <w:rFonts w:asciiTheme="minorHAnsi" w:hAnsiTheme="minorHAnsi" w:cstheme="minorBidi"/>
        </w:rPr>
      </w:pPr>
      <w:bookmarkStart w:id="82" w:name="_Toc157428837"/>
      <w:bookmarkStart w:id="83" w:name="_Toc169264795"/>
      <w:r w:rsidRPr="6CE004FB">
        <w:rPr>
          <w:rFonts w:asciiTheme="minorHAnsi" w:hAnsiTheme="minorHAnsi" w:cstheme="minorBidi"/>
        </w:rPr>
        <w:t>Factor 5: Relative Merit</w:t>
      </w:r>
      <w:bookmarkEnd w:id="82"/>
      <w:bookmarkEnd w:id="83"/>
      <w:r w:rsidR="00E255D1" w:rsidRPr="6CE004FB">
        <w:rPr>
          <w:rFonts w:asciiTheme="minorHAnsi" w:hAnsiTheme="minorHAnsi" w:cstheme="minorBidi"/>
        </w:rPr>
        <w:t xml:space="preserve"> </w:t>
      </w:r>
    </w:p>
    <w:p w14:paraId="21EFEEA8" w14:textId="396F87DC" w:rsidR="002D535F" w:rsidRPr="00AB7675" w:rsidRDefault="00E255D1" w:rsidP="6CE004FB">
      <w:pPr>
        <w:pStyle w:val="Heading1"/>
        <w:spacing w:before="0" w:line="240" w:lineRule="auto"/>
        <w:contextualSpacing/>
        <w:rPr>
          <w:rFonts w:asciiTheme="minorHAnsi" w:hAnsiTheme="minorHAnsi" w:cstheme="minorBidi"/>
        </w:rPr>
      </w:pPr>
      <w:bookmarkStart w:id="84" w:name="_Toc169264796"/>
      <w:r w:rsidRPr="6CE004FB">
        <w:rPr>
          <w:rFonts w:asciiTheme="minorHAnsi" w:hAnsiTheme="minorHAnsi" w:cstheme="minorBidi"/>
          <w:b w:val="0"/>
          <w:bCs w:val="0"/>
          <w:i/>
          <w:iCs/>
          <w:color w:val="auto"/>
          <w:sz w:val="24"/>
          <w:szCs w:val="24"/>
        </w:rPr>
        <w:t>Transfers of Ownership</w:t>
      </w:r>
      <w:r w:rsidR="007D56AA" w:rsidRPr="6CE004FB">
        <w:rPr>
          <w:rFonts w:asciiTheme="minorHAnsi" w:hAnsiTheme="minorHAnsi" w:cstheme="minorBidi"/>
          <w:b w:val="0"/>
          <w:bCs w:val="0"/>
          <w:i/>
          <w:iCs/>
          <w:color w:val="auto"/>
          <w:sz w:val="24"/>
          <w:szCs w:val="24"/>
        </w:rPr>
        <w:t xml:space="preserve"> are exempt from this </w:t>
      </w:r>
      <w:r w:rsidR="00734DC8" w:rsidRPr="6CE004FB">
        <w:rPr>
          <w:rFonts w:asciiTheme="minorHAnsi" w:hAnsiTheme="minorHAnsi" w:cstheme="minorBidi"/>
          <w:b w:val="0"/>
          <w:bCs w:val="0"/>
          <w:i/>
          <w:iCs/>
          <w:color w:val="auto"/>
          <w:sz w:val="24"/>
          <w:szCs w:val="24"/>
        </w:rPr>
        <w:t>factor.</w:t>
      </w:r>
      <w:bookmarkEnd w:id="84"/>
    </w:p>
    <w:p w14:paraId="1AB25283" w14:textId="523FB8A8" w:rsidR="00923527" w:rsidRDefault="00923527" w:rsidP="00B31381">
      <w:pPr>
        <w:pStyle w:val="Heading1"/>
        <w:tabs>
          <w:tab w:val="left" w:pos="8910"/>
        </w:tabs>
        <w:spacing w:before="0" w:line="240" w:lineRule="auto"/>
        <w:rPr>
          <w:rFonts w:asciiTheme="minorHAnsi" w:eastAsia="Times New Roman" w:hAnsiTheme="minorHAnsi" w:cstheme="minorHAnsi"/>
        </w:rPr>
      </w:pPr>
      <w:bookmarkStart w:id="85" w:name="_Toc17151192"/>
      <w:bookmarkStart w:id="86" w:name="_Toc17322410"/>
    </w:p>
    <w:p w14:paraId="37A24A9A" w14:textId="77777777" w:rsidR="007D56AA" w:rsidRDefault="00FF3353" w:rsidP="6CE004FB">
      <w:pPr>
        <w:pStyle w:val="Heading1"/>
        <w:spacing w:before="0" w:line="240" w:lineRule="auto"/>
        <w:rPr>
          <w:rFonts w:asciiTheme="minorHAnsi" w:eastAsia="Times New Roman" w:hAnsiTheme="minorHAnsi" w:cstheme="minorBidi"/>
        </w:rPr>
      </w:pPr>
      <w:bookmarkStart w:id="87" w:name="_Toc169264797"/>
      <w:bookmarkStart w:id="88" w:name="_Toc150336177"/>
      <w:bookmarkStart w:id="89" w:name="_Toc157428838"/>
      <w:r w:rsidRPr="6CE004FB">
        <w:rPr>
          <w:rFonts w:asciiTheme="minorHAnsi" w:eastAsia="Times New Roman" w:hAnsiTheme="minorHAnsi" w:cstheme="minorBidi"/>
        </w:rPr>
        <w:t>Factor 6: Community-based Health Initiatives</w:t>
      </w:r>
      <w:bookmarkEnd w:id="87"/>
      <w:r w:rsidRPr="6CE004FB">
        <w:rPr>
          <w:rFonts w:asciiTheme="minorHAnsi" w:eastAsia="Times New Roman" w:hAnsiTheme="minorHAnsi" w:cstheme="minorBidi"/>
        </w:rPr>
        <w:t xml:space="preserve"> </w:t>
      </w:r>
      <w:bookmarkEnd w:id="88"/>
      <w:bookmarkEnd w:id="89"/>
    </w:p>
    <w:p w14:paraId="28431165" w14:textId="6B745452" w:rsidR="00E255D1" w:rsidRPr="00E255D1" w:rsidRDefault="007D56AA" w:rsidP="6CE004FB">
      <w:pPr>
        <w:pStyle w:val="Heading1"/>
        <w:spacing w:before="0" w:line="240" w:lineRule="auto"/>
        <w:rPr>
          <w:rFonts w:asciiTheme="minorHAnsi" w:eastAsia="Times New Roman" w:hAnsiTheme="minorHAnsi" w:cstheme="minorBidi"/>
        </w:rPr>
      </w:pPr>
      <w:bookmarkStart w:id="90" w:name="_Toc169264798"/>
      <w:r w:rsidRPr="6CE004FB">
        <w:rPr>
          <w:rFonts w:asciiTheme="minorHAnsi" w:hAnsiTheme="minorHAnsi" w:cstheme="minorBidi"/>
          <w:b w:val="0"/>
          <w:bCs w:val="0"/>
          <w:i/>
          <w:iCs/>
          <w:color w:val="auto"/>
          <w:sz w:val="24"/>
          <w:szCs w:val="24"/>
        </w:rPr>
        <w:t xml:space="preserve">Transfers of Ownership are exempt from this </w:t>
      </w:r>
      <w:r w:rsidR="00734DC8" w:rsidRPr="6CE004FB">
        <w:rPr>
          <w:rFonts w:asciiTheme="minorHAnsi" w:hAnsiTheme="minorHAnsi" w:cstheme="minorBidi"/>
          <w:b w:val="0"/>
          <w:bCs w:val="0"/>
          <w:i/>
          <w:iCs/>
          <w:color w:val="auto"/>
          <w:sz w:val="24"/>
          <w:szCs w:val="24"/>
        </w:rPr>
        <w:t>factor.</w:t>
      </w:r>
      <w:bookmarkEnd w:id="90"/>
    </w:p>
    <w:p w14:paraId="34F6CE1E" w14:textId="2FFF1A06" w:rsidR="00FF3353" w:rsidRDefault="00FF3353" w:rsidP="00FF3353">
      <w:pPr>
        <w:pStyle w:val="Heading1"/>
        <w:spacing w:before="0" w:line="240" w:lineRule="auto"/>
        <w:rPr>
          <w:rFonts w:asciiTheme="minorHAnsi" w:eastAsia="Times New Roman" w:hAnsiTheme="minorHAnsi" w:cstheme="minorHAnsi"/>
        </w:rPr>
      </w:pPr>
    </w:p>
    <w:p w14:paraId="7C159929" w14:textId="4660C094" w:rsidR="00BB40B4" w:rsidRPr="001E489E" w:rsidRDefault="00BB40B4" w:rsidP="6CE004FB">
      <w:pPr>
        <w:pStyle w:val="Heading1"/>
        <w:spacing w:before="0"/>
        <w:rPr>
          <w:rFonts w:asciiTheme="minorHAnsi" w:hAnsiTheme="minorHAnsi" w:cstheme="minorBidi"/>
          <w:sz w:val="24"/>
          <w:szCs w:val="24"/>
        </w:rPr>
      </w:pPr>
      <w:bookmarkStart w:id="91" w:name="_Toc157428840"/>
      <w:bookmarkStart w:id="92" w:name="_Toc169264799"/>
      <w:bookmarkEnd w:id="85"/>
      <w:bookmarkEnd w:id="86"/>
      <w:r w:rsidRPr="6CE004FB">
        <w:rPr>
          <w:rFonts w:asciiTheme="minorHAnsi" w:hAnsiTheme="minorHAnsi" w:cstheme="minorBidi"/>
        </w:rPr>
        <w:t>Findings and Recommendations</w:t>
      </w:r>
      <w:bookmarkEnd w:id="91"/>
      <w:bookmarkEnd w:id="92"/>
    </w:p>
    <w:p w14:paraId="220F4959" w14:textId="3A2AAC16" w:rsidR="00691BEC" w:rsidRDefault="1E443917" w:rsidP="00174F97">
      <w:pPr>
        <w:spacing w:before="240"/>
        <w:rPr>
          <w:rFonts w:eastAsia="Times New Roman"/>
        </w:rPr>
      </w:pPr>
      <w:r w:rsidRPr="005C4E9A">
        <w:t xml:space="preserve">Based upon a review of the materials submitted, </w:t>
      </w:r>
      <w:r w:rsidR="2B88F0D9">
        <w:t xml:space="preserve">staff </w:t>
      </w:r>
      <w:r w:rsidR="01567A5E">
        <w:t xml:space="preserve">finds </w:t>
      </w:r>
      <w:r w:rsidR="165E1BF1">
        <w:t>t</w:t>
      </w:r>
      <w:r w:rsidR="165E1BF1" w:rsidRPr="005C4E9A">
        <w:t>hat</w:t>
      </w:r>
      <w:r w:rsidRPr="005C4E9A">
        <w:t xml:space="preserve"> the Applicant has met each DoN factor and recommends approval of this Application for </w:t>
      </w:r>
      <w:r w:rsidR="04B50501">
        <w:t>Transfer of Ownership</w:t>
      </w:r>
      <w:r w:rsidR="165E1BF1" w:rsidRPr="00691BEC">
        <w:rPr>
          <w:rFonts w:eastAsia="Times New Roman"/>
        </w:rPr>
        <w:t xml:space="preserve">, subject to all applicable Standard </w:t>
      </w:r>
      <w:r w:rsidR="475176C5">
        <w:rPr>
          <w:rFonts w:eastAsia="Times New Roman"/>
        </w:rPr>
        <w:t>and Other conditions</w:t>
      </w:r>
      <w:r w:rsidR="165E1BF1" w:rsidRPr="00691BEC">
        <w:rPr>
          <w:rFonts w:eastAsia="Times New Roman"/>
        </w:rPr>
        <w:t>.</w:t>
      </w:r>
      <w:r w:rsidR="00691BEC" w:rsidRPr="00691BEC">
        <w:rPr>
          <w:rFonts w:eastAsia="Times New Roman"/>
          <w:vertAlign w:val="superscript"/>
        </w:rPr>
        <w:footnoteReference w:id="48"/>
      </w:r>
    </w:p>
    <w:p w14:paraId="14662896" w14:textId="77777777" w:rsidR="00906F30" w:rsidRPr="00691BEC" w:rsidRDefault="00906F30" w:rsidP="00691BEC"/>
    <w:p w14:paraId="224CD080" w14:textId="27CAF915" w:rsidR="004B7CA1" w:rsidRPr="00571391" w:rsidRDefault="00ED5727" w:rsidP="00906F30">
      <w:pPr>
        <w:pStyle w:val="Heading1"/>
        <w:spacing w:before="0"/>
        <w:rPr>
          <w:rFonts w:ascii="Segoe UI" w:hAnsi="Segoe UI" w:cs="Segoe UI"/>
        </w:rPr>
      </w:pPr>
      <w:bookmarkStart w:id="93" w:name="_Toc157428841"/>
      <w:bookmarkStart w:id="94" w:name="_Toc169264800"/>
      <w:r w:rsidRPr="6CE004FB">
        <w:rPr>
          <w:rStyle w:val="normaltextrun"/>
          <w:rFonts w:ascii="Calibri" w:hAnsi="Calibri" w:cs="Calibri"/>
          <w:color w:val="2F5496"/>
        </w:rPr>
        <w:t xml:space="preserve">Other </w:t>
      </w:r>
      <w:r w:rsidR="00937788" w:rsidRPr="6CE004FB">
        <w:rPr>
          <w:rStyle w:val="normaltextrun"/>
          <w:rFonts w:ascii="Calibri" w:hAnsi="Calibri" w:cs="Calibri"/>
          <w:color w:val="2F5496"/>
        </w:rPr>
        <w:t>Conditions</w:t>
      </w:r>
      <w:bookmarkStart w:id="95" w:name="_Toc150336180"/>
      <w:bookmarkEnd w:id="93"/>
      <w:bookmarkEnd w:id="94"/>
      <w:r w:rsidR="00937788" w:rsidRPr="6CE004FB">
        <w:rPr>
          <w:rStyle w:val="normaltextrun"/>
          <w:rFonts w:ascii="Calibri" w:hAnsi="Calibri" w:cs="Calibri"/>
          <w:color w:val="2F5496"/>
        </w:rPr>
        <w:t xml:space="preserve"> </w:t>
      </w:r>
      <w:bookmarkEnd w:id="95"/>
    </w:p>
    <w:p w14:paraId="4DCED085" w14:textId="77777777" w:rsidR="00174F97" w:rsidRDefault="00174F97" w:rsidP="00671913"/>
    <w:p w14:paraId="4B0B7FA4" w14:textId="77777777" w:rsidR="00BD2CA1" w:rsidRDefault="00BD2CA1" w:rsidP="00BD2CA1">
      <w:r w:rsidRPr="00BD2CA1">
        <w:t>In establishing Conditions, the DoN Program (“Program”) notes the Holder stated throughout the DoN Application the intent to allow care to be maintained, enhanced, and expanded in the MRMC’s community to provide local access to high-quality care at a lower cost for the community. </w:t>
      </w:r>
    </w:p>
    <w:p w14:paraId="530B4FC2" w14:textId="77777777" w:rsidR="00BD2CA1" w:rsidRPr="00BD2CA1" w:rsidRDefault="00BD2CA1" w:rsidP="00BD2CA1"/>
    <w:p w14:paraId="13D1BF23" w14:textId="190134E1" w:rsidR="006B0A97" w:rsidRPr="006B0A97" w:rsidRDefault="006B0A97" w:rsidP="00A50A54">
      <w:pPr>
        <w:numPr>
          <w:ilvl w:val="0"/>
          <w:numId w:val="10"/>
        </w:numPr>
      </w:pPr>
      <w:r w:rsidRPr="006B0A97">
        <w:t xml:space="preserve">To establish adherence to this intention as outlined at the public hearing on the proposed transfer of ownership, as a condition of approval, the Holder must maintain all essential services </w:t>
      </w:r>
      <w:r w:rsidRPr="006B0A97">
        <w:rPr>
          <w:color w:val="FF0000"/>
        </w:rPr>
        <w:t xml:space="preserve">at MRMC </w:t>
      </w:r>
      <w:r w:rsidRPr="006B0A97">
        <w:t>for a minimum of 5 years post DoN approval. </w:t>
      </w:r>
    </w:p>
    <w:p w14:paraId="709E5962" w14:textId="77777777" w:rsidR="006B0A97" w:rsidRPr="006B0A97" w:rsidRDefault="006B0A97" w:rsidP="006B0A97">
      <w:r w:rsidRPr="006B0A97">
        <w:t> </w:t>
      </w:r>
    </w:p>
    <w:p w14:paraId="05D8033C" w14:textId="77777777" w:rsidR="006B0A97" w:rsidRPr="006B0A97" w:rsidRDefault="006B0A97" w:rsidP="00A50A54">
      <w:pPr>
        <w:numPr>
          <w:ilvl w:val="0"/>
          <w:numId w:val="10"/>
        </w:numPr>
      </w:pPr>
      <w:r w:rsidRPr="006B0A97">
        <w:t xml:space="preserve">In doing so and to allow for Program monitoring of the Applicant's commitment to maintaining all </w:t>
      </w:r>
      <w:r w:rsidRPr="006B0A97">
        <w:rPr>
          <w:color w:val="FF0000"/>
        </w:rPr>
        <w:t>essential</w:t>
      </w:r>
      <w:r w:rsidRPr="006B0A97">
        <w:t xml:space="preserve"> services after the acquisition of MRMC, the Holder must report on the following </w:t>
      </w:r>
      <w:r w:rsidRPr="006B0A97">
        <w:rPr>
          <w:color w:val="FF0000"/>
        </w:rPr>
        <w:t>at MRMC</w:t>
      </w:r>
      <w:r w:rsidRPr="006B0A97">
        <w:t>: </w:t>
      </w:r>
    </w:p>
    <w:p w14:paraId="4B00C760" w14:textId="77777777" w:rsidR="006B0A97" w:rsidRPr="006B0A97" w:rsidRDefault="006B0A97" w:rsidP="006B0A97"/>
    <w:p w14:paraId="77ED78A6" w14:textId="77777777" w:rsidR="006B0A97" w:rsidRPr="006B0A97" w:rsidRDefault="006B0A97" w:rsidP="00A50A54">
      <w:pPr>
        <w:numPr>
          <w:ilvl w:val="0"/>
          <w:numId w:val="11"/>
        </w:numPr>
      </w:pPr>
      <w:r w:rsidRPr="006B0A97">
        <w:t xml:space="preserve">On a quarterly basis, the Holder will inform the Program of any anticipated material or prolonged reduction of any </w:t>
      </w:r>
      <w:r w:rsidRPr="006B0A97">
        <w:rPr>
          <w:color w:val="FF0000"/>
        </w:rPr>
        <w:t>essential</w:t>
      </w:r>
      <w:r w:rsidRPr="006B0A97">
        <w:t xml:space="preserve"> service at MRMC during the upcoming quarter, and the rationale for such reduction, </w:t>
      </w:r>
      <w:r w:rsidRPr="00DE31E9">
        <w:rPr>
          <w:strike/>
          <w:color w:val="FF0000"/>
        </w:rPr>
        <w:t>(whether or not it is an essential service)</w:t>
      </w:r>
      <w:r w:rsidRPr="006B0A97">
        <w:t xml:space="preserve">.  The Holder will provide an analysis of utilization patterns over a minimum of the previous five years, budgeted and actual Full Time Equivalent (FTE) staffing for each of the services referenced for reduction, a data supported assessment of community need, and a justification for the reduction the service, including alternatives considered and alternative sites where access can be reasonably assured for its Patient Panel. </w:t>
      </w:r>
    </w:p>
    <w:p w14:paraId="18ADD0D2" w14:textId="6C3A8325" w:rsidR="00BD2CA1" w:rsidRPr="00BD2CA1" w:rsidRDefault="00BD2CA1" w:rsidP="00BD2CA1"/>
    <w:p w14:paraId="5F30BBFD" w14:textId="77777777" w:rsidR="00BD2CA1" w:rsidRPr="00BD2CA1" w:rsidRDefault="00BD2CA1" w:rsidP="00BD2CA1">
      <w:r w:rsidRPr="00BD2CA1">
        <w:t>Following a notice of anticipated reduction of any service at MRMC, the Holder may be referred to the Public Health Council for review of the long-term implications of such reduction and compliance with the DoN approval. </w:t>
      </w:r>
    </w:p>
    <w:p w14:paraId="6BA8BF7C" w14:textId="77777777" w:rsidR="00BD2CA1" w:rsidRPr="00BD2CA1" w:rsidRDefault="00BD2CA1" w:rsidP="00BD2CA1"/>
    <w:p w14:paraId="43C6EB70" w14:textId="77777777" w:rsidR="00BD2CA1" w:rsidRPr="00BD2CA1" w:rsidRDefault="00BD2CA1" w:rsidP="00A50A54">
      <w:pPr>
        <w:numPr>
          <w:ilvl w:val="0"/>
          <w:numId w:val="11"/>
        </w:numPr>
      </w:pPr>
      <w:r w:rsidRPr="00BD2CA1">
        <w:t>The Applicant has expressed its intent to increase services at the UMMHC Tri-River and Water Street sites. As part of the Holders Annual reporting, the Holder shall report on initiatives undertaken to achieve the intended goal of increasing services at the UMMHC Tri- River and Water Street sites, that includes which specialty services have been added or eliminated. </w:t>
      </w:r>
    </w:p>
    <w:p w14:paraId="4142F709" w14:textId="77777777" w:rsidR="00BD2CA1" w:rsidRPr="00BD2CA1" w:rsidRDefault="00BD2CA1" w:rsidP="00A50A54">
      <w:pPr>
        <w:numPr>
          <w:ilvl w:val="0"/>
          <w:numId w:val="11"/>
        </w:numPr>
      </w:pPr>
      <w:r w:rsidRPr="00BD2CA1">
        <w:t>The Holder will provide MRMC with the opportunity to participate in a number of the following UMMHC programs to increase access and reduce the overall cost of care: Hospital at Home, Mobile Integrated Health, Road to Care, and EMR technology enhancements. As part of its annual reporting, the Holder shall report on specific actions taken to improve access to these and similar programs that, if applicable, incorporates the rationale for not moving forward with these initiatives, including implementation of the EMR. </w:t>
      </w:r>
    </w:p>
    <w:p w14:paraId="410BFBD2" w14:textId="77777777" w:rsidR="00BD2CA1" w:rsidRPr="00BD2CA1" w:rsidRDefault="00BD2CA1" w:rsidP="00BD2CA1">
      <w:r w:rsidRPr="00BD2CA1">
        <w:rPr>
          <w:i/>
          <w:iCs/>
        </w:rPr>
        <w:t> </w:t>
      </w:r>
      <w:r w:rsidRPr="00BD2CA1">
        <w:t> </w:t>
      </w:r>
    </w:p>
    <w:p w14:paraId="3BC9E2B8" w14:textId="038F7DA6" w:rsidR="00BD2CA1" w:rsidRDefault="00BD2CA1" w:rsidP="00A50A54">
      <w:pPr>
        <w:pStyle w:val="ListParagraph"/>
        <w:numPr>
          <w:ilvl w:val="0"/>
          <w:numId w:val="10"/>
        </w:numPr>
      </w:pPr>
      <w:r w:rsidRPr="00BD2CA1">
        <w:t>The Holder shall provide, in its annual report to the Department, reporting on its proposed measures to assess the impact of the Proposed Project,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w:t>
      </w:r>
    </w:p>
    <w:sectPr w:rsidR="00BD2CA1" w:rsidSect="00FC3910">
      <w:headerReference w:type="even" r:id="rId12"/>
      <w:headerReference w:type="default" r:id="rId13"/>
      <w:footerReference w:type="even" r:id="rId14"/>
      <w:footerReference w:type="default" r:id="rId15"/>
      <w:headerReference w:type="first" r:id="rId16"/>
      <w:footerReference w:type="first" r:id="rId17"/>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07D9" w14:textId="77777777" w:rsidR="004172E4" w:rsidRDefault="004172E4" w:rsidP="008C0709">
      <w:r>
        <w:separator/>
      </w:r>
    </w:p>
  </w:endnote>
  <w:endnote w:type="continuationSeparator" w:id="0">
    <w:p w14:paraId="4B2DF7AB" w14:textId="77777777" w:rsidR="004172E4" w:rsidRDefault="004172E4" w:rsidP="008C0709">
      <w:r>
        <w:continuationSeparator/>
      </w:r>
    </w:p>
  </w:endnote>
  <w:endnote w:type="continuationNotice" w:id="1">
    <w:p w14:paraId="6DA1F264" w14:textId="77777777" w:rsidR="004172E4" w:rsidRDefault="004172E4"/>
  </w:endnote>
  <w:endnote w:id="2">
    <w:p w14:paraId="1CA0BD02" w14:textId="1902C559" w:rsidR="755C40DB" w:rsidRDefault="755C40DB" w:rsidP="755C40DB">
      <w:pPr>
        <w:pStyle w:val="EndnoteText"/>
      </w:pPr>
      <w:r>
        <w:t>https://www.mass.gov/doc/community-hospitals-at-a-crossroads-findings-from-an-examination-of-the-massachusetts-health/download#:~:text=At%20the%20same%20time%2C%20as,many%20AMCs%20and%20teaching%20hospitals.</w:t>
      </w:r>
    </w:p>
  </w:endnote>
  <w:endnote w:id="3">
    <w:p w14:paraId="4740E155" w14:textId="07F17831" w:rsidR="00E152D2" w:rsidRPr="00564619" w:rsidRDefault="00E152D2">
      <w:pPr>
        <w:pStyle w:val="EndnoteText"/>
        <w:rPr>
          <w:rFonts w:cstheme="minorHAnsi"/>
        </w:rPr>
      </w:pPr>
      <w:r w:rsidRPr="00564619">
        <w:rPr>
          <w:rStyle w:val="EndnoteReference"/>
          <w:rFonts w:cstheme="minorHAnsi"/>
        </w:rPr>
        <w:endnoteRef/>
      </w:r>
      <w:r w:rsidRPr="00564619">
        <w:rPr>
          <w:rFonts w:cstheme="minorHAnsi"/>
        </w:rPr>
        <w:t xml:space="preserve"> </w:t>
      </w:r>
      <w:hyperlink r:id="rId1" w:history="1">
        <w:r w:rsidR="007B020A" w:rsidRPr="00564619">
          <w:rPr>
            <w:rStyle w:val="Hyperlink"/>
            <w:rFonts w:cstheme="minorHAnsi"/>
          </w:rPr>
          <w:t>https://www.mass.gov/lists/don-umass-memorial-health-care-inc-20121712-to</w:t>
        </w:r>
      </w:hyperlink>
      <w:r w:rsidR="007B020A" w:rsidRPr="00564619">
        <w:rPr>
          <w:rFonts w:cstheme="minorHAnsi"/>
        </w:rPr>
        <w:t xml:space="preserve"> </w:t>
      </w:r>
    </w:p>
  </w:endnote>
  <w:endnote w:id="4">
    <w:p w14:paraId="6A523A50" w14:textId="77777777" w:rsidR="00161FA8" w:rsidRPr="00564619" w:rsidRDefault="00161FA8" w:rsidP="00161FA8">
      <w:pPr>
        <w:rPr>
          <w:color w:val="212121"/>
          <w:sz w:val="20"/>
          <w:szCs w:val="20"/>
          <w:shd w:val="clear" w:color="auto" w:fill="FFFFFF"/>
        </w:rPr>
      </w:pPr>
      <w:r w:rsidRPr="00564619">
        <w:rPr>
          <w:sz w:val="20"/>
          <w:szCs w:val="20"/>
          <w:vertAlign w:val="superscript"/>
        </w:rPr>
        <w:endnoteRef/>
      </w:r>
      <w:r w:rsidRPr="00564619">
        <w:rPr>
          <w:sz w:val="20"/>
          <w:szCs w:val="20"/>
          <w:vertAlign w:val="superscript"/>
        </w:rPr>
        <w:t xml:space="preserve"> </w:t>
      </w:r>
      <w:r w:rsidRPr="00564619">
        <w:rPr>
          <w:i/>
          <w:iCs/>
          <w:color w:val="212121"/>
          <w:sz w:val="20"/>
          <w:szCs w:val="20"/>
          <w:shd w:val="clear" w:color="auto" w:fill="FFFFFF"/>
        </w:rPr>
        <w:t xml:space="preserve">See </w:t>
      </w:r>
      <w:r w:rsidRPr="00564619">
        <w:rPr>
          <w:color w:val="212121"/>
          <w:sz w:val="20"/>
          <w:szCs w:val="20"/>
          <w:shd w:val="clear" w:color="auto" w:fill="FFFFFF"/>
        </w:rPr>
        <w:t xml:space="preserve">Prentice JC, Pizer SD. </w:t>
      </w:r>
      <w:hyperlink r:id="rId2" w:history="1">
        <w:r w:rsidRPr="00564619">
          <w:rPr>
            <w:sz w:val="20"/>
            <w:szCs w:val="20"/>
            <w:shd w:val="clear" w:color="auto" w:fill="FFFFFF"/>
          </w:rPr>
          <w:t>Delayed access to health care and mortality.</w:t>
        </w:r>
      </w:hyperlink>
      <w:r w:rsidRPr="00564619">
        <w:rPr>
          <w:sz w:val="20"/>
          <w:szCs w:val="20"/>
          <w:shd w:val="clear" w:color="auto" w:fill="FFFFFF"/>
        </w:rPr>
        <w:t xml:space="preserve"> </w:t>
      </w:r>
      <w:r w:rsidRPr="00564619">
        <w:rPr>
          <w:color w:val="212121"/>
          <w:sz w:val="20"/>
          <w:szCs w:val="20"/>
          <w:shd w:val="clear" w:color="auto" w:fill="FFFFFF"/>
        </w:rPr>
        <w:t>Health Serv Res. 2007 Apr;42(2):644-62,</w:t>
      </w:r>
      <w:r w:rsidRPr="00564619">
        <w:rPr>
          <w:sz w:val="20"/>
          <w:szCs w:val="20"/>
          <w:shd w:val="clear" w:color="auto" w:fill="FFFFFF"/>
        </w:rPr>
        <w:t xml:space="preserve"> </w:t>
      </w:r>
      <w:hyperlink r:id="rId3" w:history="1">
        <w:r w:rsidRPr="00564619">
          <w:rPr>
            <w:sz w:val="20"/>
            <w:szCs w:val="20"/>
            <w:shd w:val="clear" w:color="auto" w:fill="FFFFFF"/>
          </w:rPr>
          <w:t>https://www.ncbi.nlm.nih.gov/pmc/articles/PMC1955366/</w:t>
        </w:r>
      </w:hyperlink>
      <w:r w:rsidRPr="00564619">
        <w:rPr>
          <w:color w:val="212121"/>
          <w:sz w:val="20"/>
          <w:szCs w:val="20"/>
          <w:shd w:val="clear" w:color="auto" w:fill="FFFFFF"/>
        </w:rPr>
        <w:t xml:space="preserve">; </w:t>
      </w:r>
      <w:r w:rsidRPr="00564619">
        <w:rPr>
          <w:i/>
          <w:iCs/>
          <w:color w:val="212121"/>
          <w:sz w:val="20"/>
          <w:szCs w:val="20"/>
          <w:shd w:val="clear" w:color="auto" w:fill="FFFFFF"/>
        </w:rPr>
        <w:t>see also</w:t>
      </w:r>
      <w:r w:rsidRPr="00564619">
        <w:rPr>
          <w:color w:val="212121"/>
          <w:sz w:val="20"/>
          <w:szCs w:val="20"/>
          <w:shd w:val="clear" w:color="auto" w:fill="FFFFFF"/>
        </w:rPr>
        <w:t xml:space="preserve">, </w:t>
      </w:r>
      <w:hyperlink r:id="rId4" w:history="1">
        <w:r w:rsidRPr="00564619">
          <w:rPr>
            <w:sz w:val="20"/>
            <w:szCs w:val="20"/>
          </w:rPr>
          <w:t>Office of Disease Prevention and Health Promotion, Healthy People 2030</w:t>
        </w:r>
      </w:hyperlink>
      <w:r w:rsidRPr="00564619">
        <w:rPr>
          <w:sz w:val="20"/>
          <w:szCs w:val="20"/>
        </w:rPr>
        <w:t xml:space="preserve">, </w:t>
      </w:r>
      <w:hyperlink r:id="rId5" w:history="1">
        <w:r w:rsidRPr="00564619">
          <w:rPr>
            <w:sz w:val="20"/>
            <w:szCs w:val="20"/>
          </w:rPr>
          <w:t>https://health.gov/healthypeople/objectives-and-data/browse-objectives/health-care-access-and-quality/reduce-proportion-people-who-cant-get-medical-care-when-they-need-it-ahs-04</w:t>
        </w:r>
      </w:hyperlink>
      <w:r w:rsidRPr="00564619">
        <w:rPr>
          <w:sz w:val="20"/>
          <w:szCs w:val="20"/>
          <w:u w:val="single"/>
        </w:rPr>
        <w:t xml:space="preserve"> </w:t>
      </w:r>
      <w:r w:rsidRPr="00564619">
        <w:rPr>
          <w:sz w:val="20"/>
          <w:szCs w:val="20"/>
        </w:rPr>
        <w:t>(indicating that “d</w:t>
      </w:r>
      <w:r w:rsidRPr="00564619">
        <w:rPr>
          <w:color w:val="0D1941"/>
          <w:sz w:val="20"/>
          <w:szCs w:val="20"/>
        </w:rPr>
        <w:t>elaying medical care can negatively impact health and increase the cost of care</w:t>
      </w:r>
      <w:r w:rsidRPr="00564619">
        <w:rPr>
          <w:sz w:val="20"/>
          <w:szCs w:val="20"/>
        </w:rPr>
        <w:t>”).</w:t>
      </w:r>
    </w:p>
  </w:endnote>
  <w:endnote w:id="5">
    <w:p w14:paraId="6F93FDF4" w14:textId="77777777" w:rsidR="00161FA8" w:rsidRPr="00564619" w:rsidRDefault="00161FA8" w:rsidP="00161FA8">
      <w:pPr>
        <w:pStyle w:val="EndnoteText"/>
        <w:rPr>
          <w:rFonts w:cstheme="minorHAnsi"/>
          <w:u w:val="single"/>
        </w:rPr>
      </w:pPr>
      <w:r w:rsidRPr="00564619">
        <w:rPr>
          <w:rStyle w:val="EndnoteReference"/>
          <w:rFonts w:cstheme="minorHAnsi"/>
        </w:rPr>
        <w:endnoteRef/>
      </w:r>
      <w:r w:rsidRPr="00564619">
        <w:rPr>
          <w:rFonts w:cstheme="minorHAnsi"/>
        </w:rPr>
        <w:t xml:space="preserve"> HealthyPeople.gov, </w:t>
      </w:r>
      <w:hyperlink r:id="rId6" w:history="1">
        <w:r w:rsidRPr="00564619">
          <w:rPr>
            <w:rFonts w:cstheme="minorHAnsi"/>
          </w:rPr>
          <w:t>Access to Health Services</w:t>
        </w:r>
      </w:hyperlink>
      <w:r w:rsidRPr="00564619">
        <w:rPr>
          <w:rFonts w:cstheme="minorHAnsi"/>
        </w:rPr>
        <w:t xml:space="preserve"> (2020), </w:t>
      </w:r>
      <w:hyperlink r:id="rId7" w:history="1">
        <w:r w:rsidRPr="00564619">
          <w:rPr>
            <w:rFonts w:cstheme="minorHAnsi"/>
          </w:rPr>
          <w:t>https://wayback.archive-it.org/5774/20220413202227/https://www.healthypeople.gov/2020/topics-objectives/topic/Access-to-Health-Services</w:t>
        </w:r>
      </w:hyperlink>
      <w:r w:rsidRPr="00564619">
        <w:rPr>
          <w:rFonts w:cstheme="minorHAnsi"/>
          <w:u w:val="single"/>
        </w:rPr>
        <w:t>.</w:t>
      </w:r>
    </w:p>
  </w:endnote>
  <w:endnote w:id="6">
    <w:p w14:paraId="1B827340" w14:textId="77777777" w:rsidR="00161FA8" w:rsidRPr="00564619" w:rsidRDefault="00161FA8" w:rsidP="00161FA8">
      <w:pPr>
        <w:pStyle w:val="EndnoteText"/>
        <w:rPr>
          <w:rFonts w:cstheme="minorHAnsi"/>
        </w:rPr>
      </w:pPr>
      <w:r w:rsidRPr="00564619">
        <w:rPr>
          <w:rStyle w:val="EndnoteReference"/>
          <w:rFonts w:cstheme="minorHAnsi"/>
        </w:rPr>
        <w:endnoteRef/>
      </w:r>
      <w:r w:rsidRPr="00564619">
        <w:rPr>
          <w:rFonts w:cstheme="minorHAnsi"/>
        </w:rPr>
        <w:t xml:space="preserve"> </w:t>
      </w:r>
      <w:r w:rsidRPr="00564619">
        <w:rPr>
          <w:rFonts w:cstheme="minorHAnsi"/>
          <w:i/>
          <w:iCs/>
        </w:rPr>
        <w:t xml:space="preserve">See </w:t>
      </w:r>
      <w:r w:rsidRPr="00564619">
        <w:rPr>
          <w:rFonts w:cstheme="minorHAnsi"/>
        </w:rPr>
        <w:t>J</w:t>
      </w:r>
      <w:r w:rsidRPr="00564619">
        <w:rPr>
          <w:rFonts w:cstheme="minorHAnsi"/>
          <w:color w:val="333333"/>
          <w:shd w:val="clear" w:color="auto" w:fill="FFFFFF"/>
        </w:rPr>
        <w:t xml:space="preserve">iang HJ, Fingar KR, Liang L, Henke RM, Gibson TP. </w:t>
      </w:r>
      <w:hyperlink r:id="rId8" w:history="1">
        <w:r w:rsidRPr="00564619">
          <w:rPr>
            <w:rFonts w:cstheme="minorHAnsi"/>
            <w:shd w:val="clear" w:color="auto" w:fill="FFFFFF"/>
          </w:rPr>
          <w:t>Quality of Care Before and After Mergers and Acquisitions of Rural Hospitals</w:t>
        </w:r>
      </w:hyperlink>
      <w:r w:rsidRPr="00564619">
        <w:rPr>
          <w:rFonts w:cstheme="minorHAnsi"/>
          <w:shd w:val="clear" w:color="auto" w:fill="FFFFFF"/>
        </w:rPr>
        <w:t>. </w:t>
      </w:r>
      <w:r w:rsidRPr="00564619">
        <w:rPr>
          <w:rStyle w:val="Emphasis"/>
          <w:rFonts w:cstheme="minorHAnsi"/>
          <w:color w:val="333333"/>
          <w:shd w:val="clear" w:color="auto" w:fill="FFFFFF"/>
        </w:rPr>
        <w:t>JAMA Netw Open.</w:t>
      </w:r>
      <w:r w:rsidRPr="00564619">
        <w:rPr>
          <w:rFonts w:cstheme="minorHAnsi"/>
          <w:color w:val="333333"/>
          <w:shd w:val="clear" w:color="auto" w:fill="FFFFFF"/>
        </w:rPr>
        <w:t> 2021;4(9</w:t>
      </w:r>
      <w:r w:rsidRPr="00564619">
        <w:rPr>
          <w:rFonts w:cstheme="minorHAnsi"/>
          <w:color w:val="333333"/>
          <w:shd w:val="clear" w:color="auto" w:fill="FFFFFF"/>
        </w:rPr>
        <w:t xml:space="preserve">):e2124662, </w:t>
      </w:r>
      <w:hyperlink r:id="rId9" w:history="1">
        <w:r w:rsidRPr="00564619">
          <w:rPr>
            <w:rFonts w:cstheme="minorHAnsi"/>
            <w:shd w:val="clear" w:color="auto" w:fill="FFFFFF"/>
          </w:rPr>
          <w:t>https://jamanetwork.com/journals/jamanetworkopen/fullarticle/2784342</w:t>
        </w:r>
      </w:hyperlink>
      <w:r w:rsidRPr="00564619">
        <w:rPr>
          <w:rFonts w:cstheme="minorHAnsi"/>
          <w:color w:val="333333"/>
          <w:shd w:val="clear" w:color="auto" w:fill="FFFFFF"/>
        </w:rPr>
        <w:t xml:space="preserve">. </w:t>
      </w:r>
    </w:p>
  </w:endnote>
  <w:endnote w:id="7">
    <w:p w14:paraId="768C3098" w14:textId="4AFF2436" w:rsidR="00161FA8" w:rsidRPr="00564619" w:rsidRDefault="00161FA8" w:rsidP="00161FA8">
      <w:pPr>
        <w:pStyle w:val="EndnoteText"/>
        <w:rPr>
          <w:rFonts w:cstheme="minorHAnsi"/>
          <w:u w:val="single"/>
        </w:rPr>
      </w:pPr>
      <w:r w:rsidRPr="00564619">
        <w:rPr>
          <w:rStyle w:val="EndnoteReference"/>
          <w:rFonts w:cstheme="minorHAnsi"/>
        </w:rPr>
        <w:endnoteRef/>
      </w:r>
      <w:r w:rsidRPr="00564619">
        <w:rPr>
          <w:rFonts w:cstheme="minorHAnsi"/>
        </w:rPr>
        <w:t xml:space="preserve"> </w:t>
      </w:r>
      <w:hyperlink r:id="rId10" w:history="1">
        <w:r w:rsidRPr="00564619">
          <w:rPr>
            <w:rFonts w:cstheme="minorHAnsi"/>
          </w:rPr>
          <w:t>Health Policy Commission, Community Hospitals at a Crossroads</w:t>
        </w:r>
      </w:hyperlink>
      <w:r w:rsidRPr="00564619">
        <w:rPr>
          <w:rFonts w:cstheme="minorHAnsi"/>
        </w:rPr>
        <w:t xml:space="preserve"> (March 2016),  </w:t>
      </w:r>
      <w:hyperlink r:id="rId11" w:history="1">
        <w:r w:rsidRPr="00564619">
          <w:rPr>
            <w:rFonts w:cstheme="minorHAnsi"/>
          </w:rPr>
          <w:t>https://www.mass.gov/doc/community-hospitals-at-a-crossroads-findings-from-an-examination-of-the-massachusetts-health/download</w:t>
        </w:r>
      </w:hyperlink>
      <w:r w:rsidRPr="00564619">
        <w:rPr>
          <w:rFonts w:cstheme="minorHAnsi"/>
          <w:u w:val="single"/>
        </w:rPr>
        <w:t>.</w:t>
      </w:r>
    </w:p>
  </w:endnote>
  <w:endnote w:id="8">
    <w:p w14:paraId="7B3128F5" w14:textId="77777777" w:rsidR="00161FA8" w:rsidRPr="00564619" w:rsidRDefault="00161FA8" w:rsidP="00161FA8">
      <w:pPr>
        <w:pStyle w:val="EndnoteText"/>
        <w:rPr>
          <w:rFonts w:cstheme="minorHAnsi"/>
          <w:u w:val="single"/>
        </w:rPr>
      </w:pPr>
      <w:r w:rsidRPr="00564619">
        <w:rPr>
          <w:rStyle w:val="EndnoteReference"/>
          <w:rFonts w:cstheme="minorHAnsi"/>
        </w:rPr>
        <w:endnoteRef/>
      </w:r>
      <w:r w:rsidRPr="00564619">
        <w:rPr>
          <w:rFonts w:cstheme="minorHAnsi"/>
        </w:rPr>
        <w:t xml:space="preserve"> </w:t>
      </w:r>
      <w:r w:rsidRPr="00564619">
        <w:rPr>
          <w:rFonts w:cstheme="minorHAnsi"/>
          <w:u w:val="single"/>
        </w:rPr>
        <w:t>Id.</w:t>
      </w:r>
    </w:p>
  </w:endnote>
  <w:endnote w:id="9">
    <w:p w14:paraId="175F333E" w14:textId="77777777" w:rsidR="008C5590" w:rsidRPr="00564619" w:rsidRDefault="008C5590" w:rsidP="008C5590">
      <w:pPr>
        <w:rPr>
          <w:color w:val="212121"/>
          <w:sz w:val="20"/>
          <w:szCs w:val="20"/>
          <w:shd w:val="clear" w:color="auto" w:fill="FFFFFF"/>
        </w:rPr>
      </w:pPr>
      <w:r w:rsidRPr="00564619">
        <w:rPr>
          <w:sz w:val="20"/>
          <w:szCs w:val="20"/>
          <w:vertAlign w:val="superscript"/>
        </w:rPr>
        <w:endnoteRef/>
      </w:r>
      <w:r w:rsidRPr="00564619">
        <w:rPr>
          <w:sz w:val="20"/>
          <w:szCs w:val="20"/>
          <w:vertAlign w:val="superscript"/>
        </w:rPr>
        <w:t xml:space="preserve"> </w:t>
      </w:r>
      <w:r w:rsidRPr="00564619">
        <w:rPr>
          <w:i/>
          <w:iCs/>
          <w:sz w:val="20"/>
          <w:szCs w:val="20"/>
        </w:rPr>
        <w:t xml:space="preserve">See </w:t>
      </w:r>
      <w:r w:rsidRPr="00564619">
        <w:rPr>
          <w:color w:val="212121"/>
          <w:sz w:val="20"/>
          <w:szCs w:val="20"/>
          <w:shd w:val="clear" w:color="auto" w:fill="FFFFFF"/>
        </w:rPr>
        <w:t>Elek P, Molnár T, Váradi B</w:t>
      </w:r>
      <w:r w:rsidRPr="00564619">
        <w:rPr>
          <w:sz w:val="20"/>
          <w:szCs w:val="20"/>
          <w:shd w:val="clear" w:color="auto" w:fill="FFFFFF"/>
        </w:rPr>
        <w:t xml:space="preserve">. </w:t>
      </w:r>
      <w:hyperlink r:id="rId12" w:history="1">
        <w:r w:rsidRPr="00564619">
          <w:rPr>
            <w:sz w:val="20"/>
            <w:szCs w:val="20"/>
            <w:shd w:val="clear" w:color="auto" w:fill="FFFFFF"/>
          </w:rPr>
          <w:t>The closer the better: does better access to outpatient care prevent hospitalization?</w:t>
        </w:r>
      </w:hyperlink>
      <w:r w:rsidRPr="00564619">
        <w:rPr>
          <w:sz w:val="20"/>
          <w:szCs w:val="20"/>
          <w:shd w:val="clear" w:color="auto" w:fill="FFFFFF"/>
        </w:rPr>
        <w:t xml:space="preserve"> </w:t>
      </w:r>
      <w:r w:rsidRPr="00564619">
        <w:rPr>
          <w:color w:val="212121"/>
          <w:sz w:val="20"/>
          <w:szCs w:val="20"/>
          <w:shd w:val="clear" w:color="auto" w:fill="FFFFFF"/>
        </w:rPr>
        <w:t>Eur J Health`h Econ. 2019 Aug;20(6):801-817,</w:t>
      </w:r>
      <w:r w:rsidRPr="00564619">
        <w:rPr>
          <w:color w:val="212121"/>
          <w:sz w:val="20"/>
          <w:szCs w:val="20"/>
          <w:u w:val="single"/>
          <w:shd w:val="clear" w:color="auto" w:fill="FFFFFF"/>
        </w:rPr>
        <w:t xml:space="preserve"> </w:t>
      </w:r>
      <w:hyperlink r:id="rId13" w:history="1">
        <w:r w:rsidRPr="00564619">
          <w:rPr>
            <w:sz w:val="20"/>
            <w:szCs w:val="20"/>
          </w:rPr>
          <w:t>https://www.ncbi.nlm.nih.gov/pmc/articles/PMC6652173/</w:t>
        </w:r>
      </w:hyperlink>
      <w:r w:rsidRPr="00564619">
        <w:rPr>
          <w:sz w:val="20"/>
          <w:szCs w:val="20"/>
          <w:u w:val="single"/>
        </w:rPr>
        <w:t xml:space="preserve"> </w:t>
      </w:r>
      <w:r w:rsidRPr="00564619">
        <w:rPr>
          <w:sz w:val="20"/>
          <w:szCs w:val="20"/>
        </w:rPr>
        <w:t>(</w:t>
      </w:r>
      <w:r w:rsidRPr="00564619">
        <w:rPr>
          <w:color w:val="212121"/>
          <w:sz w:val="20"/>
          <w:szCs w:val="20"/>
          <w:shd w:val="clear" w:color="auto" w:fill="FFFFFF"/>
        </w:rPr>
        <w:t>providing support for “bringing outpatient care closer to a previously underserved population yields considerable health benefits” and suggesting that patients may substitute between outpatient and inpatient care).</w:t>
      </w:r>
    </w:p>
  </w:endnote>
  <w:endnote w:id="10">
    <w:p w14:paraId="37E7B797" w14:textId="77777777" w:rsidR="00161FA8" w:rsidRPr="00564619" w:rsidRDefault="00161FA8" w:rsidP="00161FA8">
      <w:pPr>
        <w:pStyle w:val="EndnoteText"/>
        <w:rPr>
          <w:rFonts w:cstheme="minorHAnsi"/>
          <w:u w:val="single"/>
        </w:rPr>
      </w:pPr>
      <w:r w:rsidRPr="00564619">
        <w:rPr>
          <w:rStyle w:val="EndnoteReference"/>
          <w:rFonts w:cstheme="minorHAnsi"/>
        </w:rPr>
        <w:endnoteRef/>
      </w:r>
      <w:r w:rsidRPr="00564619">
        <w:rPr>
          <w:rFonts w:cstheme="minorHAnsi"/>
        </w:rPr>
        <w:t xml:space="preserve"> </w:t>
      </w:r>
      <w:hyperlink r:id="rId14" w:history="1">
        <w:r w:rsidRPr="00564619">
          <w:rPr>
            <w:rFonts w:cstheme="minorHAnsi"/>
          </w:rPr>
          <w:t>Milford Regional Medical Center, Community Health Needs Assessment, 2021 Final Report</w:t>
        </w:r>
      </w:hyperlink>
      <w:r w:rsidRPr="00564619">
        <w:rPr>
          <w:rFonts w:cstheme="minorHAnsi"/>
        </w:rPr>
        <w:t xml:space="preserve">, </w:t>
      </w:r>
      <w:hyperlink r:id="rId15" w:history="1">
        <w:r w:rsidRPr="00564619">
          <w:rPr>
            <w:rFonts w:cstheme="minorHAnsi"/>
          </w:rPr>
          <w:t>https://www.milfordregional.org/app/files/public/f71683c8-c7a4-455b-98ba-8a91bcef4416/Milford%20Regional%20Medical%20Center%20-%202021%20CHNA.final.pdf</w:t>
        </w:r>
      </w:hyperlink>
      <w:r w:rsidRPr="00564619">
        <w:rPr>
          <w:rFonts w:cstheme="minorHAnsi"/>
          <w:u w:val="single"/>
        </w:rPr>
        <w:t>.</w:t>
      </w:r>
    </w:p>
  </w:endnote>
  <w:endnote w:id="11">
    <w:p w14:paraId="19CBE7B6" w14:textId="77777777" w:rsidR="00A84591" w:rsidRPr="00564619" w:rsidRDefault="00A84591" w:rsidP="00A84591">
      <w:pPr>
        <w:pStyle w:val="EndnoteText"/>
        <w:rPr>
          <w:rFonts w:cstheme="minorHAnsi"/>
        </w:rPr>
      </w:pPr>
      <w:r w:rsidRPr="00564619">
        <w:rPr>
          <w:rStyle w:val="EndnoteReference"/>
          <w:rFonts w:cstheme="minorHAnsi"/>
        </w:rPr>
        <w:endnoteRef/>
      </w:r>
      <w:r w:rsidRPr="00564619">
        <w:rPr>
          <w:rFonts w:cstheme="minorHAnsi"/>
        </w:rPr>
        <w:t xml:space="preserve"> </w:t>
      </w:r>
      <w:r w:rsidRPr="00564619">
        <w:rPr>
          <w:rFonts w:cstheme="minorHAnsi"/>
          <w:i/>
          <w:iCs/>
        </w:rPr>
        <w:t xml:space="preserve">See </w:t>
      </w:r>
      <w:r w:rsidRPr="00564619">
        <w:rPr>
          <w:rFonts w:cstheme="minorHAnsi"/>
        </w:rPr>
        <w:t xml:space="preserve">MassHealth, </w:t>
      </w:r>
      <w:hyperlink r:id="rId16" w:history="1">
        <w:r w:rsidRPr="00564619">
          <w:rPr>
            <w:rFonts w:cstheme="minorHAnsi"/>
          </w:rPr>
          <w:t>Health Equity Incentives Program RFI, Appendix A; MassHealth RELD, Sex &amp; SOGI Data Standards (</w:t>
        </w:r>
      </w:hyperlink>
      <w:r w:rsidRPr="00564619">
        <w:rPr>
          <w:rFonts w:cstheme="minorHAnsi"/>
        </w:rPr>
        <w:t xml:space="preserve">October 2021), </w:t>
      </w:r>
      <w:hyperlink r:id="rId17" w:history="1">
        <w:r w:rsidRPr="00564619">
          <w:rPr>
            <w:rFonts w:cstheme="minorHAnsi"/>
          </w:rPr>
          <w:t>https://www.mass.gov/doc/health-equity-incentives-rfi-appendix-a-0/download</w:t>
        </w:r>
      </w:hyperlink>
      <w:r w:rsidRPr="00564619">
        <w:rPr>
          <w:rFonts w:cstheme="minorHAnsi"/>
        </w:rPr>
        <w:t>.</w:t>
      </w:r>
    </w:p>
  </w:endnote>
  <w:endnote w:id="12">
    <w:p w14:paraId="5A08E3A0" w14:textId="77777777" w:rsidR="002C1C4F" w:rsidRPr="00E96BFE" w:rsidRDefault="002C1C4F" w:rsidP="002C1C4F">
      <w:pPr>
        <w:pStyle w:val="EndnoteText"/>
        <w:rPr>
          <w:rFonts w:cstheme="minorHAnsi"/>
          <w:u w:val="single"/>
        </w:rPr>
      </w:pPr>
      <w:r w:rsidRPr="00E96BFE">
        <w:rPr>
          <w:rStyle w:val="EndnoteReference"/>
          <w:rFonts w:cstheme="minorHAnsi"/>
        </w:rPr>
        <w:endnoteRef/>
      </w:r>
      <w:r w:rsidRPr="00E96BFE">
        <w:rPr>
          <w:rFonts w:cstheme="minorHAnsi"/>
        </w:rPr>
        <w:t xml:space="preserve"> </w:t>
      </w:r>
      <w:r w:rsidRPr="00E96BFE">
        <w:rPr>
          <w:rFonts w:cstheme="minorHAnsi"/>
          <w:i/>
          <w:iCs/>
        </w:rPr>
        <w:t>See</w:t>
      </w:r>
      <w:r w:rsidRPr="00E96BFE">
        <w:rPr>
          <w:rFonts w:cstheme="minorHAnsi"/>
        </w:rPr>
        <w:t xml:space="preserve"> </w:t>
      </w:r>
      <w:hyperlink r:id="rId18" w:history="1">
        <w:r w:rsidRPr="00E96BFE">
          <w:rPr>
            <w:rStyle w:val="Hyperlink1"/>
            <w:rFonts w:cstheme="minorHAnsi"/>
          </w:rPr>
          <w:t>UMMHC, Anchor Mission</w:t>
        </w:r>
      </w:hyperlink>
      <w:r w:rsidRPr="00E96BFE">
        <w:rPr>
          <w:rFonts w:cstheme="minorHAnsi"/>
        </w:rPr>
        <w:t xml:space="preserve">, </w:t>
      </w:r>
      <w:hyperlink r:id="rId19" w:history="1">
        <w:r w:rsidRPr="00E96BFE">
          <w:rPr>
            <w:rStyle w:val="Hyperlink1"/>
            <w:rFonts w:cstheme="minorHAnsi"/>
          </w:rPr>
          <w:t>https://www.ummhealth.org/anchor-mission</w:t>
        </w:r>
      </w:hyperlink>
      <w:r w:rsidRPr="00E96BFE">
        <w:rPr>
          <w:rFonts w:cstheme="minorHAnsi"/>
          <w:u w:val="single"/>
        </w:rPr>
        <w:t>;</w:t>
      </w:r>
      <w:r w:rsidRPr="00E96BFE">
        <w:rPr>
          <w:rFonts w:cstheme="minorHAnsi"/>
        </w:rPr>
        <w:t xml:space="preserve"> </w:t>
      </w:r>
      <w:r w:rsidRPr="00E96BFE">
        <w:rPr>
          <w:rFonts w:cstheme="minorHAnsi"/>
          <w:i/>
          <w:iCs/>
        </w:rPr>
        <w:t>see also</w:t>
      </w:r>
      <w:r w:rsidRPr="00E96BFE">
        <w:rPr>
          <w:rFonts w:cstheme="minorHAnsi"/>
        </w:rPr>
        <w:t xml:space="preserve">, Harvard Chan School of Public Health, </w:t>
      </w:r>
      <w:hyperlink r:id="rId20" w:history="1">
        <w:r w:rsidRPr="00E96BFE">
          <w:rPr>
            <w:rStyle w:val="Hyperlink1"/>
            <w:rFonts w:cstheme="minorHAnsi"/>
          </w:rPr>
          <w:t xml:space="preserve">2019 Case Study, </w:t>
        </w:r>
        <w:r w:rsidRPr="00E96BFE">
          <w:rPr>
            <w:rStyle w:val="Hyperlink1"/>
            <w:rFonts w:cstheme="minorHAnsi"/>
            <w:kern w:val="24"/>
          </w:rPr>
          <w:t>Anchor Health Beyond Clinical Care: UMass Memorial Health Care’s Anchor Mission Project</w:t>
        </w:r>
      </w:hyperlink>
      <w:r w:rsidRPr="00E96BFE">
        <w:rPr>
          <w:rFonts w:cstheme="minorHAnsi"/>
          <w:kern w:val="24"/>
        </w:rPr>
        <w:t xml:space="preserve">, </w:t>
      </w:r>
      <w:hyperlink r:id="rId21" w:history="1">
        <w:r w:rsidRPr="00E96BFE">
          <w:rPr>
            <w:rStyle w:val="Hyperlink1"/>
            <w:rFonts w:cstheme="minorHAnsi"/>
          </w:rPr>
          <w:t>https://alumni.sph.harvard.edu/s/1319/images/gid2/editor_documents/mhcm_alumni/ummhc_case_study.final_formatted.pdf?gid=2&amp;pgid=61&amp;sessionid=6ab760ce-c187-4c0a-9199-35743be650cc&amp;cc=1</w:t>
        </w:r>
      </w:hyperlink>
      <w:r w:rsidRPr="00E96BFE">
        <w:rPr>
          <w:rStyle w:val="Hyperlink1"/>
          <w:rFonts w:cstheme="minorHAnsi"/>
        </w:rPr>
        <w:t xml:space="preserve">; </w:t>
      </w:r>
      <w:r w:rsidRPr="00E96BFE">
        <w:rPr>
          <w:rStyle w:val="Hyperlink1"/>
          <w:rFonts w:cstheme="minorHAnsi"/>
          <w:iCs/>
        </w:rPr>
        <w:t>see generally</w:t>
      </w:r>
      <w:r w:rsidRPr="00E96BFE">
        <w:rPr>
          <w:rStyle w:val="Hyperlink1"/>
          <w:rFonts w:cstheme="minorHAnsi"/>
        </w:rPr>
        <w:t>, Healthcare Anchor Network, Resources for the Anchor Mission, https://healthcareanchor.network/anchor-mission-resources/.</w:t>
      </w:r>
    </w:p>
  </w:endnote>
  <w:endnote w:id="13">
    <w:p w14:paraId="22116A5C" w14:textId="77777777" w:rsidR="002C1C4F" w:rsidRPr="00E96BFE" w:rsidRDefault="002C1C4F" w:rsidP="002C1C4F">
      <w:pPr>
        <w:textAlignment w:val="baseline"/>
        <w:rPr>
          <w:sz w:val="20"/>
          <w:szCs w:val="20"/>
          <w:u w:val="single"/>
        </w:rPr>
      </w:pPr>
      <w:r w:rsidRPr="00E96BFE">
        <w:rPr>
          <w:rStyle w:val="EndnoteReference"/>
          <w:sz w:val="20"/>
          <w:szCs w:val="20"/>
        </w:rPr>
        <w:endnoteRef/>
      </w:r>
      <w:r w:rsidRPr="00E96BFE">
        <w:rPr>
          <w:sz w:val="20"/>
          <w:szCs w:val="20"/>
        </w:rPr>
        <w:t xml:space="preserve"> </w:t>
      </w:r>
      <w:hyperlink r:id="rId22" w:history="1">
        <w:r w:rsidRPr="00E96BFE">
          <w:rPr>
            <w:rStyle w:val="Hyperlink1"/>
            <w:sz w:val="20"/>
            <w:szCs w:val="20"/>
          </w:rPr>
          <w:t>UMMHC, Diversity and Cultural Awareness, Programming and Education</w:t>
        </w:r>
      </w:hyperlink>
      <w:r w:rsidRPr="00E96BFE">
        <w:rPr>
          <w:sz w:val="20"/>
          <w:szCs w:val="20"/>
        </w:rPr>
        <w:t xml:space="preserve">, </w:t>
      </w:r>
      <w:hyperlink r:id="rId23" w:history="1">
        <w:r w:rsidRPr="00E96BFE">
          <w:rPr>
            <w:rStyle w:val="Hyperlink1"/>
            <w:sz w:val="20"/>
            <w:szCs w:val="20"/>
          </w:rPr>
          <w:t>https://www.ummhealth.org/umass-memorial-medical-center/about-us/diversity-and-cultural-awareness/programming-and-education</w:t>
        </w:r>
      </w:hyperlink>
      <w:r w:rsidRPr="00E96BFE">
        <w:rPr>
          <w:sz w:val="20"/>
          <w:szCs w:val="20"/>
          <w:u w:val="single"/>
        </w:rPr>
        <w:t xml:space="preserve">. </w:t>
      </w:r>
    </w:p>
  </w:endnote>
  <w:endnote w:id="14">
    <w:p w14:paraId="413C62F6" w14:textId="77777777" w:rsidR="002C1C4F" w:rsidRPr="00E96BFE" w:rsidRDefault="002C1C4F" w:rsidP="002C1C4F">
      <w:pPr>
        <w:pStyle w:val="EndnoteText"/>
        <w:rPr>
          <w:rFonts w:cstheme="minorHAnsi"/>
          <w:u w:val="single"/>
        </w:rPr>
      </w:pPr>
      <w:r w:rsidRPr="00E96BFE">
        <w:rPr>
          <w:rStyle w:val="EndnoteReference"/>
          <w:rFonts w:cstheme="minorHAnsi"/>
        </w:rPr>
        <w:endnoteRef/>
      </w:r>
      <w:r w:rsidRPr="00E96BFE">
        <w:rPr>
          <w:rFonts w:cstheme="minorHAnsi"/>
        </w:rPr>
        <w:t xml:space="preserve"> </w:t>
      </w:r>
      <w:hyperlink r:id="rId24" w:history="1">
        <w:r w:rsidRPr="00E96BFE">
          <w:rPr>
            <w:rStyle w:val="Hyperlink1"/>
            <w:rFonts w:cstheme="minorHAnsi"/>
          </w:rPr>
          <w:t>The Greater Milford Community Network, CHNA 6, Community Health Improvement Plan (CHIP)</w:t>
        </w:r>
      </w:hyperlink>
      <w:r w:rsidRPr="00E96BFE">
        <w:rPr>
          <w:rFonts w:cstheme="minorHAnsi"/>
        </w:rPr>
        <w:t xml:space="preserve"> (February 2022), </w:t>
      </w:r>
      <w:hyperlink r:id="rId25" w:history="1">
        <w:r w:rsidRPr="00E96BFE">
          <w:rPr>
            <w:rStyle w:val="Hyperlink1"/>
            <w:rFonts w:cstheme="minorHAnsi"/>
            <w:noProof/>
          </w:rPr>
          <w:t>https://drive.google.com/file/d/1MuaqAZT3cuWi6ZYzhBPFc-c1r1-xpi5X/view?pli=1</w:t>
        </w:r>
      </w:hyperlink>
      <w:r w:rsidRPr="00E96BFE">
        <w:rPr>
          <w:rStyle w:val="Hyperlink1"/>
          <w:rFonts w:cstheme="minorHAnsi"/>
          <w:noProof/>
        </w:rPr>
        <w:t>.</w:t>
      </w:r>
      <w:r w:rsidRPr="00E96BFE">
        <w:rPr>
          <w:rFonts w:cstheme="minorHAnsi"/>
          <w:noProof/>
          <w:u w:val="single"/>
        </w:rPr>
        <w:t xml:space="preserve"> </w:t>
      </w:r>
    </w:p>
  </w:endnote>
  <w:endnote w:id="15">
    <w:p w14:paraId="44AD4179" w14:textId="77777777" w:rsidR="002C1C4F" w:rsidRPr="00E96BFE" w:rsidRDefault="002C1C4F" w:rsidP="002C1C4F">
      <w:pPr>
        <w:pStyle w:val="EndnoteText"/>
        <w:rPr>
          <w:rFonts w:cstheme="minorHAnsi"/>
        </w:rPr>
      </w:pPr>
      <w:r w:rsidRPr="00E96BFE">
        <w:rPr>
          <w:rStyle w:val="EndnoteReference"/>
          <w:rFonts w:cstheme="minorHAnsi"/>
        </w:rPr>
        <w:endnoteRef/>
      </w:r>
      <w:r w:rsidRPr="00E96BFE">
        <w:rPr>
          <w:rFonts w:cstheme="minorHAnsi"/>
        </w:rPr>
        <w:t xml:space="preserve"> </w:t>
      </w:r>
      <w:hyperlink r:id="rId26" w:history="1">
        <w:r w:rsidRPr="00E96BFE">
          <w:rPr>
            <w:rStyle w:val="Hyperlink1"/>
            <w:rFonts w:cstheme="minorHAnsi"/>
          </w:rPr>
          <w:t>Milford Regional Medical Center, About CHNA 6</w:t>
        </w:r>
      </w:hyperlink>
      <w:r w:rsidRPr="00E96BFE">
        <w:rPr>
          <w:rFonts w:cstheme="minorHAnsi"/>
        </w:rPr>
        <w:t xml:space="preserve">, </w:t>
      </w:r>
      <w:hyperlink r:id="rId27" w:history="1">
        <w:r w:rsidRPr="00E96BFE">
          <w:rPr>
            <w:rStyle w:val="Hyperlink1"/>
            <w:rFonts w:cstheme="minorHAnsi"/>
          </w:rPr>
          <w:t>https://www.chna6.org/</w:t>
        </w:r>
      </w:hyperlink>
      <w:r w:rsidRPr="00E96BFE">
        <w:rPr>
          <w:rFonts w:cstheme="minorHAnsi"/>
        </w:rPr>
        <w:t>.</w:t>
      </w:r>
    </w:p>
  </w:endnote>
  <w:endnote w:id="16">
    <w:p w14:paraId="03C4F38B" w14:textId="42A8D62B" w:rsidR="00B73799" w:rsidRPr="00E96BFE" w:rsidRDefault="00B73799" w:rsidP="00076B1A">
      <w:pPr>
        <w:pStyle w:val="EndnoteText"/>
        <w:contextualSpacing/>
        <w:rPr>
          <w:rFonts w:cstheme="minorHAnsi"/>
        </w:rPr>
      </w:pPr>
      <w:r w:rsidRPr="00E96BFE">
        <w:rPr>
          <w:rStyle w:val="EndnoteReference"/>
          <w:rFonts w:cstheme="minorHAnsi"/>
        </w:rPr>
        <w:endnoteRef/>
      </w:r>
      <w:r w:rsidRPr="00E96BFE">
        <w:rPr>
          <w:rFonts w:cstheme="minorHAnsi"/>
        </w:rPr>
        <w:t xml:space="preserve"> </w:t>
      </w:r>
      <w:r w:rsidRPr="00E96BFE">
        <w:rPr>
          <w:rFonts w:eastAsia="Times New Roman" w:cstheme="minorHAnsi"/>
        </w:rPr>
        <w:t>Community Engagement Standards for Community Health Planning Guideline. https://www.mass.gov/doc/community-engagement-guidelines-for-community-health-planning-pdf/download.</w:t>
      </w:r>
      <w:r w:rsidRPr="00E96BFE">
        <w:rPr>
          <w:rFonts w:cstheme="minorHAnsi"/>
        </w:rPr>
        <w:t xml:space="preserve"> </w:t>
      </w:r>
    </w:p>
  </w:endnote>
  <w:endnote w:id="17">
    <w:p w14:paraId="35BFD950" w14:textId="7F7BE982" w:rsidR="00B73799" w:rsidRPr="00E96BFE" w:rsidRDefault="00B73799" w:rsidP="00076B1A">
      <w:pPr>
        <w:pStyle w:val="EndnoteText"/>
        <w:rPr>
          <w:rFonts w:cstheme="minorHAnsi"/>
        </w:rPr>
      </w:pPr>
      <w:r w:rsidRPr="00E96BFE">
        <w:rPr>
          <w:rStyle w:val="EndnoteReference"/>
          <w:rFonts w:cstheme="minorHAnsi"/>
        </w:rPr>
        <w:endnoteRef/>
      </w:r>
      <w:r w:rsidRPr="00E96BFE">
        <w:rPr>
          <w:rFonts w:cstheme="minorHAnsi"/>
        </w:rPr>
        <w:t xml:space="preserve"> </w:t>
      </w:r>
      <w:hyperlink r:id="rId28" w:history="1">
        <w:r w:rsidRPr="00E96BFE">
          <w:rPr>
            <w:rStyle w:val="Hyperlink"/>
            <w:rFonts w:cstheme="minorHAnsi"/>
            <w:color w:val="000000" w:themeColor="text1"/>
            <w:u w:val="none"/>
          </w:rPr>
          <w:t>DoN Regulation 100.210 (A)(1)(e)</w:t>
        </w:r>
        <w:r w:rsidRPr="00E96BFE">
          <w:rPr>
            <w:rStyle w:val="Hyperlink"/>
            <w:rFonts w:cstheme="minorHAnsi"/>
          </w:rPr>
          <w:t>.</w:t>
        </w:r>
      </w:hyperlink>
      <w:r w:rsidRPr="00E96BFE">
        <w:rPr>
          <w:rFonts w:cstheme="minorHAnsi"/>
        </w:rPr>
        <w:t xml:space="preserve"> </w:t>
      </w:r>
      <w:hyperlink r:id="rId29" w:history="1">
        <w:r w:rsidRPr="00E96BFE">
          <w:rPr>
            <w:rStyle w:val="Hyperlink"/>
            <w:rFonts w:cstheme="minorHAnsi"/>
            <w:color w:val="auto"/>
          </w:rPr>
          <w:t>at https://www.mass.gov/files/documents/2018/12/31/jud-lib-105cmr100.pdf</w:t>
        </w:r>
      </w:hyperlink>
      <w:r w:rsidRPr="00E96BFE">
        <w:rPr>
          <w:rStyle w:val="Hyperlink"/>
          <w:rFonts w:cstheme="minorHAnsi"/>
          <w:color w:val="auto"/>
          <w:u w:val="none"/>
        </w:rPr>
        <w:t>.</w:t>
      </w:r>
    </w:p>
  </w:endnote>
  <w:endnote w:id="18">
    <w:p w14:paraId="60F2AF77" w14:textId="77777777" w:rsidR="00863E19" w:rsidRPr="00E96BFE" w:rsidRDefault="00863E19" w:rsidP="00863E19">
      <w:pPr>
        <w:pStyle w:val="EndnoteText"/>
        <w:rPr>
          <w:rFonts w:cstheme="minorHAnsi"/>
        </w:rPr>
      </w:pPr>
      <w:r w:rsidRPr="00E96BFE">
        <w:rPr>
          <w:rStyle w:val="EndnoteReference"/>
          <w:rFonts w:cstheme="minorHAnsi"/>
        </w:rPr>
        <w:endnoteRef/>
      </w:r>
      <w:r w:rsidRPr="00E96BFE">
        <w:rPr>
          <w:rFonts w:cstheme="minorHAnsi"/>
        </w:rPr>
        <w:t xml:space="preserve"> https://www.chiamass.gov/hospital-and-hospital-system-performance-dashboard/</w:t>
      </w:r>
    </w:p>
  </w:endnote>
  <w:endnote w:id="19">
    <w:p w14:paraId="326D9CF7" w14:textId="77777777" w:rsidR="00B56E64" w:rsidRPr="00E96BFE" w:rsidRDefault="00B56E64" w:rsidP="00B56E64">
      <w:pPr>
        <w:pStyle w:val="Heading1"/>
        <w:spacing w:before="0"/>
        <w:jc w:val="both"/>
        <w:rPr>
          <w:rFonts w:asciiTheme="minorHAnsi" w:hAnsiTheme="minorHAnsi" w:cstheme="minorHAnsi"/>
          <w:b w:val="0"/>
          <w:bCs w:val="0"/>
          <w:color w:val="0D1941"/>
          <w:sz w:val="20"/>
          <w:szCs w:val="20"/>
        </w:rPr>
      </w:pPr>
      <w:r w:rsidRPr="00E96BFE">
        <w:rPr>
          <w:rStyle w:val="EndnoteReference"/>
          <w:rFonts w:asciiTheme="minorHAnsi" w:hAnsiTheme="minorHAnsi" w:cstheme="minorHAnsi"/>
          <w:b w:val="0"/>
          <w:bCs w:val="0"/>
          <w:sz w:val="20"/>
          <w:szCs w:val="20"/>
        </w:rPr>
        <w:endnoteRef/>
      </w:r>
      <w:r w:rsidRPr="00E96BFE">
        <w:rPr>
          <w:rFonts w:asciiTheme="minorHAnsi" w:hAnsiTheme="minorHAnsi" w:cstheme="minorHAnsi"/>
          <w:b w:val="0"/>
          <w:bCs w:val="0"/>
          <w:sz w:val="20"/>
          <w:szCs w:val="20"/>
        </w:rPr>
        <w:t xml:space="preserve"> </w:t>
      </w:r>
      <w:r w:rsidRPr="00E96BFE">
        <w:rPr>
          <w:rFonts w:asciiTheme="minorHAnsi" w:hAnsiTheme="minorHAnsi" w:cstheme="minorHAnsi"/>
          <w:b w:val="0"/>
          <w:bCs w:val="0"/>
          <w:i/>
          <w:iCs/>
          <w:sz w:val="20"/>
          <w:szCs w:val="20"/>
        </w:rPr>
        <w:t xml:space="preserve">See </w:t>
      </w:r>
      <w:hyperlink r:id="rId30" w:history="1">
        <w:r w:rsidRPr="00E96BFE">
          <w:rPr>
            <w:rFonts w:asciiTheme="minorHAnsi" w:hAnsiTheme="minorHAnsi" w:cstheme="minorHAnsi"/>
            <w:b w:val="0"/>
            <w:bCs w:val="0"/>
            <w:color w:val="auto"/>
            <w:sz w:val="20"/>
            <w:szCs w:val="20"/>
          </w:rPr>
          <w:t>Office of Disease Prevention and Health Promotion, Healthy People 2030</w:t>
        </w:r>
      </w:hyperlink>
      <w:r w:rsidRPr="00E96BFE">
        <w:rPr>
          <w:rFonts w:asciiTheme="minorHAnsi" w:hAnsiTheme="minorHAnsi" w:cstheme="minorHAnsi"/>
          <w:b w:val="0"/>
          <w:bCs w:val="0"/>
          <w:sz w:val="20"/>
          <w:szCs w:val="20"/>
        </w:rPr>
        <w:t>,</w:t>
      </w:r>
      <w:r w:rsidRPr="00E96BFE">
        <w:rPr>
          <w:rFonts w:asciiTheme="minorHAnsi" w:hAnsiTheme="minorHAnsi" w:cstheme="minorHAnsi"/>
          <w:b w:val="0"/>
          <w:bCs w:val="0"/>
          <w:sz w:val="20"/>
          <w:szCs w:val="20"/>
          <w:u w:val="single"/>
        </w:rPr>
        <w:t xml:space="preserve"> </w:t>
      </w:r>
      <w:r w:rsidRPr="00E96BFE">
        <w:rPr>
          <w:rFonts w:asciiTheme="minorHAnsi" w:hAnsiTheme="minorHAnsi" w:cstheme="minorHAnsi"/>
          <w:b w:val="0"/>
          <w:bCs w:val="0"/>
          <w:i/>
          <w:iCs/>
          <w:sz w:val="20"/>
          <w:szCs w:val="20"/>
          <w:u w:val="single"/>
        </w:rPr>
        <w:t xml:space="preserve">Objective: </w:t>
      </w:r>
      <w:r w:rsidRPr="00E96BFE">
        <w:rPr>
          <w:rFonts w:asciiTheme="minorHAnsi" w:hAnsiTheme="minorHAnsi" w:cstheme="minorHAnsi"/>
          <w:b w:val="0"/>
          <w:bCs w:val="0"/>
          <w:i/>
          <w:iCs/>
          <w:color w:val="0D1941"/>
          <w:sz w:val="20"/>
          <w:szCs w:val="20"/>
        </w:rPr>
        <w:t>Increase the proportion of hospitals with access to necessary electronic information — HC/HIT</w:t>
      </w:r>
      <w:r w:rsidRPr="00E96BFE">
        <w:rPr>
          <w:rFonts w:asciiTheme="minorHAnsi" w:hAnsiTheme="minorHAnsi" w:cstheme="minorHAnsi"/>
          <w:b w:val="0"/>
          <w:bCs w:val="0"/>
          <w:i/>
          <w:iCs/>
          <w:color w:val="0D1941"/>
          <w:sz w:val="20"/>
          <w:szCs w:val="20"/>
        </w:rPr>
        <w:noBreakHyphen/>
        <w:t>D06</w:t>
      </w:r>
      <w:r w:rsidRPr="00E96BFE">
        <w:rPr>
          <w:rFonts w:asciiTheme="minorHAnsi" w:hAnsiTheme="minorHAnsi" w:cstheme="minorHAnsi"/>
          <w:b w:val="0"/>
          <w:bCs w:val="0"/>
          <w:color w:val="0D1941"/>
          <w:sz w:val="20"/>
          <w:szCs w:val="20"/>
        </w:rPr>
        <w:t>,</w:t>
      </w:r>
    </w:p>
    <w:p w14:paraId="322B6DEC" w14:textId="77777777" w:rsidR="00B56E64" w:rsidRPr="00E96BFE" w:rsidRDefault="003E5EA3" w:rsidP="00B56E64">
      <w:pPr>
        <w:pStyle w:val="Heading1"/>
        <w:spacing w:before="0"/>
        <w:jc w:val="both"/>
        <w:rPr>
          <w:rFonts w:asciiTheme="minorHAnsi" w:eastAsia="Calibri" w:hAnsiTheme="minorHAnsi" w:cstheme="minorHAnsi"/>
          <w:b w:val="0"/>
          <w:bCs w:val="0"/>
          <w:color w:val="000000"/>
          <w:sz w:val="20"/>
          <w:szCs w:val="20"/>
          <w:u w:val="single"/>
        </w:rPr>
      </w:pPr>
      <w:hyperlink r:id="rId31" w:history="1">
        <w:r w:rsidR="00B56E64" w:rsidRPr="00E96BFE">
          <w:rPr>
            <w:rFonts w:asciiTheme="minorHAnsi" w:hAnsiTheme="minorHAnsi" w:cstheme="minorHAnsi"/>
            <w:b w:val="0"/>
            <w:bCs w:val="0"/>
            <w:sz w:val="20"/>
            <w:szCs w:val="20"/>
          </w:rPr>
          <w:t>https://health.gov/healthypeople/objectives-and-data/browse-objectives/health-it/increase-proportion-hospitals-access-necessary-electronic-information-hchit-d06</w:t>
        </w:r>
      </w:hyperlink>
      <w:r w:rsidR="00B56E64" w:rsidRPr="00E96BFE">
        <w:rPr>
          <w:rFonts w:asciiTheme="minorHAnsi" w:hAnsiTheme="minorHAnsi" w:cstheme="minorHAnsi"/>
          <w:b w:val="0"/>
          <w:bCs w:val="0"/>
          <w:sz w:val="20"/>
          <w:szCs w:val="20"/>
          <w:u w:val="single"/>
        </w:rPr>
        <w:t xml:space="preserve">;  </w:t>
      </w:r>
      <w:hyperlink r:id="rId32" w:history="1">
        <w:r w:rsidR="00B56E64" w:rsidRPr="00E96BFE">
          <w:rPr>
            <w:rFonts w:asciiTheme="minorHAnsi" w:hAnsiTheme="minorHAnsi" w:cstheme="minorHAnsi"/>
            <w:b w:val="0"/>
            <w:bCs w:val="0"/>
            <w:color w:val="auto"/>
            <w:sz w:val="20"/>
            <w:szCs w:val="20"/>
          </w:rPr>
          <w:t>Office of Disease Prevention and Health Promotion, Healthy People 2030</w:t>
        </w:r>
      </w:hyperlink>
      <w:r w:rsidR="00B56E64" w:rsidRPr="00E96BFE">
        <w:rPr>
          <w:rFonts w:asciiTheme="minorHAnsi" w:hAnsiTheme="minorHAnsi" w:cstheme="minorHAnsi"/>
          <w:b w:val="0"/>
          <w:bCs w:val="0"/>
          <w:sz w:val="20"/>
          <w:szCs w:val="20"/>
        </w:rPr>
        <w:t xml:space="preserve">, </w:t>
      </w:r>
      <w:r w:rsidR="00B56E64" w:rsidRPr="00E96BFE">
        <w:rPr>
          <w:rFonts w:asciiTheme="minorHAnsi" w:hAnsiTheme="minorHAnsi" w:cstheme="minorHAnsi"/>
          <w:b w:val="0"/>
          <w:bCs w:val="0"/>
          <w:i/>
          <w:iCs/>
          <w:sz w:val="20"/>
          <w:szCs w:val="20"/>
        </w:rPr>
        <w:t xml:space="preserve">Objective: </w:t>
      </w:r>
      <w:r w:rsidR="00B56E64" w:rsidRPr="00E96BFE">
        <w:rPr>
          <w:rFonts w:asciiTheme="minorHAnsi" w:hAnsiTheme="minorHAnsi" w:cstheme="minorHAnsi"/>
          <w:b w:val="0"/>
          <w:bCs w:val="0"/>
          <w:i/>
          <w:iCs/>
          <w:color w:val="0D1941"/>
          <w:sz w:val="20"/>
          <w:szCs w:val="20"/>
        </w:rPr>
        <w:t>Increase the proportion of hospitals that exchange and use outside electronic health information — HC/HIT</w:t>
      </w:r>
      <w:r w:rsidR="00B56E64" w:rsidRPr="00E96BFE">
        <w:rPr>
          <w:rFonts w:asciiTheme="minorHAnsi" w:hAnsiTheme="minorHAnsi" w:cstheme="minorHAnsi"/>
          <w:b w:val="0"/>
          <w:bCs w:val="0"/>
          <w:i/>
          <w:iCs/>
          <w:color w:val="0D1941"/>
          <w:sz w:val="20"/>
          <w:szCs w:val="20"/>
        </w:rPr>
        <w:noBreakHyphen/>
        <w:t xml:space="preserve">D05, </w:t>
      </w:r>
      <w:hyperlink r:id="rId33" w:history="1">
        <w:r w:rsidR="00B56E64" w:rsidRPr="00E96BFE">
          <w:rPr>
            <w:rFonts w:asciiTheme="minorHAnsi" w:hAnsiTheme="minorHAnsi" w:cstheme="minorHAnsi"/>
            <w:b w:val="0"/>
            <w:bCs w:val="0"/>
            <w:sz w:val="20"/>
            <w:szCs w:val="20"/>
          </w:rPr>
          <w:t>https://health.gov/healthypeople/objectives-and-data/browse-objectives/health-it/increase-proportion-hospitals-exchange-and-use-outside-electronic-health-information-hchit-d05</w:t>
        </w:r>
      </w:hyperlink>
      <w:r w:rsidR="00B56E64" w:rsidRPr="00E96BFE">
        <w:rPr>
          <w:rFonts w:asciiTheme="minorHAnsi" w:hAnsiTheme="minorHAnsi" w:cstheme="minorHAnsi"/>
          <w:b w:val="0"/>
          <w:bCs w:val="0"/>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998" w14:textId="77777777" w:rsidR="00E92504" w:rsidRDefault="00E92504">
    <w:pPr>
      <w:pStyle w:val="Footer"/>
    </w:pPr>
  </w:p>
  <w:p w14:paraId="71FEF4A2" w14:textId="77777777" w:rsidR="00E92504" w:rsidRDefault="00E925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color w:val="2B579A"/>
            <w:sz w:val="24"/>
            <w:szCs w:val="24"/>
            <w:shd w:val="clear" w:color="auto" w:fill="E6E6E6"/>
          </w:rPr>
          <w:fldChar w:fldCharType="begin"/>
        </w:r>
        <w:r w:rsidRPr="003E6FCA">
          <w:rPr>
            <w:rFonts w:ascii="Garamond" w:hAnsi="Garamond"/>
            <w:sz w:val="24"/>
            <w:szCs w:val="24"/>
          </w:rPr>
          <w:instrText xml:space="preserve"> PAGE   \* MERGEFORMAT </w:instrText>
        </w:r>
        <w:r w:rsidRPr="003E6FCA">
          <w:rPr>
            <w:rFonts w:ascii="Garamond" w:hAnsi="Garamond"/>
            <w:color w:val="2B579A"/>
            <w:sz w:val="24"/>
            <w:szCs w:val="24"/>
            <w:shd w:val="clear" w:color="auto" w:fill="E6E6E6"/>
          </w:rPr>
          <w:fldChar w:fldCharType="separate"/>
        </w:r>
        <w:r>
          <w:rPr>
            <w:rFonts w:ascii="Garamond" w:hAnsi="Garamond"/>
            <w:noProof/>
            <w:sz w:val="24"/>
            <w:szCs w:val="24"/>
          </w:rPr>
          <w:t>15</w:t>
        </w:r>
        <w:r w:rsidRPr="003E6FCA">
          <w:rPr>
            <w:rFonts w:ascii="Garamond" w:hAnsi="Garamond"/>
            <w:noProof/>
            <w:color w:val="2B579A"/>
            <w:sz w:val="24"/>
            <w:szCs w:val="24"/>
            <w:shd w:val="clear" w:color="auto" w:fill="E6E6E6"/>
          </w:rPr>
          <w:fldChar w:fldCharType="end"/>
        </w:r>
      </w:p>
    </w:sdtContent>
  </w:sdt>
  <w:p w14:paraId="2B84946D" w14:textId="77777777" w:rsidR="00E92504" w:rsidRDefault="00E92504">
    <w:pPr>
      <w:pStyle w:val="Footer"/>
    </w:pPr>
  </w:p>
  <w:p w14:paraId="6A56BD2D" w14:textId="77777777" w:rsidR="00E92504" w:rsidRDefault="00E925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9965" w14:textId="77777777" w:rsidR="00E92504" w:rsidRDefault="00E9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E60B" w14:textId="77777777" w:rsidR="004172E4" w:rsidRDefault="004172E4" w:rsidP="008C0709">
      <w:r>
        <w:separator/>
      </w:r>
    </w:p>
  </w:footnote>
  <w:footnote w:type="continuationSeparator" w:id="0">
    <w:p w14:paraId="2DD8551A" w14:textId="77777777" w:rsidR="004172E4" w:rsidRDefault="004172E4" w:rsidP="008C0709">
      <w:r>
        <w:continuationSeparator/>
      </w:r>
    </w:p>
  </w:footnote>
  <w:footnote w:type="continuationNotice" w:id="1">
    <w:p w14:paraId="0C680A9A" w14:textId="77777777" w:rsidR="004172E4" w:rsidRDefault="004172E4"/>
  </w:footnote>
  <w:footnote w:id="2">
    <w:p w14:paraId="663B5DEF" w14:textId="4F2C44B0" w:rsidR="000238EF" w:rsidRPr="000238EF" w:rsidRDefault="008E6269" w:rsidP="000238EF">
      <w:pPr>
        <w:pStyle w:val="FootnoteText"/>
      </w:pPr>
      <w:r>
        <w:rPr>
          <w:rStyle w:val="FootnoteReference"/>
        </w:rPr>
        <w:footnoteRef/>
      </w:r>
      <w:r>
        <w:t xml:space="preserve"> </w:t>
      </w:r>
      <w:hyperlink r:id="rId1">
        <w:r w:rsidR="000238EF" w:rsidRPr="000238EF">
          <w:rPr>
            <w:rStyle w:val="Hyperlink"/>
          </w:rPr>
          <w:t xml:space="preserve">UMass Memorial Medical Center </w:t>
        </w:r>
      </w:hyperlink>
      <w:r w:rsidR="000238EF" w:rsidRPr="000238EF">
        <w:t>(UMass Memorial) is a 749-bed academic medical center (AMC) in Worcester on two campuses.</w:t>
      </w:r>
      <w:r w:rsidR="000238EF" w:rsidRPr="000238EF">
        <w:rPr>
          <w:vertAlign w:val="superscript"/>
        </w:rPr>
        <w:footnoteRef/>
      </w:r>
      <w:r w:rsidR="000238EF" w:rsidRPr="000238EF">
        <w:t xml:space="preserve"> UMass Memorial operates the only Level 1 adult and pediatric Trauma Center in Central Massachusetts, is a designated Primary Stroke Service (PSS) </w:t>
      </w:r>
      <w:r w:rsidR="00D75A79" w:rsidRPr="000238EF">
        <w:t>hospital and</w:t>
      </w:r>
      <w:r w:rsidR="000238EF" w:rsidRPr="000238EF">
        <w:t xml:space="preserve"> is one of nine organ transplant centers in Massachusetts. UMass Memorial is a High Public Payer (HPP) hospital.</w:t>
      </w:r>
      <w:r w:rsidR="000238EF" w:rsidRPr="000238EF">
        <w:rPr>
          <w:vertAlign w:val="superscript"/>
        </w:rPr>
        <w:t>2</w:t>
      </w:r>
    </w:p>
    <w:p w14:paraId="0E8F90D0" w14:textId="77777777" w:rsidR="000238EF" w:rsidRPr="000238EF" w:rsidRDefault="003E5EA3" w:rsidP="000238EF">
      <w:pPr>
        <w:pStyle w:val="FootnoteText"/>
      </w:pPr>
      <w:hyperlink r:id="rId2">
        <w:r w:rsidR="000238EF" w:rsidRPr="000238EF">
          <w:rPr>
            <w:rStyle w:val="Hyperlink"/>
          </w:rPr>
          <w:t xml:space="preserve">HealthAlliance-Clinton Hospital </w:t>
        </w:r>
      </w:hyperlink>
      <w:r w:rsidR="000238EF" w:rsidRPr="000238EF">
        <w:t>is a 152-bed community-HPP hospital with campuses in Clinton, and Leominster.</w:t>
      </w:r>
      <w:r w:rsidR="000238EF" w:rsidRPr="000238EF">
        <w:rPr>
          <w:vertAlign w:val="superscript"/>
        </w:rPr>
        <w:t>3</w:t>
      </w:r>
    </w:p>
    <w:p w14:paraId="34B3401F" w14:textId="77777777" w:rsidR="000238EF" w:rsidRPr="000238EF" w:rsidRDefault="003E5EA3" w:rsidP="000238EF">
      <w:pPr>
        <w:pStyle w:val="FootnoteText"/>
      </w:pPr>
      <w:hyperlink r:id="rId3">
        <w:r w:rsidR="000238EF" w:rsidRPr="000238EF">
          <w:rPr>
            <w:rStyle w:val="Hyperlink"/>
          </w:rPr>
          <w:t xml:space="preserve">Marlborough Hospital </w:t>
        </w:r>
      </w:hyperlink>
      <w:r w:rsidR="000238EF" w:rsidRPr="000238EF">
        <w:t>is a 79-bed community-HPP hospital located in Marlborough.</w:t>
      </w:r>
    </w:p>
    <w:p w14:paraId="6EF555AE" w14:textId="5CBAFA48" w:rsidR="008E6269" w:rsidRDefault="003E5EA3">
      <w:pPr>
        <w:pStyle w:val="FootnoteText"/>
      </w:pPr>
      <w:hyperlink r:id="rId4" w:history="1">
        <w:r w:rsidR="000238EF" w:rsidRPr="000238EF">
          <w:rPr>
            <w:rStyle w:val="Hyperlink"/>
          </w:rPr>
          <w:t>Harrington Hospital</w:t>
        </w:r>
      </w:hyperlink>
      <w:r w:rsidR="000238EF" w:rsidRPr="000238EF">
        <w:t xml:space="preserve"> is a 119-bed community-HPP hospital with two campuses. </w:t>
      </w:r>
    </w:p>
  </w:footnote>
  <w:footnote w:id="3">
    <w:p w14:paraId="5F753FF2" w14:textId="07806252" w:rsidR="00187D4D" w:rsidRPr="00187D4D" w:rsidRDefault="00187D4D" w:rsidP="00187D4D">
      <w:pPr>
        <w:pStyle w:val="FootnoteText"/>
      </w:pPr>
      <w:r>
        <w:rPr>
          <w:rStyle w:val="FootnoteReference"/>
        </w:rPr>
        <w:footnoteRef/>
      </w:r>
      <w:r>
        <w:t xml:space="preserve"> </w:t>
      </w:r>
      <w:r w:rsidRPr="00187D4D">
        <w:t>UMass Memorial Medical Group, Inc. is an integrated multispecialty group medical practice in Worcester and throughout Central Massachusetts.</w:t>
      </w:r>
    </w:p>
    <w:p w14:paraId="30231309" w14:textId="77777777" w:rsidR="00187D4D" w:rsidRPr="00187D4D" w:rsidRDefault="00187D4D" w:rsidP="00187D4D">
      <w:pPr>
        <w:pStyle w:val="FootnoteText"/>
      </w:pPr>
      <w:r w:rsidRPr="00187D4D">
        <w:t>UMass Memorial Managed Care Network (MCN) is a group of primary and specialty care physicians who are either employed by their hospitals or medical groups or are in independent private practice.</w:t>
      </w:r>
    </w:p>
    <w:p w14:paraId="4C9E1E3B" w14:textId="77777777" w:rsidR="00187D4D" w:rsidRPr="00187D4D" w:rsidRDefault="00187D4D" w:rsidP="00187D4D">
      <w:pPr>
        <w:pStyle w:val="FootnoteText"/>
      </w:pPr>
      <w:bookmarkStart w:id="15" w:name="•_UMass_Memorial_Accountable_Care_Organi"/>
      <w:bookmarkEnd w:id="15"/>
      <w:r w:rsidRPr="00187D4D">
        <w:t>UMass Memorial Accountable Care Organization (UMass Memorial ACO) is an ACO that was developed to participate in the Medicare Shared Savings Program (MSSP).</w:t>
      </w:r>
    </w:p>
    <w:p w14:paraId="216BB6B6" w14:textId="411B7578" w:rsidR="00187D4D" w:rsidRDefault="00187D4D">
      <w:pPr>
        <w:pStyle w:val="FootnoteText"/>
      </w:pPr>
      <w:bookmarkStart w:id="16" w:name="•_Community_Healthlink_is_a_community-ba"/>
      <w:bookmarkEnd w:id="16"/>
      <w:r w:rsidRPr="00187D4D">
        <w:t xml:space="preserve">Community </w:t>
      </w:r>
      <w:r w:rsidRPr="00187D4D">
        <w:t>Healthlink is a community-based provider of mental health, substance abuse, rehabilitation, homeless and related services in Central Massachusetts.</w:t>
      </w:r>
    </w:p>
  </w:footnote>
  <w:footnote w:id="4">
    <w:p w14:paraId="0268F06D" w14:textId="307580EA" w:rsidR="00631675" w:rsidRDefault="00631675">
      <w:pPr>
        <w:pStyle w:val="FootnoteText"/>
      </w:pPr>
      <w:r>
        <w:rPr>
          <w:rStyle w:val="FootnoteReference"/>
        </w:rPr>
        <w:footnoteRef/>
      </w:r>
      <w:r>
        <w:t xml:space="preserve"> </w:t>
      </w:r>
      <w:r w:rsidR="002A5AA9">
        <w:t>The bed configuration is -</w:t>
      </w:r>
      <w:r>
        <w:t>124 Medical</w:t>
      </w:r>
      <w:r w:rsidR="002A5AA9">
        <w:t>/</w:t>
      </w:r>
      <w:r>
        <w:t>Surgical</w:t>
      </w:r>
      <w:r w:rsidR="002A5AA9">
        <w:t xml:space="preserve">, 10 </w:t>
      </w:r>
      <w:r w:rsidR="004F73FA">
        <w:t>ICU</w:t>
      </w:r>
      <w:r w:rsidR="002A5AA9">
        <w:t>/</w:t>
      </w:r>
      <w:r w:rsidR="004F73FA">
        <w:t>CCU/SICU, and 14 Obstetrics beds.</w:t>
      </w:r>
    </w:p>
  </w:footnote>
  <w:footnote w:id="5">
    <w:p w14:paraId="3969B69A" w14:textId="77777777" w:rsidR="00685C18" w:rsidRPr="00167D81" w:rsidRDefault="00685C18" w:rsidP="00CD0882">
      <w:pPr>
        <w:pStyle w:val="FootnoteText"/>
        <w:rPr>
          <w:rFonts w:cstheme="minorHAnsi"/>
        </w:rPr>
      </w:pPr>
      <w:r w:rsidRPr="00167D81">
        <w:rPr>
          <w:rStyle w:val="FootnoteReference"/>
          <w:rFonts w:cstheme="minorHAnsi"/>
        </w:rPr>
        <w:footnoteRef/>
      </w:r>
      <w:r w:rsidRPr="00167D81">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6">
    <w:p w14:paraId="535B134E" w14:textId="34E5B721" w:rsidR="007D5F66" w:rsidRDefault="007D5F66">
      <w:pPr>
        <w:pStyle w:val="FootnoteText"/>
      </w:pPr>
      <w:r>
        <w:rPr>
          <w:rStyle w:val="FootnoteReference"/>
        </w:rPr>
        <w:footnoteRef/>
      </w:r>
      <w:r>
        <w:t xml:space="preserve"> Patient Origin is where the Patient Panel resides.</w:t>
      </w:r>
    </w:p>
  </w:footnote>
  <w:footnote w:id="7">
    <w:p w14:paraId="3FC48AD7" w14:textId="44EBB9D7" w:rsidR="00BC27B1" w:rsidRDefault="00BC27B1">
      <w:pPr>
        <w:pStyle w:val="FootnoteText"/>
      </w:pPr>
      <w:r>
        <w:rPr>
          <w:rStyle w:val="FootnoteReference"/>
        </w:rPr>
        <w:footnoteRef/>
      </w:r>
      <w:r>
        <w:t xml:space="preserve"> Based on GPSR Gross Patient Service Revenue.</w:t>
      </w:r>
    </w:p>
  </w:footnote>
  <w:footnote w:id="8">
    <w:p w14:paraId="5415EB45" w14:textId="77777777" w:rsidR="00892713" w:rsidRPr="00892713" w:rsidRDefault="00892713" w:rsidP="00892713">
      <w:pPr>
        <w:pStyle w:val="FootnoteText"/>
      </w:pPr>
      <w:r>
        <w:rPr>
          <w:rStyle w:val="FootnoteReference"/>
        </w:rPr>
        <w:footnoteRef/>
      </w:r>
      <w:r>
        <w:t xml:space="preserve"> </w:t>
      </w:r>
      <w:r w:rsidRPr="00892713">
        <w:rPr>
          <w:rFonts w:ascii="Calibri" w:hAnsi="Calibri" w:cs="Calibri"/>
        </w:rPr>
        <w:t>E</w:t>
      </w:r>
      <w:r w:rsidRPr="00A77A45">
        <w:rPr>
          <w:rFonts w:ascii="Calibri" w:hAnsi="Calibri" w:cs="Calibri"/>
        </w:rPr>
        <w:t xml:space="preserve">xcludes </w:t>
      </w:r>
      <w:r w:rsidRPr="00892713">
        <w:rPr>
          <w:rFonts w:ascii="Calibri" w:hAnsi="Calibri" w:cs="Calibri"/>
        </w:rPr>
        <w:t>newborns (“NB”)</w:t>
      </w:r>
    </w:p>
  </w:footnote>
  <w:footnote w:id="9">
    <w:p w14:paraId="67EF961F" w14:textId="77777777" w:rsidR="00892713" w:rsidRPr="00892713" w:rsidRDefault="00892713" w:rsidP="00892713">
      <w:pPr>
        <w:pStyle w:val="FootnoteText"/>
      </w:pPr>
      <w:r w:rsidRPr="00892713">
        <w:rPr>
          <w:rStyle w:val="FootnoteReference"/>
        </w:rPr>
        <w:footnoteRef/>
      </w:r>
      <w:r w:rsidRPr="00892713">
        <w:t xml:space="preserve"> E</w:t>
      </w:r>
      <w:r w:rsidRPr="00A77A45">
        <w:t>xcludes NB and Special Care Bassinets</w:t>
      </w:r>
    </w:p>
  </w:footnote>
  <w:footnote w:id="10">
    <w:p w14:paraId="6D5F1E37" w14:textId="77777777" w:rsidR="00892713" w:rsidRPr="00892713" w:rsidRDefault="00892713" w:rsidP="00892713">
      <w:pPr>
        <w:pStyle w:val="FootnoteText"/>
      </w:pPr>
      <w:r w:rsidRPr="00892713">
        <w:rPr>
          <w:rStyle w:val="FootnoteReference"/>
        </w:rPr>
        <w:footnoteRef/>
      </w:r>
      <w:r w:rsidRPr="00892713">
        <w:t xml:space="preserve"> </w:t>
      </w:r>
      <w:r w:rsidRPr="00A77A45">
        <w:rPr>
          <w:rFonts w:ascii="Calibri" w:hAnsi="Calibri" w:cs="Calibri"/>
        </w:rPr>
        <w:t>I</w:t>
      </w:r>
      <w:r w:rsidRPr="00892713">
        <w:rPr>
          <w:rFonts w:ascii="Calibri" w:hAnsi="Calibri" w:cs="Calibri"/>
        </w:rPr>
        <w:t>npatient</w:t>
      </w:r>
      <w:r w:rsidRPr="00A77A45">
        <w:rPr>
          <w:rFonts w:ascii="Calibri" w:hAnsi="Calibri" w:cs="Calibri"/>
        </w:rPr>
        <w:t xml:space="preserve"> Days Only</w:t>
      </w:r>
    </w:p>
  </w:footnote>
  <w:footnote w:id="11">
    <w:p w14:paraId="403D8A35" w14:textId="77777777" w:rsidR="005C2815" w:rsidRPr="00892713" w:rsidRDefault="005C2815" w:rsidP="005C2815">
      <w:pPr>
        <w:pStyle w:val="FootnoteText"/>
        <w:rPr>
          <w:rFonts w:cstheme="minorHAnsi"/>
        </w:rPr>
      </w:pPr>
      <w:r w:rsidRPr="00892713">
        <w:rPr>
          <w:rStyle w:val="FootnoteReference"/>
        </w:rPr>
        <w:footnoteRef/>
      </w:r>
      <w:r w:rsidRPr="00892713">
        <w:t xml:space="preserve"> </w:t>
      </w:r>
      <w:r w:rsidRPr="00892713">
        <w:rPr>
          <w:rFonts w:cstheme="minorHAnsi"/>
          <w:i/>
          <w:iCs/>
        </w:rPr>
        <w:t>See</w:t>
      </w:r>
      <w:r w:rsidRPr="00892713">
        <w:rPr>
          <w:rFonts w:cstheme="minorHAnsi"/>
        </w:rPr>
        <w:t xml:space="preserve"> Standard &amp; </w:t>
      </w:r>
      <w:r w:rsidRPr="00892713">
        <w:rPr>
          <w:rFonts w:cstheme="minorHAnsi"/>
        </w:rPr>
        <w:t xml:space="preserve">Poors, S&amp;P Global Ratings, RatingsDirect Report: Milford Regional Medical Center, Massachusetts, Table 2, </w:t>
      </w:r>
      <w:r w:rsidRPr="00892713">
        <w:rPr>
          <w:rFonts w:cstheme="minorHAnsi"/>
        </w:rPr>
        <w:t>p.6  (Jan. 30, 2024).</w:t>
      </w:r>
    </w:p>
  </w:footnote>
  <w:footnote w:id="12">
    <w:p w14:paraId="6AB1B54A" w14:textId="08457F5D" w:rsidR="00BB6DF0" w:rsidRPr="00BB6DF0" w:rsidRDefault="00BB6DF0">
      <w:pPr>
        <w:pStyle w:val="FootnoteText"/>
        <w:rPr>
          <w:rFonts w:cstheme="minorHAnsi"/>
        </w:rPr>
      </w:pPr>
      <w:r w:rsidRPr="00BB6DF0">
        <w:rPr>
          <w:rStyle w:val="FootnoteReference"/>
          <w:rFonts w:cstheme="minorHAnsi"/>
        </w:rPr>
        <w:footnoteRef/>
      </w:r>
      <w:r w:rsidRPr="00BB6DF0">
        <w:rPr>
          <w:rFonts w:cstheme="minorHAnsi"/>
        </w:rPr>
        <w:t xml:space="preserve"> </w:t>
      </w:r>
      <w:r w:rsidRPr="00BB6DF0">
        <w:rPr>
          <w:rFonts w:cstheme="minorHAnsi"/>
          <w:b/>
          <w:bCs/>
          <w:color w:val="202122"/>
          <w:shd w:val="clear" w:color="auto" w:fill="FFFFFF"/>
        </w:rPr>
        <w:t>S&amp;P Global Ratings</w:t>
      </w:r>
      <w:r w:rsidRPr="00BB6DF0">
        <w:rPr>
          <w:rFonts w:cstheme="minorHAnsi"/>
          <w:color w:val="202122"/>
          <w:shd w:val="clear" w:color="auto" w:fill="FFFFFF"/>
        </w:rPr>
        <w:t> (previously </w:t>
      </w:r>
      <w:r w:rsidRPr="00BB6DF0">
        <w:rPr>
          <w:rFonts w:cstheme="minorHAnsi"/>
          <w:b/>
          <w:bCs/>
          <w:color w:val="202122"/>
          <w:shd w:val="clear" w:color="auto" w:fill="FFFFFF"/>
        </w:rPr>
        <w:t>Standard &amp; Poor's</w:t>
      </w:r>
      <w:r w:rsidRPr="00BB6DF0">
        <w:rPr>
          <w:rFonts w:cstheme="minorHAnsi"/>
          <w:color w:val="202122"/>
          <w:shd w:val="clear" w:color="auto" w:fill="FFFFFF"/>
        </w:rPr>
        <w:t> and informally known as </w:t>
      </w:r>
      <w:r w:rsidRPr="00BB6DF0">
        <w:rPr>
          <w:rFonts w:cstheme="minorHAnsi"/>
          <w:b/>
          <w:bCs/>
          <w:color w:val="202122"/>
          <w:shd w:val="clear" w:color="auto" w:fill="FFFFFF"/>
        </w:rPr>
        <w:t>S&amp;P</w:t>
      </w:r>
      <w:r w:rsidRPr="00BB6DF0">
        <w:rPr>
          <w:rFonts w:cstheme="minorHAnsi"/>
          <w:color w:val="202122"/>
          <w:shd w:val="clear" w:color="auto" w:fill="FFFFFF"/>
        </w:rPr>
        <w:t>) is an American </w:t>
      </w:r>
      <w:hyperlink r:id="rId5" w:tooltip="Credit rating agency" w:history="1">
        <w:r w:rsidRPr="00BB6DF0">
          <w:rPr>
            <w:rFonts w:cstheme="minorHAnsi"/>
            <w:color w:val="3366CC"/>
            <w:u w:val="single"/>
            <w:shd w:val="clear" w:color="auto" w:fill="FFFFFF"/>
          </w:rPr>
          <w:t>credit rating agency</w:t>
        </w:r>
      </w:hyperlink>
      <w:r w:rsidRPr="00BB6DF0">
        <w:rPr>
          <w:rFonts w:cstheme="minorHAnsi"/>
          <w:color w:val="202122"/>
          <w:shd w:val="clear" w:color="auto" w:fill="FFFFFF"/>
        </w:rPr>
        <w:t> (CRA) and a division of </w:t>
      </w:r>
      <w:hyperlink r:id="rId6" w:tooltip="S&amp;P Global" w:history="1">
        <w:r w:rsidRPr="00BB6DF0">
          <w:rPr>
            <w:rFonts w:cstheme="minorHAnsi"/>
            <w:color w:val="3366CC"/>
            <w:u w:val="single"/>
            <w:shd w:val="clear" w:color="auto" w:fill="FFFFFF"/>
          </w:rPr>
          <w:t>S&amp;P Global</w:t>
        </w:r>
      </w:hyperlink>
      <w:r w:rsidRPr="00BB6DF0">
        <w:rPr>
          <w:rFonts w:cstheme="minorHAnsi"/>
          <w:color w:val="202122"/>
          <w:shd w:val="clear" w:color="auto" w:fill="FFFFFF"/>
        </w:rPr>
        <w:t> that publishes financial research and analysis on </w:t>
      </w:r>
      <w:hyperlink r:id="rId7" w:tooltip="Capital stock" w:history="1">
        <w:r w:rsidRPr="00BB6DF0">
          <w:rPr>
            <w:rFonts w:cstheme="minorHAnsi"/>
            <w:color w:val="3366CC"/>
            <w:u w:val="single"/>
            <w:shd w:val="clear" w:color="auto" w:fill="FFFFFF"/>
          </w:rPr>
          <w:t>stocks</w:t>
        </w:r>
      </w:hyperlink>
      <w:r w:rsidRPr="00BB6DF0">
        <w:rPr>
          <w:rFonts w:cstheme="minorHAnsi"/>
          <w:color w:val="202122"/>
          <w:shd w:val="clear" w:color="auto" w:fill="FFFFFF"/>
        </w:rPr>
        <w:t>, </w:t>
      </w:r>
      <w:hyperlink r:id="rId8" w:tooltip="Bond (finance)" w:history="1">
        <w:r w:rsidRPr="00BB6DF0">
          <w:rPr>
            <w:rFonts w:cstheme="minorHAnsi"/>
            <w:color w:val="3366CC"/>
            <w:u w:val="single"/>
            <w:shd w:val="clear" w:color="auto" w:fill="FFFFFF"/>
          </w:rPr>
          <w:t>bonds</w:t>
        </w:r>
      </w:hyperlink>
      <w:r w:rsidRPr="00BB6DF0">
        <w:rPr>
          <w:rFonts w:cstheme="minorHAnsi"/>
          <w:color w:val="202122"/>
          <w:shd w:val="clear" w:color="auto" w:fill="FFFFFF"/>
        </w:rPr>
        <w:t>, and </w:t>
      </w:r>
      <w:hyperlink r:id="rId9" w:tooltip="Commodity" w:history="1">
        <w:r w:rsidRPr="00BB6DF0">
          <w:rPr>
            <w:rFonts w:cstheme="minorHAnsi"/>
            <w:color w:val="3366CC"/>
            <w:u w:val="single"/>
            <w:shd w:val="clear" w:color="auto" w:fill="FFFFFF"/>
          </w:rPr>
          <w:t>commodities</w:t>
        </w:r>
      </w:hyperlink>
      <w:r w:rsidRPr="00BB6DF0">
        <w:rPr>
          <w:rFonts w:cstheme="minorHAnsi"/>
          <w:color w:val="202122"/>
          <w:shd w:val="clear" w:color="auto" w:fill="FFFFFF"/>
        </w:rPr>
        <w:t>.</w:t>
      </w:r>
    </w:p>
  </w:footnote>
  <w:footnote w:id="13">
    <w:p w14:paraId="13EBE11B" w14:textId="77777777" w:rsidR="005C2815" w:rsidRPr="00BB6DF0" w:rsidRDefault="005C2815" w:rsidP="005C2815">
      <w:pPr>
        <w:pStyle w:val="FootnoteText"/>
        <w:rPr>
          <w:rFonts w:cstheme="minorHAnsi"/>
        </w:rPr>
      </w:pPr>
      <w:r w:rsidRPr="00BB6DF0">
        <w:rPr>
          <w:rStyle w:val="FootnoteReference"/>
          <w:rFonts w:cstheme="minorHAnsi"/>
        </w:rPr>
        <w:footnoteRef/>
      </w:r>
      <w:r w:rsidRPr="00BB6DF0">
        <w:rPr>
          <w:rFonts w:cstheme="minorHAnsi"/>
        </w:rPr>
        <w:t xml:space="preserve"> Standard &amp; </w:t>
      </w:r>
      <w:r w:rsidRPr="00BB6DF0">
        <w:rPr>
          <w:rFonts w:cstheme="minorHAnsi"/>
        </w:rPr>
        <w:t xml:space="preserve">Poors, S&amp;P Global Ratings, RatingsDirect Report: Milford Regional Medical Center, Massachusetts, </w:t>
      </w:r>
      <w:r w:rsidRPr="00BB6DF0">
        <w:rPr>
          <w:rFonts w:cstheme="minorHAnsi"/>
        </w:rPr>
        <w:t>p.2  (Jan. 30, 2024).</w:t>
      </w:r>
    </w:p>
  </w:footnote>
  <w:footnote w:id="14">
    <w:p w14:paraId="5B279815" w14:textId="77777777" w:rsidR="005C2815" w:rsidRPr="00BB6DF0" w:rsidRDefault="005C2815" w:rsidP="005C2815">
      <w:pPr>
        <w:pStyle w:val="FootnoteText"/>
        <w:rPr>
          <w:rFonts w:cstheme="minorHAnsi"/>
        </w:rPr>
      </w:pPr>
      <w:r w:rsidRPr="00BB6DF0">
        <w:rPr>
          <w:rStyle w:val="FootnoteReference"/>
          <w:rFonts w:cstheme="minorHAnsi"/>
        </w:rPr>
        <w:footnoteRef/>
      </w:r>
      <w:r w:rsidRPr="00BB6DF0">
        <w:rPr>
          <w:rFonts w:cstheme="minorHAnsi"/>
        </w:rPr>
        <w:t xml:space="preserve"> Id. </w:t>
      </w:r>
    </w:p>
  </w:footnote>
  <w:footnote w:id="15">
    <w:p w14:paraId="2EF853C2" w14:textId="310D68DA" w:rsidR="005823DF" w:rsidRDefault="005823DF">
      <w:pPr>
        <w:pStyle w:val="FootnoteText"/>
      </w:pPr>
      <w:r>
        <w:rPr>
          <w:rStyle w:val="FootnoteReference"/>
        </w:rPr>
        <w:footnoteRef/>
      </w:r>
      <w:r>
        <w:t xml:space="preserve"> </w:t>
      </w:r>
      <w:r w:rsidR="009B1715">
        <w:t>I</w:t>
      </w:r>
      <w:r>
        <w:t>d</w:t>
      </w:r>
      <w:r w:rsidR="009B1715">
        <w:t>.</w:t>
      </w:r>
    </w:p>
  </w:footnote>
  <w:footnote w:id="16">
    <w:p w14:paraId="6E5DCEEF" w14:textId="77777777" w:rsidR="002E42C4" w:rsidRPr="00793CF1" w:rsidRDefault="002E42C4" w:rsidP="002E42C4">
      <w:pPr>
        <w:pStyle w:val="FootnoteText"/>
        <w:rPr>
          <w:rFonts w:cs="Calibri"/>
          <w:u w:val="single"/>
        </w:rPr>
      </w:pPr>
      <w:r w:rsidRPr="00793CF1">
        <w:rPr>
          <w:rStyle w:val="FootnoteReference"/>
          <w:rFonts w:cs="Calibri"/>
        </w:rPr>
        <w:footnoteRef/>
      </w:r>
      <w:r w:rsidRPr="00793CF1">
        <w:rPr>
          <w:rFonts w:cs="Calibri"/>
        </w:rPr>
        <w:t xml:space="preserve"> </w:t>
      </w:r>
      <w:hyperlink r:id="rId10" w:history="1">
        <w:r w:rsidRPr="00793CF1">
          <w:rPr>
            <w:rStyle w:val="Hyperlink"/>
            <w:rFonts w:cs="Calibri"/>
          </w:rPr>
          <w:t>Office of Disease Prevention and Health Promotion, Healthy People 2030</w:t>
        </w:r>
      </w:hyperlink>
      <w:r w:rsidRPr="00793CF1">
        <w:rPr>
          <w:rFonts w:cs="Calibri"/>
        </w:rPr>
        <w:t xml:space="preserve">, </w:t>
      </w:r>
      <w:hyperlink r:id="rId11" w:history="1">
        <w:r w:rsidRPr="00793CF1">
          <w:rPr>
            <w:rStyle w:val="Hyperlink"/>
            <w:rFonts w:cs="Calibri"/>
          </w:rPr>
          <w:t>https://health.gov/healthypeople/objectives-and-data/browse-objectives/health-care-access-and-quality/reduce-proportion-people-who-cant-get-medical-care-when-they-need-it-ahs-04</w:t>
        </w:r>
      </w:hyperlink>
      <w:r w:rsidRPr="00793CF1">
        <w:rPr>
          <w:rFonts w:cs="Calibri"/>
          <w:u w:val="single"/>
        </w:rPr>
        <w:t>.</w:t>
      </w:r>
    </w:p>
  </w:footnote>
  <w:footnote w:id="17">
    <w:p w14:paraId="3798C64F" w14:textId="2C33DED0" w:rsidR="002E42C4" w:rsidRDefault="002E42C4">
      <w:pPr>
        <w:pStyle w:val="FootnoteText"/>
      </w:pPr>
      <w:r>
        <w:rPr>
          <w:rStyle w:val="FootnoteReference"/>
        </w:rPr>
        <w:footnoteRef/>
      </w:r>
      <w:r>
        <w:t xml:space="preserve"> Based on staffed beds. Leading up to the COVID pandemic</w:t>
      </w:r>
      <w:r w:rsidR="003A3F9D">
        <w:t xml:space="preserve"> for FY 17-20 </w:t>
      </w:r>
      <w:r w:rsidR="003A3F9D">
        <w:t xml:space="preserve">OR’s respectively were 84.1%, 82.1%, 83.1%, </w:t>
      </w:r>
      <w:r w:rsidR="003A3F9D">
        <w:t>abd 79.9%</w:t>
      </w:r>
    </w:p>
  </w:footnote>
  <w:footnote w:id="18">
    <w:p w14:paraId="2CF05E28" w14:textId="20B242FA" w:rsidR="00E56F9C" w:rsidRDefault="00E56F9C">
      <w:pPr>
        <w:pStyle w:val="FootnoteText"/>
      </w:pPr>
      <w:r>
        <w:rPr>
          <w:rStyle w:val="FootnoteReference"/>
        </w:rPr>
        <w:footnoteRef/>
      </w:r>
      <w:r w:rsidRPr="00E56F9C">
        <w:t>Staff notes the six year (FY 17-22) average case mix index for MR</w:t>
      </w:r>
      <w:r w:rsidR="00265B00">
        <w:t>M</w:t>
      </w:r>
      <w:r w:rsidRPr="00E56F9C">
        <w:t>C was .91</w:t>
      </w:r>
      <w:r>
        <w:t>,</w:t>
      </w:r>
      <w:r w:rsidRPr="00E56F9C">
        <w:t xml:space="preserve"> and for UMMHC</w:t>
      </w:r>
      <w:r>
        <w:t>,</w:t>
      </w:r>
      <w:r w:rsidRPr="00E56F9C">
        <w:t xml:space="preserve"> it was 1.47</w:t>
      </w:r>
      <w:r>
        <w:t xml:space="preserve"> -Based on CHIA Hospital Profiles for each year </w:t>
      </w:r>
      <w:hyperlink r:id="rId12" w:history="1">
        <w:r w:rsidRPr="00BD6ED2">
          <w:rPr>
            <w:rStyle w:val="Hyperlink"/>
          </w:rPr>
          <w:t>https://www.chiamass.gov/assets/docs/r/hospital-profiles/2017/FY17-Massachusetts-Hospital-Profiles-Compendium.pdf</w:t>
        </w:r>
      </w:hyperlink>
      <w:r>
        <w:t xml:space="preserve"> </w:t>
      </w:r>
    </w:p>
  </w:footnote>
  <w:footnote w:id="19">
    <w:p w14:paraId="1804407C" w14:textId="77777777" w:rsidR="00400366" w:rsidRDefault="00400366"/>
    <w:p w14:paraId="2FB90A8B" w14:textId="77777777" w:rsidR="004A25F3" w:rsidRPr="004D2C14" w:rsidRDefault="004A25F3" w:rsidP="004A25F3">
      <w:pPr>
        <w:jc w:val="both"/>
        <w:rPr>
          <w:sz w:val="2"/>
          <w:szCs w:val="2"/>
        </w:rPr>
      </w:pPr>
    </w:p>
  </w:footnote>
  <w:footnote w:id="20">
    <w:p w14:paraId="2F334C6F" w14:textId="3D2AD1A5" w:rsidR="0036365A" w:rsidRDefault="0036365A">
      <w:pPr>
        <w:pStyle w:val="FootnoteText"/>
      </w:pPr>
      <w:r>
        <w:rPr>
          <w:rStyle w:val="FootnoteReference"/>
        </w:rPr>
        <w:footnoteRef/>
      </w:r>
      <w:r>
        <w:t xml:space="preserve"> </w:t>
      </w:r>
      <w:r w:rsidRPr="00147398">
        <w:t xml:space="preserve">e.g., the purchase of Harrington Hospital’s Webster Building; Harrington’s restructuring of its Radiation Oncology Joint Venture to </w:t>
      </w:r>
      <w:r w:rsidRPr="00147398">
        <w:t>more closely align with the hospital; and a refreshed/expanded ICU.</w:t>
      </w:r>
    </w:p>
  </w:footnote>
  <w:footnote w:id="21">
    <w:p w14:paraId="4F25F8C2" w14:textId="68AF0CA8" w:rsidR="779763D6" w:rsidRDefault="779763D6" w:rsidP="779763D6">
      <w:pPr>
        <w:pStyle w:val="FootnoteText"/>
      </w:pPr>
      <w:r w:rsidRPr="779763D6">
        <w:rPr>
          <w:rStyle w:val="FootnoteReference"/>
        </w:rPr>
        <w:footnoteRef/>
      </w:r>
      <w:r>
        <w:t xml:space="preserve"> Services include Medical/Surgical, Intensive Care, Obstetrics; Well Infant Nursery, Continuing Care Services; Ambulatory Care Emergency Care; Primary Stroke; Diagnostic Cardiac Catheterization</w:t>
      </w:r>
    </w:p>
  </w:footnote>
  <w:footnote w:id="22">
    <w:p w14:paraId="5B691710" w14:textId="5F35B7E8" w:rsidR="0DFD67C7" w:rsidRPr="002070BE" w:rsidRDefault="0DFD67C7" w:rsidP="002070BE">
      <w:pPr>
        <w:pStyle w:val="ListParagraph"/>
        <w:spacing w:after="0" w:line="257" w:lineRule="auto"/>
        <w:ind w:left="0"/>
        <w:rPr>
          <w:rFonts w:eastAsiaTheme="minorEastAsia"/>
          <w:sz w:val="20"/>
          <w:szCs w:val="20"/>
        </w:rPr>
      </w:pPr>
      <w:r w:rsidRPr="0DFD67C7">
        <w:rPr>
          <w:rStyle w:val="FootnoteReference"/>
        </w:rPr>
        <w:footnoteRef/>
      </w:r>
      <w:r>
        <w:t xml:space="preserve"> </w:t>
      </w:r>
      <w:r w:rsidRPr="005C4580">
        <w:rPr>
          <w:rFonts w:eastAsiaTheme="minorEastAsia"/>
          <w:sz w:val="20"/>
          <w:szCs w:val="20"/>
        </w:rPr>
        <w:t>If a</w:t>
      </w:r>
      <w:r w:rsidR="00922D09">
        <w:rPr>
          <w:rFonts w:eastAsiaTheme="minorEastAsia"/>
          <w:sz w:val="20"/>
          <w:szCs w:val="20"/>
        </w:rPr>
        <w:t xml:space="preserve"> hospital is proposing closure of an</w:t>
      </w:r>
      <w:r w:rsidR="00F46E5A">
        <w:rPr>
          <w:rFonts w:eastAsiaTheme="minorEastAsia"/>
          <w:sz w:val="20"/>
          <w:szCs w:val="20"/>
        </w:rPr>
        <w:t xml:space="preserve"> essential health</w:t>
      </w:r>
      <w:r w:rsidRPr="005C4580">
        <w:rPr>
          <w:rFonts w:eastAsiaTheme="minorEastAsia"/>
          <w:sz w:val="20"/>
          <w:szCs w:val="20"/>
        </w:rPr>
        <w:t xml:space="preserve"> service</w:t>
      </w:r>
      <w:r w:rsidR="00922D09">
        <w:rPr>
          <w:rFonts w:eastAsiaTheme="minorEastAsia"/>
          <w:sz w:val="20"/>
          <w:szCs w:val="20"/>
        </w:rPr>
        <w:t xml:space="preserve">, </w:t>
      </w:r>
      <w:r w:rsidR="00F23138">
        <w:rPr>
          <w:rFonts w:eastAsiaTheme="minorEastAsia"/>
          <w:sz w:val="20"/>
          <w:szCs w:val="20"/>
        </w:rPr>
        <w:t xml:space="preserve">as defined in 105 CMR </w:t>
      </w:r>
      <w:r w:rsidR="00F23138">
        <w:rPr>
          <w:rFonts w:eastAsiaTheme="minorEastAsia"/>
          <w:sz w:val="20"/>
          <w:szCs w:val="20"/>
        </w:rPr>
        <w:t>130,</w:t>
      </w:r>
      <w:r w:rsidRPr="005C4580">
        <w:rPr>
          <w:rFonts w:eastAsiaTheme="minorEastAsia"/>
          <w:sz w:val="20"/>
          <w:szCs w:val="20"/>
        </w:rPr>
        <w:t>the facility is required to notify DPH of their intent to eliminate the service 120 days in advance; this trigger</w:t>
      </w:r>
      <w:r w:rsidR="00E61A30">
        <w:rPr>
          <w:rFonts w:eastAsiaTheme="minorEastAsia"/>
          <w:sz w:val="20"/>
          <w:szCs w:val="20"/>
        </w:rPr>
        <w:t>s</w:t>
      </w:r>
      <w:r w:rsidRPr="005C4580">
        <w:rPr>
          <w:rFonts w:eastAsiaTheme="minorEastAsia"/>
          <w:sz w:val="20"/>
          <w:szCs w:val="20"/>
        </w:rPr>
        <w:t xml:space="preserve"> the essential service </w:t>
      </w:r>
      <w:r w:rsidR="00593E9D">
        <w:rPr>
          <w:rFonts w:eastAsiaTheme="minorEastAsia"/>
          <w:sz w:val="20"/>
          <w:szCs w:val="20"/>
        </w:rPr>
        <w:t>process.</w:t>
      </w:r>
    </w:p>
  </w:footnote>
  <w:footnote w:id="23">
    <w:p w14:paraId="5CD1229D" w14:textId="5EA6CA07" w:rsidR="468D1D2F" w:rsidRPr="002070BE" w:rsidRDefault="468D1D2F" w:rsidP="005C4580">
      <w:pPr>
        <w:pStyle w:val="FootnoteText"/>
        <w:rPr>
          <w:rFonts w:ascii="Calibri" w:hAnsi="Calibri" w:cs="Calibri"/>
        </w:rPr>
      </w:pPr>
      <w:r w:rsidRPr="002070BE">
        <w:rPr>
          <w:rStyle w:val="FootnoteReference"/>
          <w:rFonts w:ascii="Calibri" w:hAnsi="Calibri" w:cs="Calibri"/>
        </w:rPr>
        <w:footnoteRef/>
      </w:r>
      <w:r w:rsidRPr="002070BE">
        <w:rPr>
          <w:rFonts w:ascii="Calibri" w:hAnsi="Calibri" w:cs="Calibri"/>
        </w:rPr>
        <w:t xml:space="preserve"> </w:t>
      </w:r>
      <w:r w:rsidRPr="002070BE">
        <w:rPr>
          <w:rFonts w:ascii="Calibri" w:eastAsia="Arial" w:hAnsi="Calibri" w:cs="Calibri"/>
        </w:rPr>
        <w:t>The Essential Service process is outlined in 105 CMR 130.122</w:t>
      </w:r>
    </w:p>
  </w:footnote>
  <w:footnote w:id="24">
    <w:p w14:paraId="46C31375" w14:textId="2E2908FA" w:rsidR="00161FA8" w:rsidRPr="00FF0ED8" w:rsidRDefault="00161FA8" w:rsidP="00AE01A9">
      <w:pPr>
        <w:pStyle w:val="CommentText"/>
        <w:spacing w:after="0"/>
        <w:rPr>
          <w:rFonts w:ascii="Calibri" w:eastAsia="Times New Roman" w:hAnsi="Calibri" w:cs="Calibri"/>
          <w:color w:val="0563C1"/>
          <w:u w:val="single"/>
        </w:rPr>
      </w:pPr>
      <w:r w:rsidRPr="00FF0ED8">
        <w:rPr>
          <w:rFonts w:ascii="Calibri" w:hAnsi="Calibri" w:cs="Calibri"/>
          <w:vertAlign w:val="superscript"/>
        </w:rPr>
        <w:footnoteRef/>
      </w:r>
      <w:r w:rsidRPr="00FF0ED8">
        <w:rPr>
          <w:rFonts w:ascii="Calibri" w:hAnsi="Calibri" w:cs="Calibri"/>
          <w:vertAlign w:val="superscript"/>
        </w:rPr>
        <w:t xml:space="preserve">  </w:t>
      </w:r>
      <w:r w:rsidRPr="00FF0ED8">
        <w:rPr>
          <w:rFonts w:ascii="Calibri" w:hAnsi="Calibri" w:cs="Calibri"/>
          <w:i/>
          <w:iCs/>
        </w:rPr>
        <w:t xml:space="preserve">See </w:t>
      </w:r>
      <w:r w:rsidRPr="00FF0ED8">
        <w:rPr>
          <w:rFonts w:ascii="Calibri" w:eastAsia="Times New Roman" w:hAnsi="Calibri" w:cs="Calibri"/>
        </w:rPr>
        <w:t xml:space="preserve">FSG and Bristol-Myers Squibb Foundation, </w:t>
      </w:r>
      <w:hyperlink r:id="rId13" w:history="1">
        <w:r w:rsidRPr="00FF0ED8">
          <w:rPr>
            <w:rFonts w:ascii="Calibri" w:eastAsia="Times New Roman" w:hAnsi="Calibri" w:cs="Calibri"/>
          </w:rPr>
          <w:t>Breaking the Barriers to Specialty Care, Brief 2: Increasing Specialty Care Availability</w:t>
        </w:r>
      </w:hyperlink>
      <w:r w:rsidRPr="00FF0ED8">
        <w:rPr>
          <w:rFonts w:ascii="Calibri" w:eastAsia="Times New Roman" w:hAnsi="Calibri" w:cs="Calibri"/>
        </w:rPr>
        <w:t xml:space="preserve">, June 2016, </w:t>
      </w:r>
      <w:hyperlink r:id="rId14" w:history="1">
        <w:r w:rsidRPr="00FF0ED8">
          <w:rPr>
            <w:rFonts w:ascii="Calibri" w:eastAsia="Times New Roman" w:hAnsi="Calibri" w:cs="Calibri"/>
          </w:rPr>
          <w:t>https://www.fsg.org/wp-content/uploads/2021/08/Equity-in-Specialty-Series-Brief-2_FSG-Increasing-Specialty-Care-Availability.pdf</w:t>
        </w:r>
      </w:hyperlink>
      <w:r w:rsidRPr="00FF0ED8">
        <w:rPr>
          <w:rFonts w:ascii="Calibri" w:eastAsia="Times New Roman" w:hAnsi="Calibri" w:cs="Calibri"/>
        </w:rPr>
        <w:t xml:space="preserve">  (“The supply of specialty care is not only inadequate, but it is also highly concentrated in urban areas. Estimates suggest, for example, that 97% of medical oncologists in the United States practice in urban areas. For the 20% of the U.S. population that lives in rural areas, this creates a significant challenge. Rural patients often need to travel hundreds of miles for care, a task that is particularly difficult when repeat visits are necessary to complete a course of treatment (e.g., for chemotherapy, radiation, or dialysis). </w:t>
      </w:r>
      <w:r w:rsidR="00AE01A9">
        <w:rPr>
          <w:rFonts w:ascii="Calibri" w:eastAsia="Times New Roman" w:hAnsi="Calibri" w:cs="Calibri"/>
        </w:rPr>
        <w:t>Also ~</w:t>
      </w:r>
      <w:r w:rsidRPr="00FF0ED8">
        <w:rPr>
          <w:rFonts w:ascii="Calibri" w:eastAsia="Times New Roman" w:hAnsi="Calibri" w:cs="Calibri"/>
        </w:rPr>
        <w:t xml:space="preserve">3.6 million Americans miss or delay medical care for transportation reasons every year. </w:t>
      </w:r>
      <w:hyperlink r:id="rId15" w:anchor=":~:text=Each%20year%2C%203.6%20million%20people,adverse%20policies%20that%20affect%20travel" w:history="1">
        <w:r w:rsidR="00AE01A9" w:rsidRPr="00F43FFF">
          <w:rPr>
            <w:rStyle w:val="Hyperlink"/>
            <w:rFonts w:ascii="Calibri" w:eastAsia="Times New Roman" w:hAnsi="Calibri" w:cs="Calibri"/>
          </w:rPr>
          <w:t>https://www.aha.org/ahahret-guides/2017-11-15-social-determinants-health-series-transportation-and-role-hospitals#:~:text=Each%20year%2C%203.6%20million%20people,adverse%20policies%20that%20affect%20travel</w:t>
        </w:r>
      </w:hyperlink>
      <w:r w:rsidR="00AE01A9" w:rsidRPr="00AE01A9">
        <w:rPr>
          <w:rFonts w:ascii="Calibri" w:eastAsia="Times New Roman" w:hAnsi="Calibri" w:cs="Calibri"/>
        </w:rPr>
        <w:t>.</w:t>
      </w:r>
      <w:r w:rsidR="00AE01A9">
        <w:rPr>
          <w:rFonts w:ascii="Calibri" w:eastAsia="Times New Roman" w:hAnsi="Calibri" w:cs="Calibri"/>
        </w:rPr>
        <w:t xml:space="preserve"> </w:t>
      </w:r>
    </w:p>
  </w:footnote>
  <w:footnote w:id="25">
    <w:p w14:paraId="44CE4DC4" w14:textId="77777777" w:rsidR="00161FA8" w:rsidRPr="00FF0ED8" w:rsidRDefault="00161FA8" w:rsidP="00161FA8">
      <w:pPr>
        <w:pStyle w:val="FootnoteText"/>
        <w:rPr>
          <w:rFonts w:ascii="Calibri" w:hAnsi="Calibri" w:cs="Calibri"/>
        </w:rPr>
      </w:pPr>
      <w:r w:rsidRPr="00FF0ED8">
        <w:rPr>
          <w:rStyle w:val="FootnoteReference"/>
          <w:rFonts w:ascii="Calibri" w:hAnsi="Calibri" w:cs="Calibri"/>
        </w:rPr>
        <w:footnoteRef/>
      </w:r>
      <w:r w:rsidRPr="00FF0ED8">
        <w:rPr>
          <w:rFonts w:ascii="Calibri" w:hAnsi="Calibri" w:cs="Calibri"/>
        </w:rPr>
        <w:t xml:space="preserve">  The UMMHC System has </w:t>
      </w:r>
      <w:r w:rsidRPr="00FF0ED8">
        <w:rPr>
          <w:rFonts w:ascii="Calibri" w:eastAsia="PMingLiU" w:hAnsi="Calibri" w:cs="Calibri"/>
          <w:szCs w:val="22"/>
        </w:rPr>
        <w:t>1,200 physicians and 700 advanced practice providers.</w:t>
      </w:r>
    </w:p>
  </w:footnote>
  <w:footnote w:id="26">
    <w:p w14:paraId="15B1AA8A" w14:textId="636B86D2" w:rsidR="00C45BD4" w:rsidRDefault="00C45BD4">
      <w:pPr>
        <w:pStyle w:val="FootnoteText"/>
      </w:pPr>
      <w:r>
        <w:rPr>
          <w:rStyle w:val="FootnoteReference"/>
        </w:rPr>
        <w:footnoteRef/>
      </w:r>
      <w:r>
        <w:t xml:space="preserve"> </w:t>
      </w:r>
      <w:r w:rsidRPr="00C45BD4">
        <w:t>OCI monitors quality performance across key ambulatory programs, HEDIS measures, Mass Health clinical quality metrics, patients in UMMHC’s Medicare ACO, and Point 32/UMMH Medicaid ACO.</w:t>
      </w:r>
    </w:p>
  </w:footnote>
  <w:footnote w:id="27">
    <w:p w14:paraId="70C6E855" w14:textId="53E3B8BD" w:rsidR="00A84591" w:rsidRDefault="00A84591" w:rsidP="00A84591">
      <w:pPr>
        <w:pStyle w:val="FootnoteText"/>
      </w:pPr>
      <w:r>
        <w:rPr>
          <w:rStyle w:val="FootnoteReference"/>
        </w:rPr>
        <w:footnoteRef/>
      </w:r>
      <w:r>
        <w:t xml:space="preserve"> </w:t>
      </w:r>
      <w:r w:rsidRPr="00900331">
        <w:t xml:space="preserve">UMMHC utilizes Press Ganey to conduct surveys and gather data about patient </w:t>
      </w:r>
      <w:r w:rsidR="00AE01A9" w:rsidRPr="00900331">
        <w:t>experience, (</w:t>
      </w:r>
      <w:r w:rsidRPr="00900331">
        <w:t>after patients are discharged from the hospital, the emergency department, after ambulatory visits, and after ambulatory surgery visits) and Vizient to benchmark patient experience results against other hospitals and identify best practices around improving patient experience.</w:t>
      </w:r>
      <w:r>
        <w:t xml:space="preserve"> </w:t>
      </w:r>
      <w:r w:rsidRPr="00900331">
        <w:t>In addition, UMMHC uses a tool provided by a vendor called Cipher to serve as a mechanism to encourage leadership rounding with patients, gather valuable insights from patients, and make interventions to improve their experience and perform service recovery in real time.</w:t>
      </w:r>
    </w:p>
  </w:footnote>
  <w:footnote w:id="28">
    <w:p w14:paraId="7B6D2FDB" w14:textId="77777777" w:rsidR="002C1C4F" w:rsidRDefault="002C1C4F" w:rsidP="002C1C4F">
      <w:pPr>
        <w:pStyle w:val="FootnoteText"/>
      </w:pPr>
      <w:r>
        <w:rPr>
          <w:rStyle w:val="FootnoteReference"/>
        </w:rPr>
        <w:footnoteRef/>
      </w:r>
      <w:r>
        <w:t xml:space="preserve"> </w:t>
      </w:r>
      <w:r w:rsidRPr="00AF319B">
        <w:t>Adopted by the UMMHC Board of Trustees in 2018</w:t>
      </w:r>
    </w:p>
  </w:footnote>
  <w:footnote w:id="29">
    <w:p w14:paraId="3221F8E1" w14:textId="3136402A" w:rsidR="002715A1" w:rsidRPr="002715A1" w:rsidRDefault="002715A1" w:rsidP="002715A1">
      <w:pPr>
        <w:pStyle w:val="FootnoteText"/>
      </w:pPr>
      <w:r>
        <w:rPr>
          <w:rStyle w:val="FootnoteReference"/>
        </w:rPr>
        <w:footnoteRef/>
      </w:r>
      <w:r>
        <w:t xml:space="preserve"> </w:t>
      </w:r>
      <w:r w:rsidRPr="002715A1">
        <w:t xml:space="preserve">UMMHC Health Equity Improvement Initiatives-Since the onset of the COVID-19 pandemic, UMMHC has incorporated a health care equity metric in its Board-level “true north” metrics each year. In 2021, it identified a disparity in rates of well-child visits among Black, </w:t>
      </w:r>
      <w:r w:rsidRPr="002715A1">
        <w:t>Hispanic and white children. As a result of its proactive interventions, UMMHC was able to substantially improve well-child visit rates effectively narrowing the gap between Black, Hispanic and white patients.</w:t>
      </w:r>
      <w:r w:rsidRPr="002715A1">
        <w:rPr>
          <w:vertAlign w:val="superscript"/>
        </w:rPr>
        <w:footnoteRef/>
      </w:r>
      <w:r w:rsidRPr="002715A1">
        <w:t xml:space="preserve">  </w:t>
      </w:r>
    </w:p>
    <w:p w14:paraId="01EBD2E3" w14:textId="2272D525" w:rsidR="002715A1" w:rsidRDefault="002715A1">
      <w:pPr>
        <w:pStyle w:val="FootnoteText"/>
      </w:pPr>
      <w:r w:rsidRPr="002715A1">
        <w:t>In 2022, UMMHC focused on bridging</w:t>
      </w:r>
      <w:r w:rsidRPr="002715A1" w:rsidDel="00E84A54">
        <w:t xml:space="preserve"> </w:t>
      </w:r>
      <w:r w:rsidRPr="002715A1">
        <w:t>racial disparities in osteoporosis screening, and in 2023, UMMHC focused on improving colorectal cancer screening rates for Black, Hispanic and Asian patients. In each instance, UMMHC achieved measurable improvements and exceeded its established goals, as summarized in the UMass Memorial report linked below.</w:t>
      </w:r>
      <w:r w:rsidRPr="002715A1">
        <w:rPr>
          <w:vertAlign w:val="superscript"/>
        </w:rPr>
        <w:footnoteRef/>
      </w:r>
      <w:r w:rsidRPr="002715A1">
        <w:t xml:space="preserve"> For 2024, UMMHC will focus on improving data capture of race, ethnicity, language, disability, sexual orientation, and gender identity among hospitalized patients. </w:t>
      </w:r>
    </w:p>
  </w:footnote>
  <w:footnote w:id="30">
    <w:p w14:paraId="254984BE" w14:textId="7CEDCD95" w:rsidR="006D2241" w:rsidRPr="006D2241" w:rsidRDefault="006D2241" w:rsidP="006D2241">
      <w:pPr>
        <w:pStyle w:val="FootnoteText"/>
        <w:rPr>
          <w:rFonts w:ascii="Calibri" w:hAnsi="Calibri" w:cs="Calibri"/>
        </w:rPr>
      </w:pPr>
      <w:r w:rsidRPr="006D2241">
        <w:rPr>
          <w:rStyle w:val="FootnoteReference"/>
          <w:rFonts w:ascii="Calibri" w:hAnsi="Calibri" w:cs="Calibri"/>
        </w:rPr>
        <w:footnoteRef/>
      </w:r>
      <w:r w:rsidRPr="006D2241">
        <w:rPr>
          <w:rFonts w:ascii="Calibri" w:hAnsi="Calibri" w:cs="Calibri"/>
        </w:rPr>
        <w:t xml:space="preserve"> collaborates with and funds local food pantries and community-based organizations to create green spaces and establish sustainable access to nutritious food in areas facing food insecurity.</w:t>
      </w:r>
    </w:p>
  </w:footnote>
  <w:footnote w:id="31">
    <w:p w14:paraId="26D1CF42" w14:textId="487A0D36" w:rsidR="002C1C4F" w:rsidRPr="006D2241" w:rsidRDefault="002C1C4F" w:rsidP="006D2241">
      <w:pPr>
        <w:pStyle w:val="FootnoteText"/>
        <w:rPr>
          <w:rFonts w:ascii="Calibri" w:hAnsi="Calibri" w:cs="Calibri"/>
        </w:rPr>
      </w:pPr>
      <w:r w:rsidRPr="006D2241">
        <w:rPr>
          <w:rStyle w:val="FootnoteReference"/>
          <w:rFonts w:ascii="Calibri" w:hAnsi="Calibri" w:cs="Calibri"/>
        </w:rPr>
        <w:footnoteRef/>
      </w:r>
      <w:r w:rsidRPr="006D2241">
        <w:rPr>
          <w:rFonts w:ascii="Calibri" w:hAnsi="Calibri" w:cs="Calibri"/>
        </w:rPr>
        <w:t xml:space="preserve"> </w:t>
      </w:r>
      <w:r w:rsidR="006D2241" w:rsidRPr="006D2241">
        <w:rPr>
          <w:rFonts w:ascii="Calibri" w:hAnsi="Calibri" w:cs="Calibri"/>
        </w:rPr>
        <w:t xml:space="preserve">operates a mobile clinic (Care Mobile) offering dental and wellness visits to underserved populations, provides services in local schools and it collaborates with the Department of Public Health to provide services at various shelters across Central Massachusetts. </w:t>
      </w:r>
      <w:r w:rsidRPr="006D2241">
        <w:rPr>
          <w:rFonts w:ascii="Calibri" w:eastAsia="PMingLiU" w:hAnsi="Calibri" w:cs="Calibri"/>
        </w:rPr>
        <w:t xml:space="preserve">The Care Mobile is the flagship initiative for RMHC which </w:t>
      </w:r>
      <w:r w:rsidRPr="006D2241">
        <w:rPr>
          <w:rFonts w:ascii="Calibri" w:eastAsia="PMingLiU" w:hAnsi="Calibri" w:cs="Calibri"/>
        </w:rPr>
        <w:t>now  has Care Mobiles around the world.</w:t>
      </w:r>
    </w:p>
  </w:footnote>
  <w:footnote w:id="32">
    <w:p w14:paraId="5BC205C5" w14:textId="77777777" w:rsidR="006D2241" w:rsidRPr="006D2241" w:rsidRDefault="006D2241" w:rsidP="006D2241">
      <w:pPr>
        <w:tabs>
          <w:tab w:val="left" w:pos="360"/>
        </w:tabs>
        <w:spacing w:after="240"/>
        <w:rPr>
          <w:rFonts w:ascii="Calibri" w:eastAsia="PMingLiU" w:hAnsi="Calibri" w:cs="Calibri"/>
          <w:sz w:val="20"/>
          <w:szCs w:val="20"/>
        </w:rPr>
      </w:pPr>
      <w:r w:rsidRPr="006D2241">
        <w:rPr>
          <w:rStyle w:val="FootnoteReference"/>
          <w:rFonts w:ascii="Calibri" w:hAnsi="Calibri" w:cs="Calibri"/>
          <w:sz w:val="20"/>
          <w:szCs w:val="20"/>
        </w:rPr>
        <w:footnoteRef/>
      </w:r>
      <w:r w:rsidRPr="006D2241">
        <w:rPr>
          <w:rFonts w:ascii="Calibri" w:hAnsi="Calibri" w:cs="Calibri"/>
          <w:sz w:val="20"/>
          <w:szCs w:val="20"/>
        </w:rPr>
        <w:t xml:space="preserve"> </w:t>
      </w:r>
      <w:r w:rsidRPr="006D2241">
        <w:rPr>
          <w:rFonts w:ascii="Calibri" w:eastAsia="PMingLiU" w:hAnsi="Calibri" w:cs="Calibri"/>
          <w:sz w:val="20"/>
          <w:szCs w:val="20"/>
        </w:rPr>
        <w:t xml:space="preserve">connects </w:t>
      </w:r>
      <w:r w:rsidRPr="006D2241">
        <w:rPr>
          <w:rFonts w:ascii="Calibri" w:eastAsia="PMingLiU" w:hAnsi="Calibri" w:cs="Calibri"/>
          <w:sz w:val="20"/>
          <w:szCs w:val="20"/>
        </w:rPr>
        <w:t>low income patients with legal resources to address health-harming legal needs such as substandard or unstable housing, benefits denials, and appropriate educational placements and support for children with disabilities.</w:t>
      </w:r>
    </w:p>
    <w:p w14:paraId="5D4C5A24" w14:textId="3D64410A" w:rsidR="006D2241" w:rsidRDefault="006D2241">
      <w:pPr>
        <w:pStyle w:val="FootnoteText"/>
      </w:pPr>
    </w:p>
  </w:footnote>
  <w:footnote w:id="33">
    <w:p w14:paraId="28DAED6E" w14:textId="77777777" w:rsidR="0074546D" w:rsidRPr="00DE2A5D" w:rsidRDefault="0074546D" w:rsidP="0074546D">
      <w:pPr>
        <w:pStyle w:val="FootnoteText"/>
        <w:rPr>
          <w:rFonts w:ascii="Calibri" w:hAnsi="Calibri" w:cs="Calibri"/>
        </w:rPr>
      </w:pPr>
      <w:r w:rsidRPr="00DE2A5D">
        <w:rPr>
          <w:rStyle w:val="FootnoteReference"/>
          <w:rFonts w:ascii="Calibri" w:hAnsi="Calibri" w:cs="Calibri"/>
        </w:rPr>
        <w:footnoteRef/>
      </w:r>
      <w:r w:rsidRPr="00DE2A5D">
        <w:rPr>
          <w:rFonts w:ascii="Calibri" w:hAnsi="Calibri" w:cs="Calibri"/>
        </w:rPr>
        <w:t xml:space="preserve"> U</w:t>
      </w:r>
      <w:r w:rsidRPr="007A67E1">
        <w:rPr>
          <w:rFonts w:ascii="Calibri" w:hAnsi="Calibri" w:cs="Calibri"/>
        </w:rPr>
        <w:t>MMHC’s Epic system</w:t>
      </w:r>
      <w:r w:rsidRPr="00DE2A5D">
        <w:rPr>
          <w:rFonts w:ascii="Calibri" w:hAnsi="Calibri" w:cs="Calibri"/>
        </w:rPr>
        <w:t xml:space="preserve"> </w:t>
      </w:r>
      <w:r w:rsidRPr="007A67E1">
        <w:rPr>
          <w:rFonts w:ascii="Calibri" w:hAnsi="Calibri" w:cs="Calibri"/>
        </w:rPr>
        <w:t>has received 10 Stars from Epic in 2022 and 2023</w:t>
      </w:r>
    </w:p>
  </w:footnote>
  <w:footnote w:id="34">
    <w:p w14:paraId="71D35279" w14:textId="77777777" w:rsidR="0074546D" w:rsidRPr="00DE2A5D" w:rsidRDefault="0074546D" w:rsidP="0074546D">
      <w:pPr>
        <w:pStyle w:val="FootnoteText"/>
        <w:rPr>
          <w:rFonts w:ascii="Calibri" w:hAnsi="Calibri" w:cs="Calibri"/>
          <w:u w:val="single"/>
        </w:rPr>
      </w:pPr>
      <w:r w:rsidRPr="00DE2A5D">
        <w:rPr>
          <w:rStyle w:val="FootnoteReference"/>
          <w:rFonts w:ascii="Calibri" w:hAnsi="Calibri" w:cs="Calibri"/>
        </w:rPr>
        <w:footnoteRef/>
      </w:r>
      <w:r w:rsidRPr="00DE2A5D">
        <w:rPr>
          <w:rFonts w:ascii="Calibri" w:hAnsi="Calibri" w:cs="Calibri"/>
          <w:color w:val="212121"/>
          <w:shd w:val="clear" w:color="auto" w:fill="FFFFFF"/>
        </w:rPr>
        <w:t xml:space="preserve"> Chen M, Tan X, Padman R. Social determinants of health in electronic health records and their impact on analysis and risk prediction: A systematic review. J Am Med Inform Assoc. 2020 Nov 1;27(11):1764-1773,</w:t>
      </w:r>
      <w:r w:rsidRPr="00DE2A5D">
        <w:rPr>
          <w:rFonts w:ascii="Calibri" w:hAnsi="Calibri" w:cs="Calibri"/>
          <w:color w:val="212121"/>
          <w:u w:val="single"/>
          <w:shd w:val="clear" w:color="auto" w:fill="FFFFFF"/>
        </w:rPr>
        <w:t xml:space="preserve"> </w:t>
      </w:r>
      <w:hyperlink r:id="rId16" w:history="1">
        <w:r w:rsidRPr="00DE2A5D">
          <w:rPr>
            <w:rStyle w:val="Hyperlink"/>
            <w:rFonts w:ascii="Calibri" w:hAnsi="Calibri" w:cs="Calibri"/>
          </w:rPr>
          <w:t>https://www.ncbi.nlm.nih.gov/pmc/articles/PMC7671639/</w:t>
        </w:r>
      </w:hyperlink>
      <w:r w:rsidRPr="00DE2A5D">
        <w:rPr>
          <w:rFonts w:ascii="Calibri" w:hAnsi="Calibri" w:cs="Calibri"/>
          <w:u w:val="single"/>
        </w:rPr>
        <w:t xml:space="preserve"> </w:t>
      </w:r>
      <w:r w:rsidRPr="00DE2A5D">
        <w:rPr>
          <w:rFonts w:ascii="Calibri" w:hAnsi="Calibri" w:cs="Calibri"/>
        </w:rPr>
        <w:t xml:space="preserve">(providing a literature review demonstrating </w:t>
      </w:r>
      <w:r w:rsidRPr="00DE2A5D">
        <w:rPr>
          <w:rFonts w:ascii="Calibri" w:hAnsi="Calibri" w:cs="Calibri"/>
          <w:color w:val="212121"/>
          <w:shd w:val="clear" w:color="auto" w:fill="FFFFFF"/>
        </w:rPr>
        <w:t>“early and rapidly growing evidence that integrating individual-level SDoH into EHRs can assist in risk assessment and predicting healthcare utilization and health outcomes, which further motivates efforts to collect and standardize patient-level SDoH information”).</w:t>
      </w:r>
    </w:p>
  </w:footnote>
  <w:footnote w:id="35">
    <w:p w14:paraId="5AF19349" w14:textId="77777777" w:rsidR="008B3C74" w:rsidRPr="00CA7167" w:rsidRDefault="008B3C74" w:rsidP="008B3C74">
      <w:pPr>
        <w:pStyle w:val="FootnoteText"/>
      </w:pPr>
      <w:r>
        <w:rPr>
          <w:rStyle w:val="FootnoteReference"/>
        </w:rPr>
        <w:footnoteRef/>
      </w:r>
      <w:r>
        <w:t xml:space="preserve"> </w:t>
      </w:r>
      <w:r w:rsidRPr="00CA7167">
        <w:t>Documentation of the various activities and informational materials referenced above are attached as Exhibits H, I and J</w:t>
      </w:r>
      <w:r>
        <w:t xml:space="preserve"> of the DoN Application.</w:t>
      </w:r>
    </w:p>
    <w:p w14:paraId="00AC4C0A" w14:textId="77777777" w:rsidR="008B3C74" w:rsidRDefault="008B3C74" w:rsidP="008B3C74">
      <w:pPr>
        <w:pStyle w:val="FootnoteText"/>
      </w:pPr>
    </w:p>
  </w:footnote>
  <w:footnote w:id="36">
    <w:p w14:paraId="3005B43A" w14:textId="0C6D5A16" w:rsidR="003B47AE" w:rsidRDefault="003B47AE">
      <w:pPr>
        <w:pStyle w:val="FootnoteText"/>
      </w:pPr>
      <w:r>
        <w:rPr>
          <w:rStyle w:val="FootnoteReference"/>
        </w:rPr>
        <w:footnoteRef/>
      </w:r>
      <w:r>
        <w:t xml:space="preserve"> See DoN </w:t>
      </w:r>
      <w:r w:rsidRPr="003B47AE">
        <w:t>UMMHC-24021420</w:t>
      </w:r>
      <w:r>
        <w:t xml:space="preserve"> Narrative pp 29-32 </w:t>
      </w:r>
      <w:r w:rsidRPr="003B47AE">
        <w:t>https://www.mass.gov/doc/narrative-pdf-umass-memorial-health-care-inc-transfer/download</w:t>
      </w:r>
    </w:p>
  </w:footnote>
  <w:footnote w:id="37">
    <w:p w14:paraId="092D72B1" w14:textId="77777777" w:rsidR="00C43448" w:rsidRPr="004D2C14" w:rsidRDefault="00C43448" w:rsidP="00C43448">
      <w:pPr>
        <w:pStyle w:val="FootnoteText"/>
      </w:pPr>
      <w:r w:rsidRPr="004D2C14">
        <w:rPr>
          <w:rStyle w:val="FootnoteReference"/>
        </w:rPr>
        <w:footnoteRef/>
      </w:r>
      <w:r w:rsidRPr="004D2C14">
        <w:t xml:space="preserve"> </w:t>
      </w:r>
      <w:r w:rsidRPr="004D2C14">
        <w:rPr>
          <w:i/>
          <w:iCs/>
        </w:rPr>
        <w:t>See</w:t>
      </w:r>
      <w:r w:rsidRPr="004D2C14">
        <w:t xml:space="preserve"> CHIA, Provider Price Variation in the Massachusetts Commercial Market: Databook (August 2023), available at: </w:t>
      </w:r>
      <w:hyperlink r:id="rId17" w:history="1">
        <w:r w:rsidRPr="004D2C14">
          <w:rPr>
            <w:rStyle w:val="Hyperlink1"/>
          </w:rPr>
          <w:t>https://www.chiamass.gov/assets/docs/r/pubs/2023/Relative-Price-Databook-2021.xlsx</w:t>
        </w:r>
      </w:hyperlink>
      <w:r w:rsidRPr="004D2C14">
        <w:t>.</w:t>
      </w:r>
    </w:p>
  </w:footnote>
  <w:footnote w:id="38">
    <w:p w14:paraId="2F95A3DA" w14:textId="77777777" w:rsidR="00C43448" w:rsidRDefault="00C43448" w:rsidP="00C43448">
      <w:pPr>
        <w:pStyle w:val="FootnoteText"/>
      </w:pPr>
      <w:r>
        <w:rPr>
          <w:rStyle w:val="FootnoteReference"/>
        </w:rPr>
        <w:footnoteRef/>
      </w:r>
      <w:r>
        <w:t xml:space="preserve"> </w:t>
      </w:r>
      <w:r w:rsidRPr="0020127C">
        <w:t>Inpatient Net Patient Service Revenue (NPSR) per Case Mix Adjusted Discharge (CMAD) measures the hospital’s NPSR divided by the product of the hospital’s discharges and its case mix index. NPSR includes both net inpatient revenue and inpatient premium revenue.</w:t>
      </w:r>
      <w:r>
        <w:t xml:space="preserve"> See Acute Hospital Profiles p.10 </w:t>
      </w:r>
      <w:hyperlink r:id="rId18" w:history="1">
        <w:r w:rsidRPr="004222B5">
          <w:rPr>
            <w:rStyle w:val="Hyperlink"/>
          </w:rPr>
          <w:t>https://www.chiamass.gov/assets/docs/r/hospital-profiles/2015/FY15-Profiles-Tech-Appendix.pdf</w:t>
        </w:r>
      </w:hyperlink>
      <w:r>
        <w:t xml:space="preserve"> </w:t>
      </w:r>
    </w:p>
  </w:footnote>
  <w:footnote w:id="39">
    <w:p w14:paraId="1ABBBAD7" w14:textId="77777777" w:rsidR="00C43448" w:rsidRPr="004D2C14" w:rsidRDefault="00C43448" w:rsidP="00C43448">
      <w:pPr>
        <w:pStyle w:val="FootnoteText"/>
      </w:pPr>
      <w:r w:rsidRPr="004D2C14">
        <w:rPr>
          <w:rStyle w:val="FootnoteReference"/>
        </w:rPr>
        <w:footnoteRef/>
      </w:r>
      <w:r w:rsidRPr="004D2C14">
        <w:t xml:space="preserve"> Data provided in Tables 1-3 originate</w:t>
      </w:r>
      <w:r w:rsidRPr="00CD1491">
        <w:t xml:space="preserve">s from the CHIA, </w:t>
      </w:r>
      <w:hyperlink r:id="rId19" w:history="1">
        <w:r w:rsidRPr="00CD1491">
          <w:rPr>
            <w:rStyle w:val="Hyperlink1"/>
          </w:rPr>
          <w:t>Provider Price Variation in the Massachusetts Commercial Market: Databook</w:t>
        </w:r>
      </w:hyperlink>
      <w:r w:rsidRPr="00CD1491">
        <w:t xml:space="preserve"> (</w:t>
      </w:r>
      <w:r w:rsidRPr="004D2C14">
        <w:t xml:space="preserve">August 2023), available at: </w:t>
      </w:r>
      <w:hyperlink r:id="rId20" w:history="1">
        <w:r w:rsidRPr="004D2C14">
          <w:rPr>
            <w:rStyle w:val="Hyperlink1"/>
          </w:rPr>
          <w:t>https://www.chiamass.gov/assets/docs/r/pubs/2023/Relative-Price-Databook-2021.xlsx</w:t>
        </w:r>
      </w:hyperlink>
      <w:r w:rsidRPr="004D2C14">
        <w:t>.</w:t>
      </w:r>
    </w:p>
  </w:footnote>
  <w:footnote w:id="40">
    <w:p w14:paraId="45E35DE2" w14:textId="21636FCC" w:rsidR="755C40DB" w:rsidRDefault="755C40DB" w:rsidP="755C40DB">
      <w:pPr>
        <w:pStyle w:val="FootnoteText"/>
      </w:pPr>
      <w:r w:rsidRPr="755C40DB">
        <w:rPr>
          <w:rStyle w:val="FootnoteReference"/>
        </w:rPr>
        <w:footnoteRef/>
      </w:r>
      <w:r>
        <w:t xml:space="preserve"> </w:t>
      </w:r>
      <w:hyperlink r:id="rId21" w:history="1">
        <w:r w:rsidRPr="755C40DB">
          <w:rPr>
            <w:rStyle w:val="Hyperlink"/>
          </w:rPr>
          <w:t>https://www.chiamass.gov/assets/docs/r/pubs/2020/S-RP-Final-Results-CY-2018.pdf</w:t>
        </w:r>
      </w:hyperlink>
      <w:r>
        <w:t xml:space="preserve"> No NPSR per CMAD </w:t>
      </w:r>
      <w:r w:rsidR="00611AD2">
        <w:t>posted</w:t>
      </w:r>
    </w:p>
  </w:footnote>
  <w:footnote w:id="41">
    <w:p w14:paraId="0AA34999" w14:textId="5012C0FA" w:rsidR="755C40DB" w:rsidRDefault="755C40DB" w:rsidP="005C4580">
      <w:pPr>
        <w:pStyle w:val="FootnoteText"/>
      </w:pPr>
      <w:r w:rsidRPr="755C40DB">
        <w:rPr>
          <w:rStyle w:val="FootnoteReference"/>
        </w:rPr>
        <w:footnoteRef/>
      </w:r>
      <w:r>
        <w:t xml:space="preserve"> </w:t>
      </w:r>
      <w:hyperlink r:id="rId22" w:history="1">
        <w:r w:rsidRPr="755C40DB">
          <w:rPr>
            <w:rStyle w:val="Hyperlink"/>
          </w:rPr>
          <w:t>https://www.chiamass.gov/relative-price-and-provider-price-variation/?viewfullsize=1</w:t>
        </w:r>
      </w:hyperlink>
    </w:p>
    <w:p w14:paraId="38092EBF" w14:textId="1744A104" w:rsidR="755C40DB" w:rsidRDefault="755C40DB" w:rsidP="755C40DB">
      <w:pPr>
        <w:pStyle w:val="FootnoteText"/>
      </w:pPr>
    </w:p>
  </w:footnote>
  <w:footnote w:id="42">
    <w:p w14:paraId="7F4B8E07" w14:textId="77777777" w:rsidR="00B56E64" w:rsidRPr="004D2C14" w:rsidRDefault="00B56E64" w:rsidP="00B56E64">
      <w:pPr>
        <w:pStyle w:val="FootnoteText"/>
        <w:rPr>
          <w:u w:val="single"/>
        </w:rPr>
      </w:pPr>
      <w:r w:rsidRPr="004D2C14">
        <w:rPr>
          <w:rStyle w:val="FootnoteReference"/>
        </w:rPr>
        <w:footnoteRef/>
      </w:r>
      <w:r w:rsidRPr="004D2C14">
        <w:t xml:space="preserve"> </w:t>
      </w:r>
      <w:r w:rsidRPr="004D2C14">
        <w:rPr>
          <w:i/>
          <w:iCs/>
        </w:rPr>
        <w:t xml:space="preserve">See </w:t>
      </w:r>
      <w:r w:rsidRPr="004D2C14">
        <w:t xml:space="preserve">HealthIT.gov, </w:t>
      </w:r>
      <w:hyperlink r:id="rId23" w:history="1">
        <w:r w:rsidRPr="00F34CC0">
          <w:t>Improved Care Coordination</w:t>
        </w:r>
      </w:hyperlink>
      <w:r w:rsidRPr="00F34CC0">
        <w:t>,</w:t>
      </w:r>
      <w:r w:rsidRPr="00F34CC0">
        <w:rPr>
          <w:u w:val="single"/>
        </w:rPr>
        <w:t xml:space="preserve"> </w:t>
      </w:r>
      <w:hyperlink r:id="rId24" w:history="1">
        <w:r w:rsidRPr="004D2C14">
          <w:t>https://www.healthit.gov/topic/health-it-and-health-information-exchange-basics/improve-care-coordination</w:t>
        </w:r>
      </w:hyperlink>
      <w:r w:rsidRPr="004D2C14">
        <w:rPr>
          <w:u w:val="single"/>
        </w:rPr>
        <w:t xml:space="preserve"> </w:t>
      </w:r>
      <w:r w:rsidRPr="004D2C14">
        <w:t>(indicating that use of EHR may improve care coordination among clinicians in various care settings, including primary, specialty care, and emergency services); HealthIT.gov,</w:t>
      </w:r>
      <w:r w:rsidRPr="00F34CC0">
        <w:t xml:space="preserve"> </w:t>
      </w:r>
      <w:hyperlink r:id="rId25" w:history="1">
        <w:r w:rsidRPr="00F34CC0">
          <w:t>Improved Diagnostics &amp; Patient Outcomes</w:t>
        </w:r>
      </w:hyperlink>
      <w:r w:rsidRPr="004D2C14">
        <w:t>,</w:t>
      </w:r>
      <w:r w:rsidRPr="004D2C14">
        <w:rPr>
          <w:u w:val="single"/>
        </w:rPr>
        <w:t xml:space="preserve"> </w:t>
      </w:r>
      <w:hyperlink r:id="rId26" w:history="1">
        <w:r w:rsidRPr="004D2C14">
          <w:t>https://www.healthit.gov/topic/health-it-and-health-information-exchange-basics/improved-diagnostics-patient-outcomes</w:t>
        </w:r>
      </w:hyperlink>
      <w:r w:rsidRPr="004D2C14">
        <w:rPr>
          <w:u w:val="single"/>
        </w:rPr>
        <w:t xml:space="preserve"> </w:t>
      </w:r>
      <w:r w:rsidRPr="004D2C14">
        <w:t>(indicating that use of EHR may improve access to diagnostic results in order to drive better patient outcomes, as clinicians have more reliable access to test results, and that EHRs may help reduce errors and improve patient safety by automating certain checks and exposing potential safety issues).</w:t>
      </w:r>
    </w:p>
  </w:footnote>
  <w:footnote w:id="43">
    <w:p w14:paraId="1094AAEA" w14:textId="77777777" w:rsidR="00B56E64" w:rsidRPr="004D2C14" w:rsidRDefault="00B56E64" w:rsidP="00B56E64">
      <w:pPr>
        <w:pStyle w:val="FootnoteText"/>
      </w:pPr>
      <w:r w:rsidRPr="004D2C14">
        <w:rPr>
          <w:rStyle w:val="FootnoteReference"/>
        </w:rPr>
        <w:footnoteRef/>
      </w:r>
      <w:r w:rsidRPr="004D2C14">
        <w:t xml:space="preserve"> </w:t>
      </w:r>
      <w:hyperlink r:id="rId27" w:history="1">
        <w:r w:rsidRPr="00412408">
          <w:t>Office of Disease Prevention and Health Promotion, Healthy People 2030,</w:t>
        </w:r>
      </w:hyperlink>
      <w:r w:rsidRPr="004D2C14">
        <w:t xml:space="preserve"> </w:t>
      </w:r>
      <w:r w:rsidRPr="004D2C14">
        <w:rPr>
          <w:i/>
          <w:iCs/>
        </w:rPr>
        <w:t>Health IT</w:t>
      </w:r>
      <w:r w:rsidRPr="004D2C14">
        <w:t xml:space="preserve">, </w:t>
      </w:r>
      <w:hyperlink r:id="rId28" w:history="1">
        <w:r w:rsidRPr="004D2C14">
          <w:t>https://health.gov/healthypeople/objectives-and-data/browse-objectives/health-it</w:t>
        </w:r>
      </w:hyperlink>
      <w:r w:rsidRPr="004D2C14">
        <w:t xml:space="preserve"> (“</w:t>
      </w:r>
      <w:r w:rsidRPr="004D2C14">
        <w:rPr>
          <w:color w:val="0D1941"/>
        </w:rPr>
        <w:t>Health information exchange gives health care providers and patients the ability to appropriately access and securely share medical information electronically. Strategies to streamline health IT systems can make it easier to electronically exchange health information and may result in improved health outcomes.”).</w:t>
      </w:r>
    </w:p>
  </w:footnote>
  <w:footnote w:id="44">
    <w:p w14:paraId="36526BAF" w14:textId="77777777" w:rsidR="00940CC4" w:rsidRDefault="00940CC4" w:rsidP="00940CC4">
      <w:pPr>
        <w:pStyle w:val="footnotedescription"/>
        <w:spacing w:line="249" w:lineRule="auto"/>
        <w:ind w:right="308"/>
      </w:pPr>
      <w:r>
        <w:rPr>
          <w:rStyle w:val="footnotemark"/>
        </w:rPr>
        <w:footnoteRef/>
      </w:r>
      <w:r>
        <w:t xml:space="preserve"> Profitability metrics, such as EBITDA, EBITDA Margin, Operating Margin and Total Margin are used to assist in the evaluation of management performance in how efficiently resources are utilized. Liquidity metrics, such as Current Ratio, Cash Days on </w:t>
      </w:r>
      <w:r>
        <w:t xml:space="preserve">Hand and Days in Accounts Receivable measure the quality and adequacy of assets to meet current obligations as they come due. Solvency metrics, such as Total Assets and Total Equity measure the company’s ability to service debt obligations. Certain metrics can be applicable in multiple categories. </w:t>
      </w:r>
    </w:p>
  </w:footnote>
  <w:footnote w:id="45">
    <w:p w14:paraId="12F9E47B" w14:textId="77777777" w:rsidR="00940CC4" w:rsidRDefault="00940CC4" w:rsidP="00940CC4">
      <w:pPr>
        <w:pStyle w:val="FootnoteText"/>
      </w:pPr>
      <w:r>
        <w:rPr>
          <w:rStyle w:val="FootnoteReference"/>
        </w:rPr>
        <w:footnoteRef/>
      </w:r>
      <w:r>
        <w:t xml:space="preserve"> See Pages 8-9 of the CPA report </w:t>
      </w:r>
      <w:hyperlink r:id="rId29" w:history="1">
        <w:r w:rsidRPr="00BA5C82">
          <w:rPr>
            <w:rStyle w:val="Hyperlink"/>
          </w:rPr>
          <w:t>https://www.mass.gov/doc/cpa-report-pdf-umass-memorial-health-care-inc-transfer/download</w:t>
        </w:r>
      </w:hyperlink>
      <w:r>
        <w:t xml:space="preserve"> </w:t>
      </w:r>
    </w:p>
  </w:footnote>
  <w:footnote w:id="46">
    <w:p w14:paraId="17BEF63D" w14:textId="77777777" w:rsidR="00940CC4" w:rsidRPr="0024711F" w:rsidRDefault="00940CC4" w:rsidP="00940CC4">
      <w:pPr>
        <w:pStyle w:val="FootnoteText"/>
      </w:pPr>
      <w:r>
        <w:rPr>
          <w:rStyle w:val="FootnoteReference"/>
        </w:rPr>
        <w:footnoteRef/>
      </w:r>
      <w:r>
        <w:t xml:space="preserve"> </w:t>
      </w:r>
      <w:r w:rsidRPr="0024711F">
        <w:t>Revenue includes net patient service revenue and other operating revenue.</w:t>
      </w:r>
      <w:r>
        <w:t xml:space="preserve"> </w:t>
      </w:r>
      <w:r w:rsidRPr="00641DCB">
        <w:t>The cumulative patient service revenue comprises 93.3 percent of the cumulative total operating revenue from FY 2024 through FY 2029.</w:t>
      </w:r>
    </w:p>
    <w:p w14:paraId="13F93471" w14:textId="77777777" w:rsidR="00940CC4" w:rsidRDefault="00940CC4" w:rsidP="00940CC4">
      <w:pPr>
        <w:pStyle w:val="FootnoteText"/>
      </w:pPr>
    </w:p>
  </w:footnote>
  <w:footnote w:id="47">
    <w:p w14:paraId="5A5D81F4" w14:textId="77777777" w:rsidR="00940CC4" w:rsidRDefault="00940CC4" w:rsidP="00940CC4">
      <w:pPr>
        <w:pStyle w:val="FootnoteText"/>
      </w:pPr>
      <w:r>
        <w:rPr>
          <w:rStyle w:val="FootnoteReference"/>
        </w:rPr>
        <w:footnoteRef/>
      </w:r>
      <w:r>
        <w:t xml:space="preserve"> Ope</w:t>
      </w:r>
      <w:r w:rsidRPr="00052E41">
        <w:t>rating expenses include salaries and wages, employee benefits, professional fees, purchased services, pharmacy, medical supplies, non-medical supplies, utilities, insurance, rental leases, other direct expenses, system allocation expenses, depreciation and amortization, and interest expenses.</w:t>
      </w:r>
    </w:p>
  </w:footnote>
  <w:footnote w:id="48">
    <w:p w14:paraId="3F7D9ACC" w14:textId="77777777" w:rsidR="00691BEC" w:rsidRDefault="00691BEC" w:rsidP="00691BEC">
      <w:pPr>
        <w:pStyle w:val="FootnoteText"/>
      </w:pPr>
      <w:r>
        <w:rPr>
          <w:rStyle w:val="FootnoteReference"/>
        </w:rPr>
        <w:footnoteRef/>
      </w:r>
      <w:r>
        <w:t xml:space="preserve"> </w:t>
      </w:r>
      <w:r w:rsidRPr="00AB7675">
        <w:t>(B)(1) A Determination of Need Application for Transfer of Ownership pursuant to 105 CMR 100.735 is exempt from105 CMR 100.310(A)(5), (6), (7), (9), (10) and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65F1F322" w:rsidR="00E92504" w:rsidRDefault="00E92504">
    <w:pPr>
      <w:pStyle w:val="Header"/>
    </w:pP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0E093D3D" w:rsidR="00E92504" w:rsidRDefault="00E92504">
    <w:pPr>
      <w:pStyle w:val="Header"/>
    </w:pPr>
  </w:p>
  <w:p w14:paraId="7D3BF8DA" w14:textId="77777777" w:rsidR="00E92504" w:rsidRDefault="00E92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63B65BF0" w:rsidR="00E92504" w:rsidRDefault="00E9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2211"/>
    <w:multiLevelType w:val="multilevel"/>
    <w:tmpl w:val="4FC0CD62"/>
    <w:name w:val="RNum"/>
    <w:lvl w:ilvl="0">
      <w:start w:val="1"/>
      <w:numFmt w:val="decimal"/>
      <w:lvlRestart w:val="0"/>
      <w:pStyle w:val="RNNum"/>
      <w:lvlText w:val="%1."/>
      <w:lvlJc w:val="left"/>
      <w:pPr>
        <w:ind w:left="-180" w:hanging="360"/>
      </w:pPr>
      <w:rPr>
        <w:color w:val="auto"/>
      </w:rPr>
    </w:lvl>
    <w:lvl w:ilvl="1">
      <w:start w:val="1"/>
      <w:numFmt w:val="lowerLetter"/>
      <w:pStyle w:val="RN2Num"/>
      <w:lvlText w:val="%2."/>
      <w:lvlJc w:val="left"/>
      <w:pPr>
        <w:ind w:left="540" w:hanging="360"/>
      </w:pPr>
    </w:lvl>
    <w:lvl w:ilvl="2">
      <w:start w:val="1"/>
      <w:numFmt w:val="lowerRoman"/>
      <w:pStyle w:val="RN3Num"/>
      <w:lvlText w:val="%3."/>
      <w:lvlJc w:val="right"/>
      <w:pPr>
        <w:ind w:left="1260" w:hanging="180"/>
      </w:pPr>
    </w:lvl>
    <w:lvl w:ilvl="3">
      <w:start w:val="1"/>
      <w:numFmt w:val="decimal"/>
      <w:pStyle w:val="RN4Num"/>
      <w:lvlText w:val="%4."/>
      <w:lvlJc w:val="left"/>
      <w:pPr>
        <w:ind w:left="1980" w:hanging="360"/>
      </w:pPr>
    </w:lvl>
    <w:lvl w:ilvl="4">
      <w:start w:val="1"/>
      <w:numFmt w:val="lowerLetter"/>
      <w:pStyle w:val="RN5Num"/>
      <w:lvlText w:val="%5."/>
      <w:lvlJc w:val="left"/>
      <w:pPr>
        <w:ind w:left="2700" w:hanging="360"/>
      </w:pPr>
    </w:lvl>
    <w:lvl w:ilvl="5">
      <w:start w:val="1"/>
      <w:numFmt w:val="lowerRoman"/>
      <w:pStyle w:val="RN6Num"/>
      <w:lvlText w:val="%6."/>
      <w:lvlJc w:val="right"/>
      <w:pPr>
        <w:ind w:left="3420" w:hanging="180"/>
      </w:pPr>
    </w:lvl>
    <w:lvl w:ilvl="6">
      <w:start w:val="1"/>
      <w:numFmt w:val="decimal"/>
      <w:pStyle w:val="RN7Num"/>
      <w:lvlText w:val="%7."/>
      <w:lvlJc w:val="left"/>
      <w:pPr>
        <w:ind w:left="4140" w:hanging="360"/>
      </w:pPr>
    </w:lvl>
    <w:lvl w:ilvl="7">
      <w:start w:val="1"/>
      <w:numFmt w:val="lowerLetter"/>
      <w:pStyle w:val="RN8Num"/>
      <w:lvlText w:val="%8."/>
      <w:lvlJc w:val="left"/>
      <w:pPr>
        <w:ind w:left="4860" w:hanging="360"/>
      </w:pPr>
    </w:lvl>
    <w:lvl w:ilvl="8">
      <w:start w:val="1"/>
      <w:numFmt w:val="lowerRoman"/>
      <w:pStyle w:val="RN9Num"/>
      <w:lvlText w:val="%9."/>
      <w:lvlJc w:val="right"/>
      <w:pPr>
        <w:ind w:left="5580" w:hanging="180"/>
      </w:pPr>
    </w:lvl>
  </w:abstractNum>
  <w:abstractNum w:abstractNumId="1" w15:restartNumberingAfterBreak="0">
    <w:nsid w:val="16457B01"/>
    <w:multiLevelType w:val="hybridMultilevel"/>
    <w:tmpl w:val="5F3291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FD3943"/>
    <w:multiLevelType w:val="multilevel"/>
    <w:tmpl w:val="095A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B0A67"/>
    <w:multiLevelType w:val="hybridMultilevel"/>
    <w:tmpl w:val="80468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34E0E"/>
    <w:multiLevelType w:val="hybridMultilevel"/>
    <w:tmpl w:val="232802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B5C7D"/>
    <w:multiLevelType w:val="hybridMultilevel"/>
    <w:tmpl w:val="C7CEBAD8"/>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522CEB14">
      <w:start w:val="3"/>
      <w:numFmt w:val="upp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7F4B63"/>
    <w:multiLevelType w:val="hybridMultilevel"/>
    <w:tmpl w:val="9E34C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9C5652"/>
    <w:multiLevelType w:val="multilevel"/>
    <w:tmpl w:val="E17E3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6A17419"/>
    <w:multiLevelType w:val="hybridMultilevel"/>
    <w:tmpl w:val="5940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0" w15:restartNumberingAfterBreak="0">
    <w:nsid w:val="761C6535"/>
    <w:multiLevelType w:val="hybridMultilevel"/>
    <w:tmpl w:val="7E76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842630">
    <w:abstractNumId w:val="9"/>
  </w:num>
  <w:num w:numId="2" w16cid:durableId="341590028">
    <w:abstractNumId w:val="0"/>
  </w:num>
  <w:num w:numId="3" w16cid:durableId="1292976966">
    <w:abstractNumId w:val="6"/>
  </w:num>
  <w:num w:numId="4" w16cid:durableId="1817063552">
    <w:abstractNumId w:val="8"/>
  </w:num>
  <w:num w:numId="5" w16cid:durableId="180633768">
    <w:abstractNumId w:val="5"/>
  </w:num>
  <w:num w:numId="6" w16cid:durableId="541985183">
    <w:abstractNumId w:val="3"/>
  </w:num>
  <w:num w:numId="7" w16cid:durableId="162748902">
    <w:abstractNumId w:val="4"/>
  </w:num>
  <w:num w:numId="8" w16cid:durableId="1557472077">
    <w:abstractNumId w:val="10"/>
  </w:num>
  <w:num w:numId="9" w16cid:durableId="975525813">
    <w:abstractNumId w:val="1"/>
  </w:num>
  <w:num w:numId="10" w16cid:durableId="1120610252">
    <w:abstractNumId w:val="2"/>
  </w:num>
  <w:num w:numId="11" w16cid:durableId="8518439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925"/>
    <w:rsid w:val="00000D05"/>
    <w:rsid w:val="00000F02"/>
    <w:rsid w:val="00000FDF"/>
    <w:rsid w:val="000014D8"/>
    <w:rsid w:val="000015D7"/>
    <w:rsid w:val="0000165F"/>
    <w:rsid w:val="00001880"/>
    <w:rsid w:val="00001B46"/>
    <w:rsid w:val="00001D68"/>
    <w:rsid w:val="00001E0F"/>
    <w:rsid w:val="000023B5"/>
    <w:rsid w:val="00002A76"/>
    <w:rsid w:val="00002ADE"/>
    <w:rsid w:val="0000364F"/>
    <w:rsid w:val="00003AE8"/>
    <w:rsid w:val="00004CA3"/>
    <w:rsid w:val="0000516F"/>
    <w:rsid w:val="00005226"/>
    <w:rsid w:val="000053FA"/>
    <w:rsid w:val="00005421"/>
    <w:rsid w:val="00005945"/>
    <w:rsid w:val="00005B19"/>
    <w:rsid w:val="00005DD1"/>
    <w:rsid w:val="00006043"/>
    <w:rsid w:val="000063F2"/>
    <w:rsid w:val="00006964"/>
    <w:rsid w:val="00006B6F"/>
    <w:rsid w:val="00006E18"/>
    <w:rsid w:val="00006FCD"/>
    <w:rsid w:val="000073EC"/>
    <w:rsid w:val="00007818"/>
    <w:rsid w:val="0000789D"/>
    <w:rsid w:val="00010084"/>
    <w:rsid w:val="0001067C"/>
    <w:rsid w:val="000111B6"/>
    <w:rsid w:val="00011399"/>
    <w:rsid w:val="0001145D"/>
    <w:rsid w:val="000114A8"/>
    <w:rsid w:val="000115ED"/>
    <w:rsid w:val="00012017"/>
    <w:rsid w:val="00012039"/>
    <w:rsid w:val="0001225A"/>
    <w:rsid w:val="00012296"/>
    <w:rsid w:val="00012374"/>
    <w:rsid w:val="00012B79"/>
    <w:rsid w:val="00012E91"/>
    <w:rsid w:val="00013D82"/>
    <w:rsid w:val="00014185"/>
    <w:rsid w:val="00014493"/>
    <w:rsid w:val="000147B7"/>
    <w:rsid w:val="0001499B"/>
    <w:rsid w:val="00014C77"/>
    <w:rsid w:val="0001519C"/>
    <w:rsid w:val="00015479"/>
    <w:rsid w:val="000154CC"/>
    <w:rsid w:val="00015541"/>
    <w:rsid w:val="00015733"/>
    <w:rsid w:val="0001582B"/>
    <w:rsid w:val="00015923"/>
    <w:rsid w:val="00015A86"/>
    <w:rsid w:val="0001695B"/>
    <w:rsid w:val="00017A92"/>
    <w:rsid w:val="00017EA4"/>
    <w:rsid w:val="00017EBE"/>
    <w:rsid w:val="00020068"/>
    <w:rsid w:val="00020821"/>
    <w:rsid w:val="00020965"/>
    <w:rsid w:val="00020AC1"/>
    <w:rsid w:val="00020FD7"/>
    <w:rsid w:val="000211D3"/>
    <w:rsid w:val="0002122A"/>
    <w:rsid w:val="0002129E"/>
    <w:rsid w:val="0002143F"/>
    <w:rsid w:val="0002218C"/>
    <w:rsid w:val="00022292"/>
    <w:rsid w:val="00022966"/>
    <w:rsid w:val="00022C7E"/>
    <w:rsid w:val="000238EF"/>
    <w:rsid w:val="000239AD"/>
    <w:rsid w:val="00023A81"/>
    <w:rsid w:val="00023C19"/>
    <w:rsid w:val="00023CFC"/>
    <w:rsid w:val="00023D70"/>
    <w:rsid w:val="00023E8F"/>
    <w:rsid w:val="000242E8"/>
    <w:rsid w:val="00024662"/>
    <w:rsid w:val="00025C87"/>
    <w:rsid w:val="000262A9"/>
    <w:rsid w:val="0002723A"/>
    <w:rsid w:val="00027413"/>
    <w:rsid w:val="00027565"/>
    <w:rsid w:val="00027B44"/>
    <w:rsid w:val="00027B8C"/>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3973"/>
    <w:rsid w:val="00034075"/>
    <w:rsid w:val="00034426"/>
    <w:rsid w:val="0003479D"/>
    <w:rsid w:val="00034C41"/>
    <w:rsid w:val="00034EA3"/>
    <w:rsid w:val="0003540A"/>
    <w:rsid w:val="00035726"/>
    <w:rsid w:val="000357DC"/>
    <w:rsid w:val="00035882"/>
    <w:rsid w:val="00035D6A"/>
    <w:rsid w:val="00036049"/>
    <w:rsid w:val="000361B5"/>
    <w:rsid w:val="000365BB"/>
    <w:rsid w:val="00036703"/>
    <w:rsid w:val="0003678F"/>
    <w:rsid w:val="00037077"/>
    <w:rsid w:val="00037248"/>
    <w:rsid w:val="00037414"/>
    <w:rsid w:val="0003777C"/>
    <w:rsid w:val="0003779F"/>
    <w:rsid w:val="000378C9"/>
    <w:rsid w:val="000378CE"/>
    <w:rsid w:val="00037AF0"/>
    <w:rsid w:val="00037B9D"/>
    <w:rsid w:val="00040884"/>
    <w:rsid w:val="00040AD1"/>
    <w:rsid w:val="00040DA6"/>
    <w:rsid w:val="000415F0"/>
    <w:rsid w:val="00041BFC"/>
    <w:rsid w:val="00041D19"/>
    <w:rsid w:val="00041F4C"/>
    <w:rsid w:val="000422A3"/>
    <w:rsid w:val="000424D3"/>
    <w:rsid w:val="0004273B"/>
    <w:rsid w:val="000427E0"/>
    <w:rsid w:val="00042D93"/>
    <w:rsid w:val="0004323A"/>
    <w:rsid w:val="00043F4F"/>
    <w:rsid w:val="000443FD"/>
    <w:rsid w:val="00044F19"/>
    <w:rsid w:val="00044FA7"/>
    <w:rsid w:val="0004555B"/>
    <w:rsid w:val="00046064"/>
    <w:rsid w:val="00046854"/>
    <w:rsid w:val="00046895"/>
    <w:rsid w:val="000468BC"/>
    <w:rsid w:val="00047574"/>
    <w:rsid w:val="00047905"/>
    <w:rsid w:val="00047AFC"/>
    <w:rsid w:val="0005017D"/>
    <w:rsid w:val="000503A8"/>
    <w:rsid w:val="00050530"/>
    <w:rsid w:val="00050D37"/>
    <w:rsid w:val="00051634"/>
    <w:rsid w:val="000518D9"/>
    <w:rsid w:val="00051CCE"/>
    <w:rsid w:val="00052086"/>
    <w:rsid w:val="00052215"/>
    <w:rsid w:val="00052556"/>
    <w:rsid w:val="00052664"/>
    <w:rsid w:val="00052AB0"/>
    <w:rsid w:val="00052B92"/>
    <w:rsid w:val="000534AA"/>
    <w:rsid w:val="0005358D"/>
    <w:rsid w:val="000535F1"/>
    <w:rsid w:val="00053725"/>
    <w:rsid w:val="00053849"/>
    <w:rsid w:val="00054A7A"/>
    <w:rsid w:val="00054C7D"/>
    <w:rsid w:val="00054CD3"/>
    <w:rsid w:val="00054F01"/>
    <w:rsid w:val="00055F68"/>
    <w:rsid w:val="000560AA"/>
    <w:rsid w:val="00056445"/>
    <w:rsid w:val="000565B9"/>
    <w:rsid w:val="000565D5"/>
    <w:rsid w:val="00056DF7"/>
    <w:rsid w:val="00056E07"/>
    <w:rsid w:val="000572C6"/>
    <w:rsid w:val="00057B2F"/>
    <w:rsid w:val="00057E7A"/>
    <w:rsid w:val="00057EB5"/>
    <w:rsid w:val="00060051"/>
    <w:rsid w:val="00060374"/>
    <w:rsid w:val="00060472"/>
    <w:rsid w:val="00060584"/>
    <w:rsid w:val="000607E5"/>
    <w:rsid w:val="00060C17"/>
    <w:rsid w:val="00060D20"/>
    <w:rsid w:val="00060E5A"/>
    <w:rsid w:val="0006171E"/>
    <w:rsid w:val="0006177D"/>
    <w:rsid w:val="00061F0C"/>
    <w:rsid w:val="000635A1"/>
    <w:rsid w:val="00063ADA"/>
    <w:rsid w:val="00063F91"/>
    <w:rsid w:val="00063FB5"/>
    <w:rsid w:val="0006424E"/>
    <w:rsid w:val="000646E0"/>
    <w:rsid w:val="0006487F"/>
    <w:rsid w:val="00064A8A"/>
    <w:rsid w:val="00064AB0"/>
    <w:rsid w:val="00065360"/>
    <w:rsid w:val="00065CD6"/>
    <w:rsid w:val="00065E14"/>
    <w:rsid w:val="00066603"/>
    <w:rsid w:val="00066C49"/>
    <w:rsid w:val="000672AF"/>
    <w:rsid w:val="0006737F"/>
    <w:rsid w:val="00067789"/>
    <w:rsid w:val="0006798A"/>
    <w:rsid w:val="00067A9B"/>
    <w:rsid w:val="00067B9B"/>
    <w:rsid w:val="00067D64"/>
    <w:rsid w:val="00067F0D"/>
    <w:rsid w:val="0007003D"/>
    <w:rsid w:val="00070074"/>
    <w:rsid w:val="00070785"/>
    <w:rsid w:val="00070B97"/>
    <w:rsid w:val="00070CFB"/>
    <w:rsid w:val="00070D6C"/>
    <w:rsid w:val="00071428"/>
    <w:rsid w:val="000716DE"/>
    <w:rsid w:val="0007184A"/>
    <w:rsid w:val="00071A16"/>
    <w:rsid w:val="0007293D"/>
    <w:rsid w:val="00072B19"/>
    <w:rsid w:val="00073735"/>
    <w:rsid w:val="00074313"/>
    <w:rsid w:val="000744F1"/>
    <w:rsid w:val="00074526"/>
    <w:rsid w:val="00074538"/>
    <w:rsid w:val="00074600"/>
    <w:rsid w:val="00074D83"/>
    <w:rsid w:val="00074E5D"/>
    <w:rsid w:val="000751CD"/>
    <w:rsid w:val="000752CD"/>
    <w:rsid w:val="0007553D"/>
    <w:rsid w:val="000759EA"/>
    <w:rsid w:val="00075AB0"/>
    <w:rsid w:val="00076654"/>
    <w:rsid w:val="0007689E"/>
    <w:rsid w:val="00076B1A"/>
    <w:rsid w:val="00076C25"/>
    <w:rsid w:val="00076CF7"/>
    <w:rsid w:val="000776F9"/>
    <w:rsid w:val="00077700"/>
    <w:rsid w:val="00077A54"/>
    <w:rsid w:val="00077A72"/>
    <w:rsid w:val="00077DB8"/>
    <w:rsid w:val="0008011B"/>
    <w:rsid w:val="00080430"/>
    <w:rsid w:val="00080666"/>
    <w:rsid w:val="00080BE8"/>
    <w:rsid w:val="000810E3"/>
    <w:rsid w:val="00081C82"/>
    <w:rsid w:val="00082044"/>
    <w:rsid w:val="0008227E"/>
    <w:rsid w:val="00082400"/>
    <w:rsid w:val="00082461"/>
    <w:rsid w:val="00082892"/>
    <w:rsid w:val="00083335"/>
    <w:rsid w:val="0008356D"/>
    <w:rsid w:val="000836A5"/>
    <w:rsid w:val="000839C1"/>
    <w:rsid w:val="00083FCD"/>
    <w:rsid w:val="000843CF"/>
    <w:rsid w:val="00084415"/>
    <w:rsid w:val="000844CD"/>
    <w:rsid w:val="0008479B"/>
    <w:rsid w:val="00084830"/>
    <w:rsid w:val="00084AE5"/>
    <w:rsid w:val="00084F4C"/>
    <w:rsid w:val="00085226"/>
    <w:rsid w:val="0008574D"/>
    <w:rsid w:val="0008582A"/>
    <w:rsid w:val="00085D7B"/>
    <w:rsid w:val="00086013"/>
    <w:rsid w:val="00086051"/>
    <w:rsid w:val="00086552"/>
    <w:rsid w:val="00086D9D"/>
    <w:rsid w:val="00086DC8"/>
    <w:rsid w:val="00086E14"/>
    <w:rsid w:val="0008716C"/>
    <w:rsid w:val="0008752D"/>
    <w:rsid w:val="00087634"/>
    <w:rsid w:val="0008768C"/>
    <w:rsid w:val="00087A93"/>
    <w:rsid w:val="00087B5A"/>
    <w:rsid w:val="00090574"/>
    <w:rsid w:val="000905E0"/>
    <w:rsid w:val="00090688"/>
    <w:rsid w:val="00090989"/>
    <w:rsid w:val="00090E01"/>
    <w:rsid w:val="00090EE1"/>
    <w:rsid w:val="000911E7"/>
    <w:rsid w:val="000913AB"/>
    <w:rsid w:val="0009160E"/>
    <w:rsid w:val="00091793"/>
    <w:rsid w:val="000922B4"/>
    <w:rsid w:val="000923B5"/>
    <w:rsid w:val="00092A70"/>
    <w:rsid w:val="00092E92"/>
    <w:rsid w:val="0009304B"/>
    <w:rsid w:val="0009361C"/>
    <w:rsid w:val="000939BD"/>
    <w:rsid w:val="00093CAA"/>
    <w:rsid w:val="00093CF6"/>
    <w:rsid w:val="00093E2B"/>
    <w:rsid w:val="00093E5A"/>
    <w:rsid w:val="00093FC3"/>
    <w:rsid w:val="000942E8"/>
    <w:rsid w:val="0009553E"/>
    <w:rsid w:val="000955A1"/>
    <w:rsid w:val="000956A9"/>
    <w:rsid w:val="00095ADF"/>
    <w:rsid w:val="00095AFF"/>
    <w:rsid w:val="0009600B"/>
    <w:rsid w:val="0009626C"/>
    <w:rsid w:val="00096856"/>
    <w:rsid w:val="00096EC2"/>
    <w:rsid w:val="000971C8"/>
    <w:rsid w:val="00097826"/>
    <w:rsid w:val="00097838"/>
    <w:rsid w:val="00097C23"/>
    <w:rsid w:val="00097DE0"/>
    <w:rsid w:val="00097E6A"/>
    <w:rsid w:val="00097EAE"/>
    <w:rsid w:val="000A05FC"/>
    <w:rsid w:val="000A0C6F"/>
    <w:rsid w:val="000A22A9"/>
    <w:rsid w:val="000A2958"/>
    <w:rsid w:val="000A2C51"/>
    <w:rsid w:val="000A301C"/>
    <w:rsid w:val="000A303B"/>
    <w:rsid w:val="000A3524"/>
    <w:rsid w:val="000A3A57"/>
    <w:rsid w:val="000A40D6"/>
    <w:rsid w:val="000A4173"/>
    <w:rsid w:val="000A43BC"/>
    <w:rsid w:val="000A44CC"/>
    <w:rsid w:val="000A45A0"/>
    <w:rsid w:val="000A45D5"/>
    <w:rsid w:val="000A47FB"/>
    <w:rsid w:val="000A4809"/>
    <w:rsid w:val="000A4B0E"/>
    <w:rsid w:val="000A546C"/>
    <w:rsid w:val="000A549C"/>
    <w:rsid w:val="000A5C36"/>
    <w:rsid w:val="000A5E8B"/>
    <w:rsid w:val="000A6846"/>
    <w:rsid w:val="000A6B95"/>
    <w:rsid w:val="000A6BFD"/>
    <w:rsid w:val="000A6EAF"/>
    <w:rsid w:val="000A70D9"/>
    <w:rsid w:val="000A7478"/>
    <w:rsid w:val="000A7AC1"/>
    <w:rsid w:val="000A7B1A"/>
    <w:rsid w:val="000A7E9E"/>
    <w:rsid w:val="000A7FA5"/>
    <w:rsid w:val="000B0CDF"/>
    <w:rsid w:val="000B0D2C"/>
    <w:rsid w:val="000B1633"/>
    <w:rsid w:val="000B1838"/>
    <w:rsid w:val="000B1AE3"/>
    <w:rsid w:val="000B1B58"/>
    <w:rsid w:val="000B1CB9"/>
    <w:rsid w:val="000B1ED4"/>
    <w:rsid w:val="000B20B5"/>
    <w:rsid w:val="000B245D"/>
    <w:rsid w:val="000B25B3"/>
    <w:rsid w:val="000B361F"/>
    <w:rsid w:val="000B371A"/>
    <w:rsid w:val="000B383F"/>
    <w:rsid w:val="000B410F"/>
    <w:rsid w:val="000B41F8"/>
    <w:rsid w:val="000B437C"/>
    <w:rsid w:val="000B44F9"/>
    <w:rsid w:val="000B4610"/>
    <w:rsid w:val="000B4783"/>
    <w:rsid w:val="000B47E8"/>
    <w:rsid w:val="000B4E5C"/>
    <w:rsid w:val="000B51AD"/>
    <w:rsid w:val="000B524F"/>
    <w:rsid w:val="000B526E"/>
    <w:rsid w:val="000B5767"/>
    <w:rsid w:val="000B58B5"/>
    <w:rsid w:val="000B661C"/>
    <w:rsid w:val="000B6696"/>
    <w:rsid w:val="000B72C0"/>
    <w:rsid w:val="000B741C"/>
    <w:rsid w:val="000B797E"/>
    <w:rsid w:val="000B7B63"/>
    <w:rsid w:val="000C0407"/>
    <w:rsid w:val="000C0753"/>
    <w:rsid w:val="000C0DA1"/>
    <w:rsid w:val="000C1123"/>
    <w:rsid w:val="000C1911"/>
    <w:rsid w:val="000C1CCE"/>
    <w:rsid w:val="000C2263"/>
    <w:rsid w:val="000C299C"/>
    <w:rsid w:val="000C2E83"/>
    <w:rsid w:val="000C35A1"/>
    <w:rsid w:val="000C3CAC"/>
    <w:rsid w:val="000C408D"/>
    <w:rsid w:val="000C4360"/>
    <w:rsid w:val="000C439E"/>
    <w:rsid w:val="000C4797"/>
    <w:rsid w:val="000C5065"/>
    <w:rsid w:val="000C55F3"/>
    <w:rsid w:val="000C5873"/>
    <w:rsid w:val="000C58C2"/>
    <w:rsid w:val="000C5A0F"/>
    <w:rsid w:val="000C5F7B"/>
    <w:rsid w:val="000C6213"/>
    <w:rsid w:val="000C63A9"/>
    <w:rsid w:val="000C648B"/>
    <w:rsid w:val="000C6565"/>
    <w:rsid w:val="000C698A"/>
    <w:rsid w:val="000C7226"/>
    <w:rsid w:val="000C725B"/>
    <w:rsid w:val="000C79C7"/>
    <w:rsid w:val="000C7B09"/>
    <w:rsid w:val="000D0472"/>
    <w:rsid w:val="000D09E8"/>
    <w:rsid w:val="000D0ADC"/>
    <w:rsid w:val="000D0C8C"/>
    <w:rsid w:val="000D0ED8"/>
    <w:rsid w:val="000D12F2"/>
    <w:rsid w:val="000D1948"/>
    <w:rsid w:val="000D1C31"/>
    <w:rsid w:val="000D1D38"/>
    <w:rsid w:val="000D2043"/>
    <w:rsid w:val="000D20F1"/>
    <w:rsid w:val="000D272A"/>
    <w:rsid w:val="000D2A7D"/>
    <w:rsid w:val="000D2AFA"/>
    <w:rsid w:val="000D2CBA"/>
    <w:rsid w:val="000D2E2C"/>
    <w:rsid w:val="000D3495"/>
    <w:rsid w:val="000D3A86"/>
    <w:rsid w:val="000D40DF"/>
    <w:rsid w:val="000D453B"/>
    <w:rsid w:val="000D458A"/>
    <w:rsid w:val="000D483B"/>
    <w:rsid w:val="000D4C43"/>
    <w:rsid w:val="000D4C6D"/>
    <w:rsid w:val="000D5247"/>
    <w:rsid w:val="000D565B"/>
    <w:rsid w:val="000D5CBD"/>
    <w:rsid w:val="000D6622"/>
    <w:rsid w:val="000D6A68"/>
    <w:rsid w:val="000D6AF2"/>
    <w:rsid w:val="000D6E6E"/>
    <w:rsid w:val="000D6F8E"/>
    <w:rsid w:val="000D709A"/>
    <w:rsid w:val="000D79CF"/>
    <w:rsid w:val="000D7BA6"/>
    <w:rsid w:val="000D7BFE"/>
    <w:rsid w:val="000D7E3B"/>
    <w:rsid w:val="000E04E4"/>
    <w:rsid w:val="000E0764"/>
    <w:rsid w:val="000E0C47"/>
    <w:rsid w:val="000E1041"/>
    <w:rsid w:val="000E10E9"/>
    <w:rsid w:val="000E1182"/>
    <w:rsid w:val="000E1CBB"/>
    <w:rsid w:val="000E1F11"/>
    <w:rsid w:val="000E3F36"/>
    <w:rsid w:val="000E416C"/>
    <w:rsid w:val="000E441E"/>
    <w:rsid w:val="000E4791"/>
    <w:rsid w:val="000E4A2C"/>
    <w:rsid w:val="000E4DCD"/>
    <w:rsid w:val="000E4ED3"/>
    <w:rsid w:val="000E5195"/>
    <w:rsid w:val="000E5CD6"/>
    <w:rsid w:val="000E5F08"/>
    <w:rsid w:val="000E6158"/>
    <w:rsid w:val="000E6AC6"/>
    <w:rsid w:val="000E72BB"/>
    <w:rsid w:val="000F02D7"/>
    <w:rsid w:val="000F0F2E"/>
    <w:rsid w:val="000F115E"/>
    <w:rsid w:val="000F12F9"/>
    <w:rsid w:val="000F176D"/>
    <w:rsid w:val="000F1E36"/>
    <w:rsid w:val="000F200E"/>
    <w:rsid w:val="000F2589"/>
    <w:rsid w:val="000F2794"/>
    <w:rsid w:val="000F27DB"/>
    <w:rsid w:val="000F2FF8"/>
    <w:rsid w:val="000F30D4"/>
    <w:rsid w:val="000F3C99"/>
    <w:rsid w:val="000F3DAD"/>
    <w:rsid w:val="000F3E5B"/>
    <w:rsid w:val="000F4347"/>
    <w:rsid w:val="000F4A8E"/>
    <w:rsid w:val="000F4BDC"/>
    <w:rsid w:val="000F4C9D"/>
    <w:rsid w:val="000F505F"/>
    <w:rsid w:val="000F5579"/>
    <w:rsid w:val="000F58A4"/>
    <w:rsid w:val="000F5CBC"/>
    <w:rsid w:val="000F5D39"/>
    <w:rsid w:val="000F5D9D"/>
    <w:rsid w:val="000F5ECB"/>
    <w:rsid w:val="000F5F42"/>
    <w:rsid w:val="000F5F7F"/>
    <w:rsid w:val="000F6105"/>
    <w:rsid w:val="000F6390"/>
    <w:rsid w:val="000F65A5"/>
    <w:rsid w:val="000F6C04"/>
    <w:rsid w:val="000F6D1C"/>
    <w:rsid w:val="000F6DE3"/>
    <w:rsid w:val="000F73C6"/>
    <w:rsid w:val="000F7421"/>
    <w:rsid w:val="000F7808"/>
    <w:rsid w:val="000F789B"/>
    <w:rsid w:val="000F7C26"/>
    <w:rsid w:val="000F7C9A"/>
    <w:rsid w:val="000F7DFB"/>
    <w:rsid w:val="00100067"/>
    <w:rsid w:val="00100082"/>
    <w:rsid w:val="001004B1"/>
    <w:rsid w:val="001004B8"/>
    <w:rsid w:val="001005C6"/>
    <w:rsid w:val="0010120C"/>
    <w:rsid w:val="00101227"/>
    <w:rsid w:val="00101837"/>
    <w:rsid w:val="00101943"/>
    <w:rsid w:val="00101B15"/>
    <w:rsid w:val="00101EAD"/>
    <w:rsid w:val="001020EE"/>
    <w:rsid w:val="00102683"/>
    <w:rsid w:val="00102889"/>
    <w:rsid w:val="00102D4C"/>
    <w:rsid w:val="00102F27"/>
    <w:rsid w:val="001032D6"/>
    <w:rsid w:val="00103383"/>
    <w:rsid w:val="00103961"/>
    <w:rsid w:val="001039A7"/>
    <w:rsid w:val="00103AD9"/>
    <w:rsid w:val="00103B28"/>
    <w:rsid w:val="001044D4"/>
    <w:rsid w:val="00104664"/>
    <w:rsid w:val="00104BB8"/>
    <w:rsid w:val="00104C61"/>
    <w:rsid w:val="00104CD5"/>
    <w:rsid w:val="00104E11"/>
    <w:rsid w:val="00104FED"/>
    <w:rsid w:val="001051E0"/>
    <w:rsid w:val="001052CE"/>
    <w:rsid w:val="00105335"/>
    <w:rsid w:val="00105784"/>
    <w:rsid w:val="00105A50"/>
    <w:rsid w:val="00105B76"/>
    <w:rsid w:val="00106691"/>
    <w:rsid w:val="001068A0"/>
    <w:rsid w:val="00106CA8"/>
    <w:rsid w:val="00106F7D"/>
    <w:rsid w:val="00107893"/>
    <w:rsid w:val="001100CE"/>
    <w:rsid w:val="001106D5"/>
    <w:rsid w:val="00110CCC"/>
    <w:rsid w:val="00111412"/>
    <w:rsid w:val="001114BC"/>
    <w:rsid w:val="00111894"/>
    <w:rsid w:val="00111FFC"/>
    <w:rsid w:val="0011211C"/>
    <w:rsid w:val="00112582"/>
    <w:rsid w:val="00112E30"/>
    <w:rsid w:val="0011318D"/>
    <w:rsid w:val="00113894"/>
    <w:rsid w:val="0011390D"/>
    <w:rsid w:val="001139CB"/>
    <w:rsid w:val="00113EFA"/>
    <w:rsid w:val="001140E5"/>
    <w:rsid w:val="0011440B"/>
    <w:rsid w:val="00114B38"/>
    <w:rsid w:val="00114CA0"/>
    <w:rsid w:val="00114DF7"/>
    <w:rsid w:val="00114F4A"/>
    <w:rsid w:val="0011502A"/>
    <w:rsid w:val="00115441"/>
    <w:rsid w:val="001156B5"/>
    <w:rsid w:val="0011583A"/>
    <w:rsid w:val="00115A61"/>
    <w:rsid w:val="00115F6B"/>
    <w:rsid w:val="0011621B"/>
    <w:rsid w:val="001163BA"/>
    <w:rsid w:val="001166DA"/>
    <w:rsid w:val="00116B2B"/>
    <w:rsid w:val="00116E9F"/>
    <w:rsid w:val="00117338"/>
    <w:rsid w:val="001173E5"/>
    <w:rsid w:val="00117538"/>
    <w:rsid w:val="00117721"/>
    <w:rsid w:val="00117917"/>
    <w:rsid w:val="0012039D"/>
    <w:rsid w:val="001203DA"/>
    <w:rsid w:val="001204E2"/>
    <w:rsid w:val="001207E1"/>
    <w:rsid w:val="001208D8"/>
    <w:rsid w:val="00120B32"/>
    <w:rsid w:val="00120D62"/>
    <w:rsid w:val="0012122D"/>
    <w:rsid w:val="00121240"/>
    <w:rsid w:val="00121453"/>
    <w:rsid w:val="00121579"/>
    <w:rsid w:val="001215C9"/>
    <w:rsid w:val="001216D6"/>
    <w:rsid w:val="00121834"/>
    <w:rsid w:val="0012220F"/>
    <w:rsid w:val="00122462"/>
    <w:rsid w:val="00122561"/>
    <w:rsid w:val="00122642"/>
    <w:rsid w:val="0012336A"/>
    <w:rsid w:val="0012367E"/>
    <w:rsid w:val="0012392C"/>
    <w:rsid w:val="00124050"/>
    <w:rsid w:val="00124798"/>
    <w:rsid w:val="00124894"/>
    <w:rsid w:val="00124BCB"/>
    <w:rsid w:val="00124E50"/>
    <w:rsid w:val="0012521D"/>
    <w:rsid w:val="00125288"/>
    <w:rsid w:val="001259C3"/>
    <w:rsid w:val="00126377"/>
    <w:rsid w:val="001265B4"/>
    <w:rsid w:val="001265FC"/>
    <w:rsid w:val="00126A9C"/>
    <w:rsid w:val="00126E05"/>
    <w:rsid w:val="00126E8A"/>
    <w:rsid w:val="00127222"/>
    <w:rsid w:val="00127DBA"/>
    <w:rsid w:val="001300AE"/>
    <w:rsid w:val="001301CB"/>
    <w:rsid w:val="00130275"/>
    <w:rsid w:val="00130BE3"/>
    <w:rsid w:val="00130EB0"/>
    <w:rsid w:val="0013103B"/>
    <w:rsid w:val="001310BB"/>
    <w:rsid w:val="001314DD"/>
    <w:rsid w:val="0013183C"/>
    <w:rsid w:val="0013187E"/>
    <w:rsid w:val="001319F2"/>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4DFC"/>
    <w:rsid w:val="00135286"/>
    <w:rsid w:val="001354CF"/>
    <w:rsid w:val="0013591D"/>
    <w:rsid w:val="001359C8"/>
    <w:rsid w:val="00135B96"/>
    <w:rsid w:val="00135D92"/>
    <w:rsid w:val="00135E14"/>
    <w:rsid w:val="00135E81"/>
    <w:rsid w:val="0013679C"/>
    <w:rsid w:val="00136B09"/>
    <w:rsid w:val="0013724C"/>
    <w:rsid w:val="001373D9"/>
    <w:rsid w:val="001377D8"/>
    <w:rsid w:val="001377F3"/>
    <w:rsid w:val="00137C5B"/>
    <w:rsid w:val="00137D3C"/>
    <w:rsid w:val="00140018"/>
    <w:rsid w:val="001401F2"/>
    <w:rsid w:val="00140989"/>
    <w:rsid w:val="00141004"/>
    <w:rsid w:val="00141279"/>
    <w:rsid w:val="001412F5"/>
    <w:rsid w:val="0014178E"/>
    <w:rsid w:val="001418D7"/>
    <w:rsid w:val="00141E82"/>
    <w:rsid w:val="0014242D"/>
    <w:rsid w:val="00142BE7"/>
    <w:rsid w:val="00142FC9"/>
    <w:rsid w:val="001430B0"/>
    <w:rsid w:val="00143664"/>
    <w:rsid w:val="001437AE"/>
    <w:rsid w:val="001438F2"/>
    <w:rsid w:val="00143A5F"/>
    <w:rsid w:val="00143C83"/>
    <w:rsid w:val="00143D18"/>
    <w:rsid w:val="00143F1D"/>
    <w:rsid w:val="00144119"/>
    <w:rsid w:val="00144153"/>
    <w:rsid w:val="00144235"/>
    <w:rsid w:val="001444E1"/>
    <w:rsid w:val="0014450C"/>
    <w:rsid w:val="00144A1A"/>
    <w:rsid w:val="001458A7"/>
    <w:rsid w:val="00146162"/>
    <w:rsid w:val="00146548"/>
    <w:rsid w:val="00146710"/>
    <w:rsid w:val="0014702B"/>
    <w:rsid w:val="00147398"/>
    <w:rsid w:val="00147B1D"/>
    <w:rsid w:val="00147B20"/>
    <w:rsid w:val="00147C38"/>
    <w:rsid w:val="00150255"/>
    <w:rsid w:val="0015037D"/>
    <w:rsid w:val="001507F3"/>
    <w:rsid w:val="00150D2E"/>
    <w:rsid w:val="00150E21"/>
    <w:rsid w:val="001512D3"/>
    <w:rsid w:val="00151BF7"/>
    <w:rsid w:val="001522A9"/>
    <w:rsid w:val="0015239E"/>
    <w:rsid w:val="00152B48"/>
    <w:rsid w:val="00153163"/>
    <w:rsid w:val="00153CB3"/>
    <w:rsid w:val="001543ED"/>
    <w:rsid w:val="001546E9"/>
    <w:rsid w:val="0015477F"/>
    <w:rsid w:val="00154CF4"/>
    <w:rsid w:val="001550CE"/>
    <w:rsid w:val="001550EF"/>
    <w:rsid w:val="00155291"/>
    <w:rsid w:val="00155601"/>
    <w:rsid w:val="00155C19"/>
    <w:rsid w:val="00155FFE"/>
    <w:rsid w:val="001566BD"/>
    <w:rsid w:val="001567F2"/>
    <w:rsid w:val="001571E0"/>
    <w:rsid w:val="0015727E"/>
    <w:rsid w:val="001578D7"/>
    <w:rsid w:val="00157DDC"/>
    <w:rsid w:val="00157E3D"/>
    <w:rsid w:val="001600D5"/>
    <w:rsid w:val="0016022B"/>
    <w:rsid w:val="0016038D"/>
    <w:rsid w:val="00160781"/>
    <w:rsid w:val="00160C58"/>
    <w:rsid w:val="00161097"/>
    <w:rsid w:val="001611A7"/>
    <w:rsid w:val="00161472"/>
    <w:rsid w:val="001619F1"/>
    <w:rsid w:val="00161FA8"/>
    <w:rsid w:val="00162356"/>
    <w:rsid w:val="0016297E"/>
    <w:rsid w:val="00162F38"/>
    <w:rsid w:val="0016309B"/>
    <w:rsid w:val="00163223"/>
    <w:rsid w:val="0016369C"/>
    <w:rsid w:val="001636B5"/>
    <w:rsid w:val="001636D9"/>
    <w:rsid w:val="00163EF3"/>
    <w:rsid w:val="00163EFA"/>
    <w:rsid w:val="00164176"/>
    <w:rsid w:val="00164DE0"/>
    <w:rsid w:val="00164F44"/>
    <w:rsid w:val="001657DB"/>
    <w:rsid w:val="0016595F"/>
    <w:rsid w:val="00165E7B"/>
    <w:rsid w:val="00166275"/>
    <w:rsid w:val="001664D3"/>
    <w:rsid w:val="0016650C"/>
    <w:rsid w:val="0016671D"/>
    <w:rsid w:val="001669B9"/>
    <w:rsid w:val="00166AFB"/>
    <w:rsid w:val="00167738"/>
    <w:rsid w:val="00167779"/>
    <w:rsid w:val="00167D81"/>
    <w:rsid w:val="0017088D"/>
    <w:rsid w:val="00170DD0"/>
    <w:rsid w:val="00170FD8"/>
    <w:rsid w:val="00171342"/>
    <w:rsid w:val="001714B2"/>
    <w:rsid w:val="00171823"/>
    <w:rsid w:val="00171D8B"/>
    <w:rsid w:val="00171FF0"/>
    <w:rsid w:val="00172262"/>
    <w:rsid w:val="001727FD"/>
    <w:rsid w:val="00172EDB"/>
    <w:rsid w:val="0017310C"/>
    <w:rsid w:val="00173CC9"/>
    <w:rsid w:val="00174B59"/>
    <w:rsid w:val="00174BE5"/>
    <w:rsid w:val="00174C7E"/>
    <w:rsid w:val="00174E55"/>
    <w:rsid w:val="00174F97"/>
    <w:rsid w:val="001752FB"/>
    <w:rsid w:val="00175571"/>
    <w:rsid w:val="00175766"/>
    <w:rsid w:val="0017586D"/>
    <w:rsid w:val="00175A04"/>
    <w:rsid w:val="00175AF1"/>
    <w:rsid w:val="001762FD"/>
    <w:rsid w:val="0017636A"/>
    <w:rsid w:val="0017662A"/>
    <w:rsid w:val="00176749"/>
    <w:rsid w:val="00176815"/>
    <w:rsid w:val="001768CC"/>
    <w:rsid w:val="00176911"/>
    <w:rsid w:val="0017737E"/>
    <w:rsid w:val="001773CB"/>
    <w:rsid w:val="00177898"/>
    <w:rsid w:val="00180307"/>
    <w:rsid w:val="00180C5A"/>
    <w:rsid w:val="00181B5A"/>
    <w:rsid w:val="00181DDA"/>
    <w:rsid w:val="00181FCF"/>
    <w:rsid w:val="00182719"/>
    <w:rsid w:val="001829BC"/>
    <w:rsid w:val="00182FCF"/>
    <w:rsid w:val="00183967"/>
    <w:rsid w:val="00183AA2"/>
    <w:rsid w:val="00183E43"/>
    <w:rsid w:val="001843D1"/>
    <w:rsid w:val="00184404"/>
    <w:rsid w:val="0018463C"/>
    <w:rsid w:val="001846C2"/>
    <w:rsid w:val="00184B3B"/>
    <w:rsid w:val="00184FEA"/>
    <w:rsid w:val="00185387"/>
    <w:rsid w:val="00185E34"/>
    <w:rsid w:val="00186479"/>
    <w:rsid w:val="00186706"/>
    <w:rsid w:val="0018672A"/>
    <w:rsid w:val="00186790"/>
    <w:rsid w:val="001867D7"/>
    <w:rsid w:val="001868B5"/>
    <w:rsid w:val="00186DEE"/>
    <w:rsid w:val="00186F0C"/>
    <w:rsid w:val="00187D4D"/>
    <w:rsid w:val="00190C76"/>
    <w:rsid w:val="00191405"/>
    <w:rsid w:val="0019142C"/>
    <w:rsid w:val="00191A1D"/>
    <w:rsid w:val="00191B8C"/>
    <w:rsid w:val="00191DB0"/>
    <w:rsid w:val="00191DC1"/>
    <w:rsid w:val="00191FB6"/>
    <w:rsid w:val="001921C9"/>
    <w:rsid w:val="001921FD"/>
    <w:rsid w:val="001929C4"/>
    <w:rsid w:val="00192D8F"/>
    <w:rsid w:val="00193729"/>
    <w:rsid w:val="0019376A"/>
    <w:rsid w:val="00193AE7"/>
    <w:rsid w:val="00193F34"/>
    <w:rsid w:val="0019415A"/>
    <w:rsid w:val="0019497C"/>
    <w:rsid w:val="00195E58"/>
    <w:rsid w:val="00196087"/>
    <w:rsid w:val="0019686D"/>
    <w:rsid w:val="00196BFC"/>
    <w:rsid w:val="00196F36"/>
    <w:rsid w:val="00196FCD"/>
    <w:rsid w:val="001971E3"/>
    <w:rsid w:val="001973F9"/>
    <w:rsid w:val="001978E9"/>
    <w:rsid w:val="0019796B"/>
    <w:rsid w:val="00197BBF"/>
    <w:rsid w:val="001A041E"/>
    <w:rsid w:val="001A05BE"/>
    <w:rsid w:val="001A07C8"/>
    <w:rsid w:val="001A0F44"/>
    <w:rsid w:val="001A1B1D"/>
    <w:rsid w:val="001A1BB7"/>
    <w:rsid w:val="001A1CEE"/>
    <w:rsid w:val="001A1D5D"/>
    <w:rsid w:val="001A21B5"/>
    <w:rsid w:val="001A281F"/>
    <w:rsid w:val="001A2BC4"/>
    <w:rsid w:val="001A2ECB"/>
    <w:rsid w:val="001A3354"/>
    <w:rsid w:val="001A349C"/>
    <w:rsid w:val="001A3618"/>
    <w:rsid w:val="001A387B"/>
    <w:rsid w:val="001A3A08"/>
    <w:rsid w:val="001A3D30"/>
    <w:rsid w:val="001A41E7"/>
    <w:rsid w:val="001A47DA"/>
    <w:rsid w:val="001A48F4"/>
    <w:rsid w:val="001A4E7D"/>
    <w:rsid w:val="001A52D2"/>
    <w:rsid w:val="001A55BE"/>
    <w:rsid w:val="001A5624"/>
    <w:rsid w:val="001A59BC"/>
    <w:rsid w:val="001A5C0E"/>
    <w:rsid w:val="001A5C40"/>
    <w:rsid w:val="001A641F"/>
    <w:rsid w:val="001A66F2"/>
    <w:rsid w:val="001A6912"/>
    <w:rsid w:val="001A6ADC"/>
    <w:rsid w:val="001A6E8C"/>
    <w:rsid w:val="001A6EFE"/>
    <w:rsid w:val="001A6F6E"/>
    <w:rsid w:val="001A718C"/>
    <w:rsid w:val="001A71FB"/>
    <w:rsid w:val="001A72A6"/>
    <w:rsid w:val="001A7B48"/>
    <w:rsid w:val="001B0631"/>
    <w:rsid w:val="001B0DF8"/>
    <w:rsid w:val="001B10BB"/>
    <w:rsid w:val="001B1348"/>
    <w:rsid w:val="001B1550"/>
    <w:rsid w:val="001B163C"/>
    <w:rsid w:val="001B1667"/>
    <w:rsid w:val="001B2522"/>
    <w:rsid w:val="001B2928"/>
    <w:rsid w:val="001B2AAD"/>
    <w:rsid w:val="001B2B2D"/>
    <w:rsid w:val="001B2C1D"/>
    <w:rsid w:val="001B2E26"/>
    <w:rsid w:val="001B3A66"/>
    <w:rsid w:val="001B3B64"/>
    <w:rsid w:val="001B45F4"/>
    <w:rsid w:val="001B5330"/>
    <w:rsid w:val="001B55F0"/>
    <w:rsid w:val="001B5782"/>
    <w:rsid w:val="001B5884"/>
    <w:rsid w:val="001B5EA1"/>
    <w:rsid w:val="001B5F8D"/>
    <w:rsid w:val="001B6D5E"/>
    <w:rsid w:val="001B724E"/>
    <w:rsid w:val="001B7288"/>
    <w:rsid w:val="001B7619"/>
    <w:rsid w:val="001B7902"/>
    <w:rsid w:val="001B79BC"/>
    <w:rsid w:val="001B7B43"/>
    <w:rsid w:val="001C0FA7"/>
    <w:rsid w:val="001C120C"/>
    <w:rsid w:val="001C189F"/>
    <w:rsid w:val="001C1B5E"/>
    <w:rsid w:val="001C1E4A"/>
    <w:rsid w:val="001C21EF"/>
    <w:rsid w:val="001C233A"/>
    <w:rsid w:val="001C263E"/>
    <w:rsid w:val="001C26F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095"/>
    <w:rsid w:val="001C54DB"/>
    <w:rsid w:val="001C5983"/>
    <w:rsid w:val="001C6597"/>
    <w:rsid w:val="001C67C1"/>
    <w:rsid w:val="001C68C8"/>
    <w:rsid w:val="001C69E6"/>
    <w:rsid w:val="001C6CA3"/>
    <w:rsid w:val="001C73C9"/>
    <w:rsid w:val="001C773B"/>
    <w:rsid w:val="001C7752"/>
    <w:rsid w:val="001C7980"/>
    <w:rsid w:val="001D0000"/>
    <w:rsid w:val="001D09EF"/>
    <w:rsid w:val="001D0BB1"/>
    <w:rsid w:val="001D0F36"/>
    <w:rsid w:val="001D147E"/>
    <w:rsid w:val="001D23E0"/>
    <w:rsid w:val="001D27EC"/>
    <w:rsid w:val="001D297B"/>
    <w:rsid w:val="001D2C2F"/>
    <w:rsid w:val="001D2CEE"/>
    <w:rsid w:val="001D325B"/>
    <w:rsid w:val="001D337B"/>
    <w:rsid w:val="001D34FF"/>
    <w:rsid w:val="001D363E"/>
    <w:rsid w:val="001D3E95"/>
    <w:rsid w:val="001D3EEE"/>
    <w:rsid w:val="001D48FC"/>
    <w:rsid w:val="001D4A01"/>
    <w:rsid w:val="001D4A57"/>
    <w:rsid w:val="001D4B36"/>
    <w:rsid w:val="001D4D2D"/>
    <w:rsid w:val="001D5843"/>
    <w:rsid w:val="001D5A4B"/>
    <w:rsid w:val="001D5D52"/>
    <w:rsid w:val="001D61B8"/>
    <w:rsid w:val="001D7C41"/>
    <w:rsid w:val="001D7F16"/>
    <w:rsid w:val="001D7FD7"/>
    <w:rsid w:val="001E03C5"/>
    <w:rsid w:val="001E05F3"/>
    <w:rsid w:val="001E0B84"/>
    <w:rsid w:val="001E0D4E"/>
    <w:rsid w:val="001E0E87"/>
    <w:rsid w:val="001E0F3B"/>
    <w:rsid w:val="001E10D6"/>
    <w:rsid w:val="001E1A3F"/>
    <w:rsid w:val="001E2F97"/>
    <w:rsid w:val="001E36A8"/>
    <w:rsid w:val="001E3B37"/>
    <w:rsid w:val="001E42CB"/>
    <w:rsid w:val="001E481E"/>
    <w:rsid w:val="001E489E"/>
    <w:rsid w:val="001E4939"/>
    <w:rsid w:val="001E4F1C"/>
    <w:rsid w:val="001E5266"/>
    <w:rsid w:val="001E59F7"/>
    <w:rsid w:val="001E5B50"/>
    <w:rsid w:val="001E5B7D"/>
    <w:rsid w:val="001E5F19"/>
    <w:rsid w:val="001E6402"/>
    <w:rsid w:val="001E6580"/>
    <w:rsid w:val="001E6BC9"/>
    <w:rsid w:val="001E6E05"/>
    <w:rsid w:val="001E711E"/>
    <w:rsid w:val="001E71E5"/>
    <w:rsid w:val="001E75F1"/>
    <w:rsid w:val="001E77E1"/>
    <w:rsid w:val="001E7832"/>
    <w:rsid w:val="001E7C3B"/>
    <w:rsid w:val="001E7E17"/>
    <w:rsid w:val="001E7EE6"/>
    <w:rsid w:val="001F0933"/>
    <w:rsid w:val="001F0C49"/>
    <w:rsid w:val="001F1873"/>
    <w:rsid w:val="001F18EC"/>
    <w:rsid w:val="001F2180"/>
    <w:rsid w:val="001F2827"/>
    <w:rsid w:val="001F2A30"/>
    <w:rsid w:val="001F2EEE"/>
    <w:rsid w:val="001F37CE"/>
    <w:rsid w:val="001F461B"/>
    <w:rsid w:val="001F4DDB"/>
    <w:rsid w:val="001F5310"/>
    <w:rsid w:val="001F548F"/>
    <w:rsid w:val="001F58A7"/>
    <w:rsid w:val="001F5A13"/>
    <w:rsid w:val="001F5B57"/>
    <w:rsid w:val="001F6848"/>
    <w:rsid w:val="001F6A09"/>
    <w:rsid w:val="001F7027"/>
    <w:rsid w:val="001F7225"/>
    <w:rsid w:val="001F7272"/>
    <w:rsid w:val="001F747C"/>
    <w:rsid w:val="00200017"/>
    <w:rsid w:val="00200289"/>
    <w:rsid w:val="00200807"/>
    <w:rsid w:val="002010BA"/>
    <w:rsid w:val="002016A8"/>
    <w:rsid w:val="002019A7"/>
    <w:rsid w:val="002019F5"/>
    <w:rsid w:val="00202055"/>
    <w:rsid w:val="0020236F"/>
    <w:rsid w:val="002028D8"/>
    <w:rsid w:val="002029AA"/>
    <w:rsid w:val="00203617"/>
    <w:rsid w:val="00203BBE"/>
    <w:rsid w:val="00203C32"/>
    <w:rsid w:val="00203CF8"/>
    <w:rsid w:val="00203E24"/>
    <w:rsid w:val="00203F74"/>
    <w:rsid w:val="0020429B"/>
    <w:rsid w:val="002042F6"/>
    <w:rsid w:val="0020445E"/>
    <w:rsid w:val="002044F9"/>
    <w:rsid w:val="00204531"/>
    <w:rsid w:val="0020481E"/>
    <w:rsid w:val="002048F3"/>
    <w:rsid w:val="00204975"/>
    <w:rsid w:val="0020499A"/>
    <w:rsid w:val="002049D1"/>
    <w:rsid w:val="00204A83"/>
    <w:rsid w:val="00204BA8"/>
    <w:rsid w:val="00204C9B"/>
    <w:rsid w:val="0020515B"/>
    <w:rsid w:val="002052D9"/>
    <w:rsid w:val="0020530A"/>
    <w:rsid w:val="00205350"/>
    <w:rsid w:val="00205875"/>
    <w:rsid w:val="00205B09"/>
    <w:rsid w:val="00205B72"/>
    <w:rsid w:val="002063B8"/>
    <w:rsid w:val="00206428"/>
    <w:rsid w:val="00206636"/>
    <w:rsid w:val="002070BE"/>
    <w:rsid w:val="002072A0"/>
    <w:rsid w:val="0020757B"/>
    <w:rsid w:val="0021008C"/>
    <w:rsid w:val="002103AA"/>
    <w:rsid w:val="002104AF"/>
    <w:rsid w:val="002104FF"/>
    <w:rsid w:val="00210BE8"/>
    <w:rsid w:val="00210D8B"/>
    <w:rsid w:val="00210EF8"/>
    <w:rsid w:val="00211237"/>
    <w:rsid w:val="00211374"/>
    <w:rsid w:val="00211915"/>
    <w:rsid w:val="00211A5C"/>
    <w:rsid w:val="00211E9C"/>
    <w:rsid w:val="002124EE"/>
    <w:rsid w:val="00212832"/>
    <w:rsid w:val="00212FEC"/>
    <w:rsid w:val="00213D1B"/>
    <w:rsid w:val="002141D4"/>
    <w:rsid w:val="002142B6"/>
    <w:rsid w:val="0021453E"/>
    <w:rsid w:val="00214650"/>
    <w:rsid w:val="00214CA2"/>
    <w:rsid w:val="00214EA6"/>
    <w:rsid w:val="00214F37"/>
    <w:rsid w:val="002152B7"/>
    <w:rsid w:val="002155BC"/>
    <w:rsid w:val="0021582E"/>
    <w:rsid w:val="002168FA"/>
    <w:rsid w:val="0021693B"/>
    <w:rsid w:val="00216C90"/>
    <w:rsid w:val="00216D29"/>
    <w:rsid w:val="002173DE"/>
    <w:rsid w:val="002177C1"/>
    <w:rsid w:val="00217E2E"/>
    <w:rsid w:val="00217F91"/>
    <w:rsid w:val="002200C6"/>
    <w:rsid w:val="00220545"/>
    <w:rsid w:val="00220809"/>
    <w:rsid w:val="00220DE3"/>
    <w:rsid w:val="00221208"/>
    <w:rsid w:val="002212CB"/>
    <w:rsid w:val="00221472"/>
    <w:rsid w:val="00221C91"/>
    <w:rsid w:val="00222A53"/>
    <w:rsid w:val="00222B74"/>
    <w:rsid w:val="00222C1F"/>
    <w:rsid w:val="002231F6"/>
    <w:rsid w:val="00223A7B"/>
    <w:rsid w:val="00223CD3"/>
    <w:rsid w:val="00224058"/>
    <w:rsid w:val="00224078"/>
    <w:rsid w:val="002242AC"/>
    <w:rsid w:val="00224731"/>
    <w:rsid w:val="0022497C"/>
    <w:rsid w:val="00224BAA"/>
    <w:rsid w:val="00225028"/>
    <w:rsid w:val="002251FC"/>
    <w:rsid w:val="002252A2"/>
    <w:rsid w:val="0022549A"/>
    <w:rsid w:val="00225626"/>
    <w:rsid w:val="00225D76"/>
    <w:rsid w:val="00226179"/>
    <w:rsid w:val="00226E2B"/>
    <w:rsid w:val="002270FB"/>
    <w:rsid w:val="0022769C"/>
    <w:rsid w:val="002300A0"/>
    <w:rsid w:val="0023025C"/>
    <w:rsid w:val="002305D0"/>
    <w:rsid w:val="00231124"/>
    <w:rsid w:val="00231128"/>
    <w:rsid w:val="002316D5"/>
    <w:rsid w:val="00231792"/>
    <w:rsid w:val="00231AB4"/>
    <w:rsid w:val="00231CFC"/>
    <w:rsid w:val="002328B1"/>
    <w:rsid w:val="00232C0D"/>
    <w:rsid w:val="00232C79"/>
    <w:rsid w:val="002333D0"/>
    <w:rsid w:val="0023342D"/>
    <w:rsid w:val="00233478"/>
    <w:rsid w:val="0023374F"/>
    <w:rsid w:val="002338FD"/>
    <w:rsid w:val="00234300"/>
    <w:rsid w:val="002347E6"/>
    <w:rsid w:val="002347EF"/>
    <w:rsid w:val="00234964"/>
    <w:rsid w:val="002349CC"/>
    <w:rsid w:val="00234BF3"/>
    <w:rsid w:val="00234DE2"/>
    <w:rsid w:val="00235229"/>
    <w:rsid w:val="002355A2"/>
    <w:rsid w:val="00235C1F"/>
    <w:rsid w:val="00236222"/>
    <w:rsid w:val="00236373"/>
    <w:rsid w:val="002363F6"/>
    <w:rsid w:val="00236F4F"/>
    <w:rsid w:val="00237553"/>
    <w:rsid w:val="00237618"/>
    <w:rsid w:val="00237DDB"/>
    <w:rsid w:val="00237F51"/>
    <w:rsid w:val="00237F66"/>
    <w:rsid w:val="002402FD"/>
    <w:rsid w:val="002408DE"/>
    <w:rsid w:val="00240DA8"/>
    <w:rsid w:val="00240E70"/>
    <w:rsid w:val="00240F43"/>
    <w:rsid w:val="00241267"/>
    <w:rsid w:val="002418C5"/>
    <w:rsid w:val="00241FD7"/>
    <w:rsid w:val="00242B88"/>
    <w:rsid w:val="00242E67"/>
    <w:rsid w:val="00242E76"/>
    <w:rsid w:val="00242EB7"/>
    <w:rsid w:val="002435DA"/>
    <w:rsid w:val="002435F7"/>
    <w:rsid w:val="00243602"/>
    <w:rsid w:val="00243663"/>
    <w:rsid w:val="00244134"/>
    <w:rsid w:val="00244250"/>
    <w:rsid w:val="00244505"/>
    <w:rsid w:val="00244C8D"/>
    <w:rsid w:val="00245328"/>
    <w:rsid w:val="00245701"/>
    <w:rsid w:val="00245EEE"/>
    <w:rsid w:val="00245F96"/>
    <w:rsid w:val="00246810"/>
    <w:rsid w:val="00247190"/>
    <w:rsid w:val="002473C0"/>
    <w:rsid w:val="002474B9"/>
    <w:rsid w:val="0024765B"/>
    <w:rsid w:val="0024787A"/>
    <w:rsid w:val="002479FB"/>
    <w:rsid w:val="00247AAB"/>
    <w:rsid w:val="002501D6"/>
    <w:rsid w:val="00250290"/>
    <w:rsid w:val="002505DD"/>
    <w:rsid w:val="00250EBB"/>
    <w:rsid w:val="00250FA5"/>
    <w:rsid w:val="00251229"/>
    <w:rsid w:val="00251254"/>
    <w:rsid w:val="0025126D"/>
    <w:rsid w:val="002518E0"/>
    <w:rsid w:val="00251F4D"/>
    <w:rsid w:val="00251FBB"/>
    <w:rsid w:val="00252144"/>
    <w:rsid w:val="00252431"/>
    <w:rsid w:val="00252586"/>
    <w:rsid w:val="002532A4"/>
    <w:rsid w:val="00253348"/>
    <w:rsid w:val="00253406"/>
    <w:rsid w:val="00253599"/>
    <w:rsid w:val="00253B94"/>
    <w:rsid w:val="00253DE8"/>
    <w:rsid w:val="0025455E"/>
    <w:rsid w:val="002545FD"/>
    <w:rsid w:val="00255138"/>
    <w:rsid w:val="002553C0"/>
    <w:rsid w:val="0025544F"/>
    <w:rsid w:val="002554CB"/>
    <w:rsid w:val="00255985"/>
    <w:rsid w:val="00256D96"/>
    <w:rsid w:val="002574A3"/>
    <w:rsid w:val="00257622"/>
    <w:rsid w:val="002578D9"/>
    <w:rsid w:val="00257A5C"/>
    <w:rsid w:val="00257D54"/>
    <w:rsid w:val="00260429"/>
    <w:rsid w:val="002606E9"/>
    <w:rsid w:val="0026071B"/>
    <w:rsid w:val="00260D4E"/>
    <w:rsid w:val="00260D6F"/>
    <w:rsid w:val="00260F6E"/>
    <w:rsid w:val="00261362"/>
    <w:rsid w:val="00261528"/>
    <w:rsid w:val="00261A68"/>
    <w:rsid w:val="00261B67"/>
    <w:rsid w:val="00261B77"/>
    <w:rsid w:val="002620F3"/>
    <w:rsid w:val="0026293E"/>
    <w:rsid w:val="00262DFA"/>
    <w:rsid w:val="00263256"/>
    <w:rsid w:val="00263332"/>
    <w:rsid w:val="00263513"/>
    <w:rsid w:val="0026379F"/>
    <w:rsid w:val="0026387E"/>
    <w:rsid w:val="00263D57"/>
    <w:rsid w:val="00263D59"/>
    <w:rsid w:val="00264429"/>
    <w:rsid w:val="002644B6"/>
    <w:rsid w:val="00264704"/>
    <w:rsid w:val="00264777"/>
    <w:rsid w:val="002647EF"/>
    <w:rsid w:val="002652BE"/>
    <w:rsid w:val="002658A9"/>
    <w:rsid w:val="002658BE"/>
    <w:rsid w:val="00265A28"/>
    <w:rsid w:val="00265B00"/>
    <w:rsid w:val="00265C05"/>
    <w:rsid w:val="00265D78"/>
    <w:rsid w:val="002668EC"/>
    <w:rsid w:val="00266E9E"/>
    <w:rsid w:val="00267548"/>
    <w:rsid w:val="00267B78"/>
    <w:rsid w:val="00267CB8"/>
    <w:rsid w:val="00267D85"/>
    <w:rsid w:val="00267E93"/>
    <w:rsid w:val="00270690"/>
    <w:rsid w:val="00270832"/>
    <w:rsid w:val="002715A1"/>
    <w:rsid w:val="002716CA"/>
    <w:rsid w:val="002716F0"/>
    <w:rsid w:val="00271A00"/>
    <w:rsid w:val="00271E98"/>
    <w:rsid w:val="00272683"/>
    <w:rsid w:val="00272AF5"/>
    <w:rsid w:val="00273192"/>
    <w:rsid w:val="002738AD"/>
    <w:rsid w:val="00274B67"/>
    <w:rsid w:val="00274D85"/>
    <w:rsid w:val="00275324"/>
    <w:rsid w:val="0027537F"/>
    <w:rsid w:val="002758F5"/>
    <w:rsid w:val="002759C7"/>
    <w:rsid w:val="00275F25"/>
    <w:rsid w:val="0027620E"/>
    <w:rsid w:val="002768D8"/>
    <w:rsid w:val="00276E8E"/>
    <w:rsid w:val="00277732"/>
    <w:rsid w:val="002800EF"/>
    <w:rsid w:val="00280639"/>
    <w:rsid w:val="002806D0"/>
    <w:rsid w:val="00280CE7"/>
    <w:rsid w:val="00281659"/>
    <w:rsid w:val="00281CB8"/>
    <w:rsid w:val="00282123"/>
    <w:rsid w:val="002824DF"/>
    <w:rsid w:val="00282613"/>
    <w:rsid w:val="00283023"/>
    <w:rsid w:val="00283233"/>
    <w:rsid w:val="002833C5"/>
    <w:rsid w:val="0028347D"/>
    <w:rsid w:val="00283918"/>
    <w:rsid w:val="00283C63"/>
    <w:rsid w:val="00283D23"/>
    <w:rsid w:val="00283E62"/>
    <w:rsid w:val="00283F23"/>
    <w:rsid w:val="002844A6"/>
    <w:rsid w:val="002845B5"/>
    <w:rsid w:val="0028488A"/>
    <w:rsid w:val="002852EB"/>
    <w:rsid w:val="00285428"/>
    <w:rsid w:val="002855D0"/>
    <w:rsid w:val="002855D6"/>
    <w:rsid w:val="00285851"/>
    <w:rsid w:val="00285FBC"/>
    <w:rsid w:val="002866B9"/>
    <w:rsid w:val="00286ED6"/>
    <w:rsid w:val="00287204"/>
    <w:rsid w:val="002877F4"/>
    <w:rsid w:val="00287B7B"/>
    <w:rsid w:val="00287B7F"/>
    <w:rsid w:val="00287D17"/>
    <w:rsid w:val="0029048E"/>
    <w:rsid w:val="002904FA"/>
    <w:rsid w:val="00290A1C"/>
    <w:rsid w:val="002910EF"/>
    <w:rsid w:val="0029122A"/>
    <w:rsid w:val="002918B7"/>
    <w:rsid w:val="0029190A"/>
    <w:rsid w:val="00292079"/>
    <w:rsid w:val="00292B7A"/>
    <w:rsid w:val="00293B0F"/>
    <w:rsid w:val="00293CC9"/>
    <w:rsid w:val="00293E43"/>
    <w:rsid w:val="00294487"/>
    <w:rsid w:val="00294671"/>
    <w:rsid w:val="0029476B"/>
    <w:rsid w:val="00294B17"/>
    <w:rsid w:val="00295393"/>
    <w:rsid w:val="002958C9"/>
    <w:rsid w:val="00295E14"/>
    <w:rsid w:val="00296539"/>
    <w:rsid w:val="00296A1E"/>
    <w:rsid w:val="0029752F"/>
    <w:rsid w:val="00297AEF"/>
    <w:rsid w:val="002A0250"/>
    <w:rsid w:val="002A02C6"/>
    <w:rsid w:val="002A05FB"/>
    <w:rsid w:val="002A067D"/>
    <w:rsid w:val="002A07B0"/>
    <w:rsid w:val="002A08DB"/>
    <w:rsid w:val="002A0B9D"/>
    <w:rsid w:val="002A1009"/>
    <w:rsid w:val="002A17E3"/>
    <w:rsid w:val="002A1A23"/>
    <w:rsid w:val="002A1C2F"/>
    <w:rsid w:val="002A1C8D"/>
    <w:rsid w:val="002A1F64"/>
    <w:rsid w:val="002A22A5"/>
    <w:rsid w:val="002A2F94"/>
    <w:rsid w:val="002A305B"/>
    <w:rsid w:val="002A357B"/>
    <w:rsid w:val="002A3BEE"/>
    <w:rsid w:val="002A40E9"/>
    <w:rsid w:val="002A4FDF"/>
    <w:rsid w:val="002A5AA9"/>
    <w:rsid w:val="002A67D1"/>
    <w:rsid w:val="002A67D2"/>
    <w:rsid w:val="002A6A2D"/>
    <w:rsid w:val="002A6C16"/>
    <w:rsid w:val="002A70A8"/>
    <w:rsid w:val="002A7457"/>
    <w:rsid w:val="002A7737"/>
    <w:rsid w:val="002A77F8"/>
    <w:rsid w:val="002A7AC5"/>
    <w:rsid w:val="002A7F9D"/>
    <w:rsid w:val="002B0000"/>
    <w:rsid w:val="002B0008"/>
    <w:rsid w:val="002B003D"/>
    <w:rsid w:val="002B06EE"/>
    <w:rsid w:val="002B07D6"/>
    <w:rsid w:val="002B0A57"/>
    <w:rsid w:val="002B0DB2"/>
    <w:rsid w:val="002B1607"/>
    <w:rsid w:val="002B1C0B"/>
    <w:rsid w:val="002B1DA6"/>
    <w:rsid w:val="002B1F17"/>
    <w:rsid w:val="002B250C"/>
    <w:rsid w:val="002B3346"/>
    <w:rsid w:val="002B342D"/>
    <w:rsid w:val="002B34C5"/>
    <w:rsid w:val="002B35F8"/>
    <w:rsid w:val="002B3B4C"/>
    <w:rsid w:val="002B3B9E"/>
    <w:rsid w:val="002B3C6F"/>
    <w:rsid w:val="002B3EEE"/>
    <w:rsid w:val="002B426F"/>
    <w:rsid w:val="002B49DB"/>
    <w:rsid w:val="002B53CF"/>
    <w:rsid w:val="002B544C"/>
    <w:rsid w:val="002B598D"/>
    <w:rsid w:val="002B59D2"/>
    <w:rsid w:val="002B6554"/>
    <w:rsid w:val="002B6D88"/>
    <w:rsid w:val="002B72EA"/>
    <w:rsid w:val="002B74D4"/>
    <w:rsid w:val="002B7A96"/>
    <w:rsid w:val="002C0763"/>
    <w:rsid w:val="002C0C20"/>
    <w:rsid w:val="002C11E2"/>
    <w:rsid w:val="002C15AE"/>
    <w:rsid w:val="002C1C4F"/>
    <w:rsid w:val="002C25AD"/>
    <w:rsid w:val="002C2859"/>
    <w:rsid w:val="002C2B96"/>
    <w:rsid w:val="002C2CE1"/>
    <w:rsid w:val="002C2DBC"/>
    <w:rsid w:val="002C3360"/>
    <w:rsid w:val="002C3B08"/>
    <w:rsid w:val="002C3E4C"/>
    <w:rsid w:val="002C405B"/>
    <w:rsid w:val="002C420D"/>
    <w:rsid w:val="002C4601"/>
    <w:rsid w:val="002C4688"/>
    <w:rsid w:val="002C4B24"/>
    <w:rsid w:val="002C4B8A"/>
    <w:rsid w:val="002C5267"/>
    <w:rsid w:val="002C583B"/>
    <w:rsid w:val="002C585A"/>
    <w:rsid w:val="002C5E6A"/>
    <w:rsid w:val="002C622A"/>
    <w:rsid w:val="002C654D"/>
    <w:rsid w:val="002C6C92"/>
    <w:rsid w:val="002C715A"/>
    <w:rsid w:val="002C728D"/>
    <w:rsid w:val="002C765F"/>
    <w:rsid w:val="002C7AB6"/>
    <w:rsid w:val="002D002B"/>
    <w:rsid w:val="002D01E5"/>
    <w:rsid w:val="002D0382"/>
    <w:rsid w:val="002D0C9F"/>
    <w:rsid w:val="002D0E7A"/>
    <w:rsid w:val="002D1171"/>
    <w:rsid w:val="002D1645"/>
    <w:rsid w:val="002D1649"/>
    <w:rsid w:val="002D22FA"/>
    <w:rsid w:val="002D2E0C"/>
    <w:rsid w:val="002D3984"/>
    <w:rsid w:val="002D3CC6"/>
    <w:rsid w:val="002D4320"/>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6E31"/>
    <w:rsid w:val="002D71C7"/>
    <w:rsid w:val="002D736B"/>
    <w:rsid w:val="002D7555"/>
    <w:rsid w:val="002D7A10"/>
    <w:rsid w:val="002D7D23"/>
    <w:rsid w:val="002E00DA"/>
    <w:rsid w:val="002E0220"/>
    <w:rsid w:val="002E088D"/>
    <w:rsid w:val="002E0A71"/>
    <w:rsid w:val="002E1837"/>
    <w:rsid w:val="002E1AFB"/>
    <w:rsid w:val="002E2F4A"/>
    <w:rsid w:val="002E3100"/>
    <w:rsid w:val="002E3344"/>
    <w:rsid w:val="002E3626"/>
    <w:rsid w:val="002E3B40"/>
    <w:rsid w:val="002E3DC8"/>
    <w:rsid w:val="002E42C4"/>
    <w:rsid w:val="002E4467"/>
    <w:rsid w:val="002E4D11"/>
    <w:rsid w:val="002E4EE7"/>
    <w:rsid w:val="002E5176"/>
    <w:rsid w:val="002E6361"/>
    <w:rsid w:val="002E6C0E"/>
    <w:rsid w:val="002E719D"/>
    <w:rsid w:val="002E71CE"/>
    <w:rsid w:val="002E73A8"/>
    <w:rsid w:val="002E75BB"/>
    <w:rsid w:val="002E762D"/>
    <w:rsid w:val="002F0065"/>
    <w:rsid w:val="002F021B"/>
    <w:rsid w:val="002F095E"/>
    <w:rsid w:val="002F0C48"/>
    <w:rsid w:val="002F1159"/>
    <w:rsid w:val="002F1D45"/>
    <w:rsid w:val="002F2165"/>
    <w:rsid w:val="002F2575"/>
    <w:rsid w:val="002F2688"/>
    <w:rsid w:val="002F27DC"/>
    <w:rsid w:val="002F434B"/>
    <w:rsid w:val="002F44A3"/>
    <w:rsid w:val="002F46BC"/>
    <w:rsid w:val="002F4906"/>
    <w:rsid w:val="002F50C8"/>
    <w:rsid w:val="002F510C"/>
    <w:rsid w:val="002F5457"/>
    <w:rsid w:val="002F57BD"/>
    <w:rsid w:val="002F63D1"/>
    <w:rsid w:val="002F63F0"/>
    <w:rsid w:val="002F6791"/>
    <w:rsid w:val="002F6D2A"/>
    <w:rsid w:val="002F6D71"/>
    <w:rsid w:val="002F7362"/>
    <w:rsid w:val="002F756A"/>
    <w:rsid w:val="002F7E7D"/>
    <w:rsid w:val="00300145"/>
    <w:rsid w:val="00300250"/>
    <w:rsid w:val="003006CD"/>
    <w:rsid w:val="0030077A"/>
    <w:rsid w:val="00300AD0"/>
    <w:rsid w:val="00300CA5"/>
    <w:rsid w:val="00300D64"/>
    <w:rsid w:val="00301019"/>
    <w:rsid w:val="0030103B"/>
    <w:rsid w:val="0030134E"/>
    <w:rsid w:val="00301486"/>
    <w:rsid w:val="00301934"/>
    <w:rsid w:val="00301C1C"/>
    <w:rsid w:val="00301DCF"/>
    <w:rsid w:val="00301DD5"/>
    <w:rsid w:val="003021F9"/>
    <w:rsid w:val="00302263"/>
    <w:rsid w:val="003027BB"/>
    <w:rsid w:val="00302D28"/>
    <w:rsid w:val="00302E5E"/>
    <w:rsid w:val="003038A3"/>
    <w:rsid w:val="00304376"/>
    <w:rsid w:val="003046AA"/>
    <w:rsid w:val="0030486A"/>
    <w:rsid w:val="00304DDB"/>
    <w:rsid w:val="00305595"/>
    <w:rsid w:val="00305F26"/>
    <w:rsid w:val="00307076"/>
    <w:rsid w:val="003070FD"/>
    <w:rsid w:val="00310195"/>
    <w:rsid w:val="00310551"/>
    <w:rsid w:val="00310EA3"/>
    <w:rsid w:val="00310F27"/>
    <w:rsid w:val="00310F6C"/>
    <w:rsid w:val="00311177"/>
    <w:rsid w:val="00311198"/>
    <w:rsid w:val="00311BA6"/>
    <w:rsid w:val="00311D30"/>
    <w:rsid w:val="00311F38"/>
    <w:rsid w:val="00312447"/>
    <w:rsid w:val="00312AE9"/>
    <w:rsid w:val="00312EA3"/>
    <w:rsid w:val="00312FA7"/>
    <w:rsid w:val="00313022"/>
    <w:rsid w:val="0031307D"/>
    <w:rsid w:val="003134E9"/>
    <w:rsid w:val="00313518"/>
    <w:rsid w:val="00313954"/>
    <w:rsid w:val="00314305"/>
    <w:rsid w:val="00314845"/>
    <w:rsid w:val="0031500A"/>
    <w:rsid w:val="00315192"/>
    <w:rsid w:val="003154A9"/>
    <w:rsid w:val="00316392"/>
    <w:rsid w:val="003167ED"/>
    <w:rsid w:val="00316F81"/>
    <w:rsid w:val="00316FEC"/>
    <w:rsid w:val="0031714F"/>
    <w:rsid w:val="003173DF"/>
    <w:rsid w:val="00317B97"/>
    <w:rsid w:val="00317F62"/>
    <w:rsid w:val="003201F8"/>
    <w:rsid w:val="0032050F"/>
    <w:rsid w:val="00320544"/>
    <w:rsid w:val="00320B13"/>
    <w:rsid w:val="0032125A"/>
    <w:rsid w:val="00321D34"/>
    <w:rsid w:val="00321E51"/>
    <w:rsid w:val="00322151"/>
    <w:rsid w:val="00322A70"/>
    <w:rsid w:val="00322AED"/>
    <w:rsid w:val="00322E72"/>
    <w:rsid w:val="00322ED5"/>
    <w:rsid w:val="003230A5"/>
    <w:rsid w:val="00323148"/>
    <w:rsid w:val="00323698"/>
    <w:rsid w:val="00323FFC"/>
    <w:rsid w:val="0032411E"/>
    <w:rsid w:val="00324267"/>
    <w:rsid w:val="003253C6"/>
    <w:rsid w:val="003254E6"/>
    <w:rsid w:val="003263D4"/>
    <w:rsid w:val="00326761"/>
    <w:rsid w:val="00326CFB"/>
    <w:rsid w:val="00326F8D"/>
    <w:rsid w:val="00327ADC"/>
    <w:rsid w:val="00327BEA"/>
    <w:rsid w:val="003301E3"/>
    <w:rsid w:val="00330478"/>
    <w:rsid w:val="00330782"/>
    <w:rsid w:val="00330A95"/>
    <w:rsid w:val="003310BB"/>
    <w:rsid w:val="0033127D"/>
    <w:rsid w:val="0033146B"/>
    <w:rsid w:val="0033162E"/>
    <w:rsid w:val="003317B8"/>
    <w:rsid w:val="003317C9"/>
    <w:rsid w:val="00331CAE"/>
    <w:rsid w:val="00332085"/>
    <w:rsid w:val="0033284A"/>
    <w:rsid w:val="00332D9D"/>
    <w:rsid w:val="00333109"/>
    <w:rsid w:val="00333666"/>
    <w:rsid w:val="00333EA3"/>
    <w:rsid w:val="00334923"/>
    <w:rsid w:val="00334DA8"/>
    <w:rsid w:val="00334F21"/>
    <w:rsid w:val="003352A0"/>
    <w:rsid w:val="00335526"/>
    <w:rsid w:val="00335576"/>
    <w:rsid w:val="00335FDA"/>
    <w:rsid w:val="003361A1"/>
    <w:rsid w:val="003361AE"/>
    <w:rsid w:val="0033626E"/>
    <w:rsid w:val="003369A0"/>
    <w:rsid w:val="00336A6A"/>
    <w:rsid w:val="00336BA0"/>
    <w:rsid w:val="00337368"/>
    <w:rsid w:val="00337410"/>
    <w:rsid w:val="003374C9"/>
    <w:rsid w:val="00337508"/>
    <w:rsid w:val="00337846"/>
    <w:rsid w:val="00337AFC"/>
    <w:rsid w:val="0034024F"/>
    <w:rsid w:val="0034040C"/>
    <w:rsid w:val="00340576"/>
    <w:rsid w:val="003408C0"/>
    <w:rsid w:val="00340D7E"/>
    <w:rsid w:val="003411C0"/>
    <w:rsid w:val="00341D94"/>
    <w:rsid w:val="00343451"/>
    <w:rsid w:val="00343835"/>
    <w:rsid w:val="00343D33"/>
    <w:rsid w:val="00344FC2"/>
    <w:rsid w:val="003459AF"/>
    <w:rsid w:val="00346046"/>
    <w:rsid w:val="003466EF"/>
    <w:rsid w:val="0034670F"/>
    <w:rsid w:val="00346ABF"/>
    <w:rsid w:val="00347748"/>
    <w:rsid w:val="003479AB"/>
    <w:rsid w:val="00347D27"/>
    <w:rsid w:val="00347DC8"/>
    <w:rsid w:val="00347DD6"/>
    <w:rsid w:val="00347E79"/>
    <w:rsid w:val="00347F5E"/>
    <w:rsid w:val="00350410"/>
    <w:rsid w:val="00350E11"/>
    <w:rsid w:val="00351549"/>
    <w:rsid w:val="00352116"/>
    <w:rsid w:val="00352191"/>
    <w:rsid w:val="003522FB"/>
    <w:rsid w:val="00352302"/>
    <w:rsid w:val="003526E7"/>
    <w:rsid w:val="0035294B"/>
    <w:rsid w:val="00353063"/>
    <w:rsid w:val="00353553"/>
    <w:rsid w:val="00353931"/>
    <w:rsid w:val="00353FBE"/>
    <w:rsid w:val="003546BA"/>
    <w:rsid w:val="00354865"/>
    <w:rsid w:val="003550EB"/>
    <w:rsid w:val="00355171"/>
    <w:rsid w:val="003556DC"/>
    <w:rsid w:val="0035585B"/>
    <w:rsid w:val="00355C11"/>
    <w:rsid w:val="00356C0A"/>
    <w:rsid w:val="00356CB6"/>
    <w:rsid w:val="00356E44"/>
    <w:rsid w:val="003573A9"/>
    <w:rsid w:val="00357426"/>
    <w:rsid w:val="003600C5"/>
    <w:rsid w:val="003600E1"/>
    <w:rsid w:val="00360540"/>
    <w:rsid w:val="003608BE"/>
    <w:rsid w:val="003609D4"/>
    <w:rsid w:val="00360CC4"/>
    <w:rsid w:val="00360CE1"/>
    <w:rsid w:val="00360D35"/>
    <w:rsid w:val="00360DD5"/>
    <w:rsid w:val="00360EB9"/>
    <w:rsid w:val="00361671"/>
    <w:rsid w:val="00361ADC"/>
    <w:rsid w:val="00362407"/>
    <w:rsid w:val="003624F9"/>
    <w:rsid w:val="00362E53"/>
    <w:rsid w:val="00362F66"/>
    <w:rsid w:val="00363200"/>
    <w:rsid w:val="00363367"/>
    <w:rsid w:val="0036336C"/>
    <w:rsid w:val="00363404"/>
    <w:rsid w:val="0036365A"/>
    <w:rsid w:val="00363774"/>
    <w:rsid w:val="00363D01"/>
    <w:rsid w:val="0036543A"/>
    <w:rsid w:val="0036568A"/>
    <w:rsid w:val="003656CA"/>
    <w:rsid w:val="00367010"/>
    <w:rsid w:val="00367965"/>
    <w:rsid w:val="00367BD9"/>
    <w:rsid w:val="00367BFD"/>
    <w:rsid w:val="003701B3"/>
    <w:rsid w:val="00370303"/>
    <w:rsid w:val="0037053A"/>
    <w:rsid w:val="003709A3"/>
    <w:rsid w:val="003714BE"/>
    <w:rsid w:val="00371842"/>
    <w:rsid w:val="00371F6E"/>
    <w:rsid w:val="0037243A"/>
    <w:rsid w:val="00372BBD"/>
    <w:rsid w:val="00372D83"/>
    <w:rsid w:val="00373605"/>
    <w:rsid w:val="00373A79"/>
    <w:rsid w:val="00373B27"/>
    <w:rsid w:val="00373F13"/>
    <w:rsid w:val="00374008"/>
    <w:rsid w:val="0037445E"/>
    <w:rsid w:val="003744A4"/>
    <w:rsid w:val="0037456F"/>
    <w:rsid w:val="00374BBB"/>
    <w:rsid w:val="00374C94"/>
    <w:rsid w:val="00374CD0"/>
    <w:rsid w:val="00374F9B"/>
    <w:rsid w:val="00375009"/>
    <w:rsid w:val="003751F1"/>
    <w:rsid w:val="00376206"/>
    <w:rsid w:val="00376280"/>
    <w:rsid w:val="00376305"/>
    <w:rsid w:val="00376508"/>
    <w:rsid w:val="003771DF"/>
    <w:rsid w:val="00377313"/>
    <w:rsid w:val="003774BA"/>
    <w:rsid w:val="00377C7E"/>
    <w:rsid w:val="00377E40"/>
    <w:rsid w:val="0038012B"/>
    <w:rsid w:val="00380992"/>
    <w:rsid w:val="00381D4B"/>
    <w:rsid w:val="003825FA"/>
    <w:rsid w:val="003826C7"/>
    <w:rsid w:val="003828B3"/>
    <w:rsid w:val="003828B6"/>
    <w:rsid w:val="00382AA1"/>
    <w:rsid w:val="0038376A"/>
    <w:rsid w:val="003838B3"/>
    <w:rsid w:val="0038410B"/>
    <w:rsid w:val="003844A8"/>
    <w:rsid w:val="003848E7"/>
    <w:rsid w:val="00384D60"/>
    <w:rsid w:val="0038538E"/>
    <w:rsid w:val="00385644"/>
    <w:rsid w:val="0038596E"/>
    <w:rsid w:val="00386929"/>
    <w:rsid w:val="00386AF1"/>
    <w:rsid w:val="00386BF8"/>
    <w:rsid w:val="00386C9C"/>
    <w:rsid w:val="003871E1"/>
    <w:rsid w:val="003877C1"/>
    <w:rsid w:val="003879C3"/>
    <w:rsid w:val="00387EEE"/>
    <w:rsid w:val="00390290"/>
    <w:rsid w:val="0039062A"/>
    <w:rsid w:val="00390878"/>
    <w:rsid w:val="00390B13"/>
    <w:rsid w:val="00390E4E"/>
    <w:rsid w:val="00391025"/>
    <w:rsid w:val="003910F8"/>
    <w:rsid w:val="0039207A"/>
    <w:rsid w:val="0039215D"/>
    <w:rsid w:val="003925E0"/>
    <w:rsid w:val="00392610"/>
    <w:rsid w:val="00392841"/>
    <w:rsid w:val="003929D8"/>
    <w:rsid w:val="0039337F"/>
    <w:rsid w:val="00393BD5"/>
    <w:rsid w:val="003949A7"/>
    <w:rsid w:val="00394BDF"/>
    <w:rsid w:val="00394E1B"/>
    <w:rsid w:val="00394E74"/>
    <w:rsid w:val="00395314"/>
    <w:rsid w:val="0039548B"/>
    <w:rsid w:val="003955DE"/>
    <w:rsid w:val="0039577D"/>
    <w:rsid w:val="00395D53"/>
    <w:rsid w:val="003964D0"/>
    <w:rsid w:val="003967E5"/>
    <w:rsid w:val="00396BC2"/>
    <w:rsid w:val="003974CD"/>
    <w:rsid w:val="00397C9E"/>
    <w:rsid w:val="003A19C7"/>
    <w:rsid w:val="003A1B00"/>
    <w:rsid w:val="003A1CFE"/>
    <w:rsid w:val="003A221F"/>
    <w:rsid w:val="003A243B"/>
    <w:rsid w:val="003A2B87"/>
    <w:rsid w:val="003A2DFE"/>
    <w:rsid w:val="003A35B1"/>
    <w:rsid w:val="003A35EB"/>
    <w:rsid w:val="003A3766"/>
    <w:rsid w:val="003A39A5"/>
    <w:rsid w:val="003A3B1E"/>
    <w:rsid w:val="003A3F9D"/>
    <w:rsid w:val="003A4E32"/>
    <w:rsid w:val="003A4E8F"/>
    <w:rsid w:val="003A5254"/>
    <w:rsid w:val="003A5552"/>
    <w:rsid w:val="003A57E0"/>
    <w:rsid w:val="003A6431"/>
    <w:rsid w:val="003A663E"/>
    <w:rsid w:val="003A6B26"/>
    <w:rsid w:val="003A6CC5"/>
    <w:rsid w:val="003A73BA"/>
    <w:rsid w:val="003A7669"/>
    <w:rsid w:val="003A7C39"/>
    <w:rsid w:val="003A7D45"/>
    <w:rsid w:val="003A7EA8"/>
    <w:rsid w:val="003B04CA"/>
    <w:rsid w:val="003B0C26"/>
    <w:rsid w:val="003B0FB8"/>
    <w:rsid w:val="003B1753"/>
    <w:rsid w:val="003B1A44"/>
    <w:rsid w:val="003B1AA5"/>
    <w:rsid w:val="003B22B3"/>
    <w:rsid w:val="003B22E3"/>
    <w:rsid w:val="003B236A"/>
    <w:rsid w:val="003B2D8F"/>
    <w:rsid w:val="003B3666"/>
    <w:rsid w:val="003B44FD"/>
    <w:rsid w:val="003B47AE"/>
    <w:rsid w:val="003B4BD7"/>
    <w:rsid w:val="003B4E57"/>
    <w:rsid w:val="003B4E85"/>
    <w:rsid w:val="003B4FEA"/>
    <w:rsid w:val="003B53B4"/>
    <w:rsid w:val="003B560C"/>
    <w:rsid w:val="003B5A78"/>
    <w:rsid w:val="003B5CCE"/>
    <w:rsid w:val="003B5F5E"/>
    <w:rsid w:val="003B6698"/>
    <w:rsid w:val="003B66FF"/>
    <w:rsid w:val="003B677D"/>
    <w:rsid w:val="003B70C5"/>
    <w:rsid w:val="003B767C"/>
    <w:rsid w:val="003B796A"/>
    <w:rsid w:val="003B7B7C"/>
    <w:rsid w:val="003B7DD4"/>
    <w:rsid w:val="003B7E0B"/>
    <w:rsid w:val="003C0150"/>
    <w:rsid w:val="003C0640"/>
    <w:rsid w:val="003C0FA7"/>
    <w:rsid w:val="003C1342"/>
    <w:rsid w:val="003C14E5"/>
    <w:rsid w:val="003C1DBC"/>
    <w:rsid w:val="003C2367"/>
    <w:rsid w:val="003C25EF"/>
    <w:rsid w:val="003C26DE"/>
    <w:rsid w:val="003C2839"/>
    <w:rsid w:val="003C2950"/>
    <w:rsid w:val="003C29A0"/>
    <w:rsid w:val="003C2ADA"/>
    <w:rsid w:val="003C2E58"/>
    <w:rsid w:val="003C38B6"/>
    <w:rsid w:val="003C395B"/>
    <w:rsid w:val="003C3F6E"/>
    <w:rsid w:val="003C4324"/>
    <w:rsid w:val="003C4417"/>
    <w:rsid w:val="003C44CF"/>
    <w:rsid w:val="003C4A5A"/>
    <w:rsid w:val="003C4AD0"/>
    <w:rsid w:val="003C5116"/>
    <w:rsid w:val="003C5813"/>
    <w:rsid w:val="003C5E53"/>
    <w:rsid w:val="003C5FA7"/>
    <w:rsid w:val="003C5FAD"/>
    <w:rsid w:val="003C64E5"/>
    <w:rsid w:val="003C661E"/>
    <w:rsid w:val="003C667D"/>
    <w:rsid w:val="003C68A3"/>
    <w:rsid w:val="003C6C21"/>
    <w:rsid w:val="003C6EA8"/>
    <w:rsid w:val="003C721A"/>
    <w:rsid w:val="003C7535"/>
    <w:rsid w:val="003C78E0"/>
    <w:rsid w:val="003D0133"/>
    <w:rsid w:val="003D016B"/>
    <w:rsid w:val="003D018E"/>
    <w:rsid w:val="003D0291"/>
    <w:rsid w:val="003D0381"/>
    <w:rsid w:val="003D0638"/>
    <w:rsid w:val="003D0697"/>
    <w:rsid w:val="003D08F7"/>
    <w:rsid w:val="003D2130"/>
    <w:rsid w:val="003D2446"/>
    <w:rsid w:val="003D32DF"/>
    <w:rsid w:val="003D39DA"/>
    <w:rsid w:val="003D3A89"/>
    <w:rsid w:val="003D3AC5"/>
    <w:rsid w:val="003D3C24"/>
    <w:rsid w:val="003D3E00"/>
    <w:rsid w:val="003D3F00"/>
    <w:rsid w:val="003D3F28"/>
    <w:rsid w:val="003D4389"/>
    <w:rsid w:val="003D4511"/>
    <w:rsid w:val="003D45CC"/>
    <w:rsid w:val="003D4772"/>
    <w:rsid w:val="003D486E"/>
    <w:rsid w:val="003D4EC1"/>
    <w:rsid w:val="003D55B4"/>
    <w:rsid w:val="003D590A"/>
    <w:rsid w:val="003D5D1D"/>
    <w:rsid w:val="003D5D83"/>
    <w:rsid w:val="003D6339"/>
    <w:rsid w:val="003D6427"/>
    <w:rsid w:val="003D6D9A"/>
    <w:rsid w:val="003D6FC1"/>
    <w:rsid w:val="003D7099"/>
    <w:rsid w:val="003D73C3"/>
    <w:rsid w:val="003D7510"/>
    <w:rsid w:val="003D752A"/>
    <w:rsid w:val="003D75FF"/>
    <w:rsid w:val="003D761E"/>
    <w:rsid w:val="003E04FD"/>
    <w:rsid w:val="003E13B6"/>
    <w:rsid w:val="003E13D4"/>
    <w:rsid w:val="003E1AA1"/>
    <w:rsid w:val="003E1F6D"/>
    <w:rsid w:val="003E2316"/>
    <w:rsid w:val="003E2749"/>
    <w:rsid w:val="003E2EE8"/>
    <w:rsid w:val="003E31F8"/>
    <w:rsid w:val="003E330E"/>
    <w:rsid w:val="003E3BF9"/>
    <w:rsid w:val="003E3C9B"/>
    <w:rsid w:val="003E3EDA"/>
    <w:rsid w:val="003E40DF"/>
    <w:rsid w:val="003E43AC"/>
    <w:rsid w:val="003E459C"/>
    <w:rsid w:val="003E4D3F"/>
    <w:rsid w:val="003E517A"/>
    <w:rsid w:val="003E51E3"/>
    <w:rsid w:val="003E5241"/>
    <w:rsid w:val="003E528A"/>
    <w:rsid w:val="003E53EB"/>
    <w:rsid w:val="003E5408"/>
    <w:rsid w:val="003E586C"/>
    <w:rsid w:val="003E5CDC"/>
    <w:rsid w:val="003E5DFF"/>
    <w:rsid w:val="003E5E2E"/>
    <w:rsid w:val="003E5EA3"/>
    <w:rsid w:val="003E6079"/>
    <w:rsid w:val="003E6091"/>
    <w:rsid w:val="003E631D"/>
    <w:rsid w:val="003E6360"/>
    <w:rsid w:val="003E6C92"/>
    <w:rsid w:val="003E6E06"/>
    <w:rsid w:val="003E6E31"/>
    <w:rsid w:val="003E6FCA"/>
    <w:rsid w:val="003E7334"/>
    <w:rsid w:val="003E763F"/>
    <w:rsid w:val="003E7982"/>
    <w:rsid w:val="003E79A6"/>
    <w:rsid w:val="003F057A"/>
    <w:rsid w:val="003F0B8A"/>
    <w:rsid w:val="003F0C5E"/>
    <w:rsid w:val="003F0D07"/>
    <w:rsid w:val="003F1094"/>
    <w:rsid w:val="003F1134"/>
    <w:rsid w:val="003F1173"/>
    <w:rsid w:val="003F174C"/>
    <w:rsid w:val="003F277D"/>
    <w:rsid w:val="003F27F5"/>
    <w:rsid w:val="003F29A4"/>
    <w:rsid w:val="003F2ED0"/>
    <w:rsid w:val="003F345D"/>
    <w:rsid w:val="003F377E"/>
    <w:rsid w:val="003F3CE9"/>
    <w:rsid w:val="003F4BC9"/>
    <w:rsid w:val="003F4BD0"/>
    <w:rsid w:val="003F4C9B"/>
    <w:rsid w:val="003F4CBE"/>
    <w:rsid w:val="003F62E7"/>
    <w:rsid w:val="003F6321"/>
    <w:rsid w:val="003F6D8A"/>
    <w:rsid w:val="003F7467"/>
    <w:rsid w:val="003F7ADD"/>
    <w:rsid w:val="003F7CD2"/>
    <w:rsid w:val="003F7E20"/>
    <w:rsid w:val="0040001D"/>
    <w:rsid w:val="00400366"/>
    <w:rsid w:val="00400B42"/>
    <w:rsid w:val="00401931"/>
    <w:rsid w:val="004023F7"/>
    <w:rsid w:val="00402606"/>
    <w:rsid w:val="0040296A"/>
    <w:rsid w:val="00402B0F"/>
    <w:rsid w:val="00403969"/>
    <w:rsid w:val="00403C02"/>
    <w:rsid w:val="004040D3"/>
    <w:rsid w:val="004043EB"/>
    <w:rsid w:val="00404E54"/>
    <w:rsid w:val="00405A93"/>
    <w:rsid w:val="00405B9F"/>
    <w:rsid w:val="00405D0E"/>
    <w:rsid w:val="00406608"/>
    <w:rsid w:val="00406717"/>
    <w:rsid w:val="004067B2"/>
    <w:rsid w:val="00406938"/>
    <w:rsid w:val="00406B97"/>
    <w:rsid w:val="00406D40"/>
    <w:rsid w:val="004075A6"/>
    <w:rsid w:val="004108A2"/>
    <w:rsid w:val="00411A6A"/>
    <w:rsid w:val="00411AB4"/>
    <w:rsid w:val="00411D5C"/>
    <w:rsid w:val="0041225B"/>
    <w:rsid w:val="0041232A"/>
    <w:rsid w:val="00412CAC"/>
    <w:rsid w:val="00412DB1"/>
    <w:rsid w:val="0041321F"/>
    <w:rsid w:val="004134FA"/>
    <w:rsid w:val="004137EA"/>
    <w:rsid w:val="00413A79"/>
    <w:rsid w:val="00413FDF"/>
    <w:rsid w:val="004140CD"/>
    <w:rsid w:val="00414366"/>
    <w:rsid w:val="004149CF"/>
    <w:rsid w:val="00414A6D"/>
    <w:rsid w:val="00414DE9"/>
    <w:rsid w:val="00414E8A"/>
    <w:rsid w:val="004152CA"/>
    <w:rsid w:val="0041548D"/>
    <w:rsid w:val="004156B1"/>
    <w:rsid w:val="00416869"/>
    <w:rsid w:val="00417203"/>
    <w:rsid w:val="004172E4"/>
    <w:rsid w:val="004173BD"/>
    <w:rsid w:val="004173BF"/>
    <w:rsid w:val="00417C7C"/>
    <w:rsid w:val="00417E1A"/>
    <w:rsid w:val="004201C4"/>
    <w:rsid w:val="004201E8"/>
    <w:rsid w:val="00420583"/>
    <w:rsid w:val="00420722"/>
    <w:rsid w:val="00420BFE"/>
    <w:rsid w:val="00421051"/>
    <w:rsid w:val="0042114B"/>
    <w:rsid w:val="00421203"/>
    <w:rsid w:val="00421250"/>
    <w:rsid w:val="00421423"/>
    <w:rsid w:val="00421476"/>
    <w:rsid w:val="00421818"/>
    <w:rsid w:val="00421888"/>
    <w:rsid w:val="00421BFE"/>
    <w:rsid w:val="004220F5"/>
    <w:rsid w:val="00422151"/>
    <w:rsid w:val="004229D9"/>
    <w:rsid w:val="00422BAC"/>
    <w:rsid w:val="0042318F"/>
    <w:rsid w:val="00423590"/>
    <w:rsid w:val="00423B8A"/>
    <w:rsid w:val="00423FDC"/>
    <w:rsid w:val="004243F5"/>
    <w:rsid w:val="00425106"/>
    <w:rsid w:val="004251BE"/>
    <w:rsid w:val="00425272"/>
    <w:rsid w:val="00425581"/>
    <w:rsid w:val="00425599"/>
    <w:rsid w:val="00425955"/>
    <w:rsid w:val="00425B4C"/>
    <w:rsid w:val="00425CE4"/>
    <w:rsid w:val="00425E88"/>
    <w:rsid w:val="00425E96"/>
    <w:rsid w:val="00425E9D"/>
    <w:rsid w:val="00426343"/>
    <w:rsid w:val="0042673E"/>
    <w:rsid w:val="00426838"/>
    <w:rsid w:val="004268F2"/>
    <w:rsid w:val="00426ABE"/>
    <w:rsid w:val="00426B47"/>
    <w:rsid w:val="0042773C"/>
    <w:rsid w:val="00427D13"/>
    <w:rsid w:val="0043000B"/>
    <w:rsid w:val="0043031B"/>
    <w:rsid w:val="004309DB"/>
    <w:rsid w:val="00430AE1"/>
    <w:rsid w:val="00430B38"/>
    <w:rsid w:val="00430D3D"/>
    <w:rsid w:val="00430FDB"/>
    <w:rsid w:val="00431225"/>
    <w:rsid w:val="00431392"/>
    <w:rsid w:val="004313D9"/>
    <w:rsid w:val="004318E9"/>
    <w:rsid w:val="00431A10"/>
    <w:rsid w:val="00432012"/>
    <w:rsid w:val="00432534"/>
    <w:rsid w:val="0043284B"/>
    <w:rsid w:val="00432DF4"/>
    <w:rsid w:val="00432E24"/>
    <w:rsid w:val="00433A2E"/>
    <w:rsid w:val="00433B06"/>
    <w:rsid w:val="00433BFC"/>
    <w:rsid w:val="00433E7A"/>
    <w:rsid w:val="00433EB9"/>
    <w:rsid w:val="00434BE0"/>
    <w:rsid w:val="00434D0B"/>
    <w:rsid w:val="00434FFC"/>
    <w:rsid w:val="00435291"/>
    <w:rsid w:val="00435950"/>
    <w:rsid w:val="00435A10"/>
    <w:rsid w:val="00435A66"/>
    <w:rsid w:val="00435D04"/>
    <w:rsid w:val="0043624E"/>
    <w:rsid w:val="00436292"/>
    <w:rsid w:val="0043632F"/>
    <w:rsid w:val="00436678"/>
    <w:rsid w:val="00436B04"/>
    <w:rsid w:val="00436B25"/>
    <w:rsid w:val="00436B4D"/>
    <w:rsid w:val="00436B5E"/>
    <w:rsid w:val="0043730D"/>
    <w:rsid w:val="00437379"/>
    <w:rsid w:val="0043758C"/>
    <w:rsid w:val="00437E8B"/>
    <w:rsid w:val="00437EDA"/>
    <w:rsid w:val="0044022F"/>
    <w:rsid w:val="00440253"/>
    <w:rsid w:val="00440274"/>
    <w:rsid w:val="00440AE9"/>
    <w:rsid w:val="00440B1E"/>
    <w:rsid w:val="00440CAA"/>
    <w:rsid w:val="004412C5"/>
    <w:rsid w:val="0044181F"/>
    <w:rsid w:val="00441B1F"/>
    <w:rsid w:val="00441B90"/>
    <w:rsid w:val="00441C10"/>
    <w:rsid w:val="00441FA7"/>
    <w:rsid w:val="004420F1"/>
    <w:rsid w:val="004428C1"/>
    <w:rsid w:val="00442BD8"/>
    <w:rsid w:val="00442E73"/>
    <w:rsid w:val="00442F76"/>
    <w:rsid w:val="00443252"/>
    <w:rsid w:val="00443384"/>
    <w:rsid w:val="00443ED2"/>
    <w:rsid w:val="0044459F"/>
    <w:rsid w:val="0044469B"/>
    <w:rsid w:val="00444C12"/>
    <w:rsid w:val="00444F1F"/>
    <w:rsid w:val="00445466"/>
    <w:rsid w:val="004459DC"/>
    <w:rsid w:val="00446652"/>
    <w:rsid w:val="004468A6"/>
    <w:rsid w:val="00446B17"/>
    <w:rsid w:val="0044715C"/>
    <w:rsid w:val="0044749C"/>
    <w:rsid w:val="004474DC"/>
    <w:rsid w:val="00447567"/>
    <w:rsid w:val="004475DA"/>
    <w:rsid w:val="00447B46"/>
    <w:rsid w:val="00447C26"/>
    <w:rsid w:val="00450003"/>
    <w:rsid w:val="0045005A"/>
    <w:rsid w:val="004503E4"/>
    <w:rsid w:val="00450409"/>
    <w:rsid w:val="00450A9C"/>
    <w:rsid w:val="00451266"/>
    <w:rsid w:val="00451534"/>
    <w:rsid w:val="004517B4"/>
    <w:rsid w:val="0045199F"/>
    <w:rsid w:val="00451C23"/>
    <w:rsid w:val="00451CAF"/>
    <w:rsid w:val="00451CF5"/>
    <w:rsid w:val="00451F6E"/>
    <w:rsid w:val="00452048"/>
    <w:rsid w:val="00452050"/>
    <w:rsid w:val="0045285C"/>
    <w:rsid w:val="004528D0"/>
    <w:rsid w:val="004529C3"/>
    <w:rsid w:val="00452EDD"/>
    <w:rsid w:val="00453487"/>
    <w:rsid w:val="00453B09"/>
    <w:rsid w:val="00453E38"/>
    <w:rsid w:val="00454030"/>
    <w:rsid w:val="0045440D"/>
    <w:rsid w:val="00454476"/>
    <w:rsid w:val="0045453D"/>
    <w:rsid w:val="004547F9"/>
    <w:rsid w:val="00454AB1"/>
    <w:rsid w:val="00454B74"/>
    <w:rsid w:val="00454E4C"/>
    <w:rsid w:val="00454F68"/>
    <w:rsid w:val="004550AE"/>
    <w:rsid w:val="00455CCF"/>
    <w:rsid w:val="00455F11"/>
    <w:rsid w:val="00455F7C"/>
    <w:rsid w:val="00456D24"/>
    <w:rsid w:val="00456F7E"/>
    <w:rsid w:val="004570A4"/>
    <w:rsid w:val="004571D1"/>
    <w:rsid w:val="0045722E"/>
    <w:rsid w:val="0045729D"/>
    <w:rsid w:val="0045741D"/>
    <w:rsid w:val="0046031C"/>
    <w:rsid w:val="00460A58"/>
    <w:rsid w:val="00460CA7"/>
    <w:rsid w:val="0046109A"/>
    <w:rsid w:val="00461863"/>
    <w:rsid w:val="00461D5D"/>
    <w:rsid w:val="004624FF"/>
    <w:rsid w:val="004627C3"/>
    <w:rsid w:val="00462B8A"/>
    <w:rsid w:val="00462BC7"/>
    <w:rsid w:val="00463759"/>
    <w:rsid w:val="004637E0"/>
    <w:rsid w:val="00463AA9"/>
    <w:rsid w:val="00463CED"/>
    <w:rsid w:val="00464E71"/>
    <w:rsid w:val="00464F43"/>
    <w:rsid w:val="00465167"/>
    <w:rsid w:val="00465793"/>
    <w:rsid w:val="00465BC9"/>
    <w:rsid w:val="004665E2"/>
    <w:rsid w:val="0046708C"/>
    <w:rsid w:val="00467309"/>
    <w:rsid w:val="00467C6E"/>
    <w:rsid w:val="00470791"/>
    <w:rsid w:val="004708AD"/>
    <w:rsid w:val="004708C2"/>
    <w:rsid w:val="00470B39"/>
    <w:rsid w:val="00470E93"/>
    <w:rsid w:val="004710D3"/>
    <w:rsid w:val="00471314"/>
    <w:rsid w:val="00471349"/>
    <w:rsid w:val="0047236D"/>
    <w:rsid w:val="004723AC"/>
    <w:rsid w:val="004723B5"/>
    <w:rsid w:val="0047313D"/>
    <w:rsid w:val="00473966"/>
    <w:rsid w:val="004739CF"/>
    <w:rsid w:val="00474055"/>
    <w:rsid w:val="0047468F"/>
    <w:rsid w:val="00474A7C"/>
    <w:rsid w:val="00474BD9"/>
    <w:rsid w:val="0047570E"/>
    <w:rsid w:val="00475E7C"/>
    <w:rsid w:val="004764F5"/>
    <w:rsid w:val="00476524"/>
    <w:rsid w:val="00476C5C"/>
    <w:rsid w:val="00477111"/>
    <w:rsid w:val="0047759C"/>
    <w:rsid w:val="00477743"/>
    <w:rsid w:val="004777A7"/>
    <w:rsid w:val="00477D91"/>
    <w:rsid w:val="00477DDC"/>
    <w:rsid w:val="00480561"/>
    <w:rsid w:val="004806D0"/>
    <w:rsid w:val="00480862"/>
    <w:rsid w:val="00480CBB"/>
    <w:rsid w:val="00481571"/>
    <w:rsid w:val="004817AC"/>
    <w:rsid w:val="0048189A"/>
    <w:rsid w:val="004818A9"/>
    <w:rsid w:val="004819B2"/>
    <w:rsid w:val="00481AA4"/>
    <w:rsid w:val="00483659"/>
    <w:rsid w:val="00483CA8"/>
    <w:rsid w:val="00483EEC"/>
    <w:rsid w:val="004840AB"/>
    <w:rsid w:val="00484101"/>
    <w:rsid w:val="004846F7"/>
    <w:rsid w:val="00485996"/>
    <w:rsid w:val="004859E9"/>
    <w:rsid w:val="00486591"/>
    <w:rsid w:val="00486F29"/>
    <w:rsid w:val="00486FB4"/>
    <w:rsid w:val="0048752C"/>
    <w:rsid w:val="00487683"/>
    <w:rsid w:val="004876BF"/>
    <w:rsid w:val="0048789D"/>
    <w:rsid w:val="004879A5"/>
    <w:rsid w:val="00490144"/>
    <w:rsid w:val="004903E2"/>
    <w:rsid w:val="00490D0A"/>
    <w:rsid w:val="00490D71"/>
    <w:rsid w:val="0049156A"/>
    <w:rsid w:val="0049177C"/>
    <w:rsid w:val="00491787"/>
    <w:rsid w:val="00491BD8"/>
    <w:rsid w:val="00491D89"/>
    <w:rsid w:val="004926D9"/>
    <w:rsid w:val="004928C4"/>
    <w:rsid w:val="00492BD6"/>
    <w:rsid w:val="00492C49"/>
    <w:rsid w:val="00492D60"/>
    <w:rsid w:val="00492D64"/>
    <w:rsid w:val="00493745"/>
    <w:rsid w:val="00493792"/>
    <w:rsid w:val="004938C4"/>
    <w:rsid w:val="00493B8E"/>
    <w:rsid w:val="0049435E"/>
    <w:rsid w:val="00494EC6"/>
    <w:rsid w:val="00495021"/>
    <w:rsid w:val="00495331"/>
    <w:rsid w:val="004954E4"/>
    <w:rsid w:val="004957B5"/>
    <w:rsid w:val="004957CB"/>
    <w:rsid w:val="0049583B"/>
    <w:rsid w:val="00495985"/>
    <w:rsid w:val="00495F28"/>
    <w:rsid w:val="00495FA3"/>
    <w:rsid w:val="004963D0"/>
    <w:rsid w:val="00496806"/>
    <w:rsid w:val="004968CE"/>
    <w:rsid w:val="00496DBF"/>
    <w:rsid w:val="00496E7A"/>
    <w:rsid w:val="00497007"/>
    <w:rsid w:val="0049720B"/>
    <w:rsid w:val="0049726C"/>
    <w:rsid w:val="0049738B"/>
    <w:rsid w:val="004973D6"/>
    <w:rsid w:val="004973DF"/>
    <w:rsid w:val="004974BA"/>
    <w:rsid w:val="004975A1"/>
    <w:rsid w:val="0049787E"/>
    <w:rsid w:val="00497883"/>
    <w:rsid w:val="004979FD"/>
    <w:rsid w:val="00497CCD"/>
    <w:rsid w:val="00497F18"/>
    <w:rsid w:val="004A00CB"/>
    <w:rsid w:val="004A01EB"/>
    <w:rsid w:val="004A0D4C"/>
    <w:rsid w:val="004A1762"/>
    <w:rsid w:val="004A1F24"/>
    <w:rsid w:val="004A1F3E"/>
    <w:rsid w:val="004A1FC3"/>
    <w:rsid w:val="004A1FF5"/>
    <w:rsid w:val="004A219D"/>
    <w:rsid w:val="004A242D"/>
    <w:rsid w:val="004A25F3"/>
    <w:rsid w:val="004A26AD"/>
    <w:rsid w:val="004A28C1"/>
    <w:rsid w:val="004A2DCA"/>
    <w:rsid w:val="004A35B3"/>
    <w:rsid w:val="004A3805"/>
    <w:rsid w:val="004A38A2"/>
    <w:rsid w:val="004A38B0"/>
    <w:rsid w:val="004A38C2"/>
    <w:rsid w:val="004A3BD4"/>
    <w:rsid w:val="004A3CF3"/>
    <w:rsid w:val="004A3F6B"/>
    <w:rsid w:val="004A3F85"/>
    <w:rsid w:val="004A4740"/>
    <w:rsid w:val="004A4752"/>
    <w:rsid w:val="004A4A95"/>
    <w:rsid w:val="004A4AFC"/>
    <w:rsid w:val="004A4F7D"/>
    <w:rsid w:val="004A508C"/>
    <w:rsid w:val="004A54EC"/>
    <w:rsid w:val="004A5D4D"/>
    <w:rsid w:val="004A5DF8"/>
    <w:rsid w:val="004A6D58"/>
    <w:rsid w:val="004A6E5F"/>
    <w:rsid w:val="004A700E"/>
    <w:rsid w:val="004A72BF"/>
    <w:rsid w:val="004A72FD"/>
    <w:rsid w:val="004A7319"/>
    <w:rsid w:val="004A74C1"/>
    <w:rsid w:val="004A7930"/>
    <w:rsid w:val="004A7D27"/>
    <w:rsid w:val="004B0012"/>
    <w:rsid w:val="004B02B6"/>
    <w:rsid w:val="004B0B7A"/>
    <w:rsid w:val="004B10E9"/>
    <w:rsid w:val="004B1105"/>
    <w:rsid w:val="004B176F"/>
    <w:rsid w:val="004B18F9"/>
    <w:rsid w:val="004B1FF5"/>
    <w:rsid w:val="004B2111"/>
    <w:rsid w:val="004B30AC"/>
    <w:rsid w:val="004B3473"/>
    <w:rsid w:val="004B3679"/>
    <w:rsid w:val="004B39CE"/>
    <w:rsid w:val="004B41D0"/>
    <w:rsid w:val="004B4653"/>
    <w:rsid w:val="004B485F"/>
    <w:rsid w:val="004B4899"/>
    <w:rsid w:val="004B4C69"/>
    <w:rsid w:val="004B5324"/>
    <w:rsid w:val="004B537C"/>
    <w:rsid w:val="004B5633"/>
    <w:rsid w:val="004B5919"/>
    <w:rsid w:val="004B5E0F"/>
    <w:rsid w:val="004B6228"/>
    <w:rsid w:val="004B6503"/>
    <w:rsid w:val="004B686D"/>
    <w:rsid w:val="004B6AD9"/>
    <w:rsid w:val="004B6BEA"/>
    <w:rsid w:val="004B6E52"/>
    <w:rsid w:val="004B7139"/>
    <w:rsid w:val="004B7178"/>
    <w:rsid w:val="004B77E8"/>
    <w:rsid w:val="004B7CA1"/>
    <w:rsid w:val="004B7ECA"/>
    <w:rsid w:val="004C0154"/>
    <w:rsid w:val="004C0F21"/>
    <w:rsid w:val="004C1114"/>
    <w:rsid w:val="004C17E0"/>
    <w:rsid w:val="004C1D9E"/>
    <w:rsid w:val="004C1DA5"/>
    <w:rsid w:val="004C2101"/>
    <w:rsid w:val="004C21CC"/>
    <w:rsid w:val="004C233F"/>
    <w:rsid w:val="004C28CD"/>
    <w:rsid w:val="004C2CCD"/>
    <w:rsid w:val="004C303D"/>
    <w:rsid w:val="004C3C4D"/>
    <w:rsid w:val="004C438D"/>
    <w:rsid w:val="004C44E1"/>
    <w:rsid w:val="004C46A6"/>
    <w:rsid w:val="004C48BD"/>
    <w:rsid w:val="004C493C"/>
    <w:rsid w:val="004C5199"/>
    <w:rsid w:val="004C59DE"/>
    <w:rsid w:val="004C5A37"/>
    <w:rsid w:val="004C5CE3"/>
    <w:rsid w:val="004C5D8A"/>
    <w:rsid w:val="004C63C8"/>
    <w:rsid w:val="004C6520"/>
    <w:rsid w:val="004C6718"/>
    <w:rsid w:val="004C6A3C"/>
    <w:rsid w:val="004C6BAF"/>
    <w:rsid w:val="004C6C57"/>
    <w:rsid w:val="004C6C70"/>
    <w:rsid w:val="004C6F1D"/>
    <w:rsid w:val="004C7023"/>
    <w:rsid w:val="004C77A1"/>
    <w:rsid w:val="004C7863"/>
    <w:rsid w:val="004C78F6"/>
    <w:rsid w:val="004C792D"/>
    <w:rsid w:val="004C7F07"/>
    <w:rsid w:val="004C7FB1"/>
    <w:rsid w:val="004D00B9"/>
    <w:rsid w:val="004D0218"/>
    <w:rsid w:val="004D03F2"/>
    <w:rsid w:val="004D08E6"/>
    <w:rsid w:val="004D16DD"/>
    <w:rsid w:val="004D175C"/>
    <w:rsid w:val="004D2272"/>
    <w:rsid w:val="004D238A"/>
    <w:rsid w:val="004D2682"/>
    <w:rsid w:val="004D2863"/>
    <w:rsid w:val="004D29D1"/>
    <w:rsid w:val="004D2BA0"/>
    <w:rsid w:val="004D2F2D"/>
    <w:rsid w:val="004D3F21"/>
    <w:rsid w:val="004D45DD"/>
    <w:rsid w:val="004D4653"/>
    <w:rsid w:val="004D506B"/>
    <w:rsid w:val="004D508A"/>
    <w:rsid w:val="004D5257"/>
    <w:rsid w:val="004D5369"/>
    <w:rsid w:val="004D5A35"/>
    <w:rsid w:val="004D604D"/>
    <w:rsid w:val="004D62FE"/>
    <w:rsid w:val="004D723D"/>
    <w:rsid w:val="004D7A78"/>
    <w:rsid w:val="004D7E13"/>
    <w:rsid w:val="004E0378"/>
    <w:rsid w:val="004E04A6"/>
    <w:rsid w:val="004E0B0E"/>
    <w:rsid w:val="004E0FBA"/>
    <w:rsid w:val="004E1540"/>
    <w:rsid w:val="004E195C"/>
    <w:rsid w:val="004E19BA"/>
    <w:rsid w:val="004E1A25"/>
    <w:rsid w:val="004E1E9C"/>
    <w:rsid w:val="004E1F96"/>
    <w:rsid w:val="004E38E8"/>
    <w:rsid w:val="004E3B63"/>
    <w:rsid w:val="004E3FBF"/>
    <w:rsid w:val="004E4038"/>
    <w:rsid w:val="004E41A7"/>
    <w:rsid w:val="004E49B7"/>
    <w:rsid w:val="004E4AD6"/>
    <w:rsid w:val="004E4E14"/>
    <w:rsid w:val="004E5103"/>
    <w:rsid w:val="004E53A1"/>
    <w:rsid w:val="004E566F"/>
    <w:rsid w:val="004E5698"/>
    <w:rsid w:val="004E5B84"/>
    <w:rsid w:val="004E5C83"/>
    <w:rsid w:val="004E5D30"/>
    <w:rsid w:val="004E648B"/>
    <w:rsid w:val="004E78CF"/>
    <w:rsid w:val="004F0019"/>
    <w:rsid w:val="004F02D1"/>
    <w:rsid w:val="004F051B"/>
    <w:rsid w:val="004F055F"/>
    <w:rsid w:val="004F0608"/>
    <w:rsid w:val="004F0693"/>
    <w:rsid w:val="004F0A42"/>
    <w:rsid w:val="004F0CFC"/>
    <w:rsid w:val="004F11C0"/>
    <w:rsid w:val="004F1440"/>
    <w:rsid w:val="004F14BB"/>
    <w:rsid w:val="004F174C"/>
    <w:rsid w:val="004F1D19"/>
    <w:rsid w:val="004F21BC"/>
    <w:rsid w:val="004F2244"/>
    <w:rsid w:val="004F28F0"/>
    <w:rsid w:val="004F2AD8"/>
    <w:rsid w:val="004F2EE3"/>
    <w:rsid w:val="004F36DF"/>
    <w:rsid w:val="004F3757"/>
    <w:rsid w:val="004F38BE"/>
    <w:rsid w:val="004F394E"/>
    <w:rsid w:val="004F41FC"/>
    <w:rsid w:val="004F445B"/>
    <w:rsid w:val="004F48E4"/>
    <w:rsid w:val="004F4954"/>
    <w:rsid w:val="004F4DBF"/>
    <w:rsid w:val="004F4DFC"/>
    <w:rsid w:val="004F5131"/>
    <w:rsid w:val="004F51F0"/>
    <w:rsid w:val="004F5236"/>
    <w:rsid w:val="004F53C2"/>
    <w:rsid w:val="004F55EA"/>
    <w:rsid w:val="004F60BF"/>
    <w:rsid w:val="004F6D98"/>
    <w:rsid w:val="004F6DE7"/>
    <w:rsid w:val="004F6FC5"/>
    <w:rsid w:val="004F7245"/>
    <w:rsid w:val="004F73FA"/>
    <w:rsid w:val="004F74C3"/>
    <w:rsid w:val="004F7515"/>
    <w:rsid w:val="004F7927"/>
    <w:rsid w:val="004F79B5"/>
    <w:rsid w:val="004F7AD4"/>
    <w:rsid w:val="004F7B5C"/>
    <w:rsid w:val="004F7F70"/>
    <w:rsid w:val="0050012E"/>
    <w:rsid w:val="00500BCB"/>
    <w:rsid w:val="00500DC0"/>
    <w:rsid w:val="00500E0B"/>
    <w:rsid w:val="00501473"/>
    <w:rsid w:val="005014CA"/>
    <w:rsid w:val="005023E1"/>
    <w:rsid w:val="00502733"/>
    <w:rsid w:val="00502740"/>
    <w:rsid w:val="005027D1"/>
    <w:rsid w:val="005032B5"/>
    <w:rsid w:val="00503A1B"/>
    <w:rsid w:val="00504364"/>
    <w:rsid w:val="005047C9"/>
    <w:rsid w:val="00504876"/>
    <w:rsid w:val="00504A0F"/>
    <w:rsid w:val="00504F92"/>
    <w:rsid w:val="00505210"/>
    <w:rsid w:val="005052A2"/>
    <w:rsid w:val="00505658"/>
    <w:rsid w:val="00505B2A"/>
    <w:rsid w:val="00506075"/>
    <w:rsid w:val="005060C1"/>
    <w:rsid w:val="00506363"/>
    <w:rsid w:val="00506523"/>
    <w:rsid w:val="00506525"/>
    <w:rsid w:val="00506A5A"/>
    <w:rsid w:val="00506B5C"/>
    <w:rsid w:val="00506DD4"/>
    <w:rsid w:val="0050722D"/>
    <w:rsid w:val="005073DE"/>
    <w:rsid w:val="005073FA"/>
    <w:rsid w:val="005077CD"/>
    <w:rsid w:val="00507973"/>
    <w:rsid w:val="00507CEC"/>
    <w:rsid w:val="00507ED8"/>
    <w:rsid w:val="005102B4"/>
    <w:rsid w:val="005107A8"/>
    <w:rsid w:val="005114A3"/>
    <w:rsid w:val="005118EB"/>
    <w:rsid w:val="005119DD"/>
    <w:rsid w:val="00511AC8"/>
    <w:rsid w:val="00511E0E"/>
    <w:rsid w:val="00511E57"/>
    <w:rsid w:val="00511EE2"/>
    <w:rsid w:val="00512370"/>
    <w:rsid w:val="0051287D"/>
    <w:rsid w:val="00512A69"/>
    <w:rsid w:val="00512D76"/>
    <w:rsid w:val="00513276"/>
    <w:rsid w:val="00513350"/>
    <w:rsid w:val="005133A9"/>
    <w:rsid w:val="005137A2"/>
    <w:rsid w:val="00513AB7"/>
    <w:rsid w:val="00513B23"/>
    <w:rsid w:val="005148DA"/>
    <w:rsid w:val="00515204"/>
    <w:rsid w:val="005152D2"/>
    <w:rsid w:val="00515A9F"/>
    <w:rsid w:val="00515C23"/>
    <w:rsid w:val="00515E28"/>
    <w:rsid w:val="0051609A"/>
    <w:rsid w:val="005161F1"/>
    <w:rsid w:val="0051637E"/>
    <w:rsid w:val="00516B43"/>
    <w:rsid w:val="005173E0"/>
    <w:rsid w:val="005174FE"/>
    <w:rsid w:val="00520366"/>
    <w:rsid w:val="005205FB"/>
    <w:rsid w:val="00520B6B"/>
    <w:rsid w:val="00520E72"/>
    <w:rsid w:val="00520E96"/>
    <w:rsid w:val="00521456"/>
    <w:rsid w:val="005226CB"/>
    <w:rsid w:val="0052276A"/>
    <w:rsid w:val="005229A7"/>
    <w:rsid w:val="00522C3C"/>
    <w:rsid w:val="0052312B"/>
    <w:rsid w:val="005231A2"/>
    <w:rsid w:val="00523CBF"/>
    <w:rsid w:val="00524146"/>
    <w:rsid w:val="00524B49"/>
    <w:rsid w:val="00524CF5"/>
    <w:rsid w:val="00524EF0"/>
    <w:rsid w:val="00525076"/>
    <w:rsid w:val="00525240"/>
    <w:rsid w:val="005253E3"/>
    <w:rsid w:val="00525F56"/>
    <w:rsid w:val="005264C5"/>
    <w:rsid w:val="00526737"/>
    <w:rsid w:val="0052682D"/>
    <w:rsid w:val="00526C3C"/>
    <w:rsid w:val="00526C45"/>
    <w:rsid w:val="00527059"/>
    <w:rsid w:val="00527782"/>
    <w:rsid w:val="005278B3"/>
    <w:rsid w:val="00527983"/>
    <w:rsid w:val="00527D06"/>
    <w:rsid w:val="0053020D"/>
    <w:rsid w:val="0053063E"/>
    <w:rsid w:val="00530816"/>
    <w:rsid w:val="00530CF6"/>
    <w:rsid w:val="00531092"/>
    <w:rsid w:val="0053158D"/>
    <w:rsid w:val="00531A6A"/>
    <w:rsid w:val="00531E88"/>
    <w:rsid w:val="005323FE"/>
    <w:rsid w:val="00532EA1"/>
    <w:rsid w:val="005342C5"/>
    <w:rsid w:val="005344DB"/>
    <w:rsid w:val="00534C78"/>
    <w:rsid w:val="00534CE1"/>
    <w:rsid w:val="0053520F"/>
    <w:rsid w:val="0053537B"/>
    <w:rsid w:val="00535594"/>
    <w:rsid w:val="005356B7"/>
    <w:rsid w:val="005361B1"/>
    <w:rsid w:val="00536243"/>
    <w:rsid w:val="00536326"/>
    <w:rsid w:val="00536613"/>
    <w:rsid w:val="00536B63"/>
    <w:rsid w:val="005376CB"/>
    <w:rsid w:val="00537715"/>
    <w:rsid w:val="00537BE5"/>
    <w:rsid w:val="0054020D"/>
    <w:rsid w:val="0054030B"/>
    <w:rsid w:val="00540430"/>
    <w:rsid w:val="00540622"/>
    <w:rsid w:val="0054087B"/>
    <w:rsid w:val="00540E0A"/>
    <w:rsid w:val="005414DC"/>
    <w:rsid w:val="005415B8"/>
    <w:rsid w:val="005418E6"/>
    <w:rsid w:val="005424D6"/>
    <w:rsid w:val="00542620"/>
    <w:rsid w:val="00542698"/>
    <w:rsid w:val="00542B67"/>
    <w:rsid w:val="00542CBD"/>
    <w:rsid w:val="00543107"/>
    <w:rsid w:val="00543274"/>
    <w:rsid w:val="005433CC"/>
    <w:rsid w:val="00543534"/>
    <w:rsid w:val="0054396C"/>
    <w:rsid w:val="00543FBC"/>
    <w:rsid w:val="00544110"/>
    <w:rsid w:val="0054441C"/>
    <w:rsid w:val="00544B99"/>
    <w:rsid w:val="00544EBB"/>
    <w:rsid w:val="00545196"/>
    <w:rsid w:val="00545277"/>
    <w:rsid w:val="0054551B"/>
    <w:rsid w:val="0054582D"/>
    <w:rsid w:val="00545BCA"/>
    <w:rsid w:val="00546017"/>
    <w:rsid w:val="00546911"/>
    <w:rsid w:val="005469A9"/>
    <w:rsid w:val="00546C52"/>
    <w:rsid w:val="0054718D"/>
    <w:rsid w:val="0054757E"/>
    <w:rsid w:val="00547C9E"/>
    <w:rsid w:val="00547D51"/>
    <w:rsid w:val="005505B1"/>
    <w:rsid w:val="00550940"/>
    <w:rsid w:val="005509BE"/>
    <w:rsid w:val="00550AF5"/>
    <w:rsid w:val="00550C64"/>
    <w:rsid w:val="00550CA9"/>
    <w:rsid w:val="005519A4"/>
    <w:rsid w:val="00551A84"/>
    <w:rsid w:val="0055255C"/>
    <w:rsid w:val="00552A4D"/>
    <w:rsid w:val="00553E62"/>
    <w:rsid w:val="0055411D"/>
    <w:rsid w:val="005543FE"/>
    <w:rsid w:val="00554414"/>
    <w:rsid w:val="0055487A"/>
    <w:rsid w:val="00554ABF"/>
    <w:rsid w:val="00554C2C"/>
    <w:rsid w:val="005550F9"/>
    <w:rsid w:val="00555396"/>
    <w:rsid w:val="0055551E"/>
    <w:rsid w:val="005556D3"/>
    <w:rsid w:val="00555A8E"/>
    <w:rsid w:val="00555F1F"/>
    <w:rsid w:val="005565C3"/>
    <w:rsid w:val="005566C5"/>
    <w:rsid w:val="0055672F"/>
    <w:rsid w:val="00556807"/>
    <w:rsid w:val="00556DFC"/>
    <w:rsid w:val="0055705C"/>
    <w:rsid w:val="00557E1F"/>
    <w:rsid w:val="00560162"/>
    <w:rsid w:val="005603F9"/>
    <w:rsid w:val="005609FC"/>
    <w:rsid w:val="00560C3D"/>
    <w:rsid w:val="00560DD3"/>
    <w:rsid w:val="00560E78"/>
    <w:rsid w:val="00561171"/>
    <w:rsid w:val="005619F4"/>
    <w:rsid w:val="00561A71"/>
    <w:rsid w:val="00561BB7"/>
    <w:rsid w:val="00562602"/>
    <w:rsid w:val="0056267F"/>
    <w:rsid w:val="00562778"/>
    <w:rsid w:val="00562DF7"/>
    <w:rsid w:val="00562F41"/>
    <w:rsid w:val="0056313E"/>
    <w:rsid w:val="00563217"/>
    <w:rsid w:val="005632B4"/>
    <w:rsid w:val="00563EFE"/>
    <w:rsid w:val="00564427"/>
    <w:rsid w:val="00564619"/>
    <w:rsid w:val="00564891"/>
    <w:rsid w:val="00564C0A"/>
    <w:rsid w:val="00564CE0"/>
    <w:rsid w:val="00565047"/>
    <w:rsid w:val="005653F0"/>
    <w:rsid w:val="005659C0"/>
    <w:rsid w:val="00565ABE"/>
    <w:rsid w:val="00565BFA"/>
    <w:rsid w:val="0056600F"/>
    <w:rsid w:val="0056633E"/>
    <w:rsid w:val="00566437"/>
    <w:rsid w:val="00566736"/>
    <w:rsid w:val="00566CD8"/>
    <w:rsid w:val="0056702A"/>
    <w:rsid w:val="005670D4"/>
    <w:rsid w:val="00567323"/>
    <w:rsid w:val="0056754B"/>
    <w:rsid w:val="00567FF2"/>
    <w:rsid w:val="005701AF"/>
    <w:rsid w:val="00570416"/>
    <w:rsid w:val="0057072E"/>
    <w:rsid w:val="00570993"/>
    <w:rsid w:val="00570A2B"/>
    <w:rsid w:val="00570B7A"/>
    <w:rsid w:val="00570C13"/>
    <w:rsid w:val="00570FDA"/>
    <w:rsid w:val="00571391"/>
    <w:rsid w:val="00571999"/>
    <w:rsid w:val="00571A0D"/>
    <w:rsid w:val="00571BEC"/>
    <w:rsid w:val="00571D9B"/>
    <w:rsid w:val="00571FE6"/>
    <w:rsid w:val="00572A2B"/>
    <w:rsid w:val="00572CF2"/>
    <w:rsid w:val="00573125"/>
    <w:rsid w:val="0057360E"/>
    <w:rsid w:val="00573755"/>
    <w:rsid w:val="0057380B"/>
    <w:rsid w:val="00573A5B"/>
    <w:rsid w:val="00573FD1"/>
    <w:rsid w:val="00574178"/>
    <w:rsid w:val="00574CA5"/>
    <w:rsid w:val="00574CE8"/>
    <w:rsid w:val="00574D70"/>
    <w:rsid w:val="0057555B"/>
    <w:rsid w:val="00575D7B"/>
    <w:rsid w:val="00576017"/>
    <w:rsid w:val="00576A17"/>
    <w:rsid w:val="00576B2A"/>
    <w:rsid w:val="00577053"/>
    <w:rsid w:val="00577183"/>
    <w:rsid w:val="00577400"/>
    <w:rsid w:val="0057782D"/>
    <w:rsid w:val="0057786D"/>
    <w:rsid w:val="00577F69"/>
    <w:rsid w:val="00580F32"/>
    <w:rsid w:val="00581F58"/>
    <w:rsid w:val="005823DF"/>
    <w:rsid w:val="0058257A"/>
    <w:rsid w:val="00582639"/>
    <w:rsid w:val="005828A9"/>
    <w:rsid w:val="00582FBF"/>
    <w:rsid w:val="00583680"/>
    <w:rsid w:val="00583784"/>
    <w:rsid w:val="00583DF3"/>
    <w:rsid w:val="00583FBE"/>
    <w:rsid w:val="00584293"/>
    <w:rsid w:val="005843F7"/>
    <w:rsid w:val="005846AC"/>
    <w:rsid w:val="00584AA5"/>
    <w:rsid w:val="00584C7D"/>
    <w:rsid w:val="0058508E"/>
    <w:rsid w:val="0058565F"/>
    <w:rsid w:val="00585929"/>
    <w:rsid w:val="00585DEB"/>
    <w:rsid w:val="00586443"/>
    <w:rsid w:val="00586C90"/>
    <w:rsid w:val="00587235"/>
    <w:rsid w:val="00587722"/>
    <w:rsid w:val="00590227"/>
    <w:rsid w:val="005904BA"/>
    <w:rsid w:val="0059055E"/>
    <w:rsid w:val="005905E8"/>
    <w:rsid w:val="0059063A"/>
    <w:rsid w:val="00590A05"/>
    <w:rsid w:val="00590A68"/>
    <w:rsid w:val="00591568"/>
    <w:rsid w:val="00591FA0"/>
    <w:rsid w:val="00592955"/>
    <w:rsid w:val="00593067"/>
    <w:rsid w:val="00593968"/>
    <w:rsid w:val="00593D36"/>
    <w:rsid w:val="00593E9D"/>
    <w:rsid w:val="00594BE7"/>
    <w:rsid w:val="00594E58"/>
    <w:rsid w:val="00595366"/>
    <w:rsid w:val="00595B8E"/>
    <w:rsid w:val="00595C97"/>
    <w:rsid w:val="00595FBC"/>
    <w:rsid w:val="00596021"/>
    <w:rsid w:val="00596170"/>
    <w:rsid w:val="00596257"/>
    <w:rsid w:val="00596510"/>
    <w:rsid w:val="005966CA"/>
    <w:rsid w:val="00596D15"/>
    <w:rsid w:val="005970F9"/>
    <w:rsid w:val="00597104"/>
    <w:rsid w:val="005976C9"/>
    <w:rsid w:val="005977A4"/>
    <w:rsid w:val="0059790A"/>
    <w:rsid w:val="00597C5D"/>
    <w:rsid w:val="00597D8C"/>
    <w:rsid w:val="00597DFF"/>
    <w:rsid w:val="00597E9C"/>
    <w:rsid w:val="005A00C4"/>
    <w:rsid w:val="005A01CC"/>
    <w:rsid w:val="005A0222"/>
    <w:rsid w:val="005A0492"/>
    <w:rsid w:val="005A0629"/>
    <w:rsid w:val="005A0BFD"/>
    <w:rsid w:val="005A0CFE"/>
    <w:rsid w:val="005A10A7"/>
    <w:rsid w:val="005A11EB"/>
    <w:rsid w:val="005A1297"/>
    <w:rsid w:val="005A12EE"/>
    <w:rsid w:val="005A1652"/>
    <w:rsid w:val="005A1726"/>
    <w:rsid w:val="005A1C89"/>
    <w:rsid w:val="005A20BC"/>
    <w:rsid w:val="005A285A"/>
    <w:rsid w:val="005A29DC"/>
    <w:rsid w:val="005A29EC"/>
    <w:rsid w:val="005A3307"/>
    <w:rsid w:val="005A385E"/>
    <w:rsid w:val="005A47A3"/>
    <w:rsid w:val="005A4ACB"/>
    <w:rsid w:val="005A5242"/>
    <w:rsid w:val="005A5283"/>
    <w:rsid w:val="005A54C7"/>
    <w:rsid w:val="005A55D9"/>
    <w:rsid w:val="005A5612"/>
    <w:rsid w:val="005A650D"/>
    <w:rsid w:val="005A698B"/>
    <w:rsid w:val="005A6ABA"/>
    <w:rsid w:val="005A6B3E"/>
    <w:rsid w:val="005A7004"/>
    <w:rsid w:val="005A7207"/>
    <w:rsid w:val="005A72AE"/>
    <w:rsid w:val="005A7849"/>
    <w:rsid w:val="005A7DDA"/>
    <w:rsid w:val="005A7EC0"/>
    <w:rsid w:val="005A7FA3"/>
    <w:rsid w:val="005B01EB"/>
    <w:rsid w:val="005B05B0"/>
    <w:rsid w:val="005B06C8"/>
    <w:rsid w:val="005B0A11"/>
    <w:rsid w:val="005B0B2B"/>
    <w:rsid w:val="005B0C28"/>
    <w:rsid w:val="005B0E7F"/>
    <w:rsid w:val="005B17A1"/>
    <w:rsid w:val="005B1C93"/>
    <w:rsid w:val="005B1E23"/>
    <w:rsid w:val="005B1E4F"/>
    <w:rsid w:val="005B2648"/>
    <w:rsid w:val="005B3109"/>
    <w:rsid w:val="005B37DD"/>
    <w:rsid w:val="005B3B5F"/>
    <w:rsid w:val="005B3F5C"/>
    <w:rsid w:val="005B3FBA"/>
    <w:rsid w:val="005B4039"/>
    <w:rsid w:val="005B4204"/>
    <w:rsid w:val="005B4CFD"/>
    <w:rsid w:val="005B4F27"/>
    <w:rsid w:val="005B51E3"/>
    <w:rsid w:val="005B54F5"/>
    <w:rsid w:val="005B6014"/>
    <w:rsid w:val="005B62DF"/>
    <w:rsid w:val="005B6E5B"/>
    <w:rsid w:val="005B78F0"/>
    <w:rsid w:val="005C0163"/>
    <w:rsid w:val="005C04AE"/>
    <w:rsid w:val="005C052A"/>
    <w:rsid w:val="005C069F"/>
    <w:rsid w:val="005C0727"/>
    <w:rsid w:val="005C07FE"/>
    <w:rsid w:val="005C138F"/>
    <w:rsid w:val="005C15FE"/>
    <w:rsid w:val="005C1C79"/>
    <w:rsid w:val="005C1CCE"/>
    <w:rsid w:val="005C1E1B"/>
    <w:rsid w:val="005C22A0"/>
    <w:rsid w:val="005C22BC"/>
    <w:rsid w:val="005C2394"/>
    <w:rsid w:val="005C2815"/>
    <w:rsid w:val="005C2AA3"/>
    <w:rsid w:val="005C2CC6"/>
    <w:rsid w:val="005C36AE"/>
    <w:rsid w:val="005C38FE"/>
    <w:rsid w:val="005C3B0C"/>
    <w:rsid w:val="005C3E39"/>
    <w:rsid w:val="005C3F1A"/>
    <w:rsid w:val="005C4091"/>
    <w:rsid w:val="005C4174"/>
    <w:rsid w:val="005C41B8"/>
    <w:rsid w:val="005C4580"/>
    <w:rsid w:val="005C4ADF"/>
    <w:rsid w:val="005C4D57"/>
    <w:rsid w:val="005C4E9A"/>
    <w:rsid w:val="005C5BE1"/>
    <w:rsid w:val="005C5C0A"/>
    <w:rsid w:val="005C5D99"/>
    <w:rsid w:val="005C61B4"/>
    <w:rsid w:val="005C654C"/>
    <w:rsid w:val="005C66FC"/>
    <w:rsid w:val="005C681D"/>
    <w:rsid w:val="005C6AEA"/>
    <w:rsid w:val="005C6B0C"/>
    <w:rsid w:val="005C702D"/>
    <w:rsid w:val="005C752F"/>
    <w:rsid w:val="005C7C50"/>
    <w:rsid w:val="005D0027"/>
    <w:rsid w:val="005D01A2"/>
    <w:rsid w:val="005D0E23"/>
    <w:rsid w:val="005D0E58"/>
    <w:rsid w:val="005D10C9"/>
    <w:rsid w:val="005D11C0"/>
    <w:rsid w:val="005D1586"/>
    <w:rsid w:val="005D1BD0"/>
    <w:rsid w:val="005D1C6E"/>
    <w:rsid w:val="005D1DD6"/>
    <w:rsid w:val="005D2539"/>
    <w:rsid w:val="005D26FF"/>
    <w:rsid w:val="005D2820"/>
    <w:rsid w:val="005D2F33"/>
    <w:rsid w:val="005D34B9"/>
    <w:rsid w:val="005D397D"/>
    <w:rsid w:val="005D3A9E"/>
    <w:rsid w:val="005D3AF7"/>
    <w:rsid w:val="005D3CBE"/>
    <w:rsid w:val="005D4259"/>
    <w:rsid w:val="005D4387"/>
    <w:rsid w:val="005D44AC"/>
    <w:rsid w:val="005D44E3"/>
    <w:rsid w:val="005D46E0"/>
    <w:rsid w:val="005D4804"/>
    <w:rsid w:val="005D53FD"/>
    <w:rsid w:val="005D542D"/>
    <w:rsid w:val="005D58A5"/>
    <w:rsid w:val="005D5F95"/>
    <w:rsid w:val="005D61E6"/>
    <w:rsid w:val="005D620B"/>
    <w:rsid w:val="005D6A5D"/>
    <w:rsid w:val="005D7257"/>
    <w:rsid w:val="005D73EF"/>
    <w:rsid w:val="005D75B4"/>
    <w:rsid w:val="005D798C"/>
    <w:rsid w:val="005D7B4A"/>
    <w:rsid w:val="005D7B60"/>
    <w:rsid w:val="005D7E2A"/>
    <w:rsid w:val="005E0385"/>
    <w:rsid w:val="005E0969"/>
    <w:rsid w:val="005E1041"/>
    <w:rsid w:val="005E146F"/>
    <w:rsid w:val="005E18F9"/>
    <w:rsid w:val="005E1910"/>
    <w:rsid w:val="005E1BA3"/>
    <w:rsid w:val="005E25B0"/>
    <w:rsid w:val="005E2F28"/>
    <w:rsid w:val="005E32AD"/>
    <w:rsid w:val="005E3699"/>
    <w:rsid w:val="005E3A44"/>
    <w:rsid w:val="005E3AB6"/>
    <w:rsid w:val="005E3C90"/>
    <w:rsid w:val="005E3D3B"/>
    <w:rsid w:val="005E46D9"/>
    <w:rsid w:val="005E4832"/>
    <w:rsid w:val="005E4A0B"/>
    <w:rsid w:val="005E4AAF"/>
    <w:rsid w:val="005E4F4A"/>
    <w:rsid w:val="005E55FA"/>
    <w:rsid w:val="005E588F"/>
    <w:rsid w:val="005E5AB0"/>
    <w:rsid w:val="005E5EE9"/>
    <w:rsid w:val="005E600B"/>
    <w:rsid w:val="005E623E"/>
    <w:rsid w:val="005E628D"/>
    <w:rsid w:val="005E662E"/>
    <w:rsid w:val="005E6C9C"/>
    <w:rsid w:val="005E6ED5"/>
    <w:rsid w:val="005E7D97"/>
    <w:rsid w:val="005F0DA9"/>
    <w:rsid w:val="005F12A7"/>
    <w:rsid w:val="005F1431"/>
    <w:rsid w:val="005F1EA3"/>
    <w:rsid w:val="005F1F4C"/>
    <w:rsid w:val="005F2421"/>
    <w:rsid w:val="005F277E"/>
    <w:rsid w:val="005F3189"/>
    <w:rsid w:val="005F343A"/>
    <w:rsid w:val="005F3477"/>
    <w:rsid w:val="005F34EB"/>
    <w:rsid w:val="005F3D14"/>
    <w:rsid w:val="005F44C8"/>
    <w:rsid w:val="005F4A7C"/>
    <w:rsid w:val="005F52A6"/>
    <w:rsid w:val="005F55CC"/>
    <w:rsid w:val="005F5AC0"/>
    <w:rsid w:val="005F5D43"/>
    <w:rsid w:val="005F5F22"/>
    <w:rsid w:val="005F62F7"/>
    <w:rsid w:val="005F741E"/>
    <w:rsid w:val="005F7979"/>
    <w:rsid w:val="005F799C"/>
    <w:rsid w:val="005F79DA"/>
    <w:rsid w:val="005F7CBE"/>
    <w:rsid w:val="005F7EA0"/>
    <w:rsid w:val="00600139"/>
    <w:rsid w:val="00600361"/>
    <w:rsid w:val="00600914"/>
    <w:rsid w:val="00600EDA"/>
    <w:rsid w:val="00600F8C"/>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3B0A"/>
    <w:rsid w:val="00604B45"/>
    <w:rsid w:val="00604F57"/>
    <w:rsid w:val="00604F94"/>
    <w:rsid w:val="00605277"/>
    <w:rsid w:val="00605401"/>
    <w:rsid w:val="0060560B"/>
    <w:rsid w:val="00605996"/>
    <w:rsid w:val="006059B3"/>
    <w:rsid w:val="00605A05"/>
    <w:rsid w:val="00606371"/>
    <w:rsid w:val="006064B6"/>
    <w:rsid w:val="006068B2"/>
    <w:rsid w:val="00606F1E"/>
    <w:rsid w:val="0060709C"/>
    <w:rsid w:val="00607669"/>
    <w:rsid w:val="006076B7"/>
    <w:rsid w:val="00607B70"/>
    <w:rsid w:val="00607E71"/>
    <w:rsid w:val="0061035E"/>
    <w:rsid w:val="006106A1"/>
    <w:rsid w:val="006108A7"/>
    <w:rsid w:val="00610D2D"/>
    <w:rsid w:val="00610D32"/>
    <w:rsid w:val="00610FBD"/>
    <w:rsid w:val="0061112D"/>
    <w:rsid w:val="00611197"/>
    <w:rsid w:val="006112DC"/>
    <w:rsid w:val="006115E5"/>
    <w:rsid w:val="00611AD2"/>
    <w:rsid w:val="00611E5B"/>
    <w:rsid w:val="0061239A"/>
    <w:rsid w:val="00612509"/>
    <w:rsid w:val="0061259F"/>
    <w:rsid w:val="006125DA"/>
    <w:rsid w:val="00612C51"/>
    <w:rsid w:val="00612DA6"/>
    <w:rsid w:val="00612DC8"/>
    <w:rsid w:val="006135F6"/>
    <w:rsid w:val="00613796"/>
    <w:rsid w:val="00613915"/>
    <w:rsid w:val="006140A7"/>
    <w:rsid w:val="00614278"/>
    <w:rsid w:val="0061448E"/>
    <w:rsid w:val="00614906"/>
    <w:rsid w:val="00614943"/>
    <w:rsid w:val="00614947"/>
    <w:rsid w:val="00614C7E"/>
    <w:rsid w:val="00614E61"/>
    <w:rsid w:val="00615216"/>
    <w:rsid w:val="00615616"/>
    <w:rsid w:val="006163C6"/>
    <w:rsid w:val="00616505"/>
    <w:rsid w:val="00616621"/>
    <w:rsid w:val="00616D32"/>
    <w:rsid w:val="00616D78"/>
    <w:rsid w:val="00616F1F"/>
    <w:rsid w:val="00616FB7"/>
    <w:rsid w:val="0061702A"/>
    <w:rsid w:val="00617320"/>
    <w:rsid w:val="0061747F"/>
    <w:rsid w:val="006176BA"/>
    <w:rsid w:val="006179FA"/>
    <w:rsid w:val="00617B7B"/>
    <w:rsid w:val="00620638"/>
    <w:rsid w:val="00620F1E"/>
    <w:rsid w:val="00621161"/>
    <w:rsid w:val="00621417"/>
    <w:rsid w:val="00621636"/>
    <w:rsid w:val="0062174E"/>
    <w:rsid w:val="00621792"/>
    <w:rsid w:val="00621CB5"/>
    <w:rsid w:val="00621D47"/>
    <w:rsid w:val="0062242B"/>
    <w:rsid w:val="00622566"/>
    <w:rsid w:val="00623530"/>
    <w:rsid w:val="00623821"/>
    <w:rsid w:val="006238A4"/>
    <w:rsid w:val="00623999"/>
    <w:rsid w:val="00623C6B"/>
    <w:rsid w:val="00623CD5"/>
    <w:rsid w:val="00623D36"/>
    <w:rsid w:val="00624045"/>
    <w:rsid w:val="0062408B"/>
    <w:rsid w:val="006244BD"/>
    <w:rsid w:val="0062483C"/>
    <w:rsid w:val="00624A67"/>
    <w:rsid w:val="00624B17"/>
    <w:rsid w:val="0062526E"/>
    <w:rsid w:val="00625D48"/>
    <w:rsid w:val="00625D4E"/>
    <w:rsid w:val="00625E81"/>
    <w:rsid w:val="00626A2B"/>
    <w:rsid w:val="0062706B"/>
    <w:rsid w:val="006271FC"/>
    <w:rsid w:val="0062768B"/>
    <w:rsid w:val="006301B1"/>
    <w:rsid w:val="00630A03"/>
    <w:rsid w:val="00630CB2"/>
    <w:rsid w:val="0063120E"/>
    <w:rsid w:val="006313DB"/>
    <w:rsid w:val="00631450"/>
    <w:rsid w:val="00631675"/>
    <w:rsid w:val="00631768"/>
    <w:rsid w:val="00631A4C"/>
    <w:rsid w:val="00631AE9"/>
    <w:rsid w:val="00631E31"/>
    <w:rsid w:val="00632D46"/>
    <w:rsid w:val="006331E9"/>
    <w:rsid w:val="006336F9"/>
    <w:rsid w:val="00633873"/>
    <w:rsid w:val="00633984"/>
    <w:rsid w:val="00633D85"/>
    <w:rsid w:val="00633F25"/>
    <w:rsid w:val="00633F26"/>
    <w:rsid w:val="00633F9F"/>
    <w:rsid w:val="00633FA6"/>
    <w:rsid w:val="00634370"/>
    <w:rsid w:val="00634440"/>
    <w:rsid w:val="00634784"/>
    <w:rsid w:val="006348F8"/>
    <w:rsid w:val="00634BE1"/>
    <w:rsid w:val="00634E2F"/>
    <w:rsid w:val="00634FCD"/>
    <w:rsid w:val="00635274"/>
    <w:rsid w:val="0063571C"/>
    <w:rsid w:val="006357D2"/>
    <w:rsid w:val="00636031"/>
    <w:rsid w:val="0063629F"/>
    <w:rsid w:val="0063641F"/>
    <w:rsid w:val="00636B8E"/>
    <w:rsid w:val="00637685"/>
    <w:rsid w:val="00637693"/>
    <w:rsid w:val="006378B5"/>
    <w:rsid w:val="00637D13"/>
    <w:rsid w:val="00641194"/>
    <w:rsid w:val="006417E8"/>
    <w:rsid w:val="00641D53"/>
    <w:rsid w:val="006427F8"/>
    <w:rsid w:val="00643176"/>
    <w:rsid w:val="006431EA"/>
    <w:rsid w:val="00643361"/>
    <w:rsid w:val="006435F6"/>
    <w:rsid w:val="0064410B"/>
    <w:rsid w:val="006448AB"/>
    <w:rsid w:val="00644B91"/>
    <w:rsid w:val="00644F24"/>
    <w:rsid w:val="0064512C"/>
    <w:rsid w:val="00645329"/>
    <w:rsid w:val="0064534F"/>
    <w:rsid w:val="0064556D"/>
    <w:rsid w:val="006455C9"/>
    <w:rsid w:val="006459FC"/>
    <w:rsid w:val="00645C54"/>
    <w:rsid w:val="00645DC8"/>
    <w:rsid w:val="00645EBD"/>
    <w:rsid w:val="00646000"/>
    <w:rsid w:val="0064647C"/>
    <w:rsid w:val="006467EC"/>
    <w:rsid w:val="00646A44"/>
    <w:rsid w:val="006473C8"/>
    <w:rsid w:val="006478DC"/>
    <w:rsid w:val="00647FA8"/>
    <w:rsid w:val="00650E6A"/>
    <w:rsid w:val="00650F7A"/>
    <w:rsid w:val="00651367"/>
    <w:rsid w:val="00651487"/>
    <w:rsid w:val="006516FE"/>
    <w:rsid w:val="00651BEA"/>
    <w:rsid w:val="00651E2D"/>
    <w:rsid w:val="0065270C"/>
    <w:rsid w:val="00652D1E"/>
    <w:rsid w:val="00652E40"/>
    <w:rsid w:val="00653276"/>
    <w:rsid w:val="006536A8"/>
    <w:rsid w:val="00653AF3"/>
    <w:rsid w:val="00653CCD"/>
    <w:rsid w:val="0065419D"/>
    <w:rsid w:val="00655C09"/>
    <w:rsid w:val="00655C42"/>
    <w:rsid w:val="00655E66"/>
    <w:rsid w:val="006566F2"/>
    <w:rsid w:val="006573F6"/>
    <w:rsid w:val="00657532"/>
    <w:rsid w:val="00657666"/>
    <w:rsid w:val="0065790A"/>
    <w:rsid w:val="006604DF"/>
    <w:rsid w:val="0066072B"/>
    <w:rsid w:val="00660A55"/>
    <w:rsid w:val="00660A9E"/>
    <w:rsid w:val="00660B0F"/>
    <w:rsid w:val="00660D79"/>
    <w:rsid w:val="00661459"/>
    <w:rsid w:val="00661915"/>
    <w:rsid w:val="00661C07"/>
    <w:rsid w:val="00661CA6"/>
    <w:rsid w:val="00661D3F"/>
    <w:rsid w:val="00661F7D"/>
    <w:rsid w:val="00662E22"/>
    <w:rsid w:val="00663186"/>
    <w:rsid w:val="00664351"/>
    <w:rsid w:val="00664406"/>
    <w:rsid w:val="006644A9"/>
    <w:rsid w:val="00664765"/>
    <w:rsid w:val="006648DC"/>
    <w:rsid w:val="00664A7B"/>
    <w:rsid w:val="00664BC0"/>
    <w:rsid w:val="00665518"/>
    <w:rsid w:val="006659C8"/>
    <w:rsid w:val="006660BB"/>
    <w:rsid w:val="00666649"/>
    <w:rsid w:val="00666834"/>
    <w:rsid w:val="00666A19"/>
    <w:rsid w:val="00667259"/>
    <w:rsid w:val="00667424"/>
    <w:rsid w:val="00667732"/>
    <w:rsid w:val="00667AE6"/>
    <w:rsid w:val="00667B3E"/>
    <w:rsid w:val="00667CA6"/>
    <w:rsid w:val="00670176"/>
    <w:rsid w:val="006702C2"/>
    <w:rsid w:val="00671169"/>
    <w:rsid w:val="00671173"/>
    <w:rsid w:val="00671913"/>
    <w:rsid w:val="00671ACA"/>
    <w:rsid w:val="00671CD8"/>
    <w:rsid w:val="00672C7E"/>
    <w:rsid w:val="00672CF8"/>
    <w:rsid w:val="00672E4B"/>
    <w:rsid w:val="00672EDF"/>
    <w:rsid w:val="006734E2"/>
    <w:rsid w:val="00673723"/>
    <w:rsid w:val="006738B9"/>
    <w:rsid w:val="00673BD6"/>
    <w:rsid w:val="00674236"/>
    <w:rsid w:val="00674E9A"/>
    <w:rsid w:val="00675091"/>
    <w:rsid w:val="0067522E"/>
    <w:rsid w:val="006752C9"/>
    <w:rsid w:val="0067598D"/>
    <w:rsid w:val="00675A38"/>
    <w:rsid w:val="00675C94"/>
    <w:rsid w:val="00675FA3"/>
    <w:rsid w:val="00676134"/>
    <w:rsid w:val="006763EB"/>
    <w:rsid w:val="00676C6F"/>
    <w:rsid w:val="00676D26"/>
    <w:rsid w:val="00676E11"/>
    <w:rsid w:val="00676EB1"/>
    <w:rsid w:val="006772B7"/>
    <w:rsid w:val="006775BD"/>
    <w:rsid w:val="006775F2"/>
    <w:rsid w:val="00677850"/>
    <w:rsid w:val="00677859"/>
    <w:rsid w:val="00677B46"/>
    <w:rsid w:val="00677CA0"/>
    <w:rsid w:val="00677F31"/>
    <w:rsid w:val="0068015A"/>
    <w:rsid w:val="006803AC"/>
    <w:rsid w:val="006807CE"/>
    <w:rsid w:val="006809B4"/>
    <w:rsid w:val="00680D0A"/>
    <w:rsid w:val="00680E37"/>
    <w:rsid w:val="00681110"/>
    <w:rsid w:val="006815BF"/>
    <w:rsid w:val="00681860"/>
    <w:rsid w:val="006819A3"/>
    <w:rsid w:val="00681A5A"/>
    <w:rsid w:val="00681C3D"/>
    <w:rsid w:val="006820B5"/>
    <w:rsid w:val="006824C6"/>
    <w:rsid w:val="00682C96"/>
    <w:rsid w:val="0068307C"/>
    <w:rsid w:val="00683175"/>
    <w:rsid w:val="00683262"/>
    <w:rsid w:val="006836A6"/>
    <w:rsid w:val="00683974"/>
    <w:rsid w:val="006839DB"/>
    <w:rsid w:val="00683E05"/>
    <w:rsid w:val="006840AE"/>
    <w:rsid w:val="00684275"/>
    <w:rsid w:val="006847BD"/>
    <w:rsid w:val="00685182"/>
    <w:rsid w:val="00685945"/>
    <w:rsid w:val="00685A73"/>
    <w:rsid w:val="00685C18"/>
    <w:rsid w:val="00685C3D"/>
    <w:rsid w:val="00685CFC"/>
    <w:rsid w:val="00686150"/>
    <w:rsid w:val="0068659B"/>
    <w:rsid w:val="00686BD4"/>
    <w:rsid w:val="00686D18"/>
    <w:rsid w:val="006876F3"/>
    <w:rsid w:val="00687989"/>
    <w:rsid w:val="0069046F"/>
    <w:rsid w:val="006904D3"/>
    <w:rsid w:val="006907EB"/>
    <w:rsid w:val="00690A2E"/>
    <w:rsid w:val="00690D04"/>
    <w:rsid w:val="006911E4"/>
    <w:rsid w:val="00691822"/>
    <w:rsid w:val="00691BEC"/>
    <w:rsid w:val="00691C3E"/>
    <w:rsid w:val="006920D1"/>
    <w:rsid w:val="006923D0"/>
    <w:rsid w:val="0069253D"/>
    <w:rsid w:val="00692581"/>
    <w:rsid w:val="006929A2"/>
    <w:rsid w:val="00692AB1"/>
    <w:rsid w:val="00692BCA"/>
    <w:rsid w:val="00692DDF"/>
    <w:rsid w:val="00693796"/>
    <w:rsid w:val="006939D8"/>
    <w:rsid w:val="00693A3E"/>
    <w:rsid w:val="00693AC3"/>
    <w:rsid w:val="00693B2F"/>
    <w:rsid w:val="006940B8"/>
    <w:rsid w:val="00694662"/>
    <w:rsid w:val="00694730"/>
    <w:rsid w:val="00694A27"/>
    <w:rsid w:val="00695095"/>
    <w:rsid w:val="0069513C"/>
    <w:rsid w:val="0069588F"/>
    <w:rsid w:val="0069596C"/>
    <w:rsid w:val="00696201"/>
    <w:rsid w:val="006967E1"/>
    <w:rsid w:val="00696CE0"/>
    <w:rsid w:val="00697814"/>
    <w:rsid w:val="00697EDA"/>
    <w:rsid w:val="006A091E"/>
    <w:rsid w:val="006A12AC"/>
    <w:rsid w:val="006A1357"/>
    <w:rsid w:val="006A19DA"/>
    <w:rsid w:val="006A1B85"/>
    <w:rsid w:val="006A1BFF"/>
    <w:rsid w:val="006A1D95"/>
    <w:rsid w:val="006A23A0"/>
    <w:rsid w:val="006A2A93"/>
    <w:rsid w:val="006A4455"/>
    <w:rsid w:val="006A4B1B"/>
    <w:rsid w:val="006A4EC5"/>
    <w:rsid w:val="006A53D1"/>
    <w:rsid w:val="006A5613"/>
    <w:rsid w:val="006A5EE0"/>
    <w:rsid w:val="006A62E3"/>
    <w:rsid w:val="006A6661"/>
    <w:rsid w:val="006A6947"/>
    <w:rsid w:val="006A704C"/>
    <w:rsid w:val="006A743F"/>
    <w:rsid w:val="006A7453"/>
    <w:rsid w:val="006A74E0"/>
    <w:rsid w:val="006A7800"/>
    <w:rsid w:val="006B00E9"/>
    <w:rsid w:val="006B02BE"/>
    <w:rsid w:val="006B0575"/>
    <w:rsid w:val="006B07ED"/>
    <w:rsid w:val="006B0877"/>
    <w:rsid w:val="006B0A97"/>
    <w:rsid w:val="006B161C"/>
    <w:rsid w:val="006B187E"/>
    <w:rsid w:val="006B18F3"/>
    <w:rsid w:val="006B2292"/>
    <w:rsid w:val="006B303B"/>
    <w:rsid w:val="006B366E"/>
    <w:rsid w:val="006B3971"/>
    <w:rsid w:val="006B3A00"/>
    <w:rsid w:val="006B4303"/>
    <w:rsid w:val="006B46C1"/>
    <w:rsid w:val="006B4747"/>
    <w:rsid w:val="006B4932"/>
    <w:rsid w:val="006B4C1B"/>
    <w:rsid w:val="006B5115"/>
    <w:rsid w:val="006B6B12"/>
    <w:rsid w:val="006B6C69"/>
    <w:rsid w:val="006B6E79"/>
    <w:rsid w:val="006B7198"/>
    <w:rsid w:val="006B719E"/>
    <w:rsid w:val="006B7644"/>
    <w:rsid w:val="006B7B28"/>
    <w:rsid w:val="006C006D"/>
    <w:rsid w:val="006C045F"/>
    <w:rsid w:val="006C0496"/>
    <w:rsid w:val="006C0B02"/>
    <w:rsid w:val="006C11E7"/>
    <w:rsid w:val="006C14F1"/>
    <w:rsid w:val="006C196D"/>
    <w:rsid w:val="006C1BF0"/>
    <w:rsid w:val="006C2EDA"/>
    <w:rsid w:val="006C30E0"/>
    <w:rsid w:val="006C3610"/>
    <w:rsid w:val="006C3891"/>
    <w:rsid w:val="006C3A19"/>
    <w:rsid w:val="006C3DDF"/>
    <w:rsid w:val="006C3E4D"/>
    <w:rsid w:val="006C4068"/>
    <w:rsid w:val="006C44E2"/>
    <w:rsid w:val="006C467C"/>
    <w:rsid w:val="006C46E0"/>
    <w:rsid w:val="006C4B2E"/>
    <w:rsid w:val="006C4DCE"/>
    <w:rsid w:val="006C5471"/>
    <w:rsid w:val="006C54FD"/>
    <w:rsid w:val="006C57AC"/>
    <w:rsid w:val="006C57CE"/>
    <w:rsid w:val="006C5871"/>
    <w:rsid w:val="006C5A70"/>
    <w:rsid w:val="006C600B"/>
    <w:rsid w:val="006C64C2"/>
    <w:rsid w:val="006C65F0"/>
    <w:rsid w:val="006C67DD"/>
    <w:rsid w:val="006C6CF8"/>
    <w:rsid w:val="006C710D"/>
    <w:rsid w:val="006C726C"/>
    <w:rsid w:val="006C7309"/>
    <w:rsid w:val="006C745B"/>
    <w:rsid w:val="006C74A2"/>
    <w:rsid w:val="006C783A"/>
    <w:rsid w:val="006C78C0"/>
    <w:rsid w:val="006C7C59"/>
    <w:rsid w:val="006C7D61"/>
    <w:rsid w:val="006C7E7F"/>
    <w:rsid w:val="006C7F76"/>
    <w:rsid w:val="006D01F9"/>
    <w:rsid w:val="006D068A"/>
    <w:rsid w:val="006D0A19"/>
    <w:rsid w:val="006D102B"/>
    <w:rsid w:val="006D10B0"/>
    <w:rsid w:val="006D1B1F"/>
    <w:rsid w:val="006D1B48"/>
    <w:rsid w:val="006D1BCC"/>
    <w:rsid w:val="006D2241"/>
    <w:rsid w:val="006D2CD5"/>
    <w:rsid w:val="006D2F2A"/>
    <w:rsid w:val="006D31EE"/>
    <w:rsid w:val="006D374F"/>
    <w:rsid w:val="006D37A8"/>
    <w:rsid w:val="006D3934"/>
    <w:rsid w:val="006D3B38"/>
    <w:rsid w:val="006D4176"/>
    <w:rsid w:val="006D496B"/>
    <w:rsid w:val="006D4A80"/>
    <w:rsid w:val="006D4C69"/>
    <w:rsid w:val="006D4D71"/>
    <w:rsid w:val="006D56AC"/>
    <w:rsid w:val="006D56EB"/>
    <w:rsid w:val="006D589C"/>
    <w:rsid w:val="006D5BBC"/>
    <w:rsid w:val="006D6F09"/>
    <w:rsid w:val="006D70D2"/>
    <w:rsid w:val="006D7303"/>
    <w:rsid w:val="006D7584"/>
    <w:rsid w:val="006D763A"/>
    <w:rsid w:val="006D79FA"/>
    <w:rsid w:val="006E00CE"/>
    <w:rsid w:val="006E10B9"/>
    <w:rsid w:val="006E1376"/>
    <w:rsid w:val="006E1952"/>
    <w:rsid w:val="006E1DF4"/>
    <w:rsid w:val="006E1EB3"/>
    <w:rsid w:val="006E2237"/>
    <w:rsid w:val="006E2655"/>
    <w:rsid w:val="006E2A1D"/>
    <w:rsid w:val="006E33E6"/>
    <w:rsid w:val="006E35D1"/>
    <w:rsid w:val="006E380E"/>
    <w:rsid w:val="006E3937"/>
    <w:rsid w:val="006E3C6E"/>
    <w:rsid w:val="006E45AB"/>
    <w:rsid w:val="006E471B"/>
    <w:rsid w:val="006E52F5"/>
    <w:rsid w:val="006E5462"/>
    <w:rsid w:val="006E566C"/>
    <w:rsid w:val="006E5A1A"/>
    <w:rsid w:val="006E65DF"/>
    <w:rsid w:val="006E7042"/>
    <w:rsid w:val="006E725A"/>
    <w:rsid w:val="006E741E"/>
    <w:rsid w:val="006E782D"/>
    <w:rsid w:val="006E7B80"/>
    <w:rsid w:val="006F04AE"/>
    <w:rsid w:val="006F04D5"/>
    <w:rsid w:val="006F0B4A"/>
    <w:rsid w:val="006F1101"/>
    <w:rsid w:val="006F12B4"/>
    <w:rsid w:val="006F192F"/>
    <w:rsid w:val="006F20A0"/>
    <w:rsid w:val="006F20E2"/>
    <w:rsid w:val="006F2494"/>
    <w:rsid w:val="006F24A5"/>
    <w:rsid w:val="006F2637"/>
    <w:rsid w:val="006F26D5"/>
    <w:rsid w:val="006F2AB7"/>
    <w:rsid w:val="006F329C"/>
    <w:rsid w:val="006F33B7"/>
    <w:rsid w:val="006F3A21"/>
    <w:rsid w:val="006F3D73"/>
    <w:rsid w:val="006F3DBE"/>
    <w:rsid w:val="006F3EB3"/>
    <w:rsid w:val="006F3F65"/>
    <w:rsid w:val="006F431E"/>
    <w:rsid w:val="006F432C"/>
    <w:rsid w:val="006F43D1"/>
    <w:rsid w:val="006F4791"/>
    <w:rsid w:val="006F4B80"/>
    <w:rsid w:val="006F4DAE"/>
    <w:rsid w:val="006F5052"/>
    <w:rsid w:val="006F5114"/>
    <w:rsid w:val="006F534B"/>
    <w:rsid w:val="006F5697"/>
    <w:rsid w:val="006F5820"/>
    <w:rsid w:val="006F5B56"/>
    <w:rsid w:val="006F69FA"/>
    <w:rsid w:val="006F6B85"/>
    <w:rsid w:val="006F6D77"/>
    <w:rsid w:val="006F6F35"/>
    <w:rsid w:val="006F79A8"/>
    <w:rsid w:val="00700549"/>
    <w:rsid w:val="00700A2F"/>
    <w:rsid w:val="00701A7F"/>
    <w:rsid w:val="0070203B"/>
    <w:rsid w:val="0070299A"/>
    <w:rsid w:val="00703136"/>
    <w:rsid w:val="007032B9"/>
    <w:rsid w:val="00703717"/>
    <w:rsid w:val="00703838"/>
    <w:rsid w:val="007041EF"/>
    <w:rsid w:val="007042F0"/>
    <w:rsid w:val="007044A9"/>
    <w:rsid w:val="00704A59"/>
    <w:rsid w:val="00704EA5"/>
    <w:rsid w:val="00705295"/>
    <w:rsid w:val="00705386"/>
    <w:rsid w:val="007058E0"/>
    <w:rsid w:val="00705AF6"/>
    <w:rsid w:val="00705E43"/>
    <w:rsid w:val="00705FA4"/>
    <w:rsid w:val="00706005"/>
    <w:rsid w:val="00706BEF"/>
    <w:rsid w:val="00706C6A"/>
    <w:rsid w:val="00707138"/>
    <w:rsid w:val="0070714E"/>
    <w:rsid w:val="007078B0"/>
    <w:rsid w:val="00710217"/>
    <w:rsid w:val="00710539"/>
    <w:rsid w:val="007105FC"/>
    <w:rsid w:val="00710707"/>
    <w:rsid w:val="0071172F"/>
    <w:rsid w:val="00711940"/>
    <w:rsid w:val="007119A2"/>
    <w:rsid w:val="00711F2C"/>
    <w:rsid w:val="007120C0"/>
    <w:rsid w:val="007123EC"/>
    <w:rsid w:val="00712E60"/>
    <w:rsid w:val="00712F4C"/>
    <w:rsid w:val="00713482"/>
    <w:rsid w:val="00713BA7"/>
    <w:rsid w:val="00713BBE"/>
    <w:rsid w:val="00713D5E"/>
    <w:rsid w:val="00713F0D"/>
    <w:rsid w:val="00713F54"/>
    <w:rsid w:val="0071474D"/>
    <w:rsid w:val="007147C4"/>
    <w:rsid w:val="00714B00"/>
    <w:rsid w:val="00714E10"/>
    <w:rsid w:val="0071556D"/>
    <w:rsid w:val="00715F42"/>
    <w:rsid w:val="00715F45"/>
    <w:rsid w:val="00715F86"/>
    <w:rsid w:val="00716193"/>
    <w:rsid w:val="00716779"/>
    <w:rsid w:val="00716C6C"/>
    <w:rsid w:val="00717347"/>
    <w:rsid w:val="007173F4"/>
    <w:rsid w:val="0071798F"/>
    <w:rsid w:val="00717AF7"/>
    <w:rsid w:val="00717B1C"/>
    <w:rsid w:val="00717BC6"/>
    <w:rsid w:val="00717F05"/>
    <w:rsid w:val="00717F4B"/>
    <w:rsid w:val="00720417"/>
    <w:rsid w:val="00720B9E"/>
    <w:rsid w:val="007212FD"/>
    <w:rsid w:val="007213ED"/>
    <w:rsid w:val="0072163C"/>
    <w:rsid w:val="00721A25"/>
    <w:rsid w:val="00721AAD"/>
    <w:rsid w:val="007220B0"/>
    <w:rsid w:val="0072220B"/>
    <w:rsid w:val="00722230"/>
    <w:rsid w:val="00722356"/>
    <w:rsid w:val="0072237B"/>
    <w:rsid w:val="007226E2"/>
    <w:rsid w:val="00722795"/>
    <w:rsid w:val="007228C8"/>
    <w:rsid w:val="0072323C"/>
    <w:rsid w:val="00723BB7"/>
    <w:rsid w:val="00723DAF"/>
    <w:rsid w:val="00723FAF"/>
    <w:rsid w:val="007240B1"/>
    <w:rsid w:val="00724372"/>
    <w:rsid w:val="00724646"/>
    <w:rsid w:val="00724653"/>
    <w:rsid w:val="00724B99"/>
    <w:rsid w:val="0072508F"/>
    <w:rsid w:val="00725770"/>
    <w:rsid w:val="00725A65"/>
    <w:rsid w:val="00725BA6"/>
    <w:rsid w:val="00725BC3"/>
    <w:rsid w:val="0072619E"/>
    <w:rsid w:val="007262D9"/>
    <w:rsid w:val="007265F0"/>
    <w:rsid w:val="007267CB"/>
    <w:rsid w:val="007269CD"/>
    <w:rsid w:val="00726BF3"/>
    <w:rsid w:val="00726DB4"/>
    <w:rsid w:val="00726E90"/>
    <w:rsid w:val="00727155"/>
    <w:rsid w:val="00727363"/>
    <w:rsid w:val="00727AF3"/>
    <w:rsid w:val="00727E3F"/>
    <w:rsid w:val="007300CF"/>
    <w:rsid w:val="00730937"/>
    <w:rsid w:val="007309AA"/>
    <w:rsid w:val="00730A70"/>
    <w:rsid w:val="00730B5A"/>
    <w:rsid w:val="00730EF4"/>
    <w:rsid w:val="00731372"/>
    <w:rsid w:val="007314FA"/>
    <w:rsid w:val="007315C7"/>
    <w:rsid w:val="00731D23"/>
    <w:rsid w:val="00731F7B"/>
    <w:rsid w:val="0073208D"/>
    <w:rsid w:val="007324C0"/>
    <w:rsid w:val="0073279E"/>
    <w:rsid w:val="00732FC7"/>
    <w:rsid w:val="00733213"/>
    <w:rsid w:val="007333AE"/>
    <w:rsid w:val="007337C4"/>
    <w:rsid w:val="00733A9F"/>
    <w:rsid w:val="00733AF5"/>
    <w:rsid w:val="00733DC6"/>
    <w:rsid w:val="00733E9A"/>
    <w:rsid w:val="0073424B"/>
    <w:rsid w:val="00734AE5"/>
    <w:rsid w:val="00734B19"/>
    <w:rsid w:val="00734C11"/>
    <w:rsid w:val="00734C74"/>
    <w:rsid w:val="00734DC8"/>
    <w:rsid w:val="00734ED8"/>
    <w:rsid w:val="00734F93"/>
    <w:rsid w:val="00735183"/>
    <w:rsid w:val="007353F4"/>
    <w:rsid w:val="0073554B"/>
    <w:rsid w:val="00735574"/>
    <w:rsid w:val="007365F1"/>
    <w:rsid w:val="00736AAC"/>
    <w:rsid w:val="00736FBD"/>
    <w:rsid w:val="00737062"/>
    <w:rsid w:val="007372DB"/>
    <w:rsid w:val="007377F5"/>
    <w:rsid w:val="00737CD8"/>
    <w:rsid w:val="00737F1C"/>
    <w:rsid w:val="00740077"/>
    <w:rsid w:val="007402C0"/>
    <w:rsid w:val="00741753"/>
    <w:rsid w:val="007423E4"/>
    <w:rsid w:val="007428C2"/>
    <w:rsid w:val="00742D2F"/>
    <w:rsid w:val="00743EA6"/>
    <w:rsid w:val="0074415F"/>
    <w:rsid w:val="007447B7"/>
    <w:rsid w:val="00744BC6"/>
    <w:rsid w:val="00744CC6"/>
    <w:rsid w:val="0074546D"/>
    <w:rsid w:val="007454DF"/>
    <w:rsid w:val="00746628"/>
    <w:rsid w:val="00746880"/>
    <w:rsid w:val="0074690B"/>
    <w:rsid w:val="00746FC3"/>
    <w:rsid w:val="00747BBB"/>
    <w:rsid w:val="00751133"/>
    <w:rsid w:val="00751CE0"/>
    <w:rsid w:val="00751E37"/>
    <w:rsid w:val="00751FBA"/>
    <w:rsid w:val="0075221D"/>
    <w:rsid w:val="0075227E"/>
    <w:rsid w:val="0075237A"/>
    <w:rsid w:val="007524F3"/>
    <w:rsid w:val="0075271C"/>
    <w:rsid w:val="007527FE"/>
    <w:rsid w:val="0075287F"/>
    <w:rsid w:val="00752A46"/>
    <w:rsid w:val="00752B4E"/>
    <w:rsid w:val="00752F7E"/>
    <w:rsid w:val="00752FBB"/>
    <w:rsid w:val="00753488"/>
    <w:rsid w:val="00754AB3"/>
    <w:rsid w:val="00754F30"/>
    <w:rsid w:val="0075531C"/>
    <w:rsid w:val="00755419"/>
    <w:rsid w:val="0075553D"/>
    <w:rsid w:val="007559A3"/>
    <w:rsid w:val="007559FC"/>
    <w:rsid w:val="00756C06"/>
    <w:rsid w:val="0075710B"/>
    <w:rsid w:val="0075715F"/>
    <w:rsid w:val="007601C0"/>
    <w:rsid w:val="00760B03"/>
    <w:rsid w:val="007610D8"/>
    <w:rsid w:val="0076133D"/>
    <w:rsid w:val="0076161F"/>
    <w:rsid w:val="0076192C"/>
    <w:rsid w:val="00761D21"/>
    <w:rsid w:val="0076233C"/>
    <w:rsid w:val="007626FC"/>
    <w:rsid w:val="007628F9"/>
    <w:rsid w:val="00762B3C"/>
    <w:rsid w:val="00762F88"/>
    <w:rsid w:val="007631CD"/>
    <w:rsid w:val="00763281"/>
    <w:rsid w:val="0076360F"/>
    <w:rsid w:val="007641F7"/>
    <w:rsid w:val="00764A14"/>
    <w:rsid w:val="00764C52"/>
    <w:rsid w:val="00765103"/>
    <w:rsid w:val="0076534F"/>
    <w:rsid w:val="00765668"/>
    <w:rsid w:val="00765BFA"/>
    <w:rsid w:val="007665B1"/>
    <w:rsid w:val="00766673"/>
    <w:rsid w:val="00766D03"/>
    <w:rsid w:val="00767016"/>
    <w:rsid w:val="00767BE1"/>
    <w:rsid w:val="00770014"/>
    <w:rsid w:val="00770CA3"/>
    <w:rsid w:val="00770FA2"/>
    <w:rsid w:val="007716B9"/>
    <w:rsid w:val="007716E8"/>
    <w:rsid w:val="00772226"/>
    <w:rsid w:val="00772613"/>
    <w:rsid w:val="00772B8B"/>
    <w:rsid w:val="00772D77"/>
    <w:rsid w:val="007730AF"/>
    <w:rsid w:val="00773265"/>
    <w:rsid w:val="007732A5"/>
    <w:rsid w:val="00773B55"/>
    <w:rsid w:val="00773F09"/>
    <w:rsid w:val="007745BC"/>
    <w:rsid w:val="00774E02"/>
    <w:rsid w:val="00774FE7"/>
    <w:rsid w:val="007752FA"/>
    <w:rsid w:val="007755DB"/>
    <w:rsid w:val="00775812"/>
    <w:rsid w:val="007759A0"/>
    <w:rsid w:val="00775B38"/>
    <w:rsid w:val="00775B5A"/>
    <w:rsid w:val="00775F19"/>
    <w:rsid w:val="00775F56"/>
    <w:rsid w:val="0077617B"/>
    <w:rsid w:val="007764FB"/>
    <w:rsid w:val="007770E6"/>
    <w:rsid w:val="00777341"/>
    <w:rsid w:val="007777C8"/>
    <w:rsid w:val="00777C05"/>
    <w:rsid w:val="007800A5"/>
    <w:rsid w:val="00780474"/>
    <w:rsid w:val="0078095C"/>
    <w:rsid w:val="00780B01"/>
    <w:rsid w:val="00780BD9"/>
    <w:rsid w:val="00780FD3"/>
    <w:rsid w:val="007810C2"/>
    <w:rsid w:val="00782459"/>
    <w:rsid w:val="00782815"/>
    <w:rsid w:val="00782CBC"/>
    <w:rsid w:val="00782D01"/>
    <w:rsid w:val="00782D15"/>
    <w:rsid w:val="007837DC"/>
    <w:rsid w:val="0078388E"/>
    <w:rsid w:val="007838F8"/>
    <w:rsid w:val="007841C0"/>
    <w:rsid w:val="007842F7"/>
    <w:rsid w:val="0078466D"/>
    <w:rsid w:val="0078471E"/>
    <w:rsid w:val="00784851"/>
    <w:rsid w:val="00784929"/>
    <w:rsid w:val="00784D27"/>
    <w:rsid w:val="00785722"/>
    <w:rsid w:val="00785A3A"/>
    <w:rsid w:val="007861F5"/>
    <w:rsid w:val="00786346"/>
    <w:rsid w:val="00786D0B"/>
    <w:rsid w:val="0078727A"/>
    <w:rsid w:val="007874A2"/>
    <w:rsid w:val="00787C16"/>
    <w:rsid w:val="00790420"/>
    <w:rsid w:val="0079060B"/>
    <w:rsid w:val="00790791"/>
    <w:rsid w:val="00790A2E"/>
    <w:rsid w:val="00790AF0"/>
    <w:rsid w:val="00790D6C"/>
    <w:rsid w:val="00790EB9"/>
    <w:rsid w:val="00790FEB"/>
    <w:rsid w:val="007912C9"/>
    <w:rsid w:val="007913B0"/>
    <w:rsid w:val="00791545"/>
    <w:rsid w:val="007916BE"/>
    <w:rsid w:val="00791EA4"/>
    <w:rsid w:val="007922D6"/>
    <w:rsid w:val="007923FF"/>
    <w:rsid w:val="0079247A"/>
    <w:rsid w:val="0079252C"/>
    <w:rsid w:val="007927D6"/>
    <w:rsid w:val="007928A3"/>
    <w:rsid w:val="00792E77"/>
    <w:rsid w:val="00793938"/>
    <w:rsid w:val="00793CF1"/>
    <w:rsid w:val="00793D7B"/>
    <w:rsid w:val="00794127"/>
    <w:rsid w:val="00794419"/>
    <w:rsid w:val="00794BC0"/>
    <w:rsid w:val="00794BF2"/>
    <w:rsid w:val="00794C2A"/>
    <w:rsid w:val="00794F23"/>
    <w:rsid w:val="00795265"/>
    <w:rsid w:val="007954F0"/>
    <w:rsid w:val="0079576F"/>
    <w:rsid w:val="00795807"/>
    <w:rsid w:val="0079594B"/>
    <w:rsid w:val="00796002"/>
    <w:rsid w:val="00796557"/>
    <w:rsid w:val="00796A0B"/>
    <w:rsid w:val="00796A50"/>
    <w:rsid w:val="00796AF9"/>
    <w:rsid w:val="00796CC3"/>
    <w:rsid w:val="00796DCB"/>
    <w:rsid w:val="007970DB"/>
    <w:rsid w:val="007971B5"/>
    <w:rsid w:val="007974E2"/>
    <w:rsid w:val="00797C89"/>
    <w:rsid w:val="00797CB0"/>
    <w:rsid w:val="007A0137"/>
    <w:rsid w:val="007A017B"/>
    <w:rsid w:val="007A046E"/>
    <w:rsid w:val="007A094A"/>
    <w:rsid w:val="007A0FFD"/>
    <w:rsid w:val="007A111C"/>
    <w:rsid w:val="007A1186"/>
    <w:rsid w:val="007A1532"/>
    <w:rsid w:val="007A1767"/>
    <w:rsid w:val="007A223C"/>
    <w:rsid w:val="007A31A9"/>
    <w:rsid w:val="007A32BE"/>
    <w:rsid w:val="007A43DA"/>
    <w:rsid w:val="007A49EF"/>
    <w:rsid w:val="007A529A"/>
    <w:rsid w:val="007A52B4"/>
    <w:rsid w:val="007A55E4"/>
    <w:rsid w:val="007A55E7"/>
    <w:rsid w:val="007A57C4"/>
    <w:rsid w:val="007A5A7D"/>
    <w:rsid w:val="007A61C5"/>
    <w:rsid w:val="007A6272"/>
    <w:rsid w:val="007A6623"/>
    <w:rsid w:val="007A680D"/>
    <w:rsid w:val="007A6F8C"/>
    <w:rsid w:val="007A7210"/>
    <w:rsid w:val="007A7580"/>
    <w:rsid w:val="007B020A"/>
    <w:rsid w:val="007B03DB"/>
    <w:rsid w:val="007B0576"/>
    <w:rsid w:val="007B0912"/>
    <w:rsid w:val="007B0D6A"/>
    <w:rsid w:val="007B1247"/>
    <w:rsid w:val="007B1733"/>
    <w:rsid w:val="007B176B"/>
    <w:rsid w:val="007B1CBD"/>
    <w:rsid w:val="007B1DAB"/>
    <w:rsid w:val="007B203A"/>
    <w:rsid w:val="007B203F"/>
    <w:rsid w:val="007B2529"/>
    <w:rsid w:val="007B28E5"/>
    <w:rsid w:val="007B2C48"/>
    <w:rsid w:val="007B35B7"/>
    <w:rsid w:val="007B3D9A"/>
    <w:rsid w:val="007B3EB8"/>
    <w:rsid w:val="007B50D6"/>
    <w:rsid w:val="007B54CB"/>
    <w:rsid w:val="007B55A0"/>
    <w:rsid w:val="007B5665"/>
    <w:rsid w:val="007B5B31"/>
    <w:rsid w:val="007B5D4C"/>
    <w:rsid w:val="007B5D7D"/>
    <w:rsid w:val="007B6751"/>
    <w:rsid w:val="007B692A"/>
    <w:rsid w:val="007B6BF9"/>
    <w:rsid w:val="007B6C1D"/>
    <w:rsid w:val="007B6C4A"/>
    <w:rsid w:val="007B6F3A"/>
    <w:rsid w:val="007B731E"/>
    <w:rsid w:val="007B755C"/>
    <w:rsid w:val="007B7DB4"/>
    <w:rsid w:val="007C014D"/>
    <w:rsid w:val="007C044B"/>
    <w:rsid w:val="007C0C0A"/>
    <w:rsid w:val="007C0C71"/>
    <w:rsid w:val="007C16BB"/>
    <w:rsid w:val="007C2C5C"/>
    <w:rsid w:val="007C2EEC"/>
    <w:rsid w:val="007C317A"/>
    <w:rsid w:val="007C33A1"/>
    <w:rsid w:val="007C3458"/>
    <w:rsid w:val="007C35F7"/>
    <w:rsid w:val="007C36FF"/>
    <w:rsid w:val="007C3716"/>
    <w:rsid w:val="007C3819"/>
    <w:rsid w:val="007C3973"/>
    <w:rsid w:val="007C5006"/>
    <w:rsid w:val="007C5257"/>
    <w:rsid w:val="007C528D"/>
    <w:rsid w:val="007C5560"/>
    <w:rsid w:val="007C5707"/>
    <w:rsid w:val="007C58B1"/>
    <w:rsid w:val="007C58CF"/>
    <w:rsid w:val="007C5A99"/>
    <w:rsid w:val="007C5E2C"/>
    <w:rsid w:val="007C63E7"/>
    <w:rsid w:val="007C6416"/>
    <w:rsid w:val="007C647C"/>
    <w:rsid w:val="007C7607"/>
    <w:rsid w:val="007C763F"/>
    <w:rsid w:val="007C79A9"/>
    <w:rsid w:val="007C7A63"/>
    <w:rsid w:val="007C7D63"/>
    <w:rsid w:val="007C7D85"/>
    <w:rsid w:val="007D00C6"/>
    <w:rsid w:val="007D0223"/>
    <w:rsid w:val="007D023C"/>
    <w:rsid w:val="007D041C"/>
    <w:rsid w:val="007D0628"/>
    <w:rsid w:val="007D0AA4"/>
    <w:rsid w:val="007D0F4B"/>
    <w:rsid w:val="007D10C9"/>
    <w:rsid w:val="007D13FD"/>
    <w:rsid w:val="007D144B"/>
    <w:rsid w:val="007D173E"/>
    <w:rsid w:val="007D1CA1"/>
    <w:rsid w:val="007D1EE8"/>
    <w:rsid w:val="007D2071"/>
    <w:rsid w:val="007D21B0"/>
    <w:rsid w:val="007D230A"/>
    <w:rsid w:val="007D2573"/>
    <w:rsid w:val="007D2EEC"/>
    <w:rsid w:val="007D3580"/>
    <w:rsid w:val="007D3C7D"/>
    <w:rsid w:val="007D4404"/>
    <w:rsid w:val="007D4712"/>
    <w:rsid w:val="007D476D"/>
    <w:rsid w:val="007D4CF5"/>
    <w:rsid w:val="007D4D0E"/>
    <w:rsid w:val="007D4EAB"/>
    <w:rsid w:val="007D547A"/>
    <w:rsid w:val="007D56AA"/>
    <w:rsid w:val="007D5982"/>
    <w:rsid w:val="007D5C86"/>
    <w:rsid w:val="007D5CA2"/>
    <w:rsid w:val="007D5F66"/>
    <w:rsid w:val="007D66CE"/>
    <w:rsid w:val="007D66E4"/>
    <w:rsid w:val="007D6B8B"/>
    <w:rsid w:val="007D6DD6"/>
    <w:rsid w:val="007D6E1D"/>
    <w:rsid w:val="007D7781"/>
    <w:rsid w:val="007D7EA8"/>
    <w:rsid w:val="007E05E9"/>
    <w:rsid w:val="007E08E0"/>
    <w:rsid w:val="007E0D62"/>
    <w:rsid w:val="007E11EA"/>
    <w:rsid w:val="007E188E"/>
    <w:rsid w:val="007E18C6"/>
    <w:rsid w:val="007E1953"/>
    <w:rsid w:val="007E1D86"/>
    <w:rsid w:val="007E200C"/>
    <w:rsid w:val="007E228B"/>
    <w:rsid w:val="007E24B0"/>
    <w:rsid w:val="007E250A"/>
    <w:rsid w:val="007E2533"/>
    <w:rsid w:val="007E265C"/>
    <w:rsid w:val="007E284E"/>
    <w:rsid w:val="007E2E61"/>
    <w:rsid w:val="007E2F82"/>
    <w:rsid w:val="007E3058"/>
    <w:rsid w:val="007E3133"/>
    <w:rsid w:val="007E36AF"/>
    <w:rsid w:val="007E398B"/>
    <w:rsid w:val="007E3996"/>
    <w:rsid w:val="007E3C35"/>
    <w:rsid w:val="007E4279"/>
    <w:rsid w:val="007E484C"/>
    <w:rsid w:val="007E4861"/>
    <w:rsid w:val="007E48F0"/>
    <w:rsid w:val="007E4BFC"/>
    <w:rsid w:val="007E4D4C"/>
    <w:rsid w:val="007E5934"/>
    <w:rsid w:val="007E69D3"/>
    <w:rsid w:val="007E7331"/>
    <w:rsid w:val="007E7829"/>
    <w:rsid w:val="007F0448"/>
    <w:rsid w:val="007F050D"/>
    <w:rsid w:val="007F0734"/>
    <w:rsid w:val="007F07E5"/>
    <w:rsid w:val="007F0E82"/>
    <w:rsid w:val="007F0EED"/>
    <w:rsid w:val="007F1B91"/>
    <w:rsid w:val="007F1D38"/>
    <w:rsid w:val="007F1D5D"/>
    <w:rsid w:val="007F246C"/>
    <w:rsid w:val="007F28F3"/>
    <w:rsid w:val="007F2AC2"/>
    <w:rsid w:val="007F2C2F"/>
    <w:rsid w:val="007F2F4D"/>
    <w:rsid w:val="007F308B"/>
    <w:rsid w:val="007F31AB"/>
    <w:rsid w:val="007F34BF"/>
    <w:rsid w:val="007F37E3"/>
    <w:rsid w:val="007F38B2"/>
    <w:rsid w:val="007F3A4A"/>
    <w:rsid w:val="007F3B6C"/>
    <w:rsid w:val="007F46E0"/>
    <w:rsid w:val="007F4844"/>
    <w:rsid w:val="007F4C1F"/>
    <w:rsid w:val="007F4CD4"/>
    <w:rsid w:val="007F4D4A"/>
    <w:rsid w:val="007F5003"/>
    <w:rsid w:val="007F5164"/>
    <w:rsid w:val="007F5E5A"/>
    <w:rsid w:val="007F5E92"/>
    <w:rsid w:val="007F5F46"/>
    <w:rsid w:val="007F611B"/>
    <w:rsid w:val="007F67AB"/>
    <w:rsid w:val="007F6DF4"/>
    <w:rsid w:val="00800433"/>
    <w:rsid w:val="0080092C"/>
    <w:rsid w:val="00800EC2"/>
    <w:rsid w:val="0080151E"/>
    <w:rsid w:val="008017C1"/>
    <w:rsid w:val="0080181E"/>
    <w:rsid w:val="00801DAD"/>
    <w:rsid w:val="00801EB2"/>
    <w:rsid w:val="00802B28"/>
    <w:rsid w:val="00802B84"/>
    <w:rsid w:val="00803942"/>
    <w:rsid w:val="00803C9B"/>
    <w:rsid w:val="00804118"/>
    <w:rsid w:val="00804D66"/>
    <w:rsid w:val="00805076"/>
    <w:rsid w:val="00805415"/>
    <w:rsid w:val="00805530"/>
    <w:rsid w:val="00806834"/>
    <w:rsid w:val="00806AA3"/>
    <w:rsid w:val="00806AF3"/>
    <w:rsid w:val="00806CCF"/>
    <w:rsid w:val="00806F54"/>
    <w:rsid w:val="00806FC0"/>
    <w:rsid w:val="008074AF"/>
    <w:rsid w:val="00807CFF"/>
    <w:rsid w:val="00807F9E"/>
    <w:rsid w:val="008102D7"/>
    <w:rsid w:val="00810A1E"/>
    <w:rsid w:val="00810AEE"/>
    <w:rsid w:val="00811286"/>
    <w:rsid w:val="008112C0"/>
    <w:rsid w:val="00811813"/>
    <w:rsid w:val="00811FC0"/>
    <w:rsid w:val="00812766"/>
    <w:rsid w:val="00812F97"/>
    <w:rsid w:val="008130BF"/>
    <w:rsid w:val="008136DD"/>
    <w:rsid w:val="00813A04"/>
    <w:rsid w:val="00813C3D"/>
    <w:rsid w:val="00813C9A"/>
    <w:rsid w:val="00813D10"/>
    <w:rsid w:val="00814189"/>
    <w:rsid w:val="0081430F"/>
    <w:rsid w:val="00814D3E"/>
    <w:rsid w:val="008151DB"/>
    <w:rsid w:val="00815983"/>
    <w:rsid w:val="00815A33"/>
    <w:rsid w:val="008160B1"/>
    <w:rsid w:val="00816779"/>
    <w:rsid w:val="00816A49"/>
    <w:rsid w:val="00816F24"/>
    <w:rsid w:val="008171D6"/>
    <w:rsid w:val="008173E1"/>
    <w:rsid w:val="00817AFB"/>
    <w:rsid w:val="00817D7E"/>
    <w:rsid w:val="008204B9"/>
    <w:rsid w:val="008205DC"/>
    <w:rsid w:val="00820653"/>
    <w:rsid w:val="00820AB0"/>
    <w:rsid w:val="00820CA4"/>
    <w:rsid w:val="008210CC"/>
    <w:rsid w:val="008211D9"/>
    <w:rsid w:val="008217B7"/>
    <w:rsid w:val="008217E0"/>
    <w:rsid w:val="00821DA4"/>
    <w:rsid w:val="008227BD"/>
    <w:rsid w:val="00822AA4"/>
    <w:rsid w:val="00822C58"/>
    <w:rsid w:val="00823EB8"/>
    <w:rsid w:val="0082445C"/>
    <w:rsid w:val="00824837"/>
    <w:rsid w:val="00824938"/>
    <w:rsid w:val="00825271"/>
    <w:rsid w:val="00825B0D"/>
    <w:rsid w:val="00825FEA"/>
    <w:rsid w:val="00826336"/>
    <w:rsid w:val="00826409"/>
    <w:rsid w:val="008266C7"/>
    <w:rsid w:val="00826796"/>
    <w:rsid w:val="00826B82"/>
    <w:rsid w:val="00826CBC"/>
    <w:rsid w:val="008270C7"/>
    <w:rsid w:val="008272BA"/>
    <w:rsid w:val="008272C3"/>
    <w:rsid w:val="00827DDE"/>
    <w:rsid w:val="00827ECE"/>
    <w:rsid w:val="00830164"/>
    <w:rsid w:val="008302F1"/>
    <w:rsid w:val="00830DBA"/>
    <w:rsid w:val="00830DD5"/>
    <w:rsid w:val="00830F01"/>
    <w:rsid w:val="00831002"/>
    <w:rsid w:val="00831174"/>
    <w:rsid w:val="008316CA"/>
    <w:rsid w:val="008319E7"/>
    <w:rsid w:val="00831A1A"/>
    <w:rsid w:val="00831A22"/>
    <w:rsid w:val="00831DA6"/>
    <w:rsid w:val="008326F0"/>
    <w:rsid w:val="0083289A"/>
    <w:rsid w:val="008330FE"/>
    <w:rsid w:val="008336A9"/>
    <w:rsid w:val="0083410E"/>
    <w:rsid w:val="00834665"/>
    <w:rsid w:val="0083482E"/>
    <w:rsid w:val="00834D25"/>
    <w:rsid w:val="00835153"/>
    <w:rsid w:val="00835A89"/>
    <w:rsid w:val="00835C5A"/>
    <w:rsid w:val="00836E5D"/>
    <w:rsid w:val="008409FF"/>
    <w:rsid w:val="00840ACA"/>
    <w:rsid w:val="00840C2F"/>
    <w:rsid w:val="008410DF"/>
    <w:rsid w:val="008415A7"/>
    <w:rsid w:val="008419C9"/>
    <w:rsid w:val="00841D60"/>
    <w:rsid w:val="008425BB"/>
    <w:rsid w:val="00842C33"/>
    <w:rsid w:val="00842EF7"/>
    <w:rsid w:val="00843024"/>
    <w:rsid w:val="00843514"/>
    <w:rsid w:val="008436E3"/>
    <w:rsid w:val="00843730"/>
    <w:rsid w:val="008437BA"/>
    <w:rsid w:val="00844618"/>
    <w:rsid w:val="00844B13"/>
    <w:rsid w:val="00844F86"/>
    <w:rsid w:val="00845181"/>
    <w:rsid w:val="008451B2"/>
    <w:rsid w:val="00845278"/>
    <w:rsid w:val="00845356"/>
    <w:rsid w:val="00845BB6"/>
    <w:rsid w:val="008461F2"/>
    <w:rsid w:val="0084626D"/>
    <w:rsid w:val="0084684B"/>
    <w:rsid w:val="00846CB2"/>
    <w:rsid w:val="00846D8D"/>
    <w:rsid w:val="00847295"/>
    <w:rsid w:val="00847838"/>
    <w:rsid w:val="00847EE8"/>
    <w:rsid w:val="008500C6"/>
    <w:rsid w:val="00850166"/>
    <w:rsid w:val="00850639"/>
    <w:rsid w:val="008510D6"/>
    <w:rsid w:val="008513B9"/>
    <w:rsid w:val="00851728"/>
    <w:rsid w:val="0085262F"/>
    <w:rsid w:val="0085290B"/>
    <w:rsid w:val="008531C1"/>
    <w:rsid w:val="00853708"/>
    <w:rsid w:val="00853ABD"/>
    <w:rsid w:val="00854398"/>
    <w:rsid w:val="008548EE"/>
    <w:rsid w:val="00854A25"/>
    <w:rsid w:val="00854AE2"/>
    <w:rsid w:val="00854C3B"/>
    <w:rsid w:val="00855A1A"/>
    <w:rsid w:val="00856098"/>
    <w:rsid w:val="0085652F"/>
    <w:rsid w:val="008566B8"/>
    <w:rsid w:val="008567FB"/>
    <w:rsid w:val="00856C23"/>
    <w:rsid w:val="00856D5D"/>
    <w:rsid w:val="0085736E"/>
    <w:rsid w:val="008574C2"/>
    <w:rsid w:val="00857CDA"/>
    <w:rsid w:val="00860153"/>
    <w:rsid w:val="00860CDA"/>
    <w:rsid w:val="00860F2D"/>
    <w:rsid w:val="0086119F"/>
    <w:rsid w:val="00861349"/>
    <w:rsid w:val="008617AB"/>
    <w:rsid w:val="008619CB"/>
    <w:rsid w:val="00862743"/>
    <w:rsid w:val="008630DB"/>
    <w:rsid w:val="00863C41"/>
    <w:rsid w:val="00863E19"/>
    <w:rsid w:val="00864519"/>
    <w:rsid w:val="00864F4D"/>
    <w:rsid w:val="00865480"/>
    <w:rsid w:val="00865AB1"/>
    <w:rsid w:val="00865C1E"/>
    <w:rsid w:val="00865EDD"/>
    <w:rsid w:val="00866164"/>
    <w:rsid w:val="0086650F"/>
    <w:rsid w:val="0086684A"/>
    <w:rsid w:val="008668B9"/>
    <w:rsid w:val="00866D36"/>
    <w:rsid w:val="00867064"/>
    <w:rsid w:val="0086743B"/>
    <w:rsid w:val="0086784D"/>
    <w:rsid w:val="00867BCF"/>
    <w:rsid w:val="00867E8B"/>
    <w:rsid w:val="0087025D"/>
    <w:rsid w:val="0087063C"/>
    <w:rsid w:val="00870E00"/>
    <w:rsid w:val="00871A75"/>
    <w:rsid w:val="00871B94"/>
    <w:rsid w:val="00872437"/>
    <w:rsid w:val="00872852"/>
    <w:rsid w:val="00872E50"/>
    <w:rsid w:val="0087329E"/>
    <w:rsid w:val="00873905"/>
    <w:rsid w:val="00873948"/>
    <w:rsid w:val="00873DB9"/>
    <w:rsid w:val="008740CF"/>
    <w:rsid w:val="008743A6"/>
    <w:rsid w:val="0087455A"/>
    <w:rsid w:val="00874785"/>
    <w:rsid w:val="00874972"/>
    <w:rsid w:val="00874F9C"/>
    <w:rsid w:val="008751B6"/>
    <w:rsid w:val="008755F7"/>
    <w:rsid w:val="0087563F"/>
    <w:rsid w:val="008759F5"/>
    <w:rsid w:val="00876866"/>
    <w:rsid w:val="0087718C"/>
    <w:rsid w:val="0087792A"/>
    <w:rsid w:val="00877D28"/>
    <w:rsid w:val="0087C15A"/>
    <w:rsid w:val="008805DB"/>
    <w:rsid w:val="00880B78"/>
    <w:rsid w:val="00880EC9"/>
    <w:rsid w:val="00880FC1"/>
    <w:rsid w:val="008815C5"/>
    <w:rsid w:val="00881808"/>
    <w:rsid w:val="008819C1"/>
    <w:rsid w:val="0088244E"/>
    <w:rsid w:val="008824A8"/>
    <w:rsid w:val="0088261E"/>
    <w:rsid w:val="0088265D"/>
    <w:rsid w:val="00882AD1"/>
    <w:rsid w:val="00882BF3"/>
    <w:rsid w:val="00883D85"/>
    <w:rsid w:val="00883F33"/>
    <w:rsid w:val="00883F6E"/>
    <w:rsid w:val="0088421A"/>
    <w:rsid w:val="0088422A"/>
    <w:rsid w:val="008842A4"/>
    <w:rsid w:val="008845DF"/>
    <w:rsid w:val="008846ED"/>
    <w:rsid w:val="00884792"/>
    <w:rsid w:val="00884895"/>
    <w:rsid w:val="0088494D"/>
    <w:rsid w:val="008850E3"/>
    <w:rsid w:val="0088566B"/>
    <w:rsid w:val="00885937"/>
    <w:rsid w:val="00886069"/>
    <w:rsid w:val="008866B3"/>
    <w:rsid w:val="0088676F"/>
    <w:rsid w:val="00886888"/>
    <w:rsid w:val="00886919"/>
    <w:rsid w:val="00886AE2"/>
    <w:rsid w:val="00886D2E"/>
    <w:rsid w:val="00886DD2"/>
    <w:rsid w:val="00886F75"/>
    <w:rsid w:val="00887621"/>
    <w:rsid w:val="008877D3"/>
    <w:rsid w:val="00887AF4"/>
    <w:rsid w:val="00887B2B"/>
    <w:rsid w:val="00887C83"/>
    <w:rsid w:val="008902C5"/>
    <w:rsid w:val="0089038F"/>
    <w:rsid w:val="008904EF"/>
    <w:rsid w:val="008905DB"/>
    <w:rsid w:val="00890664"/>
    <w:rsid w:val="008907EF"/>
    <w:rsid w:val="00890A8C"/>
    <w:rsid w:val="00890D8D"/>
    <w:rsid w:val="00890E76"/>
    <w:rsid w:val="008915CF"/>
    <w:rsid w:val="008916DE"/>
    <w:rsid w:val="00891783"/>
    <w:rsid w:val="00891D4F"/>
    <w:rsid w:val="008926C3"/>
    <w:rsid w:val="00892713"/>
    <w:rsid w:val="00892957"/>
    <w:rsid w:val="00892CCD"/>
    <w:rsid w:val="00893420"/>
    <w:rsid w:val="0089463C"/>
    <w:rsid w:val="008948F3"/>
    <w:rsid w:val="00894CBF"/>
    <w:rsid w:val="0089530F"/>
    <w:rsid w:val="008955F4"/>
    <w:rsid w:val="00895D87"/>
    <w:rsid w:val="00895D92"/>
    <w:rsid w:val="008961B5"/>
    <w:rsid w:val="00896328"/>
    <w:rsid w:val="00896975"/>
    <w:rsid w:val="00896FEF"/>
    <w:rsid w:val="008972BC"/>
    <w:rsid w:val="00897728"/>
    <w:rsid w:val="00897C8C"/>
    <w:rsid w:val="00897E16"/>
    <w:rsid w:val="008A0208"/>
    <w:rsid w:val="008A05BE"/>
    <w:rsid w:val="008A073A"/>
    <w:rsid w:val="008A0890"/>
    <w:rsid w:val="008A089F"/>
    <w:rsid w:val="008A093B"/>
    <w:rsid w:val="008A0BBF"/>
    <w:rsid w:val="008A0FF8"/>
    <w:rsid w:val="008A2514"/>
    <w:rsid w:val="008A252E"/>
    <w:rsid w:val="008A2706"/>
    <w:rsid w:val="008A272F"/>
    <w:rsid w:val="008A29DA"/>
    <w:rsid w:val="008A2A3D"/>
    <w:rsid w:val="008A321B"/>
    <w:rsid w:val="008A3250"/>
    <w:rsid w:val="008A396D"/>
    <w:rsid w:val="008A3B5D"/>
    <w:rsid w:val="008A3B63"/>
    <w:rsid w:val="008A3DA0"/>
    <w:rsid w:val="008A4040"/>
    <w:rsid w:val="008A409C"/>
    <w:rsid w:val="008A40E7"/>
    <w:rsid w:val="008A41B4"/>
    <w:rsid w:val="008A44ED"/>
    <w:rsid w:val="008A4591"/>
    <w:rsid w:val="008A4685"/>
    <w:rsid w:val="008A468C"/>
    <w:rsid w:val="008A4A39"/>
    <w:rsid w:val="008A4BC0"/>
    <w:rsid w:val="008A4C08"/>
    <w:rsid w:val="008A51EE"/>
    <w:rsid w:val="008A5580"/>
    <w:rsid w:val="008A559A"/>
    <w:rsid w:val="008A5727"/>
    <w:rsid w:val="008A5799"/>
    <w:rsid w:val="008A57B6"/>
    <w:rsid w:val="008A57FE"/>
    <w:rsid w:val="008A5963"/>
    <w:rsid w:val="008A5B12"/>
    <w:rsid w:val="008A5D50"/>
    <w:rsid w:val="008A5D83"/>
    <w:rsid w:val="008A61AE"/>
    <w:rsid w:val="008A6440"/>
    <w:rsid w:val="008A65BE"/>
    <w:rsid w:val="008A6B9D"/>
    <w:rsid w:val="008A7E87"/>
    <w:rsid w:val="008A7EBE"/>
    <w:rsid w:val="008B03B0"/>
    <w:rsid w:val="008B04D4"/>
    <w:rsid w:val="008B0FEA"/>
    <w:rsid w:val="008B1536"/>
    <w:rsid w:val="008B17B5"/>
    <w:rsid w:val="008B18AD"/>
    <w:rsid w:val="008B1C49"/>
    <w:rsid w:val="008B1F41"/>
    <w:rsid w:val="008B1F86"/>
    <w:rsid w:val="008B2217"/>
    <w:rsid w:val="008B22EE"/>
    <w:rsid w:val="008B2825"/>
    <w:rsid w:val="008B2A44"/>
    <w:rsid w:val="008B2D0E"/>
    <w:rsid w:val="008B3059"/>
    <w:rsid w:val="008B30EE"/>
    <w:rsid w:val="008B3146"/>
    <w:rsid w:val="008B3547"/>
    <w:rsid w:val="008B39D1"/>
    <w:rsid w:val="008B3BA1"/>
    <w:rsid w:val="008B3C74"/>
    <w:rsid w:val="008B471F"/>
    <w:rsid w:val="008B47A9"/>
    <w:rsid w:val="008B4C3F"/>
    <w:rsid w:val="008B55CF"/>
    <w:rsid w:val="008B5911"/>
    <w:rsid w:val="008B5BB6"/>
    <w:rsid w:val="008B5C7A"/>
    <w:rsid w:val="008B63FF"/>
    <w:rsid w:val="008B655B"/>
    <w:rsid w:val="008B6BE9"/>
    <w:rsid w:val="008B71ED"/>
    <w:rsid w:val="008B77BD"/>
    <w:rsid w:val="008B79C6"/>
    <w:rsid w:val="008B7B41"/>
    <w:rsid w:val="008B7DA5"/>
    <w:rsid w:val="008B7F74"/>
    <w:rsid w:val="008C046C"/>
    <w:rsid w:val="008C0709"/>
    <w:rsid w:val="008C0869"/>
    <w:rsid w:val="008C18F2"/>
    <w:rsid w:val="008C2428"/>
    <w:rsid w:val="008C25BA"/>
    <w:rsid w:val="008C2781"/>
    <w:rsid w:val="008C2A1E"/>
    <w:rsid w:val="008C2B2C"/>
    <w:rsid w:val="008C3450"/>
    <w:rsid w:val="008C36E8"/>
    <w:rsid w:val="008C37F6"/>
    <w:rsid w:val="008C3976"/>
    <w:rsid w:val="008C41BC"/>
    <w:rsid w:val="008C5590"/>
    <w:rsid w:val="008C5B21"/>
    <w:rsid w:val="008C5E13"/>
    <w:rsid w:val="008C5E80"/>
    <w:rsid w:val="008C6A2A"/>
    <w:rsid w:val="008C6DC4"/>
    <w:rsid w:val="008C6F6E"/>
    <w:rsid w:val="008C7111"/>
    <w:rsid w:val="008C7A79"/>
    <w:rsid w:val="008C7F9A"/>
    <w:rsid w:val="008D002B"/>
    <w:rsid w:val="008D0341"/>
    <w:rsid w:val="008D04B9"/>
    <w:rsid w:val="008D06CD"/>
    <w:rsid w:val="008D0E9D"/>
    <w:rsid w:val="008D1856"/>
    <w:rsid w:val="008D2145"/>
    <w:rsid w:val="008D2342"/>
    <w:rsid w:val="008D2398"/>
    <w:rsid w:val="008D281D"/>
    <w:rsid w:val="008D2A9D"/>
    <w:rsid w:val="008D3551"/>
    <w:rsid w:val="008D39D6"/>
    <w:rsid w:val="008D3CC5"/>
    <w:rsid w:val="008D4185"/>
    <w:rsid w:val="008D4345"/>
    <w:rsid w:val="008D456F"/>
    <w:rsid w:val="008D4A02"/>
    <w:rsid w:val="008D55CF"/>
    <w:rsid w:val="008D56D1"/>
    <w:rsid w:val="008D574E"/>
    <w:rsid w:val="008D583C"/>
    <w:rsid w:val="008D6439"/>
    <w:rsid w:val="008D6A6C"/>
    <w:rsid w:val="008D6DE1"/>
    <w:rsid w:val="008D719F"/>
    <w:rsid w:val="008D71E5"/>
    <w:rsid w:val="008D751E"/>
    <w:rsid w:val="008D7833"/>
    <w:rsid w:val="008D7A22"/>
    <w:rsid w:val="008D7FCC"/>
    <w:rsid w:val="008E038C"/>
    <w:rsid w:val="008E04A4"/>
    <w:rsid w:val="008E0F3C"/>
    <w:rsid w:val="008E0FC6"/>
    <w:rsid w:val="008E1163"/>
    <w:rsid w:val="008E1285"/>
    <w:rsid w:val="008E1511"/>
    <w:rsid w:val="008E157F"/>
    <w:rsid w:val="008E1BA8"/>
    <w:rsid w:val="008E20BB"/>
    <w:rsid w:val="008E26E5"/>
    <w:rsid w:val="008E27DB"/>
    <w:rsid w:val="008E2BD2"/>
    <w:rsid w:val="008E2CFA"/>
    <w:rsid w:val="008E327F"/>
    <w:rsid w:val="008E33EB"/>
    <w:rsid w:val="008E3400"/>
    <w:rsid w:val="008E3745"/>
    <w:rsid w:val="008E4267"/>
    <w:rsid w:val="008E4617"/>
    <w:rsid w:val="008E477F"/>
    <w:rsid w:val="008E47B7"/>
    <w:rsid w:val="008E4A59"/>
    <w:rsid w:val="008E4ABD"/>
    <w:rsid w:val="008E4C41"/>
    <w:rsid w:val="008E54FA"/>
    <w:rsid w:val="008E5A5F"/>
    <w:rsid w:val="008E6269"/>
    <w:rsid w:val="008E62D9"/>
    <w:rsid w:val="008E6418"/>
    <w:rsid w:val="008E646C"/>
    <w:rsid w:val="008E69E5"/>
    <w:rsid w:val="008E6F52"/>
    <w:rsid w:val="008E72C7"/>
    <w:rsid w:val="008E7AEF"/>
    <w:rsid w:val="008E7BD5"/>
    <w:rsid w:val="008E7CC4"/>
    <w:rsid w:val="008F0587"/>
    <w:rsid w:val="008F08BE"/>
    <w:rsid w:val="008F0B94"/>
    <w:rsid w:val="008F0DF8"/>
    <w:rsid w:val="008F0E2E"/>
    <w:rsid w:val="008F135D"/>
    <w:rsid w:val="008F1817"/>
    <w:rsid w:val="008F1866"/>
    <w:rsid w:val="008F19B5"/>
    <w:rsid w:val="008F1B14"/>
    <w:rsid w:val="008F34B3"/>
    <w:rsid w:val="008F35CE"/>
    <w:rsid w:val="008F35D0"/>
    <w:rsid w:val="008F3E2F"/>
    <w:rsid w:val="008F3F3F"/>
    <w:rsid w:val="008F4149"/>
    <w:rsid w:val="008F42EC"/>
    <w:rsid w:val="008F4367"/>
    <w:rsid w:val="008F446D"/>
    <w:rsid w:val="008F4507"/>
    <w:rsid w:val="008F453E"/>
    <w:rsid w:val="008F4EE9"/>
    <w:rsid w:val="008F4F6A"/>
    <w:rsid w:val="008F5EEB"/>
    <w:rsid w:val="008F68F0"/>
    <w:rsid w:val="008F706F"/>
    <w:rsid w:val="008F7354"/>
    <w:rsid w:val="008F7866"/>
    <w:rsid w:val="008F7EC8"/>
    <w:rsid w:val="009001F9"/>
    <w:rsid w:val="009005A8"/>
    <w:rsid w:val="009007E4"/>
    <w:rsid w:val="00900A6B"/>
    <w:rsid w:val="0090126F"/>
    <w:rsid w:val="00901B5E"/>
    <w:rsid w:val="0090258B"/>
    <w:rsid w:val="009026F1"/>
    <w:rsid w:val="00902B9C"/>
    <w:rsid w:val="00902DF5"/>
    <w:rsid w:val="00902F59"/>
    <w:rsid w:val="009035CB"/>
    <w:rsid w:val="009036F9"/>
    <w:rsid w:val="00903C45"/>
    <w:rsid w:val="00904115"/>
    <w:rsid w:val="009044EE"/>
    <w:rsid w:val="00904CBF"/>
    <w:rsid w:val="00905886"/>
    <w:rsid w:val="00905B1B"/>
    <w:rsid w:val="00905BB3"/>
    <w:rsid w:val="00905D69"/>
    <w:rsid w:val="00905E0E"/>
    <w:rsid w:val="00905E69"/>
    <w:rsid w:val="00905E9C"/>
    <w:rsid w:val="00905F03"/>
    <w:rsid w:val="00906131"/>
    <w:rsid w:val="00906F30"/>
    <w:rsid w:val="00906FF3"/>
    <w:rsid w:val="00907390"/>
    <w:rsid w:val="009075CD"/>
    <w:rsid w:val="00907CBA"/>
    <w:rsid w:val="00907D11"/>
    <w:rsid w:val="00907D54"/>
    <w:rsid w:val="00907D94"/>
    <w:rsid w:val="00907FBF"/>
    <w:rsid w:val="0091018D"/>
    <w:rsid w:val="0091049C"/>
    <w:rsid w:val="009106B4"/>
    <w:rsid w:val="00910C1F"/>
    <w:rsid w:val="00910E0C"/>
    <w:rsid w:val="0091186A"/>
    <w:rsid w:val="009118A8"/>
    <w:rsid w:val="00911CA2"/>
    <w:rsid w:val="009121FB"/>
    <w:rsid w:val="0091232D"/>
    <w:rsid w:val="00912E42"/>
    <w:rsid w:val="00912F67"/>
    <w:rsid w:val="00913007"/>
    <w:rsid w:val="009131B8"/>
    <w:rsid w:val="00913467"/>
    <w:rsid w:val="00913728"/>
    <w:rsid w:val="009139E9"/>
    <w:rsid w:val="009139EA"/>
    <w:rsid w:val="009141E0"/>
    <w:rsid w:val="009141F5"/>
    <w:rsid w:val="00914391"/>
    <w:rsid w:val="00914821"/>
    <w:rsid w:val="00914CDF"/>
    <w:rsid w:val="0091551B"/>
    <w:rsid w:val="009156F0"/>
    <w:rsid w:val="00915909"/>
    <w:rsid w:val="00915DAB"/>
    <w:rsid w:val="0091682C"/>
    <w:rsid w:val="00916874"/>
    <w:rsid w:val="0091695E"/>
    <w:rsid w:val="00916AA5"/>
    <w:rsid w:val="00916C83"/>
    <w:rsid w:val="00916FB0"/>
    <w:rsid w:val="00917CCE"/>
    <w:rsid w:val="00920E6C"/>
    <w:rsid w:val="00921210"/>
    <w:rsid w:val="0092132F"/>
    <w:rsid w:val="0092142E"/>
    <w:rsid w:val="00921658"/>
    <w:rsid w:val="0092176E"/>
    <w:rsid w:val="00922388"/>
    <w:rsid w:val="00922A01"/>
    <w:rsid w:val="00922C9B"/>
    <w:rsid w:val="00922CB5"/>
    <w:rsid w:val="00922D09"/>
    <w:rsid w:val="00923527"/>
    <w:rsid w:val="00923748"/>
    <w:rsid w:val="00923973"/>
    <w:rsid w:val="00923C7E"/>
    <w:rsid w:val="00923EDC"/>
    <w:rsid w:val="00924898"/>
    <w:rsid w:val="009258A1"/>
    <w:rsid w:val="00925C57"/>
    <w:rsid w:val="009266A8"/>
    <w:rsid w:val="009266C1"/>
    <w:rsid w:val="00926BC1"/>
    <w:rsid w:val="00926CD8"/>
    <w:rsid w:val="00926F01"/>
    <w:rsid w:val="00927084"/>
    <w:rsid w:val="00927BB7"/>
    <w:rsid w:val="00927C5B"/>
    <w:rsid w:val="009300E9"/>
    <w:rsid w:val="00930C58"/>
    <w:rsid w:val="0093171A"/>
    <w:rsid w:val="009318DE"/>
    <w:rsid w:val="00931B74"/>
    <w:rsid w:val="00931E1B"/>
    <w:rsid w:val="009321B9"/>
    <w:rsid w:val="009324C1"/>
    <w:rsid w:val="00932787"/>
    <w:rsid w:val="00932BDD"/>
    <w:rsid w:val="00933085"/>
    <w:rsid w:val="009330A1"/>
    <w:rsid w:val="0093333C"/>
    <w:rsid w:val="00933B43"/>
    <w:rsid w:val="00933B7F"/>
    <w:rsid w:val="00934163"/>
    <w:rsid w:val="00934CC8"/>
    <w:rsid w:val="00934E42"/>
    <w:rsid w:val="00934FB1"/>
    <w:rsid w:val="00935037"/>
    <w:rsid w:val="0093512B"/>
    <w:rsid w:val="0093622E"/>
    <w:rsid w:val="009363D0"/>
    <w:rsid w:val="009364B5"/>
    <w:rsid w:val="00936540"/>
    <w:rsid w:val="00936CFA"/>
    <w:rsid w:val="00936D22"/>
    <w:rsid w:val="00936F66"/>
    <w:rsid w:val="00936F6C"/>
    <w:rsid w:val="00937788"/>
    <w:rsid w:val="009377A7"/>
    <w:rsid w:val="00937890"/>
    <w:rsid w:val="00937F24"/>
    <w:rsid w:val="009403CC"/>
    <w:rsid w:val="00940691"/>
    <w:rsid w:val="009406C6"/>
    <w:rsid w:val="00940811"/>
    <w:rsid w:val="00940948"/>
    <w:rsid w:val="00940ACC"/>
    <w:rsid w:val="00940CC4"/>
    <w:rsid w:val="00940E73"/>
    <w:rsid w:val="00940EB8"/>
    <w:rsid w:val="00941758"/>
    <w:rsid w:val="0094196F"/>
    <w:rsid w:val="00941D26"/>
    <w:rsid w:val="00942076"/>
    <w:rsid w:val="0094213B"/>
    <w:rsid w:val="00942865"/>
    <w:rsid w:val="00942A2C"/>
    <w:rsid w:val="00942B73"/>
    <w:rsid w:val="009432A8"/>
    <w:rsid w:val="009432C3"/>
    <w:rsid w:val="009437D3"/>
    <w:rsid w:val="00943D7A"/>
    <w:rsid w:val="0094416C"/>
    <w:rsid w:val="00944366"/>
    <w:rsid w:val="009445F1"/>
    <w:rsid w:val="00944718"/>
    <w:rsid w:val="00944B59"/>
    <w:rsid w:val="00944BE2"/>
    <w:rsid w:val="00944CAC"/>
    <w:rsid w:val="00944CB0"/>
    <w:rsid w:val="00944ED6"/>
    <w:rsid w:val="0094516D"/>
    <w:rsid w:val="00945477"/>
    <w:rsid w:val="009455E6"/>
    <w:rsid w:val="00945F78"/>
    <w:rsid w:val="0094657D"/>
    <w:rsid w:val="009466F5"/>
    <w:rsid w:val="00946718"/>
    <w:rsid w:val="00946881"/>
    <w:rsid w:val="00946E09"/>
    <w:rsid w:val="0094738E"/>
    <w:rsid w:val="009475F7"/>
    <w:rsid w:val="009476A4"/>
    <w:rsid w:val="009477C7"/>
    <w:rsid w:val="00947B97"/>
    <w:rsid w:val="00947D8B"/>
    <w:rsid w:val="00950016"/>
    <w:rsid w:val="00950088"/>
    <w:rsid w:val="00950116"/>
    <w:rsid w:val="00950189"/>
    <w:rsid w:val="0095026C"/>
    <w:rsid w:val="00950A49"/>
    <w:rsid w:val="00950F7A"/>
    <w:rsid w:val="00951579"/>
    <w:rsid w:val="00951D1F"/>
    <w:rsid w:val="00951F41"/>
    <w:rsid w:val="009521C0"/>
    <w:rsid w:val="009522C5"/>
    <w:rsid w:val="009528C1"/>
    <w:rsid w:val="00952D0D"/>
    <w:rsid w:val="00952EC9"/>
    <w:rsid w:val="0095338E"/>
    <w:rsid w:val="009534A3"/>
    <w:rsid w:val="009538EC"/>
    <w:rsid w:val="00953998"/>
    <w:rsid w:val="00953A6A"/>
    <w:rsid w:val="00953F20"/>
    <w:rsid w:val="009544CC"/>
    <w:rsid w:val="009552CC"/>
    <w:rsid w:val="009556AC"/>
    <w:rsid w:val="009558B0"/>
    <w:rsid w:val="00955939"/>
    <w:rsid w:val="00955F9F"/>
    <w:rsid w:val="009560A4"/>
    <w:rsid w:val="00956201"/>
    <w:rsid w:val="009565B8"/>
    <w:rsid w:val="00956626"/>
    <w:rsid w:val="00956E39"/>
    <w:rsid w:val="00956F14"/>
    <w:rsid w:val="0095717B"/>
    <w:rsid w:val="0095752B"/>
    <w:rsid w:val="00957EE7"/>
    <w:rsid w:val="00960405"/>
    <w:rsid w:val="00960507"/>
    <w:rsid w:val="00960526"/>
    <w:rsid w:val="00960835"/>
    <w:rsid w:val="00960C64"/>
    <w:rsid w:val="00960E4B"/>
    <w:rsid w:val="00960F50"/>
    <w:rsid w:val="009610D4"/>
    <w:rsid w:val="009619E9"/>
    <w:rsid w:val="00961E3C"/>
    <w:rsid w:val="009621F5"/>
    <w:rsid w:val="00963058"/>
    <w:rsid w:val="0096329C"/>
    <w:rsid w:val="009633A3"/>
    <w:rsid w:val="009635FC"/>
    <w:rsid w:val="00963678"/>
    <w:rsid w:val="009637BB"/>
    <w:rsid w:val="009639E1"/>
    <w:rsid w:val="00963C47"/>
    <w:rsid w:val="00963E82"/>
    <w:rsid w:val="009643D1"/>
    <w:rsid w:val="00964430"/>
    <w:rsid w:val="0096465D"/>
    <w:rsid w:val="009649C8"/>
    <w:rsid w:val="00964F4E"/>
    <w:rsid w:val="009653C9"/>
    <w:rsid w:val="009654F5"/>
    <w:rsid w:val="00965BA3"/>
    <w:rsid w:val="0096613D"/>
    <w:rsid w:val="0096655A"/>
    <w:rsid w:val="00966CCD"/>
    <w:rsid w:val="00966E80"/>
    <w:rsid w:val="0096718F"/>
    <w:rsid w:val="00967312"/>
    <w:rsid w:val="0096735E"/>
    <w:rsid w:val="00967864"/>
    <w:rsid w:val="00967A82"/>
    <w:rsid w:val="00967DD3"/>
    <w:rsid w:val="00970F15"/>
    <w:rsid w:val="00970FEC"/>
    <w:rsid w:val="009710A8"/>
    <w:rsid w:val="00971825"/>
    <w:rsid w:val="00971A33"/>
    <w:rsid w:val="00971A4C"/>
    <w:rsid w:val="00971A50"/>
    <w:rsid w:val="00971ED8"/>
    <w:rsid w:val="0097222F"/>
    <w:rsid w:val="00972231"/>
    <w:rsid w:val="00972789"/>
    <w:rsid w:val="00972E70"/>
    <w:rsid w:val="00973068"/>
    <w:rsid w:val="009737D6"/>
    <w:rsid w:val="00973A58"/>
    <w:rsid w:val="009741CC"/>
    <w:rsid w:val="00974751"/>
    <w:rsid w:val="009747B6"/>
    <w:rsid w:val="00974968"/>
    <w:rsid w:val="00974B13"/>
    <w:rsid w:val="00974BC6"/>
    <w:rsid w:val="00974E14"/>
    <w:rsid w:val="00974FE3"/>
    <w:rsid w:val="009757EC"/>
    <w:rsid w:val="00975C93"/>
    <w:rsid w:val="00976959"/>
    <w:rsid w:val="009769A7"/>
    <w:rsid w:val="00976A8B"/>
    <w:rsid w:val="009771A9"/>
    <w:rsid w:val="0097750C"/>
    <w:rsid w:val="00980000"/>
    <w:rsid w:val="00980037"/>
    <w:rsid w:val="009800B3"/>
    <w:rsid w:val="009800D4"/>
    <w:rsid w:val="0098087D"/>
    <w:rsid w:val="009814B9"/>
    <w:rsid w:val="00981BC8"/>
    <w:rsid w:val="00981C07"/>
    <w:rsid w:val="00981C41"/>
    <w:rsid w:val="00982312"/>
    <w:rsid w:val="0098239B"/>
    <w:rsid w:val="00982534"/>
    <w:rsid w:val="0098269F"/>
    <w:rsid w:val="00982F05"/>
    <w:rsid w:val="009830DC"/>
    <w:rsid w:val="00983114"/>
    <w:rsid w:val="00983307"/>
    <w:rsid w:val="009834DC"/>
    <w:rsid w:val="00983677"/>
    <w:rsid w:val="00983C1D"/>
    <w:rsid w:val="0098402E"/>
    <w:rsid w:val="009846BE"/>
    <w:rsid w:val="00984D77"/>
    <w:rsid w:val="00985109"/>
    <w:rsid w:val="00985335"/>
    <w:rsid w:val="00985542"/>
    <w:rsid w:val="0098566E"/>
    <w:rsid w:val="009861A4"/>
    <w:rsid w:val="009862F6"/>
    <w:rsid w:val="009866B5"/>
    <w:rsid w:val="00986C33"/>
    <w:rsid w:val="009876AD"/>
    <w:rsid w:val="00987893"/>
    <w:rsid w:val="00987F44"/>
    <w:rsid w:val="0099021D"/>
    <w:rsid w:val="00990290"/>
    <w:rsid w:val="009902FF"/>
    <w:rsid w:val="0099095A"/>
    <w:rsid w:val="00990AC8"/>
    <w:rsid w:val="00990D8B"/>
    <w:rsid w:val="00990FA4"/>
    <w:rsid w:val="00991412"/>
    <w:rsid w:val="00991591"/>
    <w:rsid w:val="009919CD"/>
    <w:rsid w:val="00991C5C"/>
    <w:rsid w:val="0099217C"/>
    <w:rsid w:val="0099237C"/>
    <w:rsid w:val="009924DF"/>
    <w:rsid w:val="009927A0"/>
    <w:rsid w:val="00992E85"/>
    <w:rsid w:val="009934AC"/>
    <w:rsid w:val="009935D2"/>
    <w:rsid w:val="009937F9"/>
    <w:rsid w:val="0099403A"/>
    <w:rsid w:val="00994087"/>
    <w:rsid w:val="00994802"/>
    <w:rsid w:val="009948FE"/>
    <w:rsid w:val="00994951"/>
    <w:rsid w:val="009949AF"/>
    <w:rsid w:val="00994A48"/>
    <w:rsid w:val="00994BCD"/>
    <w:rsid w:val="00995045"/>
    <w:rsid w:val="009952F9"/>
    <w:rsid w:val="009957D2"/>
    <w:rsid w:val="00995E3B"/>
    <w:rsid w:val="00996314"/>
    <w:rsid w:val="00996373"/>
    <w:rsid w:val="009965A0"/>
    <w:rsid w:val="009967A1"/>
    <w:rsid w:val="0099684E"/>
    <w:rsid w:val="00996E1C"/>
    <w:rsid w:val="00997700"/>
    <w:rsid w:val="00997A48"/>
    <w:rsid w:val="00997D4E"/>
    <w:rsid w:val="00997E70"/>
    <w:rsid w:val="009A050C"/>
    <w:rsid w:val="009A08A2"/>
    <w:rsid w:val="009A0B65"/>
    <w:rsid w:val="009A1315"/>
    <w:rsid w:val="009A1917"/>
    <w:rsid w:val="009A19EE"/>
    <w:rsid w:val="009A1C67"/>
    <w:rsid w:val="009A1C80"/>
    <w:rsid w:val="009A1DA9"/>
    <w:rsid w:val="009A1FAF"/>
    <w:rsid w:val="009A23E4"/>
    <w:rsid w:val="009A28DD"/>
    <w:rsid w:val="009A2C72"/>
    <w:rsid w:val="009A2F40"/>
    <w:rsid w:val="009A3032"/>
    <w:rsid w:val="009A32EC"/>
    <w:rsid w:val="009A3AFE"/>
    <w:rsid w:val="009A3D68"/>
    <w:rsid w:val="009A3E42"/>
    <w:rsid w:val="009A3EA6"/>
    <w:rsid w:val="009A3EC6"/>
    <w:rsid w:val="009A43DC"/>
    <w:rsid w:val="009A4581"/>
    <w:rsid w:val="009A45AE"/>
    <w:rsid w:val="009A5476"/>
    <w:rsid w:val="009A54D0"/>
    <w:rsid w:val="009A595B"/>
    <w:rsid w:val="009A5A32"/>
    <w:rsid w:val="009A5CE6"/>
    <w:rsid w:val="009A5DDD"/>
    <w:rsid w:val="009A630C"/>
    <w:rsid w:val="009A65F6"/>
    <w:rsid w:val="009A6A03"/>
    <w:rsid w:val="009A6FE3"/>
    <w:rsid w:val="009A73A8"/>
    <w:rsid w:val="009A798D"/>
    <w:rsid w:val="009A7A58"/>
    <w:rsid w:val="009A7D60"/>
    <w:rsid w:val="009A7E9B"/>
    <w:rsid w:val="009A7F2F"/>
    <w:rsid w:val="009B0074"/>
    <w:rsid w:val="009B07BB"/>
    <w:rsid w:val="009B0AD9"/>
    <w:rsid w:val="009B14D9"/>
    <w:rsid w:val="009B1715"/>
    <w:rsid w:val="009B19F9"/>
    <w:rsid w:val="009B1CA2"/>
    <w:rsid w:val="009B1CCE"/>
    <w:rsid w:val="009B1E60"/>
    <w:rsid w:val="009B1F0E"/>
    <w:rsid w:val="009B1FC6"/>
    <w:rsid w:val="009B2709"/>
    <w:rsid w:val="009B2D21"/>
    <w:rsid w:val="009B2DEF"/>
    <w:rsid w:val="009B340C"/>
    <w:rsid w:val="009B35B7"/>
    <w:rsid w:val="009B3A47"/>
    <w:rsid w:val="009B3C0C"/>
    <w:rsid w:val="009B3C11"/>
    <w:rsid w:val="009B3F9D"/>
    <w:rsid w:val="009B418C"/>
    <w:rsid w:val="009B42A8"/>
    <w:rsid w:val="009B445A"/>
    <w:rsid w:val="009B4596"/>
    <w:rsid w:val="009B541E"/>
    <w:rsid w:val="009B59D2"/>
    <w:rsid w:val="009B5DDC"/>
    <w:rsid w:val="009B6037"/>
    <w:rsid w:val="009B6434"/>
    <w:rsid w:val="009B65D3"/>
    <w:rsid w:val="009B684D"/>
    <w:rsid w:val="009B7150"/>
    <w:rsid w:val="009B7BAE"/>
    <w:rsid w:val="009C0007"/>
    <w:rsid w:val="009C0058"/>
    <w:rsid w:val="009C0569"/>
    <w:rsid w:val="009C0C71"/>
    <w:rsid w:val="009C0E09"/>
    <w:rsid w:val="009C1418"/>
    <w:rsid w:val="009C142F"/>
    <w:rsid w:val="009C1A4B"/>
    <w:rsid w:val="009C2EAA"/>
    <w:rsid w:val="009C385B"/>
    <w:rsid w:val="009C38CA"/>
    <w:rsid w:val="009C40BA"/>
    <w:rsid w:val="009C424F"/>
    <w:rsid w:val="009C42DA"/>
    <w:rsid w:val="009C4549"/>
    <w:rsid w:val="009C45A7"/>
    <w:rsid w:val="009C45F2"/>
    <w:rsid w:val="009C4BE9"/>
    <w:rsid w:val="009C5869"/>
    <w:rsid w:val="009C58BA"/>
    <w:rsid w:val="009C58D5"/>
    <w:rsid w:val="009C5C02"/>
    <w:rsid w:val="009C5E9D"/>
    <w:rsid w:val="009C6059"/>
    <w:rsid w:val="009C63D4"/>
    <w:rsid w:val="009C64C0"/>
    <w:rsid w:val="009C6C00"/>
    <w:rsid w:val="009C739C"/>
    <w:rsid w:val="009C73D5"/>
    <w:rsid w:val="009C7A51"/>
    <w:rsid w:val="009C7E75"/>
    <w:rsid w:val="009C7F00"/>
    <w:rsid w:val="009D02DC"/>
    <w:rsid w:val="009D031E"/>
    <w:rsid w:val="009D074E"/>
    <w:rsid w:val="009D0B17"/>
    <w:rsid w:val="009D0BCC"/>
    <w:rsid w:val="009D0C2E"/>
    <w:rsid w:val="009D1929"/>
    <w:rsid w:val="009D1CA7"/>
    <w:rsid w:val="009D1F4B"/>
    <w:rsid w:val="009D2490"/>
    <w:rsid w:val="009D2A21"/>
    <w:rsid w:val="009D2E3B"/>
    <w:rsid w:val="009D30A9"/>
    <w:rsid w:val="009D31AA"/>
    <w:rsid w:val="009D3329"/>
    <w:rsid w:val="009D3520"/>
    <w:rsid w:val="009D3721"/>
    <w:rsid w:val="009D3778"/>
    <w:rsid w:val="009D3AC5"/>
    <w:rsid w:val="009D3EB5"/>
    <w:rsid w:val="009D4A5A"/>
    <w:rsid w:val="009D57B7"/>
    <w:rsid w:val="009D6140"/>
    <w:rsid w:val="009D627B"/>
    <w:rsid w:val="009D646B"/>
    <w:rsid w:val="009D68C7"/>
    <w:rsid w:val="009D6B94"/>
    <w:rsid w:val="009D712D"/>
    <w:rsid w:val="009D73AB"/>
    <w:rsid w:val="009D7D3B"/>
    <w:rsid w:val="009D7DEC"/>
    <w:rsid w:val="009D7DFD"/>
    <w:rsid w:val="009E003D"/>
    <w:rsid w:val="009E059E"/>
    <w:rsid w:val="009E063F"/>
    <w:rsid w:val="009E07C1"/>
    <w:rsid w:val="009E094A"/>
    <w:rsid w:val="009E0E2E"/>
    <w:rsid w:val="009E0F2C"/>
    <w:rsid w:val="009E1DF6"/>
    <w:rsid w:val="009E2279"/>
    <w:rsid w:val="009E2858"/>
    <w:rsid w:val="009E2B57"/>
    <w:rsid w:val="009E3141"/>
    <w:rsid w:val="009E3199"/>
    <w:rsid w:val="009E32B4"/>
    <w:rsid w:val="009E375D"/>
    <w:rsid w:val="009E3978"/>
    <w:rsid w:val="009E3CB7"/>
    <w:rsid w:val="009E4562"/>
    <w:rsid w:val="009E4BB0"/>
    <w:rsid w:val="009E4F1E"/>
    <w:rsid w:val="009E5780"/>
    <w:rsid w:val="009E5877"/>
    <w:rsid w:val="009E5896"/>
    <w:rsid w:val="009E58A5"/>
    <w:rsid w:val="009E6491"/>
    <w:rsid w:val="009E6825"/>
    <w:rsid w:val="009E6BCE"/>
    <w:rsid w:val="009E6EAE"/>
    <w:rsid w:val="009E7016"/>
    <w:rsid w:val="009E76A4"/>
    <w:rsid w:val="009E77D7"/>
    <w:rsid w:val="009E7C95"/>
    <w:rsid w:val="009E7FF0"/>
    <w:rsid w:val="009F005B"/>
    <w:rsid w:val="009F0A75"/>
    <w:rsid w:val="009F0D16"/>
    <w:rsid w:val="009F1CC0"/>
    <w:rsid w:val="009F2306"/>
    <w:rsid w:val="009F2FA3"/>
    <w:rsid w:val="009F2FAE"/>
    <w:rsid w:val="009F35DA"/>
    <w:rsid w:val="009F37E9"/>
    <w:rsid w:val="009F3AF1"/>
    <w:rsid w:val="009F3B50"/>
    <w:rsid w:val="009F3D65"/>
    <w:rsid w:val="009F3E86"/>
    <w:rsid w:val="009F3FA8"/>
    <w:rsid w:val="009F41A7"/>
    <w:rsid w:val="009F427F"/>
    <w:rsid w:val="009F45D0"/>
    <w:rsid w:val="009F4740"/>
    <w:rsid w:val="009F4776"/>
    <w:rsid w:val="009F48E3"/>
    <w:rsid w:val="009F4AF6"/>
    <w:rsid w:val="009F4B50"/>
    <w:rsid w:val="009F536C"/>
    <w:rsid w:val="009F5620"/>
    <w:rsid w:val="009F5698"/>
    <w:rsid w:val="009F5BD4"/>
    <w:rsid w:val="009F66C7"/>
    <w:rsid w:val="009F67A2"/>
    <w:rsid w:val="009F70E3"/>
    <w:rsid w:val="009F74D0"/>
    <w:rsid w:val="009F753A"/>
    <w:rsid w:val="009F75ED"/>
    <w:rsid w:val="009F77A1"/>
    <w:rsid w:val="009F7C7F"/>
    <w:rsid w:val="009FE49B"/>
    <w:rsid w:val="00A0040A"/>
    <w:rsid w:val="00A00D8A"/>
    <w:rsid w:val="00A00F8E"/>
    <w:rsid w:val="00A01150"/>
    <w:rsid w:val="00A0120B"/>
    <w:rsid w:val="00A01387"/>
    <w:rsid w:val="00A01467"/>
    <w:rsid w:val="00A02143"/>
    <w:rsid w:val="00A0226B"/>
    <w:rsid w:val="00A025BB"/>
    <w:rsid w:val="00A02B72"/>
    <w:rsid w:val="00A02F90"/>
    <w:rsid w:val="00A03709"/>
    <w:rsid w:val="00A0378E"/>
    <w:rsid w:val="00A03FEE"/>
    <w:rsid w:val="00A04D38"/>
    <w:rsid w:val="00A053D4"/>
    <w:rsid w:val="00A05435"/>
    <w:rsid w:val="00A05461"/>
    <w:rsid w:val="00A05577"/>
    <w:rsid w:val="00A055E8"/>
    <w:rsid w:val="00A055F5"/>
    <w:rsid w:val="00A064C0"/>
    <w:rsid w:val="00A06891"/>
    <w:rsid w:val="00A06B26"/>
    <w:rsid w:val="00A06CBC"/>
    <w:rsid w:val="00A07033"/>
    <w:rsid w:val="00A072E1"/>
    <w:rsid w:val="00A0765F"/>
    <w:rsid w:val="00A07846"/>
    <w:rsid w:val="00A07AD0"/>
    <w:rsid w:val="00A07B93"/>
    <w:rsid w:val="00A1038A"/>
    <w:rsid w:val="00A105A8"/>
    <w:rsid w:val="00A10710"/>
    <w:rsid w:val="00A10C6F"/>
    <w:rsid w:val="00A110F2"/>
    <w:rsid w:val="00A113DA"/>
    <w:rsid w:val="00A11DA2"/>
    <w:rsid w:val="00A120A9"/>
    <w:rsid w:val="00A12646"/>
    <w:rsid w:val="00A129A5"/>
    <w:rsid w:val="00A12ADD"/>
    <w:rsid w:val="00A13015"/>
    <w:rsid w:val="00A13957"/>
    <w:rsid w:val="00A13A95"/>
    <w:rsid w:val="00A142DD"/>
    <w:rsid w:val="00A14838"/>
    <w:rsid w:val="00A14DF5"/>
    <w:rsid w:val="00A15771"/>
    <w:rsid w:val="00A15B58"/>
    <w:rsid w:val="00A15D92"/>
    <w:rsid w:val="00A161FE"/>
    <w:rsid w:val="00A1681F"/>
    <w:rsid w:val="00A16C96"/>
    <w:rsid w:val="00A16D1A"/>
    <w:rsid w:val="00A16EAD"/>
    <w:rsid w:val="00A1733B"/>
    <w:rsid w:val="00A1775D"/>
    <w:rsid w:val="00A17FA1"/>
    <w:rsid w:val="00A20C4C"/>
    <w:rsid w:val="00A20DFC"/>
    <w:rsid w:val="00A20E84"/>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252"/>
    <w:rsid w:val="00A2452F"/>
    <w:rsid w:val="00A24C38"/>
    <w:rsid w:val="00A251C5"/>
    <w:rsid w:val="00A256C8"/>
    <w:rsid w:val="00A25922"/>
    <w:rsid w:val="00A259BD"/>
    <w:rsid w:val="00A25ED2"/>
    <w:rsid w:val="00A26005"/>
    <w:rsid w:val="00A26299"/>
    <w:rsid w:val="00A262C9"/>
    <w:rsid w:val="00A262E4"/>
    <w:rsid w:val="00A26491"/>
    <w:rsid w:val="00A2661C"/>
    <w:rsid w:val="00A2672F"/>
    <w:rsid w:val="00A2681D"/>
    <w:rsid w:val="00A26A42"/>
    <w:rsid w:val="00A273E3"/>
    <w:rsid w:val="00A2777F"/>
    <w:rsid w:val="00A27915"/>
    <w:rsid w:val="00A27B02"/>
    <w:rsid w:val="00A30615"/>
    <w:rsid w:val="00A30728"/>
    <w:rsid w:val="00A3088B"/>
    <w:rsid w:val="00A308E9"/>
    <w:rsid w:val="00A30C09"/>
    <w:rsid w:val="00A30D62"/>
    <w:rsid w:val="00A31841"/>
    <w:rsid w:val="00A318F9"/>
    <w:rsid w:val="00A320CC"/>
    <w:rsid w:val="00A32589"/>
    <w:rsid w:val="00A325B3"/>
    <w:rsid w:val="00A3288D"/>
    <w:rsid w:val="00A32A35"/>
    <w:rsid w:val="00A33044"/>
    <w:rsid w:val="00A3314B"/>
    <w:rsid w:val="00A331CB"/>
    <w:rsid w:val="00A33B28"/>
    <w:rsid w:val="00A33C94"/>
    <w:rsid w:val="00A3423E"/>
    <w:rsid w:val="00A343E3"/>
    <w:rsid w:val="00A3471F"/>
    <w:rsid w:val="00A347B3"/>
    <w:rsid w:val="00A34844"/>
    <w:rsid w:val="00A3494B"/>
    <w:rsid w:val="00A349AF"/>
    <w:rsid w:val="00A34CD8"/>
    <w:rsid w:val="00A35598"/>
    <w:rsid w:val="00A35707"/>
    <w:rsid w:val="00A35763"/>
    <w:rsid w:val="00A359A0"/>
    <w:rsid w:val="00A35D0B"/>
    <w:rsid w:val="00A35DD7"/>
    <w:rsid w:val="00A35F52"/>
    <w:rsid w:val="00A36CBA"/>
    <w:rsid w:val="00A36E97"/>
    <w:rsid w:val="00A370E0"/>
    <w:rsid w:val="00A373F8"/>
    <w:rsid w:val="00A37435"/>
    <w:rsid w:val="00A37509"/>
    <w:rsid w:val="00A37851"/>
    <w:rsid w:val="00A400C7"/>
    <w:rsid w:val="00A40270"/>
    <w:rsid w:val="00A407CA"/>
    <w:rsid w:val="00A40B93"/>
    <w:rsid w:val="00A40C14"/>
    <w:rsid w:val="00A414A0"/>
    <w:rsid w:val="00A41681"/>
    <w:rsid w:val="00A41A0C"/>
    <w:rsid w:val="00A41FAA"/>
    <w:rsid w:val="00A420A2"/>
    <w:rsid w:val="00A42106"/>
    <w:rsid w:val="00A42442"/>
    <w:rsid w:val="00A43164"/>
    <w:rsid w:val="00A43315"/>
    <w:rsid w:val="00A43951"/>
    <w:rsid w:val="00A43B3D"/>
    <w:rsid w:val="00A43D4C"/>
    <w:rsid w:val="00A441AC"/>
    <w:rsid w:val="00A44314"/>
    <w:rsid w:val="00A44A9F"/>
    <w:rsid w:val="00A44C3B"/>
    <w:rsid w:val="00A44DDE"/>
    <w:rsid w:val="00A450C9"/>
    <w:rsid w:val="00A45143"/>
    <w:rsid w:val="00A455AD"/>
    <w:rsid w:val="00A46168"/>
    <w:rsid w:val="00A464A5"/>
    <w:rsid w:val="00A4658A"/>
    <w:rsid w:val="00A4693F"/>
    <w:rsid w:val="00A46C59"/>
    <w:rsid w:val="00A46F98"/>
    <w:rsid w:val="00A4724B"/>
    <w:rsid w:val="00A4781B"/>
    <w:rsid w:val="00A478D4"/>
    <w:rsid w:val="00A479EA"/>
    <w:rsid w:val="00A47AEE"/>
    <w:rsid w:val="00A47B37"/>
    <w:rsid w:val="00A47E8E"/>
    <w:rsid w:val="00A47FB8"/>
    <w:rsid w:val="00A50A54"/>
    <w:rsid w:val="00A50AAB"/>
    <w:rsid w:val="00A50E64"/>
    <w:rsid w:val="00A512F6"/>
    <w:rsid w:val="00A51F27"/>
    <w:rsid w:val="00A523ED"/>
    <w:rsid w:val="00A53146"/>
    <w:rsid w:val="00A5352F"/>
    <w:rsid w:val="00A535F6"/>
    <w:rsid w:val="00A537A6"/>
    <w:rsid w:val="00A5384F"/>
    <w:rsid w:val="00A5389C"/>
    <w:rsid w:val="00A53902"/>
    <w:rsid w:val="00A53A28"/>
    <w:rsid w:val="00A53E1F"/>
    <w:rsid w:val="00A53FBD"/>
    <w:rsid w:val="00A540A1"/>
    <w:rsid w:val="00A5427E"/>
    <w:rsid w:val="00A5446E"/>
    <w:rsid w:val="00A54959"/>
    <w:rsid w:val="00A54B3E"/>
    <w:rsid w:val="00A54B67"/>
    <w:rsid w:val="00A54E12"/>
    <w:rsid w:val="00A55064"/>
    <w:rsid w:val="00A55424"/>
    <w:rsid w:val="00A5552E"/>
    <w:rsid w:val="00A558E0"/>
    <w:rsid w:val="00A55BBA"/>
    <w:rsid w:val="00A55E89"/>
    <w:rsid w:val="00A55EC1"/>
    <w:rsid w:val="00A56242"/>
    <w:rsid w:val="00A5636F"/>
    <w:rsid w:val="00A56500"/>
    <w:rsid w:val="00A56690"/>
    <w:rsid w:val="00A56698"/>
    <w:rsid w:val="00A56A48"/>
    <w:rsid w:val="00A56B4C"/>
    <w:rsid w:val="00A56F56"/>
    <w:rsid w:val="00A57A2C"/>
    <w:rsid w:val="00A57CB5"/>
    <w:rsid w:val="00A57EAE"/>
    <w:rsid w:val="00A602D6"/>
    <w:rsid w:val="00A612E4"/>
    <w:rsid w:val="00A6137A"/>
    <w:rsid w:val="00A6137C"/>
    <w:rsid w:val="00A614F8"/>
    <w:rsid w:val="00A61682"/>
    <w:rsid w:val="00A618DA"/>
    <w:rsid w:val="00A61BCD"/>
    <w:rsid w:val="00A61EE0"/>
    <w:rsid w:val="00A61F67"/>
    <w:rsid w:val="00A61FF1"/>
    <w:rsid w:val="00A62056"/>
    <w:rsid w:val="00A620C4"/>
    <w:rsid w:val="00A622AD"/>
    <w:rsid w:val="00A62397"/>
    <w:rsid w:val="00A62479"/>
    <w:rsid w:val="00A624D1"/>
    <w:rsid w:val="00A628F1"/>
    <w:rsid w:val="00A62EF3"/>
    <w:rsid w:val="00A630A2"/>
    <w:rsid w:val="00A6319A"/>
    <w:rsid w:val="00A635C5"/>
    <w:rsid w:val="00A63C11"/>
    <w:rsid w:val="00A644DA"/>
    <w:rsid w:val="00A649E1"/>
    <w:rsid w:val="00A64D21"/>
    <w:rsid w:val="00A64E2A"/>
    <w:rsid w:val="00A657B0"/>
    <w:rsid w:val="00A65820"/>
    <w:rsid w:val="00A65964"/>
    <w:rsid w:val="00A65BA2"/>
    <w:rsid w:val="00A65EF7"/>
    <w:rsid w:val="00A65F0A"/>
    <w:rsid w:val="00A6618D"/>
    <w:rsid w:val="00A66372"/>
    <w:rsid w:val="00A66376"/>
    <w:rsid w:val="00A6647C"/>
    <w:rsid w:val="00A66803"/>
    <w:rsid w:val="00A66D9B"/>
    <w:rsid w:val="00A66E93"/>
    <w:rsid w:val="00A67215"/>
    <w:rsid w:val="00A67395"/>
    <w:rsid w:val="00A678A3"/>
    <w:rsid w:val="00A67DA4"/>
    <w:rsid w:val="00A704E4"/>
    <w:rsid w:val="00A705D3"/>
    <w:rsid w:val="00A7088C"/>
    <w:rsid w:val="00A708E4"/>
    <w:rsid w:val="00A70B55"/>
    <w:rsid w:val="00A71032"/>
    <w:rsid w:val="00A710E1"/>
    <w:rsid w:val="00A714BF"/>
    <w:rsid w:val="00A71E3A"/>
    <w:rsid w:val="00A721D1"/>
    <w:rsid w:val="00A722A0"/>
    <w:rsid w:val="00A72767"/>
    <w:rsid w:val="00A72A08"/>
    <w:rsid w:val="00A72AE5"/>
    <w:rsid w:val="00A72DFF"/>
    <w:rsid w:val="00A72E87"/>
    <w:rsid w:val="00A734EB"/>
    <w:rsid w:val="00A734FF"/>
    <w:rsid w:val="00A73565"/>
    <w:rsid w:val="00A73981"/>
    <w:rsid w:val="00A7428F"/>
    <w:rsid w:val="00A74BA2"/>
    <w:rsid w:val="00A74E13"/>
    <w:rsid w:val="00A75191"/>
    <w:rsid w:val="00A752B2"/>
    <w:rsid w:val="00A75503"/>
    <w:rsid w:val="00A75616"/>
    <w:rsid w:val="00A7578E"/>
    <w:rsid w:val="00A75A6C"/>
    <w:rsid w:val="00A760E9"/>
    <w:rsid w:val="00A76A59"/>
    <w:rsid w:val="00A76B94"/>
    <w:rsid w:val="00A7781F"/>
    <w:rsid w:val="00A77A9B"/>
    <w:rsid w:val="00A8071A"/>
    <w:rsid w:val="00A807A6"/>
    <w:rsid w:val="00A80BD3"/>
    <w:rsid w:val="00A80BFF"/>
    <w:rsid w:val="00A81149"/>
    <w:rsid w:val="00A8137A"/>
    <w:rsid w:val="00A81574"/>
    <w:rsid w:val="00A81598"/>
    <w:rsid w:val="00A817F3"/>
    <w:rsid w:val="00A81C40"/>
    <w:rsid w:val="00A82136"/>
    <w:rsid w:val="00A82231"/>
    <w:rsid w:val="00A82304"/>
    <w:rsid w:val="00A82785"/>
    <w:rsid w:val="00A82C7A"/>
    <w:rsid w:val="00A83128"/>
    <w:rsid w:val="00A83383"/>
    <w:rsid w:val="00A837E2"/>
    <w:rsid w:val="00A83D60"/>
    <w:rsid w:val="00A84591"/>
    <w:rsid w:val="00A84883"/>
    <w:rsid w:val="00A84D82"/>
    <w:rsid w:val="00A84E96"/>
    <w:rsid w:val="00A857F8"/>
    <w:rsid w:val="00A858FD"/>
    <w:rsid w:val="00A86688"/>
    <w:rsid w:val="00A86974"/>
    <w:rsid w:val="00A86EE7"/>
    <w:rsid w:val="00A87311"/>
    <w:rsid w:val="00A907A4"/>
    <w:rsid w:val="00A90B61"/>
    <w:rsid w:val="00A91337"/>
    <w:rsid w:val="00A91773"/>
    <w:rsid w:val="00A91DB1"/>
    <w:rsid w:val="00A91E59"/>
    <w:rsid w:val="00A92D51"/>
    <w:rsid w:val="00A93727"/>
    <w:rsid w:val="00A93C68"/>
    <w:rsid w:val="00A93C8E"/>
    <w:rsid w:val="00A93D3E"/>
    <w:rsid w:val="00A93E13"/>
    <w:rsid w:val="00A93F28"/>
    <w:rsid w:val="00A94D6A"/>
    <w:rsid w:val="00A94F8C"/>
    <w:rsid w:val="00A94FD5"/>
    <w:rsid w:val="00A959BD"/>
    <w:rsid w:val="00A95A73"/>
    <w:rsid w:val="00A95F28"/>
    <w:rsid w:val="00A9615F"/>
    <w:rsid w:val="00A96B9F"/>
    <w:rsid w:val="00A96EFC"/>
    <w:rsid w:val="00A97829"/>
    <w:rsid w:val="00A97A1C"/>
    <w:rsid w:val="00A97DE6"/>
    <w:rsid w:val="00A97ED7"/>
    <w:rsid w:val="00A97F21"/>
    <w:rsid w:val="00AA0195"/>
    <w:rsid w:val="00AA01EF"/>
    <w:rsid w:val="00AA03A0"/>
    <w:rsid w:val="00AA0DCF"/>
    <w:rsid w:val="00AA18CA"/>
    <w:rsid w:val="00AA194D"/>
    <w:rsid w:val="00AA1D51"/>
    <w:rsid w:val="00AA2083"/>
    <w:rsid w:val="00AA3484"/>
    <w:rsid w:val="00AA3A0C"/>
    <w:rsid w:val="00AA3A48"/>
    <w:rsid w:val="00AA3C05"/>
    <w:rsid w:val="00AA3C3A"/>
    <w:rsid w:val="00AA4267"/>
    <w:rsid w:val="00AA462A"/>
    <w:rsid w:val="00AA486F"/>
    <w:rsid w:val="00AA539C"/>
    <w:rsid w:val="00AA55BA"/>
    <w:rsid w:val="00AA5DE9"/>
    <w:rsid w:val="00AA60E5"/>
    <w:rsid w:val="00AA625A"/>
    <w:rsid w:val="00AA69CB"/>
    <w:rsid w:val="00AA6DBA"/>
    <w:rsid w:val="00AA7307"/>
    <w:rsid w:val="00AA734B"/>
    <w:rsid w:val="00AA73DF"/>
    <w:rsid w:val="00AA73F1"/>
    <w:rsid w:val="00AA7860"/>
    <w:rsid w:val="00AA7C01"/>
    <w:rsid w:val="00AA7D55"/>
    <w:rsid w:val="00AB1149"/>
    <w:rsid w:val="00AB1710"/>
    <w:rsid w:val="00AB1A19"/>
    <w:rsid w:val="00AB1D61"/>
    <w:rsid w:val="00AB1E11"/>
    <w:rsid w:val="00AB1FC9"/>
    <w:rsid w:val="00AB2311"/>
    <w:rsid w:val="00AB23E0"/>
    <w:rsid w:val="00AB2B78"/>
    <w:rsid w:val="00AB2DE4"/>
    <w:rsid w:val="00AB2F15"/>
    <w:rsid w:val="00AB3764"/>
    <w:rsid w:val="00AB3EAC"/>
    <w:rsid w:val="00AB425F"/>
    <w:rsid w:val="00AB4416"/>
    <w:rsid w:val="00AB45D3"/>
    <w:rsid w:val="00AB45F3"/>
    <w:rsid w:val="00AB47EE"/>
    <w:rsid w:val="00AB48D0"/>
    <w:rsid w:val="00AB4AA7"/>
    <w:rsid w:val="00AB4C89"/>
    <w:rsid w:val="00AB4FE1"/>
    <w:rsid w:val="00AB5472"/>
    <w:rsid w:val="00AB5516"/>
    <w:rsid w:val="00AB5608"/>
    <w:rsid w:val="00AB5868"/>
    <w:rsid w:val="00AB604B"/>
    <w:rsid w:val="00AB62ED"/>
    <w:rsid w:val="00AB67BF"/>
    <w:rsid w:val="00AB6FDA"/>
    <w:rsid w:val="00AB71D6"/>
    <w:rsid w:val="00AB7538"/>
    <w:rsid w:val="00AB7675"/>
    <w:rsid w:val="00AB7AB1"/>
    <w:rsid w:val="00AB7EE7"/>
    <w:rsid w:val="00AB7F17"/>
    <w:rsid w:val="00AB7F23"/>
    <w:rsid w:val="00AC01B4"/>
    <w:rsid w:val="00AC0239"/>
    <w:rsid w:val="00AC0923"/>
    <w:rsid w:val="00AC093D"/>
    <w:rsid w:val="00AC09C7"/>
    <w:rsid w:val="00AC0EA6"/>
    <w:rsid w:val="00AC1005"/>
    <w:rsid w:val="00AC123B"/>
    <w:rsid w:val="00AC1413"/>
    <w:rsid w:val="00AC165A"/>
    <w:rsid w:val="00AC1F0E"/>
    <w:rsid w:val="00AC222F"/>
    <w:rsid w:val="00AC2765"/>
    <w:rsid w:val="00AC3205"/>
    <w:rsid w:val="00AC3206"/>
    <w:rsid w:val="00AC344C"/>
    <w:rsid w:val="00AC3978"/>
    <w:rsid w:val="00AC3A5A"/>
    <w:rsid w:val="00AC3FE7"/>
    <w:rsid w:val="00AC4855"/>
    <w:rsid w:val="00AC4CFD"/>
    <w:rsid w:val="00AC527D"/>
    <w:rsid w:val="00AC57BE"/>
    <w:rsid w:val="00AC5893"/>
    <w:rsid w:val="00AC5AEB"/>
    <w:rsid w:val="00AC5B06"/>
    <w:rsid w:val="00AC5DD1"/>
    <w:rsid w:val="00AC68E5"/>
    <w:rsid w:val="00AC6B44"/>
    <w:rsid w:val="00AC6D77"/>
    <w:rsid w:val="00AC7545"/>
    <w:rsid w:val="00AC7557"/>
    <w:rsid w:val="00AC7943"/>
    <w:rsid w:val="00AC7E37"/>
    <w:rsid w:val="00AC7FE5"/>
    <w:rsid w:val="00AD07C9"/>
    <w:rsid w:val="00AD0904"/>
    <w:rsid w:val="00AD0BBD"/>
    <w:rsid w:val="00AD19A0"/>
    <w:rsid w:val="00AD1CA3"/>
    <w:rsid w:val="00AD1DE7"/>
    <w:rsid w:val="00AD23B9"/>
    <w:rsid w:val="00AD2695"/>
    <w:rsid w:val="00AD2965"/>
    <w:rsid w:val="00AD2B23"/>
    <w:rsid w:val="00AD2B27"/>
    <w:rsid w:val="00AD34A8"/>
    <w:rsid w:val="00AD3861"/>
    <w:rsid w:val="00AD38C4"/>
    <w:rsid w:val="00AD3A4B"/>
    <w:rsid w:val="00AD3C01"/>
    <w:rsid w:val="00AD3C0B"/>
    <w:rsid w:val="00AD3FF8"/>
    <w:rsid w:val="00AD41D5"/>
    <w:rsid w:val="00AD48B3"/>
    <w:rsid w:val="00AD4983"/>
    <w:rsid w:val="00AD4B6D"/>
    <w:rsid w:val="00AD4B9C"/>
    <w:rsid w:val="00AD4EFE"/>
    <w:rsid w:val="00AD536A"/>
    <w:rsid w:val="00AD578B"/>
    <w:rsid w:val="00AD5BAB"/>
    <w:rsid w:val="00AD5E1F"/>
    <w:rsid w:val="00AD615F"/>
    <w:rsid w:val="00AD6414"/>
    <w:rsid w:val="00AD694D"/>
    <w:rsid w:val="00AD6E9E"/>
    <w:rsid w:val="00AD6FD0"/>
    <w:rsid w:val="00AD7289"/>
    <w:rsid w:val="00AD7516"/>
    <w:rsid w:val="00AD7F84"/>
    <w:rsid w:val="00AE01A9"/>
    <w:rsid w:val="00AE05FE"/>
    <w:rsid w:val="00AE08BA"/>
    <w:rsid w:val="00AE0B53"/>
    <w:rsid w:val="00AE0E25"/>
    <w:rsid w:val="00AE10F2"/>
    <w:rsid w:val="00AE112B"/>
    <w:rsid w:val="00AE13B0"/>
    <w:rsid w:val="00AE142F"/>
    <w:rsid w:val="00AE15B8"/>
    <w:rsid w:val="00AE1738"/>
    <w:rsid w:val="00AE1D9B"/>
    <w:rsid w:val="00AE2021"/>
    <w:rsid w:val="00AE20DC"/>
    <w:rsid w:val="00AE2145"/>
    <w:rsid w:val="00AE23F1"/>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4457"/>
    <w:rsid w:val="00AE4509"/>
    <w:rsid w:val="00AE47B0"/>
    <w:rsid w:val="00AE4B00"/>
    <w:rsid w:val="00AE4C1C"/>
    <w:rsid w:val="00AE5014"/>
    <w:rsid w:val="00AE5133"/>
    <w:rsid w:val="00AE5241"/>
    <w:rsid w:val="00AE52A5"/>
    <w:rsid w:val="00AE598E"/>
    <w:rsid w:val="00AE6429"/>
    <w:rsid w:val="00AE67FD"/>
    <w:rsid w:val="00AE68EF"/>
    <w:rsid w:val="00AE6A13"/>
    <w:rsid w:val="00AE7629"/>
    <w:rsid w:val="00AE79EA"/>
    <w:rsid w:val="00AF0017"/>
    <w:rsid w:val="00AF0277"/>
    <w:rsid w:val="00AF112B"/>
    <w:rsid w:val="00AF16C3"/>
    <w:rsid w:val="00AF1C52"/>
    <w:rsid w:val="00AF1D3F"/>
    <w:rsid w:val="00AF234C"/>
    <w:rsid w:val="00AF2561"/>
    <w:rsid w:val="00AF25BB"/>
    <w:rsid w:val="00AF2622"/>
    <w:rsid w:val="00AF287F"/>
    <w:rsid w:val="00AF3241"/>
    <w:rsid w:val="00AF34EF"/>
    <w:rsid w:val="00AF35F6"/>
    <w:rsid w:val="00AF369D"/>
    <w:rsid w:val="00AF36C1"/>
    <w:rsid w:val="00AF3BEF"/>
    <w:rsid w:val="00AF4090"/>
    <w:rsid w:val="00AF4119"/>
    <w:rsid w:val="00AF45E2"/>
    <w:rsid w:val="00AF4656"/>
    <w:rsid w:val="00AF4DF4"/>
    <w:rsid w:val="00AF59FA"/>
    <w:rsid w:val="00AF5F26"/>
    <w:rsid w:val="00AF6277"/>
    <w:rsid w:val="00AF6565"/>
    <w:rsid w:val="00AF67D6"/>
    <w:rsid w:val="00AF6B9B"/>
    <w:rsid w:val="00AF75D4"/>
    <w:rsid w:val="00AF7AB7"/>
    <w:rsid w:val="00AF7AF8"/>
    <w:rsid w:val="00AF7F8F"/>
    <w:rsid w:val="00B00356"/>
    <w:rsid w:val="00B004DA"/>
    <w:rsid w:val="00B00709"/>
    <w:rsid w:val="00B00969"/>
    <w:rsid w:val="00B00AEE"/>
    <w:rsid w:val="00B00C55"/>
    <w:rsid w:val="00B01806"/>
    <w:rsid w:val="00B018DE"/>
    <w:rsid w:val="00B01911"/>
    <w:rsid w:val="00B01D8C"/>
    <w:rsid w:val="00B01E83"/>
    <w:rsid w:val="00B022B5"/>
    <w:rsid w:val="00B02963"/>
    <w:rsid w:val="00B02B20"/>
    <w:rsid w:val="00B02CF4"/>
    <w:rsid w:val="00B02D9F"/>
    <w:rsid w:val="00B035F9"/>
    <w:rsid w:val="00B046E9"/>
    <w:rsid w:val="00B04967"/>
    <w:rsid w:val="00B05027"/>
    <w:rsid w:val="00B051B0"/>
    <w:rsid w:val="00B05265"/>
    <w:rsid w:val="00B052EA"/>
    <w:rsid w:val="00B05BD6"/>
    <w:rsid w:val="00B05DB3"/>
    <w:rsid w:val="00B0648E"/>
    <w:rsid w:val="00B0681E"/>
    <w:rsid w:val="00B06854"/>
    <w:rsid w:val="00B069C0"/>
    <w:rsid w:val="00B06F54"/>
    <w:rsid w:val="00B072D4"/>
    <w:rsid w:val="00B0747E"/>
    <w:rsid w:val="00B076C6"/>
    <w:rsid w:val="00B07AD0"/>
    <w:rsid w:val="00B1003E"/>
    <w:rsid w:val="00B104BA"/>
    <w:rsid w:val="00B10778"/>
    <w:rsid w:val="00B10E64"/>
    <w:rsid w:val="00B113DD"/>
    <w:rsid w:val="00B1159A"/>
    <w:rsid w:val="00B117B2"/>
    <w:rsid w:val="00B124F8"/>
    <w:rsid w:val="00B12E62"/>
    <w:rsid w:val="00B12E9F"/>
    <w:rsid w:val="00B13098"/>
    <w:rsid w:val="00B1353B"/>
    <w:rsid w:val="00B13F08"/>
    <w:rsid w:val="00B13F69"/>
    <w:rsid w:val="00B1414C"/>
    <w:rsid w:val="00B141DA"/>
    <w:rsid w:val="00B1424B"/>
    <w:rsid w:val="00B14794"/>
    <w:rsid w:val="00B14938"/>
    <w:rsid w:val="00B14E16"/>
    <w:rsid w:val="00B14FE5"/>
    <w:rsid w:val="00B159A9"/>
    <w:rsid w:val="00B15D42"/>
    <w:rsid w:val="00B15D8A"/>
    <w:rsid w:val="00B15F83"/>
    <w:rsid w:val="00B165F3"/>
    <w:rsid w:val="00B1697B"/>
    <w:rsid w:val="00B16E80"/>
    <w:rsid w:val="00B17759"/>
    <w:rsid w:val="00B17760"/>
    <w:rsid w:val="00B17990"/>
    <w:rsid w:val="00B17A3B"/>
    <w:rsid w:val="00B17B3D"/>
    <w:rsid w:val="00B17B64"/>
    <w:rsid w:val="00B17D3E"/>
    <w:rsid w:val="00B20696"/>
    <w:rsid w:val="00B2082C"/>
    <w:rsid w:val="00B20A8A"/>
    <w:rsid w:val="00B20F40"/>
    <w:rsid w:val="00B2121B"/>
    <w:rsid w:val="00B2191C"/>
    <w:rsid w:val="00B21A63"/>
    <w:rsid w:val="00B21D36"/>
    <w:rsid w:val="00B22076"/>
    <w:rsid w:val="00B22267"/>
    <w:rsid w:val="00B222EB"/>
    <w:rsid w:val="00B2250E"/>
    <w:rsid w:val="00B22748"/>
    <w:rsid w:val="00B22806"/>
    <w:rsid w:val="00B228B5"/>
    <w:rsid w:val="00B2298B"/>
    <w:rsid w:val="00B22BF7"/>
    <w:rsid w:val="00B22C27"/>
    <w:rsid w:val="00B22E9D"/>
    <w:rsid w:val="00B22EFB"/>
    <w:rsid w:val="00B23256"/>
    <w:rsid w:val="00B2334F"/>
    <w:rsid w:val="00B239B5"/>
    <w:rsid w:val="00B24271"/>
    <w:rsid w:val="00B242F7"/>
    <w:rsid w:val="00B24311"/>
    <w:rsid w:val="00B243CC"/>
    <w:rsid w:val="00B249B2"/>
    <w:rsid w:val="00B24A2B"/>
    <w:rsid w:val="00B24B23"/>
    <w:rsid w:val="00B24D30"/>
    <w:rsid w:val="00B2518F"/>
    <w:rsid w:val="00B254F9"/>
    <w:rsid w:val="00B25CC1"/>
    <w:rsid w:val="00B25F88"/>
    <w:rsid w:val="00B2613F"/>
    <w:rsid w:val="00B26FE7"/>
    <w:rsid w:val="00B275E9"/>
    <w:rsid w:val="00B27634"/>
    <w:rsid w:val="00B27B23"/>
    <w:rsid w:val="00B27E04"/>
    <w:rsid w:val="00B301A2"/>
    <w:rsid w:val="00B3054C"/>
    <w:rsid w:val="00B309B8"/>
    <w:rsid w:val="00B30DF4"/>
    <w:rsid w:val="00B30E02"/>
    <w:rsid w:val="00B31381"/>
    <w:rsid w:val="00B31457"/>
    <w:rsid w:val="00B3172B"/>
    <w:rsid w:val="00B31755"/>
    <w:rsid w:val="00B3185B"/>
    <w:rsid w:val="00B318CD"/>
    <w:rsid w:val="00B31939"/>
    <w:rsid w:val="00B31CF1"/>
    <w:rsid w:val="00B31F2D"/>
    <w:rsid w:val="00B325AF"/>
    <w:rsid w:val="00B329E7"/>
    <w:rsid w:val="00B3348D"/>
    <w:rsid w:val="00B3363F"/>
    <w:rsid w:val="00B33674"/>
    <w:rsid w:val="00B33822"/>
    <w:rsid w:val="00B33887"/>
    <w:rsid w:val="00B34A01"/>
    <w:rsid w:val="00B34C22"/>
    <w:rsid w:val="00B34D3D"/>
    <w:rsid w:val="00B34F59"/>
    <w:rsid w:val="00B35179"/>
    <w:rsid w:val="00B35241"/>
    <w:rsid w:val="00B358E3"/>
    <w:rsid w:val="00B35CA8"/>
    <w:rsid w:val="00B35E6C"/>
    <w:rsid w:val="00B35EBE"/>
    <w:rsid w:val="00B369ED"/>
    <w:rsid w:val="00B36DE6"/>
    <w:rsid w:val="00B3744A"/>
    <w:rsid w:val="00B378B8"/>
    <w:rsid w:val="00B37950"/>
    <w:rsid w:val="00B37B3B"/>
    <w:rsid w:val="00B37FA5"/>
    <w:rsid w:val="00B4032D"/>
    <w:rsid w:val="00B404A0"/>
    <w:rsid w:val="00B40543"/>
    <w:rsid w:val="00B408DD"/>
    <w:rsid w:val="00B40992"/>
    <w:rsid w:val="00B40AAC"/>
    <w:rsid w:val="00B40B9E"/>
    <w:rsid w:val="00B40E00"/>
    <w:rsid w:val="00B40EC0"/>
    <w:rsid w:val="00B4131A"/>
    <w:rsid w:val="00B41347"/>
    <w:rsid w:val="00B41423"/>
    <w:rsid w:val="00B4151C"/>
    <w:rsid w:val="00B415C4"/>
    <w:rsid w:val="00B41A17"/>
    <w:rsid w:val="00B41EE8"/>
    <w:rsid w:val="00B426AA"/>
    <w:rsid w:val="00B4280F"/>
    <w:rsid w:val="00B42879"/>
    <w:rsid w:val="00B42BE3"/>
    <w:rsid w:val="00B43091"/>
    <w:rsid w:val="00B43648"/>
    <w:rsid w:val="00B44ADF"/>
    <w:rsid w:val="00B45237"/>
    <w:rsid w:val="00B45FC7"/>
    <w:rsid w:val="00B4602F"/>
    <w:rsid w:val="00B460BC"/>
    <w:rsid w:val="00B4621C"/>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439"/>
    <w:rsid w:val="00B52F88"/>
    <w:rsid w:val="00B53452"/>
    <w:rsid w:val="00B53525"/>
    <w:rsid w:val="00B5352A"/>
    <w:rsid w:val="00B53A55"/>
    <w:rsid w:val="00B53EB7"/>
    <w:rsid w:val="00B54232"/>
    <w:rsid w:val="00B547E3"/>
    <w:rsid w:val="00B54EC9"/>
    <w:rsid w:val="00B552FA"/>
    <w:rsid w:val="00B5536D"/>
    <w:rsid w:val="00B55616"/>
    <w:rsid w:val="00B5596F"/>
    <w:rsid w:val="00B55AAD"/>
    <w:rsid w:val="00B55E85"/>
    <w:rsid w:val="00B5611F"/>
    <w:rsid w:val="00B563B8"/>
    <w:rsid w:val="00B56E64"/>
    <w:rsid w:val="00B57671"/>
    <w:rsid w:val="00B57A71"/>
    <w:rsid w:val="00B57E7D"/>
    <w:rsid w:val="00B57FB6"/>
    <w:rsid w:val="00B611B8"/>
    <w:rsid w:val="00B614E3"/>
    <w:rsid w:val="00B61C09"/>
    <w:rsid w:val="00B61C73"/>
    <w:rsid w:val="00B61D27"/>
    <w:rsid w:val="00B62150"/>
    <w:rsid w:val="00B62203"/>
    <w:rsid w:val="00B6258E"/>
    <w:rsid w:val="00B62A17"/>
    <w:rsid w:val="00B6380D"/>
    <w:rsid w:val="00B64090"/>
    <w:rsid w:val="00B642D7"/>
    <w:rsid w:val="00B644B0"/>
    <w:rsid w:val="00B64578"/>
    <w:rsid w:val="00B651DE"/>
    <w:rsid w:val="00B657C6"/>
    <w:rsid w:val="00B66796"/>
    <w:rsid w:val="00B66AC2"/>
    <w:rsid w:val="00B6712F"/>
    <w:rsid w:val="00B676CE"/>
    <w:rsid w:val="00B707DE"/>
    <w:rsid w:val="00B70928"/>
    <w:rsid w:val="00B70A3A"/>
    <w:rsid w:val="00B714C0"/>
    <w:rsid w:val="00B71684"/>
    <w:rsid w:val="00B717E8"/>
    <w:rsid w:val="00B71F68"/>
    <w:rsid w:val="00B722B0"/>
    <w:rsid w:val="00B722DA"/>
    <w:rsid w:val="00B7265D"/>
    <w:rsid w:val="00B72A6E"/>
    <w:rsid w:val="00B72C56"/>
    <w:rsid w:val="00B73559"/>
    <w:rsid w:val="00B73799"/>
    <w:rsid w:val="00B73A33"/>
    <w:rsid w:val="00B7435E"/>
    <w:rsid w:val="00B7448D"/>
    <w:rsid w:val="00B747C7"/>
    <w:rsid w:val="00B74928"/>
    <w:rsid w:val="00B74DA1"/>
    <w:rsid w:val="00B7511E"/>
    <w:rsid w:val="00B75750"/>
    <w:rsid w:val="00B75A57"/>
    <w:rsid w:val="00B75B39"/>
    <w:rsid w:val="00B75C3D"/>
    <w:rsid w:val="00B7611D"/>
    <w:rsid w:val="00B7616B"/>
    <w:rsid w:val="00B76394"/>
    <w:rsid w:val="00B767A9"/>
    <w:rsid w:val="00B7689B"/>
    <w:rsid w:val="00B769E9"/>
    <w:rsid w:val="00B77D47"/>
    <w:rsid w:val="00B77FCE"/>
    <w:rsid w:val="00B805EA"/>
    <w:rsid w:val="00B80677"/>
    <w:rsid w:val="00B80A29"/>
    <w:rsid w:val="00B812C8"/>
    <w:rsid w:val="00B81302"/>
    <w:rsid w:val="00B813E0"/>
    <w:rsid w:val="00B81452"/>
    <w:rsid w:val="00B8191C"/>
    <w:rsid w:val="00B81F35"/>
    <w:rsid w:val="00B82161"/>
    <w:rsid w:val="00B8265E"/>
    <w:rsid w:val="00B83D88"/>
    <w:rsid w:val="00B83E5E"/>
    <w:rsid w:val="00B84304"/>
    <w:rsid w:val="00B8433C"/>
    <w:rsid w:val="00B846B4"/>
    <w:rsid w:val="00B84847"/>
    <w:rsid w:val="00B84BA0"/>
    <w:rsid w:val="00B84BA1"/>
    <w:rsid w:val="00B84CBC"/>
    <w:rsid w:val="00B84CD1"/>
    <w:rsid w:val="00B84D0D"/>
    <w:rsid w:val="00B850C9"/>
    <w:rsid w:val="00B852B4"/>
    <w:rsid w:val="00B85819"/>
    <w:rsid w:val="00B85956"/>
    <w:rsid w:val="00B85B1D"/>
    <w:rsid w:val="00B85FDF"/>
    <w:rsid w:val="00B868A3"/>
    <w:rsid w:val="00B86DDE"/>
    <w:rsid w:val="00B87213"/>
    <w:rsid w:val="00B87244"/>
    <w:rsid w:val="00B874EE"/>
    <w:rsid w:val="00B87A98"/>
    <w:rsid w:val="00B87B0E"/>
    <w:rsid w:val="00B9030A"/>
    <w:rsid w:val="00B90610"/>
    <w:rsid w:val="00B90AC9"/>
    <w:rsid w:val="00B90D04"/>
    <w:rsid w:val="00B9122E"/>
    <w:rsid w:val="00B91BFA"/>
    <w:rsid w:val="00B926F9"/>
    <w:rsid w:val="00B92D03"/>
    <w:rsid w:val="00B93278"/>
    <w:rsid w:val="00B9335C"/>
    <w:rsid w:val="00B941CA"/>
    <w:rsid w:val="00B94292"/>
    <w:rsid w:val="00B94293"/>
    <w:rsid w:val="00B94555"/>
    <w:rsid w:val="00B94739"/>
    <w:rsid w:val="00B948A7"/>
    <w:rsid w:val="00B9509A"/>
    <w:rsid w:val="00B953DF"/>
    <w:rsid w:val="00B95471"/>
    <w:rsid w:val="00B9554D"/>
    <w:rsid w:val="00B957CF"/>
    <w:rsid w:val="00B9604B"/>
    <w:rsid w:val="00B960B8"/>
    <w:rsid w:val="00B9632C"/>
    <w:rsid w:val="00B966F5"/>
    <w:rsid w:val="00B96B2B"/>
    <w:rsid w:val="00B96C3F"/>
    <w:rsid w:val="00B9709E"/>
    <w:rsid w:val="00B97B97"/>
    <w:rsid w:val="00BA01AE"/>
    <w:rsid w:val="00BA01EB"/>
    <w:rsid w:val="00BA08C5"/>
    <w:rsid w:val="00BA0BCE"/>
    <w:rsid w:val="00BA1199"/>
    <w:rsid w:val="00BA1427"/>
    <w:rsid w:val="00BA1610"/>
    <w:rsid w:val="00BA1667"/>
    <w:rsid w:val="00BA17EA"/>
    <w:rsid w:val="00BA1A12"/>
    <w:rsid w:val="00BA1BF2"/>
    <w:rsid w:val="00BA2278"/>
    <w:rsid w:val="00BA291E"/>
    <w:rsid w:val="00BA2943"/>
    <w:rsid w:val="00BA2AF1"/>
    <w:rsid w:val="00BA2F69"/>
    <w:rsid w:val="00BA3011"/>
    <w:rsid w:val="00BA31BF"/>
    <w:rsid w:val="00BA3A25"/>
    <w:rsid w:val="00BA484F"/>
    <w:rsid w:val="00BA4B7F"/>
    <w:rsid w:val="00BA50B2"/>
    <w:rsid w:val="00BA50CB"/>
    <w:rsid w:val="00BA524B"/>
    <w:rsid w:val="00BA5773"/>
    <w:rsid w:val="00BA59A1"/>
    <w:rsid w:val="00BA6213"/>
    <w:rsid w:val="00BA65DB"/>
    <w:rsid w:val="00BA6C02"/>
    <w:rsid w:val="00BA6C0F"/>
    <w:rsid w:val="00BA7378"/>
    <w:rsid w:val="00BA793E"/>
    <w:rsid w:val="00BAF11A"/>
    <w:rsid w:val="00BB005A"/>
    <w:rsid w:val="00BB00E4"/>
    <w:rsid w:val="00BB063A"/>
    <w:rsid w:val="00BB0913"/>
    <w:rsid w:val="00BB099D"/>
    <w:rsid w:val="00BB099E"/>
    <w:rsid w:val="00BB1522"/>
    <w:rsid w:val="00BB1BB5"/>
    <w:rsid w:val="00BB1BB8"/>
    <w:rsid w:val="00BB1BC5"/>
    <w:rsid w:val="00BB1D9F"/>
    <w:rsid w:val="00BB200C"/>
    <w:rsid w:val="00BB2325"/>
    <w:rsid w:val="00BB296D"/>
    <w:rsid w:val="00BB298F"/>
    <w:rsid w:val="00BB39B3"/>
    <w:rsid w:val="00BB3BF9"/>
    <w:rsid w:val="00BB40B4"/>
    <w:rsid w:val="00BB43D4"/>
    <w:rsid w:val="00BB4848"/>
    <w:rsid w:val="00BB531B"/>
    <w:rsid w:val="00BB550B"/>
    <w:rsid w:val="00BB589C"/>
    <w:rsid w:val="00BB6479"/>
    <w:rsid w:val="00BB6626"/>
    <w:rsid w:val="00BB6C65"/>
    <w:rsid w:val="00BB6C87"/>
    <w:rsid w:val="00BB6CD5"/>
    <w:rsid w:val="00BB6DF0"/>
    <w:rsid w:val="00BB6FCD"/>
    <w:rsid w:val="00BB76DC"/>
    <w:rsid w:val="00BB7B4F"/>
    <w:rsid w:val="00BC01D9"/>
    <w:rsid w:val="00BC08D7"/>
    <w:rsid w:val="00BC146A"/>
    <w:rsid w:val="00BC180C"/>
    <w:rsid w:val="00BC19C4"/>
    <w:rsid w:val="00BC1C0C"/>
    <w:rsid w:val="00BC1D65"/>
    <w:rsid w:val="00BC24B1"/>
    <w:rsid w:val="00BC27B1"/>
    <w:rsid w:val="00BC2809"/>
    <w:rsid w:val="00BC3255"/>
    <w:rsid w:val="00BC32CF"/>
    <w:rsid w:val="00BC3347"/>
    <w:rsid w:val="00BC349B"/>
    <w:rsid w:val="00BC3CB5"/>
    <w:rsid w:val="00BC48C4"/>
    <w:rsid w:val="00BC4B49"/>
    <w:rsid w:val="00BC5244"/>
    <w:rsid w:val="00BC5A3B"/>
    <w:rsid w:val="00BC5A4B"/>
    <w:rsid w:val="00BC5A99"/>
    <w:rsid w:val="00BC5CBC"/>
    <w:rsid w:val="00BC6034"/>
    <w:rsid w:val="00BC617D"/>
    <w:rsid w:val="00BC7803"/>
    <w:rsid w:val="00BC7AFF"/>
    <w:rsid w:val="00BD021B"/>
    <w:rsid w:val="00BD02AE"/>
    <w:rsid w:val="00BD04BD"/>
    <w:rsid w:val="00BD076C"/>
    <w:rsid w:val="00BD09EF"/>
    <w:rsid w:val="00BD0B52"/>
    <w:rsid w:val="00BD12C2"/>
    <w:rsid w:val="00BD1E99"/>
    <w:rsid w:val="00BD1F75"/>
    <w:rsid w:val="00BD270A"/>
    <w:rsid w:val="00BD2C99"/>
    <w:rsid w:val="00BD2CA1"/>
    <w:rsid w:val="00BD30DB"/>
    <w:rsid w:val="00BD3178"/>
    <w:rsid w:val="00BD337D"/>
    <w:rsid w:val="00BD3435"/>
    <w:rsid w:val="00BD3478"/>
    <w:rsid w:val="00BD35FF"/>
    <w:rsid w:val="00BD3787"/>
    <w:rsid w:val="00BD4F62"/>
    <w:rsid w:val="00BD5907"/>
    <w:rsid w:val="00BD5DA3"/>
    <w:rsid w:val="00BD5DEC"/>
    <w:rsid w:val="00BD5F6D"/>
    <w:rsid w:val="00BD604F"/>
    <w:rsid w:val="00BD659A"/>
    <w:rsid w:val="00BD65DA"/>
    <w:rsid w:val="00BD65FD"/>
    <w:rsid w:val="00BD68C8"/>
    <w:rsid w:val="00BD6DDA"/>
    <w:rsid w:val="00BD6E42"/>
    <w:rsid w:val="00BD6E9C"/>
    <w:rsid w:val="00BD7117"/>
    <w:rsid w:val="00BD7252"/>
    <w:rsid w:val="00BD7A92"/>
    <w:rsid w:val="00BD7E29"/>
    <w:rsid w:val="00BE02FC"/>
    <w:rsid w:val="00BE0747"/>
    <w:rsid w:val="00BE0876"/>
    <w:rsid w:val="00BE161C"/>
    <w:rsid w:val="00BE188C"/>
    <w:rsid w:val="00BE1C48"/>
    <w:rsid w:val="00BE233A"/>
    <w:rsid w:val="00BE2BBB"/>
    <w:rsid w:val="00BE3230"/>
    <w:rsid w:val="00BE3C51"/>
    <w:rsid w:val="00BE3DA1"/>
    <w:rsid w:val="00BE41F4"/>
    <w:rsid w:val="00BE45F0"/>
    <w:rsid w:val="00BE47A2"/>
    <w:rsid w:val="00BE49E4"/>
    <w:rsid w:val="00BE4B76"/>
    <w:rsid w:val="00BE4DAD"/>
    <w:rsid w:val="00BE4E05"/>
    <w:rsid w:val="00BE525C"/>
    <w:rsid w:val="00BE529C"/>
    <w:rsid w:val="00BE5A13"/>
    <w:rsid w:val="00BE6667"/>
    <w:rsid w:val="00BE6B3B"/>
    <w:rsid w:val="00BE6D91"/>
    <w:rsid w:val="00BE70D0"/>
    <w:rsid w:val="00BE7357"/>
    <w:rsid w:val="00BE75DA"/>
    <w:rsid w:val="00BF020D"/>
    <w:rsid w:val="00BF0695"/>
    <w:rsid w:val="00BF0F71"/>
    <w:rsid w:val="00BF1115"/>
    <w:rsid w:val="00BF14C6"/>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4ED8"/>
    <w:rsid w:val="00BF509E"/>
    <w:rsid w:val="00BF560E"/>
    <w:rsid w:val="00BF5A9C"/>
    <w:rsid w:val="00BF5C6E"/>
    <w:rsid w:val="00BF5CC2"/>
    <w:rsid w:val="00BF634C"/>
    <w:rsid w:val="00BF6714"/>
    <w:rsid w:val="00BF6C09"/>
    <w:rsid w:val="00BF7157"/>
    <w:rsid w:val="00BF7237"/>
    <w:rsid w:val="00BF777D"/>
    <w:rsid w:val="00BF789F"/>
    <w:rsid w:val="00C00ED2"/>
    <w:rsid w:val="00C00F5C"/>
    <w:rsid w:val="00C013F1"/>
    <w:rsid w:val="00C01453"/>
    <w:rsid w:val="00C0196B"/>
    <w:rsid w:val="00C01EE5"/>
    <w:rsid w:val="00C021E3"/>
    <w:rsid w:val="00C022BD"/>
    <w:rsid w:val="00C02796"/>
    <w:rsid w:val="00C02FE8"/>
    <w:rsid w:val="00C0313B"/>
    <w:rsid w:val="00C0325B"/>
    <w:rsid w:val="00C03598"/>
    <w:rsid w:val="00C035B3"/>
    <w:rsid w:val="00C03DED"/>
    <w:rsid w:val="00C04222"/>
    <w:rsid w:val="00C0448C"/>
    <w:rsid w:val="00C046D0"/>
    <w:rsid w:val="00C048BB"/>
    <w:rsid w:val="00C04A96"/>
    <w:rsid w:val="00C04BF6"/>
    <w:rsid w:val="00C0508E"/>
    <w:rsid w:val="00C050FD"/>
    <w:rsid w:val="00C05378"/>
    <w:rsid w:val="00C057B0"/>
    <w:rsid w:val="00C057E0"/>
    <w:rsid w:val="00C05AA2"/>
    <w:rsid w:val="00C05D2F"/>
    <w:rsid w:val="00C05E81"/>
    <w:rsid w:val="00C05F62"/>
    <w:rsid w:val="00C06365"/>
    <w:rsid w:val="00C063AA"/>
    <w:rsid w:val="00C06450"/>
    <w:rsid w:val="00C06970"/>
    <w:rsid w:val="00C06A57"/>
    <w:rsid w:val="00C06ABB"/>
    <w:rsid w:val="00C06B72"/>
    <w:rsid w:val="00C06F05"/>
    <w:rsid w:val="00C07124"/>
    <w:rsid w:val="00C07A97"/>
    <w:rsid w:val="00C07CF4"/>
    <w:rsid w:val="00C07D81"/>
    <w:rsid w:val="00C100D8"/>
    <w:rsid w:val="00C1039D"/>
    <w:rsid w:val="00C10C94"/>
    <w:rsid w:val="00C11017"/>
    <w:rsid w:val="00C11175"/>
    <w:rsid w:val="00C1174E"/>
    <w:rsid w:val="00C119B7"/>
    <w:rsid w:val="00C11C30"/>
    <w:rsid w:val="00C11FE3"/>
    <w:rsid w:val="00C120B4"/>
    <w:rsid w:val="00C1210E"/>
    <w:rsid w:val="00C12BA0"/>
    <w:rsid w:val="00C12BBA"/>
    <w:rsid w:val="00C12CCC"/>
    <w:rsid w:val="00C13381"/>
    <w:rsid w:val="00C13728"/>
    <w:rsid w:val="00C13DD1"/>
    <w:rsid w:val="00C1418E"/>
    <w:rsid w:val="00C142DA"/>
    <w:rsid w:val="00C1433A"/>
    <w:rsid w:val="00C14BBC"/>
    <w:rsid w:val="00C14C99"/>
    <w:rsid w:val="00C14E6E"/>
    <w:rsid w:val="00C15030"/>
    <w:rsid w:val="00C15391"/>
    <w:rsid w:val="00C156CE"/>
    <w:rsid w:val="00C15752"/>
    <w:rsid w:val="00C15776"/>
    <w:rsid w:val="00C15873"/>
    <w:rsid w:val="00C15BDE"/>
    <w:rsid w:val="00C15CED"/>
    <w:rsid w:val="00C15F87"/>
    <w:rsid w:val="00C1632A"/>
    <w:rsid w:val="00C16597"/>
    <w:rsid w:val="00C17192"/>
    <w:rsid w:val="00C17258"/>
    <w:rsid w:val="00C17320"/>
    <w:rsid w:val="00C173D5"/>
    <w:rsid w:val="00C17446"/>
    <w:rsid w:val="00C17729"/>
    <w:rsid w:val="00C17C3C"/>
    <w:rsid w:val="00C17CA4"/>
    <w:rsid w:val="00C2085B"/>
    <w:rsid w:val="00C2093C"/>
    <w:rsid w:val="00C21151"/>
    <w:rsid w:val="00C21311"/>
    <w:rsid w:val="00C2150F"/>
    <w:rsid w:val="00C21741"/>
    <w:rsid w:val="00C21E9C"/>
    <w:rsid w:val="00C2229F"/>
    <w:rsid w:val="00C22A7C"/>
    <w:rsid w:val="00C22B86"/>
    <w:rsid w:val="00C22BB7"/>
    <w:rsid w:val="00C22D01"/>
    <w:rsid w:val="00C22DA2"/>
    <w:rsid w:val="00C22F33"/>
    <w:rsid w:val="00C22FF7"/>
    <w:rsid w:val="00C2343F"/>
    <w:rsid w:val="00C239E4"/>
    <w:rsid w:val="00C23A18"/>
    <w:rsid w:val="00C23A1A"/>
    <w:rsid w:val="00C24178"/>
    <w:rsid w:val="00C24DDD"/>
    <w:rsid w:val="00C24F11"/>
    <w:rsid w:val="00C251E9"/>
    <w:rsid w:val="00C25453"/>
    <w:rsid w:val="00C2548F"/>
    <w:rsid w:val="00C255D6"/>
    <w:rsid w:val="00C25636"/>
    <w:rsid w:val="00C26052"/>
    <w:rsid w:val="00C262F8"/>
    <w:rsid w:val="00C26555"/>
    <w:rsid w:val="00C2655E"/>
    <w:rsid w:val="00C26864"/>
    <w:rsid w:val="00C269DD"/>
    <w:rsid w:val="00C26E94"/>
    <w:rsid w:val="00C2717E"/>
    <w:rsid w:val="00C2761A"/>
    <w:rsid w:val="00C278E7"/>
    <w:rsid w:val="00C27A71"/>
    <w:rsid w:val="00C27A87"/>
    <w:rsid w:val="00C27C61"/>
    <w:rsid w:val="00C303B8"/>
    <w:rsid w:val="00C30584"/>
    <w:rsid w:val="00C30CE9"/>
    <w:rsid w:val="00C30F6B"/>
    <w:rsid w:val="00C312BF"/>
    <w:rsid w:val="00C315F1"/>
    <w:rsid w:val="00C3173A"/>
    <w:rsid w:val="00C318E2"/>
    <w:rsid w:val="00C31E8E"/>
    <w:rsid w:val="00C31F61"/>
    <w:rsid w:val="00C322D7"/>
    <w:rsid w:val="00C323BA"/>
    <w:rsid w:val="00C32C1C"/>
    <w:rsid w:val="00C32D32"/>
    <w:rsid w:val="00C33172"/>
    <w:rsid w:val="00C33487"/>
    <w:rsid w:val="00C3352C"/>
    <w:rsid w:val="00C33694"/>
    <w:rsid w:val="00C339AE"/>
    <w:rsid w:val="00C33BCD"/>
    <w:rsid w:val="00C33BD2"/>
    <w:rsid w:val="00C33DF0"/>
    <w:rsid w:val="00C33F47"/>
    <w:rsid w:val="00C344AA"/>
    <w:rsid w:val="00C348FB"/>
    <w:rsid w:val="00C34B54"/>
    <w:rsid w:val="00C350CD"/>
    <w:rsid w:val="00C354D9"/>
    <w:rsid w:val="00C355F6"/>
    <w:rsid w:val="00C35726"/>
    <w:rsid w:val="00C366AC"/>
    <w:rsid w:val="00C36704"/>
    <w:rsid w:val="00C367AC"/>
    <w:rsid w:val="00C36971"/>
    <w:rsid w:val="00C369F7"/>
    <w:rsid w:val="00C36AD6"/>
    <w:rsid w:val="00C3728D"/>
    <w:rsid w:val="00C372EF"/>
    <w:rsid w:val="00C374C2"/>
    <w:rsid w:val="00C37918"/>
    <w:rsid w:val="00C37FC6"/>
    <w:rsid w:val="00C401AB"/>
    <w:rsid w:val="00C4045B"/>
    <w:rsid w:val="00C40991"/>
    <w:rsid w:val="00C40B07"/>
    <w:rsid w:val="00C413E1"/>
    <w:rsid w:val="00C41D18"/>
    <w:rsid w:val="00C41E4E"/>
    <w:rsid w:val="00C41E8B"/>
    <w:rsid w:val="00C423F6"/>
    <w:rsid w:val="00C4266B"/>
    <w:rsid w:val="00C42A87"/>
    <w:rsid w:val="00C42D3E"/>
    <w:rsid w:val="00C432A0"/>
    <w:rsid w:val="00C43448"/>
    <w:rsid w:val="00C435AF"/>
    <w:rsid w:val="00C43647"/>
    <w:rsid w:val="00C43ACB"/>
    <w:rsid w:val="00C4400C"/>
    <w:rsid w:val="00C44070"/>
    <w:rsid w:val="00C44404"/>
    <w:rsid w:val="00C4479F"/>
    <w:rsid w:val="00C45437"/>
    <w:rsid w:val="00C45602"/>
    <w:rsid w:val="00C45642"/>
    <w:rsid w:val="00C45BD4"/>
    <w:rsid w:val="00C45DB2"/>
    <w:rsid w:val="00C46AC0"/>
    <w:rsid w:val="00C46EBF"/>
    <w:rsid w:val="00C47138"/>
    <w:rsid w:val="00C4760D"/>
    <w:rsid w:val="00C4772A"/>
    <w:rsid w:val="00C47AA9"/>
    <w:rsid w:val="00C47F01"/>
    <w:rsid w:val="00C47F2B"/>
    <w:rsid w:val="00C5065E"/>
    <w:rsid w:val="00C50675"/>
    <w:rsid w:val="00C50865"/>
    <w:rsid w:val="00C514FE"/>
    <w:rsid w:val="00C5158B"/>
    <w:rsid w:val="00C51C7F"/>
    <w:rsid w:val="00C5241A"/>
    <w:rsid w:val="00C52A5E"/>
    <w:rsid w:val="00C52AC9"/>
    <w:rsid w:val="00C52CA7"/>
    <w:rsid w:val="00C5331A"/>
    <w:rsid w:val="00C533D4"/>
    <w:rsid w:val="00C5369D"/>
    <w:rsid w:val="00C538F5"/>
    <w:rsid w:val="00C53D9C"/>
    <w:rsid w:val="00C53FE4"/>
    <w:rsid w:val="00C550DF"/>
    <w:rsid w:val="00C55F18"/>
    <w:rsid w:val="00C568B7"/>
    <w:rsid w:val="00C56E2F"/>
    <w:rsid w:val="00C56E9A"/>
    <w:rsid w:val="00C5702E"/>
    <w:rsid w:val="00C57069"/>
    <w:rsid w:val="00C5710E"/>
    <w:rsid w:val="00C5728D"/>
    <w:rsid w:val="00C574AD"/>
    <w:rsid w:val="00C57885"/>
    <w:rsid w:val="00C57A32"/>
    <w:rsid w:val="00C57C61"/>
    <w:rsid w:val="00C57D2F"/>
    <w:rsid w:val="00C57FB6"/>
    <w:rsid w:val="00C60757"/>
    <w:rsid w:val="00C60854"/>
    <w:rsid w:val="00C6093B"/>
    <w:rsid w:val="00C60C40"/>
    <w:rsid w:val="00C60E8F"/>
    <w:rsid w:val="00C61B80"/>
    <w:rsid w:val="00C61E0A"/>
    <w:rsid w:val="00C61EAD"/>
    <w:rsid w:val="00C62134"/>
    <w:rsid w:val="00C62CE1"/>
    <w:rsid w:val="00C63395"/>
    <w:rsid w:val="00C639ED"/>
    <w:rsid w:val="00C640B7"/>
    <w:rsid w:val="00C6469C"/>
    <w:rsid w:val="00C64784"/>
    <w:rsid w:val="00C647E6"/>
    <w:rsid w:val="00C64A59"/>
    <w:rsid w:val="00C64BA0"/>
    <w:rsid w:val="00C64DEA"/>
    <w:rsid w:val="00C65077"/>
    <w:rsid w:val="00C6519C"/>
    <w:rsid w:val="00C6523E"/>
    <w:rsid w:val="00C653B2"/>
    <w:rsid w:val="00C65AED"/>
    <w:rsid w:val="00C65BFB"/>
    <w:rsid w:val="00C65C47"/>
    <w:rsid w:val="00C65EFA"/>
    <w:rsid w:val="00C6699F"/>
    <w:rsid w:val="00C66A18"/>
    <w:rsid w:val="00C66FB1"/>
    <w:rsid w:val="00C678AE"/>
    <w:rsid w:val="00C67958"/>
    <w:rsid w:val="00C679CE"/>
    <w:rsid w:val="00C67A75"/>
    <w:rsid w:val="00C70558"/>
    <w:rsid w:val="00C706C6"/>
    <w:rsid w:val="00C7130F"/>
    <w:rsid w:val="00C716DE"/>
    <w:rsid w:val="00C717CE"/>
    <w:rsid w:val="00C71E97"/>
    <w:rsid w:val="00C722B3"/>
    <w:rsid w:val="00C73094"/>
    <w:rsid w:val="00C73A88"/>
    <w:rsid w:val="00C74560"/>
    <w:rsid w:val="00C753C6"/>
    <w:rsid w:val="00C755A8"/>
    <w:rsid w:val="00C75E00"/>
    <w:rsid w:val="00C76379"/>
    <w:rsid w:val="00C76800"/>
    <w:rsid w:val="00C7695D"/>
    <w:rsid w:val="00C76A58"/>
    <w:rsid w:val="00C76C82"/>
    <w:rsid w:val="00C76D38"/>
    <w:rsid w:val="00C7719C"/>
    <w:rsid w:val="00C77E3E"/>
    <w:rsid w:val="00C800EF"/>
    <w:rsid w:val="00C8019A"/>
    <w:rsid w:val="00C80347"/>
    <w:rsid w:val="00C805B0"/>
    <w:rsid w:val="00C807B9"/>
    <w:rsid w:val="00C80F99"/>
    <w:rsid w:val="00C81237"/>
    <w:rsid w:val="00C81CD3"/>
    <w:rsid w:val="00C81ED9"/>
    <w:rsid w:val="00C82098"/>
    <w:rsid w:val="00C8214E"/>
    <w:rsid w:val="00C823CA"/>
    <w:rsid w:val="00C825B7"/>
    <w:rsid w:val="00C82774"/>
    <w:rsid w:val="00C82A17"/>
    <w:rsid w:val="00C82D1A"/>
    <w:rsid w:val="00C82ED6"/>
    <w:rsid w:val="00C83073"/>
    <w:rsid w:val="00C83401"/>
    <w:rsid w:val="00C83587"/>
    <w:rsid w:val="00C84579"/>
    <w:rsid w:val="00C845F7"/>
    <w:rsid w:val="00C848FF"/>
    <w:rsid w:val="00C8491A"/>
    <w:rsid w:val="00C849F4"/>
    <w:rsid w:val="00C85086"/>
    <w:rsid w:val="00C85422"/>
    <w:rsid w:val="00C857BA"/>
    <w:rsid w:val="00C857EB"/>
    <w:rsid w:val="00C859AE"/>
    <w:rsid w:val="00C86373"/>
    <w:rsid w:val="00C86394"/>
    <w:rsid w:val="00C8664A"/>
    <w:rsid w:val="00C866E9"/>
    <w:rsid w:val="00C86DA7"/>
    <w:rsid w:val="00C875F8"/>
    <w:rsid w:val="00C875FB"/>
    <w:rsid w:val="00C87791"/>
    <w:rsid w:val="00C90091"/>
    <w:rsid w:val="00C90263"/>
    <w:rsid w:val="00C911E6"/>
    <w:rsid w:val="00C91F21"/>
    <w:rsid w:val="00C92058"/>
    <w:rsid w:val="00C923E7"/>
    <w:rsid w:val="00C92496"/>
    <w:rsid w:val="00C9264F"/>
    <w:rsid w:val="00C9284D"/>
    <w:rsid w:val="00C92A8A"/>
    <w:rsid w:val="00C92D0A"/>
    <w:rsid w:val="00C92EEA"/>
    <w:rsid w:val="00C92F41"/>
    <w:rsid w:val="00C93C1D"/>
    <w:rsid w:val="00C93D00"/>
    <w:rsid w:val="00C94188"/>
    <w:rsid w:val="00C9421F"/>
    <w:rsid w:val="00C944C3"/>
    <w:rsid w:val="00C947E2"/>
    <w:rsid w:val="00C94840"/>
    <w:rsid w:val="00C94A2B"/>
    <w:rsid w:val="00C94EEA"/>
    <w:rsid w:val="00C94EF9"/>
    <w:rsid w:val="00C952AF"/>
    <w:rsid w:val="00C95625"/>
    <w:rsid w:val="00C95787"/>
    <w:rsid w:val="00C957FC"/>
    <w:rsid w:val="00C95C64"/>
    <w:rsid w:val="00C96DBE"/>
    <w:rsid w:val="00C97254"/>
    <w:rsid w:val="00C97791"/>
    <w:rsid w:val="00C9799E"/>
    <w:rsid w:val="00C97F62"/>
    <w:rsid w:val="00C97F7F"/>
    <w:rsid w:val="00CA084E"/>
    <w:rsid w:val="00CA08AF"/>
    <w:rsid w:val="00CA0E8E"/>
    <w:rsid w:val="00CA137F"/>
    <w:rsid w:val="00CA1824"/>
    <w:rsid w:val="00CA23C3"/>
    <w:rsid w:val="00CA23D0"/>
    <w:rsid w:val="00CA25E5"/>
    <w:rsid w:val="00CA29A5"/>
    <w:rsid w:val="00CA2AA0"/>
    <w:rsid w:val="00CA2D59"/>
    <w:rsid w:val="00CA308F"/>
    <w:rsid w:val="00CA3417"/>
    <w:rsid w:val="00CA351D"/>
    <w:rsid w:val="00CA35EA"/>
    <w:rsid w:val="00CA3630"/>
    <w:rsid w:val="00CA3CB8"/>
    <w:rsid w:val="00CA40D3"/>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22A"/>
    <w:rsid w:val="00CA755D"/>
    <w:rsid w:val="00CA7685"/>
    <w:rsid w:val="00CA77E7"/>
    <w:rsid w:val="00CA7B29"/>
    <w:rsid w:val="00CA7C75"/>
    <w:rsid w:val="00CB0871"/>
    <w:rsid w:val="00CB0BE9"/>
    <w:rsid w:val="00CB15D9"/>
    <w:rsid w:val="00CB1A30"/>
    <w:rsid w:val="00CB2AEF"/>
    <w:rsid w:val="00CB2F2E"/>
    <w:rsid w:val="00CB35CC"/>
    <w:rsid w:val="00CB3B84"/>
    <w:rsid w:val="00CB4B55"/>
    <w:rsid w:val="00CB4C54"/>
    <w:rsid w:val="00CB5A5A"/>
    <w:rsid w:val="00CB5E47"/>
    <w:rsid w:val="00CB635F"/>
    <w:rsid w:val="00CB639C"/>
    <w:rsid w:val="00CB679B"/>
    <w:rsid w:val="00CB7019"/>
    <w:rsid w:val="00CB766B"/>
    <w:rsid w:val="00CB7957"/>
    <w:rsid w:val="00CB7A74"/>
    <w:rsid w:val="00CB7C75"/>
    <w:rsid w:val="00CB7D58"/>
    <w:rsid w:val="00CB7DDF"/>
    <w:rsid w:val="00CC0466"/>
    <w:rsid w:val="00CC15D8"/>
    <w:rsid w:val="00CC1F5C"/>
    <w:rsid w:val="00CC20B0"/>
    <w:rsid w:val="00CC25BC"/>
    <w:rsid w:val="00CC2B3A"/>
    <w:rsid w:val="00CC2C4D"/>
    <w:rsid w:val="00CC2D63"/>
    <w:rsid w:val="00CC2F55"/>
    <w:rsid w:val="00CC3149"/>
    <w:rsid w:val="00CC3935"/>
    <w:rsid w:val="00CC3AEC"/>
    <w:rsid w:val="00CC3B1D"/>
    <w:rsid w:val="00CC3BFC"/>
    <w:rsid w:val="00CC3D16"/>
    <w:rsid w:val="00CC3E4B"/>
    <w:rsid w:val="00CC4576"/>
    <w:rsid w:val="00CC4B2B"/>
    <w:rsid w:val="00CC511D"/>
    <w:rsid w:val="00CC545B"/>
    <w:rsid w:val="00CC5A9D"/>
    <w:rsid w:val="00CC5AA9"/>
    <w:rsid w:val="00CC6428"/>
    <w:rsid w:val="00CC6A46"/>
    <w:rsid w:val="00CC6B8E"/>
    <w:rsid w:val="00CC6BB7"/>
    <w:rsid w:val="00CC7105"/>
    <w:rsid w:val="00CC720A"/>
    <w:rsid w:val="00CC751D"/>
    <w:rsid w:val="00CC79C6"/>
    <w:rsid w:val="00CC7B93"/>
    <w:rsid w:val="00CD067D"/>
    <w:rsid w:val="00CD0882"/>
    <w:rsid w:val="00CD0F6C"/>
    <w:rsid w:val="00CD168F"/>
    <w:rsid w:val="00CD16F0"/>
    <w:rsid w:val="00CD196D"/>
    <w:rsid w:val="00CD2867"/>
    <w:rsid w:val="00CD2B33"/>
    <w:rsid w:val="00CD2F4C"/>
    <w:rsid w:val="00CD310A"/>
    <w:rsid w:val="00CD3F8F"/>
    <w:rsid w:val="00CD4D06"/>
    <w:rsid w:val="00CD4DDF"/>
    <w:rsid w:val="00CD4ECD"/>
    <w:rsid w:val="00CD4F92"/>
    <w:rsid w:val="00CD53FD"/>
    <w:rsid w:val="00CD5961"/>
    <w:rsid w:val="00CD5B76"/>
    <w:rsid w:val="00CD6156"/>
    <w:rsid w:val="00CD6549"/>
    <w:rsid w:val="00CD68FD"/>
    <w:rsid w:val="00CD6E3F"/>
    <w:rsid w:val="00CD6EEC"/>
    <w:rsid w:val="00CD6FF6"/>
    <w:rsid w:val="00CD70C2"/>
    <w:rsid w:val="00CD74D6"/>
    <w:rsid w:val="00CD7672"/>
    <w:rsid w:val="00CD77D4"/>
    <w:rsid w:val="00CD79E6"/>
    <w:rsid w:val="00CE0C44"/>
    <w:rsid w:val="00CE0D29"/>
    <w:rsid w:val="00CE0E60"/>
    <w:rsid w:val="00CE0F23"/>
    <w:rsid w:val="00CE1F91"/>
    <w:rsid w:val="00CE26A3"/>
    <w:rsid w:val="00CE2739"/>
    <w:rsid w:val="00CE282C"/>
    <w:rsid w:val="00CE2BA0"/>
    <w:rsid w:val="00CE2C19"/>
    <w:rsid w:val="00CE306B"/>
    <w:rsid w:val="00CE30D5"/>
    <w:rsid w:val="00CE33E2"/>
    <w:rsid w:val="00CE395D"/>
    <w:rsid w:val="00CE3A32"/>
    <w:rsid w:val="00CE3B7C"/>
    <w:rsid w:val="00CE4434"/>
    <w:rsid w:val="00CE4644"/>
    <w:rsid w:val="00CE50E1"/>
    <w:rsid w:val="00CE53DF"/>
    <w:rsid w:val="00CE5404"/>
    <w:rsid w:val="00CE546B"/>
    <w:rsid w:val="00CE5706"/>
    <w:rsid w:val="00CE58AB"/>
    <w:rsid w:val="00CE5ECE"/>
    <w:rsid w:val="00CE6072"/>
    <w:rsid w:val="00CE62A0"/>
    <w:rsid w:val="00CE63BE"/>
    <w:rsid w:val="00CE67C5"/>
    <w:rsid w:val="00CE683F"/>
    <w:rsid w:val="00CE68B5"/>
    <w:rsid w:val="00CE6B93"/>
    <w:rsid w:val="00CE7023"/>
    <w:rsid w:val="00CE78DB"/>
    <w:rsid w:val="00CF0424"/>
    <w:rsid w:val="00CF06B3"/>
    <w:rsid w:val="00CF0D6D"/>
    <w:rsid w:val="00CF0F28"/>
    <w:rsid w:val="00CF0F2B"/>
    <w:rsid w:val="00CF1962"/>
    <w:rsid w:val="00CF19EC"/>
    <w:rsid w:val="00CF1D1F"/>
    <w:rsid w:val="00CF2395"/>
    <w:rsid w:val="00CF26FE"/>
    <w:rsid w:val="00CF2792"/>
    <w:rsid w:val="00CF283E"/>
    <w:rsid w:val="00CF314B"/>
    <w:rsid w:val="00CF3157"/>
    <w:rsid w:val="00CF338F"/>
    <w:rsid w:val="00CF36FC"/>
    <w:rsid w:val="00CF3C53"/>
    <w:rsid w:val="00CF3DBD"/>
    <w:rsid w:val="00CF46ED"/>
    <w:rsid w:val="00CF4A54"/>
    <w:rsid w:val="00CF5031"/>
    <w:rsid w:val="00CF5270"/>
    <w:rsid w:val="00CF566E"/>
    <w:rsid w:val="00CF5867"/>
    <w:rsid w:val="00CF5AE5"/>
    <w:rsid w:val="00CF5BEE"/>
    <w:rsid w:val="00CF5F77"/>
    <w:rsid w:val="00CF658A"/>
    <w:rsid w:val="00CF6A65"/>
    <w:rsid w:val="00CF6E88"/>
    <w:rsid w:val="00CF71C4"/>
    <w:rsid w:val="00CF76B1"/>
    <w:rsid w:val="00CF7FE9"/>
    <w:rsid w:val="00D00131"/>
    <w:rsid w:val="00D0029F"/>
    <w:rsid w:val="00D009F9"/>
    <w:rsid w:val="00D01019"/>
    <w:rsid w:val="00D02B76"/>
    <w:rsid w:val="00D02B8E"/>
    <w:rsid w:val="00D031C8"/>
    <w:rsid w:val="00D036E9"/>
    <w:rsid w:val="00D03B9C"/>
    <w:rsid w:val="00D03C1F"/>
    <w:rsid w:val="00D03D47"/>
    <w:rsid w:val="00D041BA"/>
    <w:rsid w:val="00D047C2"/>
    <w:rsid w:val="00D0509E"/>
    <w:rsid w:val="00D0539D"/>
    <w:rsid w:val="00D055DF"/>
    <w:rsid w:val="00D056D5"/>
    <w:rsid w:val="00D05C48"/>
    <w:rsid w:val="00D05DCA"/>
    <w:rsid w:val="00D05E01"/>
    <w:rsid w:val="00D05FC5"/>
    <w:rsid w:val="00D0609F"/>
    <w:rsid w:val="00D0686B"/>
    <w:rsid w:val="00D06B60"/>
    <w:rsid w:val="00D06D61"/>
    <w:rsid w:val="00D06D9C"/>
    <w:rsid w:val="00D07308"/>
    <w:rsid w:val="00D0799E"/>
    <w:rsid w:val="00D10982"/>
    <w:rsid w:val="00D109B8"/>
    <w:rsid w:val="00D10C0B"/>
    <w:rsid w:val="00D10C9F"/>
    <w:rsid w:val="00D1100B"/>
    <w:rsid w:val="00D113E6"/>
    <w:rsid w:val="00D11BD3"/>
    <w:rsid w:val="00D12158"/>
    <w:rsid w:val="00D12F66"/>
    <w:rsid w:val="00D13359"/>
    <w:rsid w:val="00D1343D"/>
    <w:rsid w:val="00D135C3"/>
    <w:rsid w:val="00D13804"/>
    <w:rsid w:val="00D13D0D"/>
    <w:rsid w:val="00D1476A"/>
    <w:rsid w:val="00D149B0"/>
    <w:rsid w:val="00D151D4"/>
    <w:rsid w:val="00D155F6"/>
    <w:rsid w:val="00D15781"/>
    <w:rsid w:val="00D15E1D"/>
    <w:rsid w:val="00D163F3"/>
    <w:rsid w:val="00D16517"/>
    <w:rsid w:val="00D16565"/>
    <w:rsid w:val="00D16674"/>
    <w:rsid w:val="00D167D1"/>
    <w:rsid w:val="00D16CBF"/>
    <w:rsid w:val="00D16DC7"/>
    <w:rsid w:val="00D1703E"/>
    <w:rsid w:val="00D172AB"/>
    <w:rsid w:val="00D173C2"/>
    <w:rsid w:val="00D17EA8"/>
    <w:rsid w:val="00D20082"/>
    <w:rsid w:val="00D2044F"/>
    <w:rsid w:val="00D204CD"/>
    <w:rsid w:val="00D205F2"/>
    <w:rsid w:val="00D20CFE"/>
    <w:rsid w:val="00D20EF6"/>
    <w:rsid w:val="00D21191"/>
    <w:rsid w:val="00D21691"/>
    <w:rsid w:val="00D21901"/>
    <w:rsid w:val="00D2199B"/>
    <w:rsid w:val="00D21AB4"/>
    <w:rsid w:val="00D220FE"/>
    <w:rsid w:val="00D223BF"/>
    <w:rsid w:val="00D229D9"/>
    <w:rsid w:val="00D234B3"/>
    <w:rsid w:val="00D23506"/>
    <w:rsid w:val="00D23546"/>
    <w:rsid w:val="00D2386A"/>
    <w:rsid w:val="00D2467B"/>
    <w:rsid w:val="00D24BA2"/>
    <w:rsid w:val="00D24D18"/>
    <w:rsid w:val="00D2571A"/>
    <w:rsid w:val="00D25A39"/>
    <w:rsid w:val="00D25C5A"/>
    <w:rsid w:val="00D25D1F"/>
    <w:rsid w:val="00D266E6"/>
    <w:rsid w:val="00D267AA"/>
    <w:rsid w:val="00D26CB3"/>
    <w:rsid w:val="00D26CF8"/>
    <w:rsid w:val="00D26D12"/>
    <w:rsid w:val="00D26FDA"/>
    <w:rsid w:val="00D272F8"/>
    <w:rsid w:val="00D27767"/>
    <w:rsid w:val="00D30055"/>
    <w:rsid w:val="00D30A18"/>
    <w:rsid w:val="00D30C40"/>
    <w:rsid w:val="00D319DB"/>
    <w:rsid w:val="00D31A37"/>
    <w:rsid w:val="00D31F4E"/>
    <w:rsid w:val="00D32453"/>
    <w:rsid w:val="00D329F3"/>
    <w:rsid w:val="00D32E69"/>
    <w:rsid w:val="00D33407"/>
    <w:rsid w:val="00D336CB"/>
    <w:rsid w:val="00D338D1"/>
    <w:rsid w:val="00D33F57"/>
    <w:rsid w:val="00D340A5"/>
    <w:rsid w:val="00D346E3"/>
    <w:rsid w:val="00D3474E"/>
    <w:rsid w:val="00D3476B"/>
    <w:rsid w:val="00D3503F"/>
    <w:rsid w:val="00D35255"/>
    <w:rsid w:val="00D3531C"/>
    <w:rsid w:val="00D35839"/>
    <w:rsid w:val="00D35C62"/>
    <w:rsid w:val="00D35DF7"/>
    <w:rsid w:val="00D35FC5"/>
    <w:rsid w:val="00D368CE"/>
    <w:rsid w:val="00D3695B"/>
    <w:rsid w:val="00D37555"/>
    <w:rsid w:val="00D37674"/>
    <w:rsid w:val="00D37B32"/>
    <w:rsid w:val="00D37E44"/>
    <w:rsid w:val="00D40305"/>
    <w:rsid w:val="00D405AE"/>
    <w:rsid w:val="00D41213"/>
    <w:rsid w:val="00D42092"/>
    <w:rsid w:val="00D42839"/>
    <w:rsid w:val="00D42CBC"/>
    <w:rsid w:val="00D42EC4"/>
    <w:rsid w:val="00D4373D"/>
    <w:rsid w:val="00D43755"/>
    <w:rsid w:val="00D44C9F"/>
    <w:rsid w:val="00D457EF"/>
    <w:rsid w:val="00D4589C"/>
    <w:rsid w:val="00D45A7C"/>
    <w:rsid w:val="00D45C95"/>
    <w:rsid w:val="00D45E8A"/>
    <w:rsid w:val="00D46510"/>
    <w:rsid w:val="00D46AFF"/>
    <w:rsid w:val="00D46E0F"/>
    <w:rsid w:val="00D46E6F"/>
    <w:rsid w:val="00D46F21"/>
    <w:rsid w:val="00D47002"/>
    <w:rsid w:val="00D474DB"/>
    <w:rsid w:val="00D50514"/>
    <w:rsid w:val="00D50697"/>
    <w:rsid w:val="00D50893"/>
    <w:rsid w:val="00D50A4A"/>
    <w:rsid w:val="00D50D5C"/>
    <w:rsid w:val="00D51129"/>
    <w:rsid w:val="00D51AD1"/>
    <w:rsid w:val="00D51CC5"/>
    <w:rsid w:val="00D51EDE"/>
    <w:rsid w:val="00D523F2"/>
    <w:rsid w:val="00D52480"/>
    <w:rsid w:val="00D5305D"/>
    <w:rsid w:val="00D53603"/>
    <w:rsid w:val="00D53A96"/>
    <w:rsid w:val="00D53BE5"/>
    <w:rsid w:val="00D53C59"/>
    <w:rsid w:val="00D53F22"/>
    <w:rsid w:val="00D540F4"/>
    <w:rsid w:val="00D54169"/>
    <w:rsid w:val="00D54849"/>
    <w:rsid w:val="00D54A5F"/>
    <w:rsid w:val="00D54B4A"/>
    <w:rsid w:val="00D55A5B"/>
    <w:rsid w:val="00D55D17"/>
    <w:rsid w:val="00D55D5D"/>
    <w:rsid w:val="00D5623A"/>
    <w:rsid w:val="00D5632F"/>
    <w:rsid w:val="00D56AE5"/>
    <w:rsid w:val="00D56C98"/>
    <w:rsid w:val="00D57434"/>
    <w:rsid w:val="00D57800"/>
    <w:rsid w:val="00D579B3"/>
    <w:rsid w:val="00D57E2A"/>
    <w:rsid w:val="00D60BFA"/>
    <w:rsid w:val="00D6112F"/>
    <w:rsid w:val="00D61397"/>
    <w:rsid w:val="00D61A8F"/>
    <w:rsid w:val="00D61F38"/>
    <w:rsid w:val="00D62037"/>
    <w:rsid w:val="00D620CC"/>
    <w:rsid w:val="00D622AF"/>
    <w:rsid w:val="00D623AD"/>
    <w:rsid w:val="00D6263F"/>
    <w:rsid w:val="00D62CD1"/>
    <w:rsid w:val="00D62D3A"/>
    <w:rsid w:val="00D63031"/>
    <w:rsid w:val="00D635DC"/>
    <w:rsid w:val="00D63AD0"/>
    <w:rsid w:val="00D63B02"/>
    <w:rsid w:val="00D63B10"/>
    <w:rsid w:val="00D63BA4"/>
    <w:rsid w:val="00D63D3E"/>
    <w:rsid w:val="00D63E4A"/>
    <w:rsid w:val="00D63F79"/>
    <w:rsid w:val="00D6409B"/>
    <w:rsid w:val="00D64238"/>
    <w:rsid w:val="00D643E8"/>
    <w:rsid w:val="00D64E8B"/>
    <w:rsid w:val="00D64F3E"/>
    <w:rsid w:val="00D6559F"/>
    <w:rsid w:val="00D659BA"/>
    <w:rsid w:val="00D65F6B"/>
    <w:rsid w:val="00D661B6"/>
    <w:rsid w:val="00D662B9"/>
    <w:rsid w:val="00D665AF"/>
    <w:rsid w:val="00D66C4A"/>
    <w:rsid w:val="00D66F4F"/>
    <w:rsid w:val="00D674A3"/>
    <w:rsid w:val="00D6780E"/>
    <w:rsid w:val="00D6794D"/>
    <w:rsid w:val="00D679EB"/>
    <w:rsid w:val="00D67EC9"/>
    <w:rsid w:val="00D70364"/>
    <w:rsid w:val="00D708B1"/>
    <w:rsid w:val="00D70A60"/>
    <w:rsid w:val="00D70AB8"/>
    <w:rsid w:val="00D70CB4"/>
    <w:rsid w:val="00D70F98"/>
    <w:rsid w:val="00D71504"/>
    <w:rsid w:val="00D721C1"/>
    <w:rsid w:val="00D72890"/>
    <w:rsid w:val="00D7296A"/>
    <w:rsid w:val="00D72DA3"/>
    <w:rsid w:val="00D731F0"/>
    <w:rsid w:val="00D73CDA"/>
    <w:rsid w:val="00D73F7B"/>
    <w:rsid w:val="00D74C41"/>
    <w:rsid w:val="00D7502E"/>
    <w:rsid w:val="00D75A79"/>
    <w:rsid w:val="00D75CA4"/>
    <w:rsid w:val="00D75D18"/>
    <w:rsid w:val="00D75D3E"/>
    <w:rsid w:val="00D761A3"/>
    <w:rsid w:val="00D7634E"/>
    <w:rsid w:val="00D763EF"/>
    <w:rsid w:val="00D76DF8"/>
    <w:rsid w:val="00D77506"/>
    <w:rsid w:val="00D8030B"/>
    <w:rsid w:val="00D806CD"/>
    <w:rsid w:val="00D807E1"/>
    <w:rsid w:val="00D80ADB"/>
    <w:rsid w:val="00D80C4F"/>
    <w:rsid w:val="00D80DA6"/>
    <w:rsid w:val="00D81323"/>
    <w:rsid w:val="00D81B2D"/>
    <w:rsid w:val="00D81BB3"/>
    <w:rsid w:val="00D82066"/>
    <w:rsid w:val="00D82246"/>
    <w:rsid w:val="00D82309"/>
    <w:rsid w:val="00D83040"/>
    <w:rsid w:val="00D83869"/>
    <w:rsid w:val="00D83A3E"/>
    <w:rsid w:val="00D840FC"/>
    <w:rsid w:val="00D84182"/>
    <w:rsid w:val="00D84767"/>
    <w:rsid w:val="00D84FCD"/>
    <w:rsid w:val="00D852B7"/>
    <w:rsid w:val="00D85FF4"/>
    <w:rsid w:val="00D865B3"/>
    <w:rsid w:val="00D86B88"/>
    <w:rsid w:val="00D86F2C"/>
    <w:rsid w:val="00D87016"/>
    <w:rsid w:val="00D87044"/>
    <w:rsid w:val="00D872D4"/>
    <w:rsid w:val="00D873C4"/>
    <w:rsid w:val="00D87673"/>
    <w:rsid w:val="00D87F0D"/>
    <w:rsid w:val="00D90345"/>
    <w:rsid w:val="00D90348"/>
    <w:rsid w:val="00D906A4"/>
    <w:rsid w:val="00D907BE"/>
    <w:rsid w:val="00D90AB3"/>
    <w:rsid w:val="00D90C9B"/>
    <w:rsid w:val="00D915D5"/>
    <w:rsid w:val="00D91696"/>
    <w:rsid w:val="00D91AB2"/>
    <w:rsid w:val="00D9260D"/>
    <w:rsid w:val="00D9298D"/>
    <w:rsid w:val="00D92A70"/>
    <w:rsid w:val="00D92B7C"/>
    <w:rsid w:val="00D92BB7"/>
    <w:rsid w:val="00D92CCC"/>
    <w:rsid w:val="00D92E8B"/>
    <w:rsid w:val="00D9338C"/>
    <w:rsid w:val="00D935B7"/>
    <w:rsid w:val="00D93964"/>
    <w:rsid w:val="00D9398E"/>
    <w:rsid w:val="00D93D35"/>
    <w:rsid w:val="00D942EF"/>
    <w:rsid w:val="00D94A82"/>
    <w:rsid w:val="00D94D14"/>
    <w:rsid w:val="00D94F60"/>
    <w:rsid w:val="00D955CB"/>
    <w:rsid w:val="00D96241"/>
    <w:rsid w:val="00D9699F"/>
    <w:rsid w:val="00D97030"/>
    <w:rsid w:val="00D97757"/>
    <w:rsid w:val="00D97A3E"/>
    <w:rsid w:val="00D97CB4"/>
    <w:rsid w:val="00D97D88"/>
    <w:rsid w:val="00D97FB5"/>
    <w:rsid w:val="00DA0061"/>
    <w:rsid w:val="00DA0F12"/>
    <w:rsid w:val="00DA115C"/>
    <w:rsid w:val="00DA15D2"/>
    <w:rsid w:val="00DA19AB"/>
    <w:rsid w:val="00DA1ABA"/>
    <w:rsid w:val="00DA1CE3"/>
    <w:rsid w:val="00DA1D37"/>
    <w:rsid w:val="00DA2133"/>
    <w:rsid w:val="00DA3373"/>
    <w:rsid w:val="00DA3500"/>
    <w:rsid w:val="00DA3874"/>
    <w:rsid w:val="00DA391C"/>
    <w:rsid w:val="00DA3934"/>
    <w:rsid w:val="00DA42A7"/>
    <w:rsid w:val="00DA4464"/>
    <w:rsid w:val="00DA4A3F"/>
    <w:rsid w:val="00DA557A"/>
    <w:rsid w:val="00DA5A26"/>
    <w:rsid w:val="00DA5B2F"/>
    <w:rsid w:val="00DA5D22"/>
    <w:rsid w:val="00DA5DC5"/>
    <w:rsid w:val="00DA617B"/>
    <w:rsid w:val="00DA61D0"/>
    <w:rsid w:val="00DA6424"/>
    <w:rsid w:val="00DA6E13"/>
    <w:rsid w:val="00DB00D0"/>
    <w:rsid w:val="00DB01FA"/>
    <w:rsid w:val="00DB0273"/>
    <w:rsid w:val="00DB0729"/>
    <w:rsid w:val="00DB10F8"/>
    <w:rsid w:val="00DB1147"/>
    <w:rsid w:val="00DB1877"/>
    <w:rsid w:val="00DB1983"/>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119"/>
    <w:rsid w:val="00DB6275"/>
    <w:rsid w:val="00DB62C0"/>
    <w:rsid w:val="00DB6402"/>
    <w:rsid w:val="00DB64D9"/>
    <w:rsid w:val="00DB6A43"/>
    <w:rsid w:val="00DB6C0C"/>
    <w:rsid w:val="00DB6D62"/>
    <w:rsid w:val="00DB7081"/>
    <w:rsid w:val="00DB726E"/>
    <w:rsid w:val="00DB773D"/>
    <w:rsid w:val="00DB7861"/>
    <w:rsid w:val="00DB7B0E"/>
    <w:rsid w:val="00DB7D54"/>
    <w:rsid w:val="00DB7EFA"/>
    <w:rsid w:val="00DC00B3"/>
    <w:rsid w:val="00DC0184"/>
    <w:rsid w:val="00DC03B4"/>
    <w:rsid w:val="00DC0517"/>
    <w:rsid w:val="00DC0910"/>
    <w:rsid w:val="00DC0E1C"/>
    <w:rsid w:val="00DC1108"/>
    <w:rsid w:val="00DC1405"/>
    <w:rsid w:val="00DC144E"/>
    <w:rsid w:val="00DC1C15"/>
    <w:rsid w:val="00DC24CE"/>
    <w:rsid w:val="00DC2793"/>
    <w:rsid w:val="00DC29A6"/>
    <w:rsid w:val="00DC2B5B"/>
    <w:rsid w:val="00DC2C4A"/>
    <w:rsid w:val="00DC2E57"/>
    <w:rsid w:val="00DC2E88"/>
    <w:rsid w:val="00DC331F"/>
    <w:rsid w:val="00DC36E8"/>
    <w:rsid w:val="00DC37CA"/>
    <w:rsid w:val="00DC38DB"/>
    <w:rsid w:val="00DC3F37"/>
    <w:rsid w:val="00DC43E4"/>
    <w:rsid w:val="00DC4453"/>
    <w:rsid w:val="00DC4890"/>
    <w:rsid w:val="00DC4BCF"/>
    <w:rsid w:val="00DC4D07"/>
    <w:rsid w:val="00DC4FDA"/>
    <w:rsid w:val="00DC5567"/>
    <w:rsid w:val="00DC561A"/>
    <w:rsid w:val="00DC5970"/>
    <w:rsid w:val="00DC5CFE"/>
    <w:rsid w:val="00DC5DDA"/>
    <w:rsid w:val="00DC5F17"/>
    <w:rsid w:val="00DC638C"/>
    <w:rsid w:val="00DC6836"/>
    <w:rsid w:val="00DC6C60"/>
    <w:rsid w:val="00DC6E34"/>
    <w:rsid w:val="00DC7501"/>
    <w:rsid w:val="00DC7569"/>
    <w:rsid w:val="00DD009A"/>
    <w:rsid w:val="00DD0C68"/>
    <w:rsid w:val="00DD0EEC"/>
    <w:rsid w:val="00DD14AD"/>
    <w:rsid w:val="00DD14EE"/>
    <w:rsid w:val="00DD1A10"/>
    <w:rsid w:val="00DD327E"/>
    <w:rsid w:val="00DD329F"/>
    <w:rsid w:val="00DD34F0"/>
    <w:rsid w:val="00DD3B41"/>
    <w:rsid w:val="00DD3CB8"/>
    <w:rsid w:val="00DD4087"/>
    <w:rsid w:val="00DD4092"/>
    <w:rsid w:val="00DD41E8"/>
    <w:rsid w:val="00DD481F"/>
    <w:rsid w:val="00DD493D"/>
    <w:rsid w:val="00DD4AE2"/>
    <w:rsid w:val="00DD4C68"/>
    <w:rsid w:val="00DD520F"/>
    <w:rsid w:val="00DD58E7"/>
    <w:rsid w:val="00DD6320"/>
    <w:rsid w:val="00DD66FB"/>
    <w:rsid w:val="00DD7254"/>
    <w:rsid w:val="00DD74BB"/>
    <w:rsid w:val="00DD7A2A"/>
    <w:rsid w:val="00DD7D05"/>
    <w:rsid w:val="00DE02AE"/>
    <w:rsid w:val="00DE110F"/>
    <w:rsid w:val="00DE13D7"/>
    <w:rsid w:val="00DE1775"/>
    <w:rsid w:val="00DE19DE"/>
    <w:rsid w:val="00DE1D3E"/>
    <w:rsid w:val="00DE20D3"/>
    <w:rsid w:val="00DE20EE"/>
    <w:rsid w:val="00DE25E5"/>
    <w:rsid w:val="00DE2D46"/>
    <w:rsid w:val="00DE2DA7"/>
    <w:rsid w:val="00DE2E97"/>
    <w:rsid w:val="00DE315C"/>
    <w:rsid w:val="00DE31E9"/>
    <w:rsid w:val="00DE3350"/>
    <w:rsid w:val="00DE36E5"/>
    <w:rsid w:val="00DE3834"/>
    <w:rsid w:val="00DE39F9"/>
    <w:rsid w:val="00DE3B24"/>
    <w:rsid w:val="00DE3F08"/>
    <w:rsid w:val="00DE3F69"/>
    <w:rsid w:val="00DE44A4"/>
    <w:rsid w:val="00DE48E9"/>
    <w:rsid w:val="00DE4CD3"/>
    <w:rsid w:val="00DE546F"/>
    <w:rsid w:val="00DE54B1"/>
    <w:rsid w:val="00DE5898"/>
    <w:rsid w:val="00DE5909"/>
    <w:rsid w:val="00DE59BE"/>
    <w:rsid w:val="00DE60EC"/>
    <w:rsid w:val="00DE6C00"/>
    <w:rsid w:val="00DE75C1"/>
    <w:rsid w:val="00DE78DA"/>
    <w:rsid w:val="00DE7D59"/>
    <w:rsid w:val="00DE7E42"/>
    <w:rsid w:val="00DF02F1"/>
    <w:rsid w:val="00DF0946"/>
    <w:rsid w:val="00DF10F1"/>
    <w:rsid w:val="00DF158F"/>
    <w:rsid w:val="00DF1648"/>
    <w:rsid w:val="00DF1866"/>
    <w:rsid w:val="00DF1A34"/>
    <w:rsid w:val="00DF1AAF"/>
    <w:rsid w:val="00DF1E85"/>
    <w:rsid w:val="00DF2217"/>
    <w:rsid w:val="00DF2259"/>
    <w:rsid w:val="00DF2418"/>
    <w:rsid w:val="00DF263C"/>
    <w:rsid w:val="00DF26FE"/>
    <w:rsid w:val="00DF29B5"/>
    <w:rsid w:val="00DF33DA"/>
    <w:rsid w:val="00DF3AB1"/>
    <w:rsid w:val="00DF3DE1"/>
    <w:rsid w:val="00DF4208"/>
    <w:rsid w:val="00DF446B"/>
    <w:rsid w:val="00DF4586"/>
    <w:rsid w:val="00DF4A84"/>
    <w:rsid w:val="00DF4F27"/>
    <w:rsid w:val="00DF520A"/>
    <w:rsid w:val="00DF52C9"/>
    <w:rsid w:val="00DF576B"/>
    <w:rsid w:val="00DF5D78"/>
    <w:rsid w:val="00DF5FCE"/>
    <w:rsid w:val="00DF60AC"/>
    <w:rsid w:val="00DF6219"/>
    <w:rsid w:val="00DF653C"/>
    <w:rsid w:val="00DF6B69"/>
    <w:rsid w:val="00DF6BD7"/>
    <w:rsid w:val="00DF6BFB"/>
    <w:rsid w:val="00DF6CE4"/>
    <w:rsid w:val="00DF6F79"/>
    <w:rsid w:val="00DF761B"/>
    <w:rsid w:val="00DF78F5"/>
    <w:rsid w:val="00DF7C65"/>
    <w:rsid w:val="00DF7EFC"/>
    <w:rsid w:val="00DF7F6B"/>
    <w:rsid w:val="00E00387"/>
    <w:rsid w:val="00E01235"/>
    <w:rsid w:val="00E0129D"/>
    <w:rsid w:val="00E01542"/>
    <w:rsid w:val="00E0177A"/>
    <w:rsid w:val="00E01EFB"/>
    <w:rsid w:val="00E0251E"/>
    <w:rsid w:val="00E0253F"/>
    <w:rsid w:val="00E025BC"/>
    <w:rsid w:val="00E025CC"/>
    <w:rsid w:val="00E027DB"/>
    <w:rsid w:val="00E028F1"/>
    <w:rsid w:val="00E0295B"/>
    <w:rsid w:val="00E02B22"/>
    <w:rsid w:val="00E02CCB"/>
    <w:rsid w:val="00E03724"/>
    <w:rsid w:val="00E04ABE"/>
    <w:rsid w:val="00E0522E"/>
    <w:rsid w:val="00E053D0"/>
    <w:rsid w:val="00E054CD"/>
    <w:rsid w:val="00E05761"/>
    <w:rsid w:val="00E05A87"/>
    <w:rsid w:val="00E05D7D"/>
    <w:rsid w:val="00E06160"/>
    <w:rsid w:val="00E062AA"/>
    <w:rsid w:val="00E066B7"/>
    <w:rsid w:val="00E06A10"/>
    <w:rsid w:val="00E06B03"/>
    <w:rsid w:val="00E06BC8"/>
    <w:rsid w:val="00E07383"/>
    <w:rsid w:val="00E074BA"/>
    <w:rsid w:val="00E078DE"/>
    <w:rsid w:val="00E07FD4"/>
    <w:rsid w:val="00E10247"/>
    <w:rsid w:val="00E10397"/>
    <w:rsid w:val="00E1041B"/>
    <w:rsid w:val="00E107DD"/>
    <w:rsid w:val="00E11026"/>
    <w:rsid w:val="00E111E6"/>
    <w:rsid w:val="00E11266"/>
    <w:rsid w:val="00E11377"/>
    <w:rsid w:val="00E11380"/>
    <w:rsid w:val="00E113C5"/>
    <w:rsid w:val="00E1173F"/>
    <w:rsid w:val="00E11F4C"/>
    <w:rsid w:val="00E122FA"/>
    <w:rsid w:val="00E12F3C"/>
    <w:rsid w:val="00E136F3"/>
    <w:rsid w:val="00E1385F"/>
    <w:rsid w:val="00E139A2"/>
    <w:rsid w:val="00E13A1B"/>
    <w:rsid w:val="00E13E47"/>
    <w:rsid w:val="00E1407A"/>
    <w:rsid w:val="00E141FA"/>
    <w:rsid w:val="00E1423B"/>
    <w:rsid w:val="00E14494"/>
    <w:rsid w:val="00E1468E"/>
    <w:rsid w:val="00E14784"/>
    <w:rsid w:val="00E14FA9"/>
    <w:rsid w:val="00E15236"/>
    <w:rsid w:val="00E152D2"/>
    <w:rsid w:val="00E15796"/>
    <w:rsid w:val="00E15C20"/>
    <w:rsid w:val="00E15CA4"/>
    <w:rsid w:val="00E15FA0"/>
    <w:rsid w:val="00E160C4"/>
    <w:rsid w:val="00E1622F"/>
    <w:rsid w:val="00E163CD"/>
    <w:rsid w:val="00E1663A"/>
    <w:rsid w:val="00E17052"/>
    <w:rsid w:val="00E1720A"/>
    <w:rsid w:val="00E17273"/>
    <w:rsid w:val="00E20200"/>
    <w:rsid w:val="00E2061A"/>
    <w:rsid w:val="00E209C4"/>
    <w:rsid w:val="00E211FA"/>
    <w:rsid w:val="00E212F6"/>
    <w:rsid w:val="00E2145E"/>
    <w:rsid w:val="00E217B1"/>
    <w:rsid w:val="00E2180C"/>
    <w:rsid w:val="00E21A19"/>
    <w:rsid w:val="00E21B17"/>
    <w:rsid w:val="00E21D1E"/>
    <w:rsid w:val="00E223DF"/>
    <w:rsid w:val="00E223E2"/>
    <w:rsid w:val="00E226A9"/>
    <w:rsid w:val="00E22D15"/>
    <w:rsid w:val="00E22DA3"/>
    <w:rsid w:val="00E23014"/>
    <w:rsid w:val="00E2312D"/>
    <w:rsid w:val="00E234E3"/>
    <w:rsid w:val="00E23F2B"/>
    <w:rsid w:val="00E240C3"/>
    <w:rsid w:val="00E2422D"/>
    <w:rsid w:val="00E245F8"/>
    <w:rsid w:val="00E24BD5"/>
    <w:rsid w:val="00E25056"/>
    <w:rsid w:val="00E25394"/>
    <w:rsid w:val="00E25437"/>
    <w:rsid w:val="00E255D1"/>
    <w:rsid w:val="00E2591D"/>
    <w:rsid w:val="00E26183"/>
    <w:rsid w:val="00E26247"/>
    <w:rsid w:val="00E26821"/>
    <w:rsid w:val="00E26893"/>
    <w:rsid w:val="00E26B75"/>
    <w:rsid w:val="00E27119"/>
    <w:rsid w:val="00E278DD"/>
    <w:rsid w:val="00E27A1B"/>
    <w:rsid w:val="00E30235"/>
    <w:rsid w:val="00E30460"/>
    <w:rsid w:val="00E304EA"/>
    <w:rsid w:val="00E30866"/>
    <w:rsid w:val="00E30967"/>
    <w:rsid w:val="00E3141B"/>
    <w:rsid w:val="00E31510"/>
    <w:rsid w:val="00E316CA"/>
    <w:rsid w:val="00E319A9"/>
    <w:rsid w:val="00E31A07"/>
    <w:rsid w:val="00E31BC3"/>
    <w:rsid w:val="00E32393"/>
    <w:rsid w:val="00E33001"/>
    <w:rsid w:val="00E3318C"/>
    <w:rsid w:val="00E332A2"/>
    <w:rsid w:val="00E33A3E"/>
    <w:rsid w:val="00E33FC7"/>
    <w:rsid w:val="00E341A0"/>
    <w:rsid w:val="00E343A2"/>
    <w:rsid w:val="00E347B4"/>
    <w:rsid w:val="00E348BC"/>
    <w:rsid w:val="00E34DD8"/>
    <w:rsid w:val="00E34E7E"/>
    <w:rsid w:val="00E35034"/>
    <w:rsid w:val="00E35E8D"/>
    <w:rsid w:val="00E362A3"/>
    <w:rsid w:val="00E36495"/>
    <w:rsid w:val="00E36554"/>
    <w:rsid w:val="00E36886"/>
    <w:rsid w:val="00E368B6"/>
    <w:rsid w:val="00E368E5"/>
    <w:rsid w:val="00E36B48"/>
    <w:rsid w:val="00E36CC3"/>
    <w:rsid w:val="00E36D54"/>
    <w:rsid w:val="00E36FD4"/>
    <w:rsid w:val="00E37BC5"/>
    <w:rsid w:val="00E37F50"/>
    <w:rsid w:val="00E37FB2"/>
    <w:rsid w:val="00E40480"/>
    <w:rsid w:val="00E4090B"/>
    <w:rsid w:val="00E40A4B"/>
    <w:rsid w:val="00E40C5B"/>
    <w:rsid w:val="00E40FAA"/>
    <w:rsid w:val="00E41350"/>
    <w:rsid w:val="00E4146C"/>
    <w:rsid w:val="00E41755"/>
    <w:rsid w:val="00E41AE9"/>
    <w:rsid w:val="00E41BE2"/>
    <w:rsid w:val="00E42075"/>
    <w:rsid w:val="00E4213C"/>
    <w:rsid w:val="00E423E7"/>
    <w:rsid w:val="00E42510"/>
    <w:rsid w:val="00E42792"/>
    <w:rsid w:val="00E42C9D"/>
    <w:rsid w:val="00E43100"/>
    <w:rsid w:val="00E43B57"/>
    <w:rsid w:val="00E43CE7"/>
    <w:rsid w:val="00E446B3"/>
    <w:rsid w:val="00E44B6F"/>
    <w:rsid w:val="00E44D3E"/>
    <w:rsid w:val="00E44EA6"/>
    <w:rsid w:val="00E44EBB"/>
    <w:rsid w:val="00E44FC8"/>
    <w:rsid w:val="00E45CC9"/>
    <w:rsid w:val="00E461D4"/>
    <w:rsid w:val="00E46694"/>
    <w:rsid w:val="00E47015"/>
    <w:rsid w:val="00E470B2"/>
    <w:rsid w:val="00E470F5"/>
    <w:rsid w:val="00E47810"/>
    <w:rsid w:val="00E479D2"/>
    <w:rsid w:val="00E47B41"/>
    <w:rsid w:val="00E47D6C"/>
    <w:rsid w:val="00E50252"/>
    <w:rsid w:val="00E502FB"/>
    <w:rsid w:val="00E508D0"/>
    <w:rsid w:val="00E50FCE"/>
    <w:rsid w:val="00E51843"/>
    <w:rsid w:val="00E523BE"/>
    <w:rsid w:val="00E5273E"/>
    <w:rsid w:val="00E52864"/>
    <w:rsid w:val="00E52B78"/>
    <w:rsid w:val="00E52D27"/>
    <w:rsid w:val="00E52F3A"/>
    <w:rsid w:val="00E53135"/>
    <w:rsid w:val="00E5333A"/>
    <w:rsid w:val="00E537E4"/>
    <w:rsid w:val="00E53E98"/>
    <w:rsid w:val="00E548D9"/>
    <w:rsid w:val="00E548EE"/>
    <w:rsid w:val="00E54A1D"/>
    <w:rsid w:val="00E54B91"/>
    <w:rsid w:val="00E551CB"/>
    <w:rsid w:val="00E552C6"/>
    <w:rsid w:val="00E55A1B"/>
    <w:rsid w:val="00E564CC"/>
    <w:rsid w:val="00E56558"/>
    <w:rsid w:val="00E56699"/>
    <w:rsid w:val="00E56922"/>
    <w:rsid w:val="00E56931"/>
    <w:rsid w:val="00E56DA9"/>
    <w:rsid w:val="00E56F72"/>
    <w:rsid w:val="00E56F9C"/>
    <w:rsid w:val="00E5730E"/>
    <w:rsid w:val="00E5731F"/>
    <w:rsid w:val="00E575E6"/>
    <w:rsid w:val="00E60245"/>
    <w:rsid w:val="00E608E3"/>
    <w:rsid w:val="00E6096E"/>
    <w:rsid w:val="00E60D67"/>
    <w:rsid w:val="00E610AC"/>
    <w:rsid w:val="00E61267"/>
    <w:rsid w:val="00E6162B"/>
    <w:rsid w:val="00E617A5"/>
    <w:rsid w:val="00E61A30"/>
    <w:rsid w:val="00E61D9C"/>
    <w:rsid w:val="00E62122"/>
    <w:rsid w:val="00E62B8D"/>
    <w:rsid w:val="00E6314B"/>
    <w:rsid w:val="00E631DA"/>
    <w:rsid w:val="00E63354"/>
    <w:rsid w:val="00E63483"/>
    <w:rsid w:val="00E63A79"/>
    <w:rsid w:val="00E63BC7"/>
    <w:rsid w:val="00E63DC8"/>
    <w:rsid w:val="00E642D9"/>
    <w:rsid w:val="00E647EC"/>
    <w:rsid w:val="00E649D6"/>
    <w:rsid w:val="00E64FAC"/>
    <w:rsid w:val="00E650BC"/>
    <w:rsid w:val="00E650C6"/>
    <w:rsid w:val="00E6520F"/>
    <w:rsid w:val="00E65310"/>
    <w:rsid w:val="00E65630"/>
    <w:rsid w:val="00E65CAE"/>
    <w:rsid w:val="00E66063"/>
    <w:rsid w:val="00E6651E"/>
    <w:rsid w:val="00E66C1C"/>
    <w:rsid w:val="00E66C77"/>
    <w:rsid w:val="00E66F17"/>
    <w:rsid w:val="00E66FE6"/>
    <w:rsid w:val="00E670FA"/>
    <w:rsid w:val="00E67388"/>
    <w:rsid w:val="00E67427"/>
    <w:rsid w:val="00E67617"/>
    <w:rsid w:val="00E67934"/>
    <w:rsid w:val="00E67A29"/>
    <w:rsid w:val="00E67E7C"/>
    <w:rsid w:val="00E70440"/>
    <w:rsid w:val="00E705CC"/>
    <w:rsid w:val="00E70638"/>
    <w:rsid w:val="00E70AD5"/>
    <w:rsid w:val="00E70B77"/>
    <w:rsid w:val="00E713F9"/>
    <w:rsid w:val="00E714F3"/>
    <w:rsid w:val="00E71813"/>
    <w:rsid w:val="00E71AA8"/>
    <w:rsid w:val="00E71DDA"/>
    <w:rsid w:val="00E71EE6"/>
    <w:rsid w:val="00E720F4"/>
    <w:rsid w:val="00E726A0"/>
    <w:rsid w:val="00E728A9"/>
    <w:rsid w:val="00E72A9B"/>
    <w:rsid w:val="00E7343D"/>
    <w:rsid w:val="00E737A0"/>
    <w:rsid w:val="00E73FC8"/>
    <w:rsid w:val="00E743C0"/>
    <w:rsid w:val="00E74891"/>
    <w:rsid w:val="00E749D9"/>
    <w:rsid w:val="00E75566"/>
    <w:rsid w:val="00E75A0D"/>
    <w:rsid w:val="00E75C45"/>
    <w:rsid w:val="00E75D44"/>
    <w:rsid w:val="00E75DC6"/>
    <w:rsid w:val="00E760F5"/>
    <w:rsid w:val="00E761AD"/>
    <w:rsid w:val="00E76E07"/>
    <w:rsid w:val="00E76E6A"/>
    <w:rsid w:val="00E76FE4"/>
    <w:rsid w:val="00E776EB"/>
    <w:rsid w:val="00E77A30"/>
    <w:rsid w:val="00E8002F"/>
    <w:rsid w:val="00E8045D"/>
    <w:rsid w:val="00E8076C"/>
    <w:rsid w:val="00E80B37"/>
    <w:rsid w:val="00E80E98"/>
    <w:rsid w:val="00E815F6"/>
    <w:rsid w:val="00E816E0"/>
    <w:rsid w:val="00E81D1A"/>
    <w:rsid w:val="00E81DB2"/>
    <w:rsid w:val="00E8235F"/>
    <w:rsid w:val="00E828D2"/>
    <w:rsid w:val="00E828F2"/>
    <w:rsid w:val="00E828F3"/>
    <w:rsid w:val="00E82BCA"/>
    <w:rsid w:val="00E830F6"/>
    <w:rsid w:val="00E8348B"/>
    <w:rsid w:val="00E835E4"/>
    <w:rsid w:val="00E83642"/>
    <w:rsid w:val="00E836FD"/>
    <w:rsid w:val="00E8375F"/>
    <w:rsid w:val="00E83818"/>
    <w:rsid w:val="00E839A9"/>
    <w:rsid w:val="00E839D2"/>
    <w:rsid w:val="00E83B60"/>
    <w:rsid w:val="00E83F51"/>
    <w:rsid w:val="00E84078"/>
    <w:rsid w:val="00E8414C"/>
    <w:rsid w:val="00E84618"/>
    <w:rsid w:val="00E846A4"/>
    <w:rsid w:val="00E84A19"/>
    <w:rsid w:val="00E84BCF"/>
    <w:rsid w:val="00E84BD5"/>
    <w:rsid w:val="00E84F08"/>
    <w:rsid w:val="00E84FD8"/>
    <w:rsid w:val="00E851C5"/>
    <w:rsid w:val="00E8532F"/>
    <w:rsid w:val="00E864C1"/>
    <w:rsid w:val="00E867FB"/>
    <w:rsid w:val="00E86861"/>
    <w:rsid w:val="00E86BDA"/>
    <w:rsid w:val="00E86D0A"/>
    <w:rsid w:val="00E86D6C"/>
    <w:rsid w:val="00E87C44"/>
    <w:rsid w:val="00E87FB7"/>
    <w:rsid w:val="00E90163"/>
    <w:rsid w:val="00E90880"/>
    <w:rsid w:val="00E909F5"/>
    <w:rsid w:val="00E90C88"/>
    <w:rsid w:val="00E910D0"/>
    <w:rsid w:val="00E91363"/>
    <w:rsid w:val="00E913B3"/>
    <w:rsid w:val="00E9172C"/>
    <w:rsid w:val="00E9182B"/>
    <w:rsid w:val="00E91BC9"/>
    <w:rsid w:val="00E91C22"/>
    <w:rsid w:val="00E921CF"/>
    <w:rsid w:val="00E92277"/>
    <w:rsid w:val="00E923D8"/>
    <w:rsid w:val="00E92504"/>
    <w:rsid w:val="00E927B0"/>
    <w:rsid w:val="00E927B8"/>
    <w:rsid w:val="00E929E0"/>
    <w:rsid w:val="00E935A9"/>
    <w:rsid w:val="00E935DD"/>
    <w:rsid w:val="00E935E5"/>
    <w:rsid w:val="00E93866"/>
    <w:rsid w:val="00E93B37"/>
    <w:rsid w:val="00E9480E"/>
    <w:rsid w:val="00E948E4"/>
    <w:rsid w:val="00E94D06"/>
    <w:rsid w:val="00E94E6D"/>
    <w:rsid w:val="00E95087"/>
    <w:rsid w:val="00E95E25"/>
    <w:rsid w:val="00E95E34"/>
    <w:rsid w:val="00E960A5"/>
    <w:rsid w:val="00E96275"/>
    <w:rsid w:val="00E96346"/>
    <w:rsid w:val="00E96737"/>
    <w:rsid w:val="00E9678D"/>
    <w:rsid w:val="00E96927"/>
    <w:rsid w:val="00E96BFE"/>
    <w:rsid w:val="00E96E4E"/>
    <w:rsid w:val="00E975C2"/>
    <w:rsid w:val="00EA0C6A"/>
    <w:rsid w:val="00EA1197"/>
    <w:rsid w:val="00EA166E"/>
    <w:rsid w:val="00EA1BE9"/>
    <w:rsid w:val="00EA22C9"/>
    <w:rsid w:val="00EA2562"/>
    <w:rsid w:val="00EA2D04"/>
    <w:rsid w:val="00EA30F4"/>
    <w:rsid w:val="00EA3623"/>
    <w:rsid w:val="00EA3670"/>
    <w:rsid w:val="00EA3D41"/>
    <w:rsid w:val="00EA3FF4"/>
    <w:rsid w:val="00EA429F"/>
    <w:rsid w:val="00EA4741"/>
    <w:rsid w:val="00EA516F"/>
    <w:rsid w:val="00EA523F"/>
    <w:rsid w:val="00EA5443"/>
    <w:rsid w:val="00EA55BF"/>
    <w:rsid w:val="00EA56AD"/>
    <w:rsid w:val="00EA5894"/>
    <w:rsid w:val="00EA5E45"/>
    <w:rsid w:val="00EA6122"/>
    <w:rsid w:val="00EA6ABE"/>
    <w:rsid w:val="00EA6D43"/>
    <w:rsid w:val="00EA6F52"/>
    <w:rsid w:val="00EA7364"/>
    <w:rsid w:val="00EA78B9"/>
    <w:rsid w:val="00EA7AF6"/>
    <w:rsid w:val="00EB0206"/>
    <w:rsid w:val="00EB020A"/>
    <w:rsid w:val="00EB04C7"/>
    <w:rsid w:val="00EB0BA7"/>
    <w:rsid w:val="00EB0C34"/>
    <w:rsid w:val="00EB0D18"/>
    <w:rsid w:val="00EB1113"/>
    <w:rsid w:val="00EB16AF"/>
    <w:rsid w:val="00EB1875"/>
    <w:rsid w:val="00EB1BC5"/>
    <w:rsid w:val="00EB1F01"/>
    <w:rsid w:val="00EB29BF"/>
    <w:rsid w:val="00EB2B1F"/>
    <w:rsid w:val="00EB2BA0"/>
    <w:rsid w:val="00EB2BB6"/>
    <w:rsid w:val="00EB2BD5"/>
    <w:rsid w:val="00EB2CA8"/>
    <w:rsid w:val="00EB2D2F"/>
    <w:rsid w:val="00EB32A5"/>
    <w:rsid w:val="00EB34B4"/>
    <w:rsid w:val="00EB3885"/>
    <w:rsid w:val="00EB3AB3"/>
    <w:rsid w:val="00EB3E34"/>
    <w:rsid w:val="00EB3FB7"/>
    <w:rsid w:val="00EB4558"/>
    <w:rsid w:val="00EB456E"/>
    <w:rsid w:val="00EB4680"/>
    <w:rsid w:val="00EB46C1"/>
    <w:rsid w:val="00EB4856"/>
    <w:rsid w:val="00EB4895"/>
    <w:rsid w:val="00EB4DD3"/>
    <w:rsid w:val="00EB4E93"/>
    <w:rsid w:val="00EB560F"/>
    <w:rsid w:val="00EB565D"/>
    <w:rsid w:val="00EB56F7"/>
    <w:rsid w:val="00EB633C"/>
    <w:rsid w:val="00EB6E26"/>
    <w:rsid w:val="00EB7A69"/>
    <w:rsid w:val="00EB7C35"/>
    <w:rsid w:val="00EC0207"/>
    <w:rsid w:val="00EC0278"/>
    <w:rsid w:val="00EC0572"/>
    <w:rsid w:val="00EC1276"/>
    <w:rsid w:val="00EC152F"/>
    <w:rsid w:val="00EC2E82"/>
    <w:rsid w:val="00EC2F90"/>
    <w:rsid w:val="00EC30A5"/>
    <w:rsid w:val="00EC3389"/>
    <w:rsid w:val="00EC3491"/>
    <w:rsid w:val="00EC372F"/>
    <w:rsid w:val="00EC3D98"/>
    <w:rsid w:val="00EC3E60"/>
    <w:rsid w:val="00EC4188"/>
    <w:rsid w:val="00EC41B1"/>
    <w:rsid w:val="00EC4496"/>
    <w:rsid w:val="00EC44BF"/>
    <w:rsid w:val="00EC5588"/>
    <w:rsid w:val="00EC5B95"/>
    <w:rsid w:val="00EC5D29"/>
    <w:rsid w:val="00EC6883"/>
    <w:rsid w:val="00EC6A3E"/>
    <w:rsid w:val="00EC72C4"/>
    <w:rsid w:val="00EC72D3"/>
    <w:rsid w:val="00EC7595"/>
    <w:rsid w:val="00EC75F2"/>
    <w:rsid w:val="00EC764C"/>
    <w:rsid w:val="00EC7B3C"/>
    <w:rsid w:val="00ED08D7"/>
    <w:rsid w:val="00ED0AA1"/>
    <w:rsid w:val="00ED0D2E"/>
    <w:rsid w:val="00ED1133"/>
    <w:rsid w:val="00ED115A"/>
    <w:rsid w:val="00ED13D4"/>
    <w:rsid w:val="00ED1576"/>
    <w:rsid w:val="00ED17CF"/>
    <w:rsid w:val="00ED1BC9"/>
    <w:rsid w:val="00ED1F26"/>
    <w:rsid w:val="00ED2516"/>
    <w:rsid w:val="00ED266A"/>
    <w:rsid w:val="00ED26A8"/>
    <w:rsid w:val="00ED2880"/>
    <w:rsid w:val="00ED2AC0"/>
    <w:rsid w:val="00ED330D"/>
    <w:rsid w:val="00ED3B62"/>
    <w:rsid w:val="00ED3BB5"/>
    <w:rsid w:val="00ED3E55"/>
    <w:rsid w:val="00ED4444"/>
    <w:rsid w:val="00ED4A03"/>
    <w:rsid w:val="00ED52A4"/>
    <w:rsid w:val="00ED543D"/>
    <w:rsid w:val="00ED5727"/>
    <w:rsid w:val="00ED5879"/>
    <w:rsid w:val="00ED5AF3"/>
    <w:rsid w:val="00ED6A5F"/>
    <w:rsid w:val="00ED6B84"/>
    <w:rsid w:val="00ED7595"/>
    <w:rsid w:val="00ED75A8"/>
    <w:rsid w:val="00ED783F"/>
    <w:rsid w:val="00ED7A44"/>
    <w:rsid w:val="00ED7E0C"/>
    <w:rsid w:val="00EE037A"/>
    <w:rsid w:val="00EE075B"/>
    <w:rsid w:val="00EE10E5"/>
    <w:rsid w:val="00EE13BC"/>
    <w:rsid w:val="00EE1CDC"/>
    <w:rsid w:val="00EE219C"/>
    <w:rsid w:val="00EE2582"/>
    <w:rsid w:val="00EE2C04"/>
    <w:rsid w:val="00EE31D7"/>
    <w:rsid w:val="00EE366B"/>
    <w:rsid w:val="00EE3E88"/>
    <w:rsid w:val="00EE4352"/>
    <w:rsid w:val="00EE4540"/>
    <w:rsid w:val="00EE46E5"/>
    <w:rsid w:val="00EE4A07"/>
    <w:rsid w:val="00EE5236"/>
    <w:rsid w:val="00EE529D"/>
    <w:rsid w:val="00EE5CC1"/>
    <w:rsid w:val="00EE6510"/>
    <w:rsid w:val="00EE7195"/>
    <w:rsid w:val="00EE7416"/>
    <w:rsid w:val="00EE748A"/>
    <w:rsid w:val="00EE770C"/>
    <w:rsid w:val="00EE77A3"/>
    <w:rsid w:val="00EE7DB2"/>
    <w:rsid w:val="00EF02AF"/>
    <w:rsid w:val="00EF02E3"/>
    <w:rsid w:val="00EF0619"/>
    <w:rsid w:val="00EF0A05"/>
    <w:rsid w:val="00EF0A59"/>
    <w:rsid w:val="00EF0C13"/>
    <w:rsid w:val="00EF0CDD"/>
    <w:rsid w:val="00EF177B"/>
    <w:rsid w:val="00EF1E34"/>
    <w:rsid w:val="00EF221A"/>
    <w:rsid w:val="00EF2C2E"/>
    <w:rsid w:val="00EF2D8F"/>
    <w:rsid w:val="00EF2DBE"/>
    <w:rsid w:val="00EF2F0C"/>
    <w:rsid w:val="00EF309E"/>
    <w:rsid w:val="00EF36CD"/>
    <w:rsid w:val="00EF3BCB"/>
    <w:rsid w:val="00EF3D6F"/>
    <w:rsid w:val="00EF3E7E"/>
    <w:rsid w:val="00EF3FAA"/>
    <w:rsid w:val="00EF3FB4"/>
    <w:rsid w:val="00EF41E1"/>
    <w:rsid w:val="00EF46D0"/>
    <w:rsid w:val="00EF476D"/>
    <w:rsid w:val="00EF513A"/>
    <w:rsid w:val="00EF554B"/>
    <w:rsid w:val="00EF5666"/>
    <w:rsid w:val="00EF5A22"/>
    <w:rsid w:val="00EF5B93"/>
    <w:rsid w:val="00EF5E52"/>
    <w:rsid w:val="00EF5FF2"/>
    <w:rsid w:val="00EF6168"/>
    <w:rsid w:val="00EF671A"/>
    <w:rsid w:val="00EF677D"/>
    <w:rsid w:val="00EF6B29"/>
    <w:rsid w:val="00EF6E86"/>
    <w:rsid w:val="00EF7262"/>
    <w:rsid w:val="00EF74D8"/>
    <w:rsid w:val="00F00360"/>
    <w:rsid w:val="00F00634"/>
    <w:rsid w:val="00F00653"/>
    <w:rsid w:val="00F009DC"/>
    <w:rsid w:val="00F00B4F"/>
    <w:rsid w:val="00F00F13"/>
    <w:rsid w:val="00F016F0"/>
    <w:rsid w:val="00F01A3A"/>
    <w:rsid w:val="00F01B62"/>
    <w:rsid w:val="00F01CF9"/>
    <w:rsid w:val="00F02004"/>
    <w:rsid w:val="00F0307D"/>
    <w:rsid w:val="00F038BE"/>
    <w:rsid w:val="00F03B30"/>
    <w:rsid w:val="00F04544"/>
    <w:rsid w:val="00F04CC7"/>
    <w:rsid w:val="00F04E94"/>
    <w:rsid w:val="00F05335"/>
    <w:rsid w:val="00F054AD"/>
    <w:rsid w:val="00F05782"/>
    <w:rsid w:val="00F05D76"/>
    <w:rsid w:val="00F05F52"/>
    <w:rsid w:val="00F06F14"/>
    <w:rsid w:val="00F075A1"/>
    <w:rsid w:val="00F07736"/>
    <w:rsid w:val="00F10101"/>
    <w:rsid w:val="00F109EA"/>
    <w:rsid w:val="00F10E5B"/>
    <w:rsid w:val="00F113F1"/>
    <w:rsid w:val="00F116C2"/>
    <w:rsid w:val="00F12867"/>
    <w:rsid w:val="00F1295C"/>
    <w:rsid w:val="00F13197"/>
    <w:rsid w:val="00F1370A"/>
    <w:rsid w:val="00F137CB"/>
    <w:rsid w:val="00F1392A"/>
    <w:rsid w:val="00F1419E"/>
    <w:rsid w:val="00F143D4"/>
    <w:rsid w:val="00F14883"/>
    <w:rsid w:val="00F14916"/>
    <w:rsid w:val="00F14924"/>
    <w:rsid w:val="00F14AA3"/>
    <w:rsid w:val="00F14B2D"/>
    <w:rsid w:val="00F14DCB"/>
    <w:rsid w:val="00F15104"/>
    <w:rsid w:val="00F152FD"/>
    <w:rsid w:val="00F15B7E"/>
    <w:rsid w:val="00F1634B"/>
    <w:rsid w:val="00F16475"/>
    <w:rsid w:val="00F164C6"/>
    <w:rsid w:val="00F168DB"/>
    <w:rsid w:val="00F16F39"/>
    <w:rsid w:val="00F16FE5"/>
    <w:rsid w:val="00F1745E"/>
    <w:rsid w:val="00F17E5D"/>
    <w:rsid w:val="00F17F61"/>
    <w:rsid w:val="00F20956"/>
    <w:rsid w:val="00F20ADC"/>
    <w:rsid w:val="00F210DD"/>
    <w:rsid w:val="00F2159C"/>
    <w:rsid w:val="00F2181E"/>
    <w:rsid w:val="00F21A2A"/>
    <w:rsid w:val="00F21A97"/>
    <w:rsid w:val="00F222B7"/>
    <w:rsid w:val="00F22809"/>
    <w:rsid w:val="00F22B6F"/>
    <w:rsid w:val="00F22FF7"/>
    <w:rsid w:val="00F23138"/>
    <w:rsid w:val="00F23459"/>
    <w:rsid w:val="00F2345D"/>
    <w:rsid w:val="00F234E0"/>
    <w:rsid w:val="00F237CE"/>
    <w:rsid w:val="00F23ED9"/>
    <w:rsid w:val="00F2401F"/>
    <w:rsid w:val="00F245E2"/>
    <w:rsid w:val="00F24739"/>
    <w:rsid w:val="00F2518C"/>
    <w:rsid w:val="00F25775"/>
    <w:rsid w:val="00F25968"/>
    <w:rsid w:val="00F2602F"/>
    <w:rsid w:val="00F27A53"/>
    <w:rsid w:val="00F27B84"/>
    <w:rsid w:val="00F304C8"/>
    <w:rsid w:val="00F305D3"/>
    <w:rsid w:val="00F30902"/>
    <w:rsid w:val="00F30B06"/>
    <w:rsid w:val="00F313A2"/>
    <w:rsid w:val="00F31A3A"/>
    <w:rsid w:val="00F31AE7"/>
    <w:rsid w:val="00F3200E"/>
    <w:rsid w:val="00F32309"/>
    <w:rsid w:val="00F32483"/>
    <w:rsid w:val="00F3265E"/>
    <w:rsid w:val="00F32B6D"/>
    <w:rsid w:val="00F336DE"/>
    <w:rsid w:val="00F3398A"/>
    <w:rsid w:val="00F339C4"/>
    <w:rsid w:val="00F33A4C"/>
    <w:rsid w:val="00F33AF8"/>
    <w:rsid w:val="00F33DDE"/>
    <w:rsid w:val="00F33EE6"/>
    <w:rsid w:val="00F344A8"/>
    <w:rsid w:val="00F34881"/>
    <w:rsid w:val="00F34CA2"/>
    <w:rsid w:val="00F34E9C"/>
    <w:rsid w:val="00F34EA3"/>
    <w:rsid w:val="00F34F43"/>
    <w:rsid w:val="00F352EC"/>
    <w:rsid w:val="00F35B26"/>
    <w:rsid w:val="00F35CF1"/>
    <w:rsid w:val="00F3624C"/>
    <w:rsid w:val="00F365BD"/>
    <w:rsid w:val="00F36646"/>
    <w:rsid w:val="00F367CE"/>
    <w:rsid w:val="00F3726D"/>
    <w:rsid w:val="00F374BA"/>
    <w:rsid w:val="00F379CB"/>
    <w:rsid w:val="00F37B4D"/>
    <w:rsid w:val="00F37B77"/>
    <w:rsid w:val="00F37D89"/>
    <w:rsid w:val="00F37E24"/>
    <w:rsid w:val="00F37E2F"/>
    <w:rsid w:val="00F37E6D"/>
    <w:rsid w:val="00F4030C"/>
    <w:rsid w:val="00F40ECF"/>
    <w:rsid w:val="00F41110"/>
    <w:rsid w:val="00F41403"/>
    <w:rsid w:val="00F41740"/>
    <w:rsid w:val="00F418EC"/>
    <w:rsid w:val="00F418FF"/>
    <w:rsid w:val="00F41ADC"/>
    <w:rsid w:val="00F41B17"/>
    <w:rsid w:val="00F42267"/>
    <w:rsid w:val="00F422E1"/>
    <w:rsid w:val="00F422E4"/>
    <w:rsid w:val="00F422E9"/>
    <w:rsid w:val="00F423FC"/>
    <w:rsid w:val="00F42737"/>
    <w:rsid w:val="00F42772"/>
    <w:rsid w:val="00F42AC9"/>
    <w:rsid w:val="00F431E9"/>
    <w:rsid w:val="00F436AA"/>
    <w:rsid w:val="00F436D6"/>
    <w:rsid w:val="00F43BE0"/>
    <w:rsid w:val="00F43C37"/>
    <w:rsid w:val="00F43CE4"/>
    <w:rsid w:val="00F44056"/>
    <w:rsid w:val="00F4488B"/>
    <w:rsid w:val="00F44C53"/>
    <w:rsid w:val="00F44ED2"/>
    <w:rsid w:val="00F4512B"/>
    <w:rsid w:val="00F4542B"/>
    <w:rsid w:val="00F45554"/>
    <w:rsid w:val="00F45DFB"/>
    <w:rsid w:val="00F460D6"/>
    <w:rsid w:val="00F46DE3"/>
    <w:rsid w:val="00F46E5A"/>
    <w:rsid w:val="00F47158"/>
    <w:rsid w:val="00F471EA"/>
    <w:rsid w:val="00F47250"/>
    <w:rsid w:val="00F474FD"/>
    <w:rsid w:val="00F476FC"/>
    <w:rsid w:val="00F47ACF"/>
    <w:rsid w:val="00F47AFF"/>
    <w:rsid w:val="00F47D5F"/>
    <w:rsid w:val="00F5005F"/>
    <w:rsid w:val="00F501C2"/>
    <w:rsid w:val="00F50529"/>
    <w:rsid w:val="00F505CA"/>
    <w:rsid w:val="00F50635"/>
    <w:rsid w:val="00F506C8"/>
    <w:rsid w:val="00F50D90"/>
    <w:rsid w:val="00F50E45"/>
    <w:rsid w:val="00F51443"/>
    <w:rsid w:val="00F51831"/>
    <w:rsid w:val="00F5197E"/>
    <w:rsid w:val="00F51B49"/>
    <w:rsid w:val="00F51C19"/>
    <w:rsid w:val="00F520BF"/>
    <w:rsid w:val="00F525E5"/>
    <w:rsid w:val="00F5321A"/>
    <w:rsid w:val="00F53D59"/>
    <w:rsid w:val="00F53EE9"/>
    <w:rsid w:val="00F54441"/>
    <w:rsid w:val="00F54725"/>
    <w:rsid w:val="00F54A97"/>
    <w:rsid w:val="00F552AA"/>
    <w:rsid w:val="00F558A3"/>
    <w:rsid w:val="00F5615F"/>
    <w:rsid w:val="00F561DB"/>
    <w:rsid w:val="00F56465"/>
    <w:rsid w:val="00F56638"/>
    <w:rsid w:val="00F56938"/>
    <w:rsid w:val="00F56973"/>
    <w:rsid w:val="00F57003"/>
    <w:rsid w:val="00F5710C"/>
    <w:rsid w:val="00F57F2E"/>
    <w:rsid w:val="00F57F7E"/>
    <w:rsid w:val="00F60035"/>
    <w:rsid w:val="00F601C0"/>
    <w:rsid w:val="00F6098A"/>
    <w:rsid w:val="00F6143E"/>
    <w:rsid w:val="00F61ACF"/>
    <w:rsid w:val="00F61BC0"/>
    <w:rsid w:val="00F621A4"/>
    <w:rsid w:val="00F625B8"/>
    <w:rsid w:val="00F6317F"/>
    <w:rsid w:val="00F63C28"/>
    <w:rsid w:val="00F64382"/>
    <w:rsid w:val="00F645DE"/>
    <w:rsid w:val="00F64647"/>
    <w:rsid w:val="00F64A7C"/>
    <w:rsid w:val="00F64AC9"/>
    <w:rsid w:val="00F64E5B"/>
    <w:rsid w:val="00F651B3"/>
    <w:rsid w:val="00F65406"/>
    <w:rsid w:val="00F65858"/>
    <w:rsid w:val="00F65BE7"/>
    <w:rsid w:val="00F65C77"/>
    <w:rsid w:val="00F65CFA"/>
    <w:rsid w:val="00F662B4"/>
    <w:rsid w:val="00F666C3"/>
    <w:rsid w:val="00F66C69"/>
    <w:rsid w:val="00F66E84"/>
    <w:rsid w:val="00F66EC3"/>
    <w:rsid w:val="00F67106"/>
    <w:rsid w:val="00F701F4"/>
    <w:rsid w:val="00F70533"/>
    <w:rsid w:val="00F7070D"/>
    <w:rsid w:val="00F70AD0"/>
    <w:rsid w:val="00F70DFE"/>
    <w:rsid w:val="00F70F96"/>
    <w:rsid w:val="00F7110F"/>
    <w:rsid w:val="00F712B4"/>
    <w:rsid w:val="00F71524"/>
    <w:rsid w:val="00F717B2"/>
    <w:rsid w:val="00F71B84"/>
    <w:rsid w:val="00F71C5D"/>
    <w:rsid w:val="00F72186"/>
    <w:rsid w:val="00F725A8"/>
    <w:rsid w:val="00F7266F"/>
    <w:rsid w:val="00F726CD"/>
    <w:rsid w:val="00F729FA"/>
    <w:rsid w:val="00F736C5"/>
    <w:rsid w:val="00F73838"/>
    <w:rsid w:val="00F740A9"/>
    <w:rsid w:val="00F7412C"/>
    <w:rsid w:val="00F74391"/>
    <w:rsid w:val="00F747DC"/>
    <w:rsid w:val="00F7495E"/>
    <w:rsid w:val="00F74CBB"/>
    <w:rsid w:val="00F74E3E"/>
    <w:rsid w:val="00F754C8"/>
    <w:rsid w:val="00F75540"/>
    <w:rsid w:val="00F75690"/>
    <w:rsid w:val="00F75C50"/>
    <w:rsid w:val="00F75F41"/>
    <w:rsid w:val="00F76296"/>
    <w:rsid w:val="00F76474"/>
    <w:rsid w:val="00F76F98"/>
    <w:rsid w:val="00F77819"/>
    <w:rsid w:val="00F8004A"/>
    <w:rsid w:val="00F804FF"/>
    <w:rsid w:val="00F805F8"/>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CD6"/>
    <w:rsid w:val="00F85ED4"/>
    <w:rsid w:val="00F8602E"/>
    <w:rsid w:val="00F86067"/>
    <w:rsid w:val="00F8643D"/>
    <w:rsid w:val="00F86686"/>
    <w:rsid w:val="00F86A46"/>
    <w:rsid w:val="00F8709D"/>
    <w:rsid w:val="00F87600"/>
    <w:rsid w:val="00F87686"/>
    <w:rsid w:val="00F8797E"/>
    <w:rsid w:val="00F87B85"/>
    <w:rsid w:val="00F87E5A"/>
    <w:rsid w:val="00F8E411"/>
    <w:rsid w:val="00F9009F"/>
    <w:rsid w:val="00F90426"/>
    <w:rsid w:val="00F904D0"/>
    <w:rsid w:val="00F907BB"/>
    <w:rsid w:val="00F908F3"/>
    <w:rsid w:val="00F90C35"/>
    <w:rsid w:val="00F90D79"/>
    <w:rsid w:val="00F9108E"/>
    <w:rsid w:val="00F91A93"/>
    <w:rsid w:val="00F92278"/>
    <w:rsid w:val="00F923DF"/>
    <w:rsid w:val="00F926AF"/>
    <w:rsid w:val="00F926D0"/>
    <w:rsid w:val="00F929F4"/>
    <w:rsid w:val="00F92D64"/>
    <w:rsid w:val="00F92D83"/>
    <w:rsid w:val="00F92DDC"/>
    <w:rsid w:val="00F93569"/>
    <w:rsid w:val="00F936F0"/>
    <w:rsid w:val="00F937FC"/>
    <w:rsid w:val="00F93F99"/>
    <w:rsid w:val="00F9400F"/>
    <w:rsid w:val="00F9411C"/>
    <w:rsid w:val="00F9430B"/>
    <w:rsid w:val="00F94CFD"/>
    <w:rsid w:val="00F94E4D"/>
    <w:rsid w:val="00F94EBA"/>
    <w:rsid w:val="00F95445"/>
    <w:rsid w:val="00F9588F"/>
    <w:rsid w:val="00F95EBD"/>
    <w:rsid w:val="00F961A7"/>
    <w:rsid w:val="00F96D77"/>
    <w:rsid w:val="00F96FB5"/>
    <w:rsid w:val="00F972AA"/>
    <w:rsid w:val="00F97884"/>
    <w:rsid w:val="00F978C5"/>
    <w:rsid w:val="00F9BD4F"/>
    <w:rsid w:val="00FA0218"/>
    <w:rsid w:val="00FA0346"/>
    <w:rsid w:val="00FA0893"/>
    <w:rsid w:val="00FA0D79"/>
    <w:rsid w:val="00FA1470"/>
    <w:rsid w:val="00FA16D9"/>
    <w:rsid w:val="00FA233A"/>
    <w:rsid w:val="00FA2620"/>
    <w:rsid w:val="00FA2FAE"/>
    <w:rsid w:val="00FA311F"/>
    <w:rsid w:val="00FA35C1"/>
    <w:rsid w:val="00FA4462"/>
    <w:rsid w:val="00FA4BB8"/>
    <w:rsid w:val="00FA4DBA"/>
    <w:rsid w:val="00FA4E90"/>
    <w:rsid w:val="00FA4ED4"/>
    <w:rsid w:val="00FA5CED"/>
    <w:rsid w:val="00FA6085"/>
    <w:rsid w:val="00FA64A7"/>
    <w:rsid w:val="00FA65EB"/>
    <w:rsid w:val="00FA664A"/>
    <w:rsid w:val="00FA6811"/>
    <w:rsid w:val="00FA6D66"/>
    <w:rsid w:val="00FA7AC7"/>
    <w:rsid w:val="00FB0718"/>
    <w:rsid w:val="00FB0CB2"/>
    <w:rsid w:val="00FB0EF3"/>
    <w:rsid w:val="00FB12D6"/>
    <w:rsid w:val="00FB16FD"/>
    <w:rsid w:val="00FB1D31"/>
    <w:rsid w:val="00FB2298"/>
    <w:rsid w:val="00FB2781"/>
    <w:rsid w:val="00FB2837"/>
    <w:rsid w:val="00FB2D77"/>
    <w:rsid w:val="00FB2EEE"/>
    <w:rsid w:val="00FB3246"/>
    <w:rsid w:val="00FB393E"/>
    <w:rsid w:val="00FB4044"/>
    <w:rsid w:val="00FB42B0"/>
    <w:rsid w:val="00FB4714"/>
    <w:rsid w:val="00FB47EC"/>
    <w:rsid w:val="00FB49B6"/>
    <w:rsid w:val="00FB4AFE"/>
    <w:rsid w:val="00FB4B76"/>
    <w:rsid w:val="00FB4E54"/>
    <w:rsid w:val="00FB504F"/>
    <w:rsid w:val="00FB517D"/>
    <w:rsid w:val="00FB5930"/>
    <w:rsid w:val="00FB5977"/>
    <w:rsid w:val="00FB62B7"/>
    <w:rsid w:val="00FB689C"/>
    <w:rsid w:val="00FB6A10"/>
    <w:rsid w:val="00FB6FA2"/>
    <w:rsid w:val="00FB71DA"/>
    <w:rsid w:val="00FB71FD"/>
    <w:rsid w:val="00FB7469"/>
    <w:rsid w:val="00FB75B3"/>
    <w:rsid w:val="00FB7650"/>
    <w:rsid w:val="00FB7804"/>
    <w:rsid w:val="00FB7C5E"/>
    <w:rsid w:val="00FB7D8D"/>
    <w:rsid w:val="00FC0010"/>
    <w:rsid w:val="00FC06C9"/>
    <w:rsid w:val="00FC0A02"/>
    <w:rsid w:val="00FC101B"/>
    <w:rsid w:val="00FC1740"/>
    <w:rsid w:val="00FC179E"/>
    <w:rsid w:val="00FC17EE"/>
    <w:rsid w:val="00FC18CB"/>
    <w:rsid w:val="00FC1970"/>
    <w:rsid w:val="00FC2208"/>
    <w:rsid w:val="00FC26AB"/>
    <w:rsid w:val="00FC27A0"/>
    <w:rsid w:val="00FC2EDD"/>
    <w:rsid w:val="00FC3483"/>
    <w:rsid w:val="00FC36F4"/>
    <w:rsid w:val="00FC3910"/>
    <w:rsid w:val="00FC4B82"/>
    <w:rsid w:val="00FC4BF9"/>
    <w:rsid w:val="00FC4DB4"/>
    <w:rsid w:val="00FC60FB"/>
    <w:rsid w:val="00FC6116"/>
    <w:rsid w:val="00FC68C0"/>
    <w:rsid w:val="00FC70B4"/>
    <w:rsid w:val="00FC70C9"/>
    <w:rsid w:val="00FC72F5"/>
    <w:rsid w:val="00FC76D2"/>
    <w:rsid w:val="00FC788E"/>
    <w:rsid w:val="00FC7A27"/>
    <w:rsid w:val="00FC7D34"/>
    <w:rsid w:val="00FC7F1B"/>
    <w:rsid w:val="00FD0249"/>
    <w:rsid w:val="00FD0594"/>
    <w:rsid w:val="00FD0A93"/>
    <w:rsid w:val="00FD0D4F"/>
    <w:rsid w:val="00FD1323"/>
    <w:rsid w:val="00FD1352"/>
    <w:rsid w:val="00FD155F"/>
    <w:rsid w:val="00FD1B18"/>
    <w:rsid w:val="00FD1DA7"/>
    <w:rsid w:val="00FD2DCE"/>
    <w:rsid w:val="00FD333D"/>
    <w:rsid w:val="00FD37F7"/>
    <w:rsid w:val="00FD3A91"/>
    <w:rsid w:val="00FD3F10"/>
    <w:rsid w:val="00FD40A5"/>
    <w:rsid w:val="00FD4684"/>
    <w:rsid w:val="00FD49D2"/>
    <w:rsid w:val="00FD4B9B"/>
    <w:rsid w:val="00FD4E04"/>
    <w:rsid w:val="00FD624E"/>
    <w:rsid w:val="00FD62FC"/>
    <w:rsid w:val="00FD633A"/>
    <w:rsid w:val="00FD667B"/>
    <w:rsid w:val="00FD675F"/>
    <w:rsid w:val="00FD6A06"/>
    <w:rsid w:val="00FD7276"/>
    <w:rsid w:val="00FD7337"/>
    <w:rsid w:val="00FD763D"/>
    <w:rsid w:val="00FD7702"/>
    <w:rsid w:val="00FD77DE"/>
    <w:rsid w:val="00FD7AB3"/>
    <w:rsid w:val="00FD7AD5"/>
    <w:rsid w:val="00FD7B71"/>
    <w:rsid w:val="00FE01BF"/>
    <w:rsid w:val="00FE02A0"/>
    <w:rsid w:val="00FE03D6"/>
    <w:rsid w:val="00FE0757"/>
    <w:rsid w:val="00FE07BC"/>
    <w:rsid w:val="00FE0AD0"/>
    <w:rsid w:val="00FE0E6D"/>
    <w:rsid w:val="00FE11D5"/>
    <w:rsid w:val="00FE138C"/>
    <w:rsid w:val="00FE1DDA"/>
    <w:rsid w:val="00FE200B"/>
    <w:rsid w:val="00FE21D9"/>
    <w:rsid w:val="00FE25DA"/>
    <w:rsid w:val="00FE2B15"/>
    <w:rsid w:val="00FE2B1C"/>
    <w:rsid w:val="00FE2C35"/>
    <w:rsid w:val="00FE2F12"/>
    <w:rsid w:val="00FE3B63"/>
    <w:rsid w:val="00FE3C81"/>
    <w:rsid w:val="00FE3C9C"/>
    <w:rsid w:val="00FE3EF7"/>
    <w:rsid w:val="00FE45FC"/>
    <w:rsid w:val="00FE4B88"/>
    <w:rsid w:val="00FE4D7E"/>
    <w:rsid w:val="00FE4E96"/>
    <w:rsid w:val="00FE523E"/>
    <w:rsid w:val="00FE555D"/>
    <w:rsid w:val="00FE57E8"/>
    <w:rsid w:val="00FE5A37"/>
    <w:rsid w:val="00FE71EC"/>
    <w:rsid w:val="00FE722E"/>
    <w:rsid w:val="00FE7AB4"/>
    <w:rsid w:val="00FE7BAA"/>
    <w:rsid w:val="00FE7E48"/>
    <w:rsid w:val="00FF0599"/>
    <w:rsid w:val="00FF0D9B"/>
    <w:rsid w:val="00FF0E15"/>
    <w:rsid w:val="00FF0E71"/>
    <w:rsid w:val="00FF0F91"/>
    <w:rsid w:val="00FF0FA7"/>
    <w:rsid w:val="00FF1662"/>
    <w:rsid w:val="00FF1C56"/>
    <w:rsid w:val="00FF1D2E"/>
    <w:rsid w:val="00FF2773"/>
    <w:rsid w:val="00FF2855"/>
    <w:rsid w:val="00FF2A2F"/>
    <w:rsid w:val="00FF3353"/>
    <w:rsid w:val="00FF399F"/>
    <w:rsid w:val="00FF4133"/>
    <w:rsid w:val="00FF41E1"/>
    <w:rsid w:val="00FF4DE3"/>
    <w:rsid w:val="00FF52C0"/>
    <w:rsid w:val="00FF5464"/>
    <w:rsid w:val="00FF5627"/>
    <w:rsid w:val="00FF627D"/>
    <w:rsid w:val="00FF6499"/>
    <w:rsid w:val="00FF6787"/>
    <w:rsid w:val="00FF6809"/>
    <w:rsid w:val="00FF6B1E"/>
    <w:rsid w:val="00FF6B90"/>
    <w:rsid w:val="00FF6E5F"/>
    <w:rsid w:val="00FF7025"/>
    <w:rsid w:val="00FF7344"/>
    <w:rsid w:val="00FF7864"/>
    <w:rsid w:val="00FF7CB1"/>
    <w:rsid w:val="010B1C55"/>
    <w:rsid w:val="010F1163"/>
    <w:rsid w:val="01379F5D"/>
    <w:rsid w:val="014E03A2"/>
    <w:rsid w:val="01567A5E"/>
    <w:rsid w:val="01CCBDBA"/>
    <w:rsid w:val="01FCA4FD"/>
    <w:rsid w:val="020D8B9F"/>
    <w:rsid w:val="02112809"/>
    <w:rsid w:val="0228D1E5"/>
    <w:rsid w:val="02442D7D"/>
    <w:rsid w:val="024E2F76"/>
    <w:rsid w:val="024FC2E2"/>
    <w:rsid w:val="028EA45D"/>
    <w:rsid w:val="02906A4E"/>
    <w:rsid w:val="02B7F3F0"/>
    <w:rsid w:val="02BFD816"/>
    <w:rsid w:val="02CD3151"/>
    <w:rsid w:val="02F09D9E"/>
    <w:rsid w:val="033C1838"/>
    <w:rsid w:val="03748BBF"/>
    <w:rsid w:val="039F65A2"/>
    <w:rsid w:val="03B1C4A3"/>
    <w:rsid w:val="03F12800"/>
    <w:rsid w:val="03F6E2B4"/>
    <w:rsid w:val="0403FE3C"/>
    <w:rsid w:val="040E714F"/>
    <w:rsid w:val="04149E33"/>
    <w:rsid w:val="044342E3"/>
    <w:rsid w:val="046AB108"/>
    <w:rsid w:val="04A49B23"/>
    <w:rsid w:val="04AF1DC4"/>
    <w:rsid w:val="04B50501"/>
    <w:rsid w:val="04C28B19"/>
    <w:rsid w:val="04E20A52"/>
    <w:rsid w:val="04E77B7F"/>
    <w:rsid w:val="052325F2"/>
    <w:rsid w:val="0523E7FD"/>
    <w:rsid w:val="0523F517"/>
    <w:rsid w:val="052955A6"/>
    <w:rsid w:val="054863BF"/>
    <w:rsid w:val="0555F982"/>
    <w:rsid w:val="055DB74F"/>
    <w:rsid w:val="0566C66E"/>
    <w:rsid w:val="05A4FD0A"/>
    <w:rsid w:val="05A98A29"/>
    <w:rsid w:val="05E25243"/>
    <w:rsid w:val="05E32B89"/>
    <w:rsid w:val="05E66824"/>
    <w:rsid w:val="05F47121"/>
    <w:rsid w:val="05F53471"/>
    <w:rsid w:val="05FD9CC5"/>
    <w:rsid w:val="060B57D1"/>
    <w:rsid w:val="062AEA5D"/>
    <w:rsid w:val="062F8195"/>
    <w:rsid w:val="0643160F"/>
    <w:rsid w:val="06449D2E"/>
    <w:rsid w:val="064BC658"/>
    <w:rsid w:val="0667EFA1"/>
    <w:rsid w:val="066A2DC6"/>
    <w:rsid w:val="066CFFEC"/>
    <w:rsid w:val="0678B461"/>
    <w:rsid w:val="067B7C5E"/>
    <w:rsid w:val="069B14EB"/>
    <w:rsid w:val="069F410A"/>
    <w:rsid w:val="069FCA7A"/>
    <w:rsid w:val="06A17EEA"/>
    <w:rsid w:val="06DC84FD"/>
    <w:rsid w:val="06F79C5D"/>
    <w:rsid w:val="06FDC708"/>
    <w:rsid w:val="0707F143"/>
    <w:rsid w:val="072200BE"/>
    <w:rsid w:val="072A1965"/>
    <w:rsid w:val="0731FA3C"/>
    <w:rsid w:val="0746F12E"/>
    <w:rsid w:val="075EDF64"/>
    <w:rsid w:val="0781E231"/>
    <w:rsid w:val="0784B353"/>
    <w:rsid w:val="078CFC6D"/>
    <w:rsid w:val="07900169"/>
    <w:rsid w:val="07D36BBA"/>
    <w:rsid w:val="07DF16FF"/>
    <w:rsid w:val="0810C7E8"/>
    <w:rsid w:val="08283812"/>
    <w:rsid w:val="08598A83"/>
    <w:rsid w:val="08692887"/>
    <w:rsid w:val="086D39D8"/>
    <w:rsid w:val="08844601"/>
    <w:rsid w:val="088B2C94"/>
    <w:rsid w:val="089ECA1A"/>
    <w:rsid w:val="08A3C1A4"/>
    <w:rsid w:val="08B8CB41"/>
    <w:rsid w:val="08CC11C4"/>
    <w:rsid w:val="08CC18DD"/>
    <w:rsid w:val="08F23806"/>
    <w:rsid w:val="091C328A"/>
    <w:rsid w:val="09311054"/>
    <w:rsid w:val="094EFD69"/>
    <w:rsid w:val="095ADFD5"/>
    <w:rsid w:val="0982E529"/>
    <w:rsid w:val="099416E6"/>
    <w:rsid w:val="09A4A0AE"/>
    <w:rsid w:val="09A5787D"/>
    <w:rsid w:val="09B7179F"/>
    <w:rsid w:val="09DD603B"/>
    <w:rsid w:val="09EA79A8"/>
    <w:rsid w:val="09F07154"/>
    <w:rsid w:val="0A041BDC"/>
    <w:rsid w:val="0A210F34"/>
    <w:rsid w:val="0A40C5EE"/>
    <w:rsid w:val="0A42D0FC"/>
    <w:rsid w:val="0A49ACBB"/>
    <w:rsid w:val="0A52E0C8"/>
    <w:rsid w:val="0A68C6ED"/>
    <w:rsid w:val="0A7D60E9"/>
    <w:rsid w:val="0A878BAF"/>
    <w:rsid w:val="0A8E593B"/>
    <w:rsid w:val="0AA72FF9"/>
    <w:rsid w:val="0ACCF92E"/>
    <w:rsid w:val="0ADF0DF7"/>
    <w:rsid w:val="0AE00208"/>
    <w:rsid w:val="0AE244FF"/>
    <w:rsid w:val="0AEA41DB"/>
    <w:rsid w:val="0B0FB779"/>
    <w:rsid w:val="0B338772"/>
    <w:rsid w:val="0B45EA90"/>
    <w:rsid w:val="0B69D4FD"/>
    <w:rsid w:val="0B8F0C3C"/>
    <w:rsid w:val="0BA7C59A"/>
    <w:rsid w:val="0BD73927"/>
    <w:rsid w:val="0BE28313"/>
    <w:rsid w:val="0C175FB2"/>
    <w:rsid w:val="0C24B4E0"/>
    <w:rsid w:val="0C34F967"/>
    <w:rsid w:val="0C4127DF"/>
    <w:rsid w:val="0C77130C"/>
    <w:rsid w:val="0C8F6F7E"/>
    <w:rsid w:val="0C93D6C5"/>
    <w:rsid w:val="0C96FC5E"/>
    <w:rsid w:val="0C97910B"/>
    <w:rsid w:val="0CC1880E"/>
    <w:rsid w:val="0CCE7D94"/>
    <w:rsid w:val="0CD18E3B"/>
    <w:rsid w:val="0CDA4ADA"/>
    <w:rsid w:val="0CFC83F3"/>
    <w:rsid w:val="0D1A676D"/>
    <w:rsid w:val="0D78778B"/>
    <w:rsid w:val="0D7FF1D8"/>
    <w:rsid w:val="0D938161"/>
    <w:rsid w:val="0DBB880A"/>
    <w:rsid w:val="0DD2FF6F"/>
    <w:rsid w:val="0DF2DACF"/>
    <w:rsid w:val="0DFD67C7"/>
    <w:rsid w:val="0E00A5D0"/>
    <w:rsid w:val="0E0601DE"/>
    <w:rsid w:val="0E28D7E1"/>
    <w:rsid w:val="0E2E093C"/>
    <w:rsid w:val="0E55073D"/>
    <w:rsid w:val="0ECB68B4"/>
    <w:rsid w:val="0EF372CD"/>
    <w:rsid w:val="0F37AB11"/>
    <w:rsid w:val="0F453EBB"/>
    <w:rsid w:val="0F4AF0FA"/>
    <w:rsid w:val="0F60098D"/>
    <w:rsid w:val="0F889FF3"/>
    <w:rsid w:val="0FDE8E9A"/>
    <w:rsid w:val="0FFE1220"/>
    <w:rsid w:val="100AC22A"/>
    <w:rsid w:val="10103E74"/>
    <w:rsid w:val="1035E6B8"/>
    <w:rsid w:val="103D8742"/>
    <w:rsid w:val="103FC608"/>
    <w:rsid w:val="1042ECDB"/>
    <w:rsid w:val="106D2245"/>
    <w:rsid w:val="10C83A18"/>
    <w:rsid w:val="10D63434"/>
    <w:rsid w:val="10E5935A"/>
    <w:rsid w:val="10EE8E6E"/>
    <w:rsid w:val="111FBA64"/>
    <w:rsid w:val="11237A49"/>
    <w:rsid w:val="112C4EA4"/>
    <w:rsid w:val="1131AFE1"/>
    <w:rsid w:val="113881E9"/>
    <w:rsid w:val="114D5FB9"/>
    <w:rsid w:val="11505887"/>
    <w:rsid w:val="1159FB78"/>
    <w:rsid w:val="115D562A"/>
    <w:rsid w:val="116214F7"/>
    <w:rsid w:val="11674531"/>
    <w:rsid w:val="1186BD69"/>
    <w:rsid w:val="11939EFA"/>
    <w:rsid w:val="11A228E8"/>
    <w:rsid w:val="11B178E1"/>
    <w:rsid w:val="11BEBE72"/>
    <w:rsid w:val="11C372D0"/>
    <w:rsid w:val="11D44F67"/>
    <w:rsid w:val="11FA3444"/>
    <w:rsid w:val="120DEDF1"/>
    <w:rsid w:val="12885BBD"/>
    <w:rsid w:val="12BC8B3D"/>
    <w:rsid w:val="12C71272"/>
    <w:rsid w:val="12D9CA1B"/>
    <w:rsid w:val="130F3A08"/>
    <w:rsid w:val="1328527D"/>
    <w:rsid w:val="13315C5E"/>
    <w:rsid w:val="13556F71"/>
    <w:rsid w:val="135A0B6B"/>
    <w:rsid w:val="1371DC75"/>
    <w:rsid w:val="13755BDA"/>
    <w:rsid w:val="1377E865"/>
    <w:rsid w:val="137CAD2B"/>
    <w:rsid w:val="13C97A73"/>
    <w:rsid w:val="13CBDF17"/>
    <w:rsid w:val="13CE9137"/>
    <w:rsid w:val="13D3FCBA"/>
    <w:rsid w:val="13D8404D"/>
    <w:rsid w:val="13E198B6"/>
    <w:rsid w:val="13E4C841"/>
    <w:rsid w:val="14124F0E"/>
    <w:rsid w:val="1415DF79"/>
    <w:rsid w:val="141B4505"/>
    <w:rsid w:val="142D63D4"/>
    <w:rsid w:val="14522818"/>
    <w:rsid w:val="1477EC6E"/>
    <w:rsid w:val="14A4BF76"/>
    <w:rsid w:val="14B3C625"/>
    <w:rsid w:val="14B647E9"/>
    <w:rsid w:val="14BFD203"/>
    <w:rsid w:val="14D8BCDE"/>
    <w:rsid w:val="14EFDE2C"/>
    <w:rsid w:val="1500DB75"/>
    <w:rsid w:val="151841D3"/>
    <w:rsid w:val="15451349"/>
    <w:rsid w:val="156FAEED"/>
    <w:rsid w:val="15785D2C"/>
    <w:rsid w:val="157A9BDD"/>
    <w:rsid w:val="15B609F2"/>
    <w:rsid w:val="15CD308C"/>
    <w:rsid w:val="15E9B6FC"/>
    <w:rsid w:val="15ECA4DC"/>
    <w:rsid w:val="15F84318"/>
    <w:rsid w:val="163CDCD5"/>
    <w:rsid w:val="164167AE"/>
    <w:rsid w:val="16461569"/>
    <w:rsid w:val="16508448"/>
    <w:rsid w:val="165E1BF1"/>
    <w:rsid w:val="166D60CE"/>
    <w:rsid w:val="1671B18D"/>
    <w:rsid w:val="16875B48"/>
    <w:rsid w:val="16C48EAA"/>
    <w:rsid w:val="16D25B5D"/>
    <w:rsid w:val="1736153A"/>
    <w:rsid w:val="17B321E0"/>
    <w:rsid w:val="17C2126B"/>
    <w:rsid w:val="17DBECBD"/>
    <w:rsid w:val="17DC9A08"/>
    <w:rsid w:val="17DCEA51"/>
    <w:rsid w:val="17EC3437"/>
    <w:rsid w:val="181C2934"/>
    <w:rsid w:val="182C806F"/>
    <w:rsid w:val="1830D259"/>
    <w:rsid w:val="1841B04F"/>
    <w:rsid w:val="18836370"/>
    <w:rsid w:val="188373FB"/>
    <w:rsid w:val="18884301"/>
    <w:rsid w:val="188CF46E"/>
    <w:rsid w:val="18976FA6"/>
    <w:rsid w:val="18A05B5A"/>
    <w:rsid w:val="18ABFE9A"/>
    <w:rsid w:val="18BF3AD1"/>
    <w:rsid w:val="18C24C20"/>
    <w:rsid w:val="18C38724"/>
    <w:rsid w:val="18EBC18E"/>
    <w:rsid w:val="18EF993F"/>
    <w:rsid w:val="19330775"/>
    <w:rsid w:val="1934A8BD"/>
    <w:rsid w:val="193D5C66"/>
    <w:rsid w:val="194AD56F"/>
    <w:rsid w:val="194F0ADE"/>
    <w:rsid w:val="19554E20"/>
    <w:rsid w:val="198BD7D9"/>
    <w:rsid w:val="198D6663"/>
    <w:rsid w:val="19909A43"/>
    <w:rsid w:val="199EAA50"/>
    <w:rsid w:val="19E64F30"/>
    <w:rsid w:val="1A57EB76"/>
    <w:rsid w:val="1A5D0E44"/>
    <w:rsid w:val="1A8B4E2C"/>
    <w:rsid w:val="1AB917AB"/>
    <w:rsid w:val="1AC8044F"/>
    <w:rsid w:val="1AEC4189"/>
    <w:rsid w:val="1B078F61"/>
    <w:rsid w:val="1B4C912A"/>
    <w:rsid w:val="1B6BC733"/>
    <w:rsid w:val="1B6FA5DA"/>
    <w:rsid w:val="1B7AEE57"/>
    <w:rsid w:val="1B8A4E6C"/>
    <w:rsid w:val="1B9B1C82"/>
    <w:rsid w:val="1BB403AE"/>
    <w:rsid w:val="1BC2CE7D"/>
    <w:rsid w:val="1BD0B5D9"/>
    <w:rsid w:val="1BFBEC8D"/>
    <w:rsid w:val="1C218FD9"/>
    <w:rsid w:val="1C6DA332"/>
    <w:rsid w:val="1C8038CD"/>
    <w:rsid w:val="1C8F3AC7"/>
    <w:rsid w:val="1CAD9DF5"/>
    <w:rsid w:val="1CAE1EED"/>
    <w:rsid w:val="1CB5ABDC"/>
    <w:rsid w:val="1CE8FA4D"/>
    <w:rsid w:val="1CFB0A5A"/>
    <w:rsid w:val="1D0708D1"/>
    <w:rsid w:val="1D1D37B5"/>
    <w:rsid w:val="1D3995D0"/>
    <w:rsid w:val="1D4F85C2"/>
    <w:rsid w:val="1D9E7450"/>
    <w:rsid w:val="1DBB85AD"/>
    <w:rsid w:val="1DCAFFCE"/>
    <w:rsid w:val="1DD91752"/>
    <w:rsid w:val="1E0E2998"/>
    <w:rsid w:val="1E2B5125"/>
    <w:rsid w:val="1E443917"/>
    <w:rsid w:val="1E537A96"/>
    <w:rsid w:val="1EAFB079"/>
    <w:rsid w:val="1ECA9F2E"/>
    <w:rsid w:val="1EF111E7"/>
    <w:rsid w:val="1F0458E4"/>
    <w:rsid w:val="1F0AA421"/>
    <w:rsid w:val="1F0CFC4C"/>
    <w:rsid w:val="1F21BA13"/>
    <w:rsid w:val="1F4D41D9"/>
    <w:rsid w:val="1F7CC3C0"/>
    <w:rsid w:val="1F7CE5AB"/>
    <w:rsid w:val="1F9E8B36"/>
    <w:rsid w:val="1FCF93D6"/>
    <w:rsid w:val="1FD60169"/>
    <w:rsid w:val="1FE0C128"/>
    <w:rsid w:val="1FE0EEA8"/>
    <w:rsid w:val="1FE958AC"/>
    <w:rsid w:val="1FF09ECC"/>
    <w:rsid w:val="20096425"/>
    <w:rsid w:val="201B6347"/>
    <w:rsid w:val="201E5D5D"/>
    <w:rsid w:val="20541842"/>
    <w:rsid w:val="205FCB58"/>
    <w:rsid w:val="2063667D"/>
    <w:rsid w:val="2089DCA1"/>
    <w:rsid w:val="20A34B97"/>
    <w:rsid w:val="20A3F496"/>
    <w:rsid w:val="20BA06DA"/>
    <w:rsid w:val="20C8C619"/>
    <w:rsid w:val="20E54D3D"/>
    <w:rsid w:val="20F35EE3"/>
    <w:rsid w:val="21027011"/>
    <w:rsid w:val="21138280"/>
    <w:rsid w:val="211F67F8"/>
    <w:rsid w:val="21299BCB"/>
    <w:rsid w:val="21606768"/>
    <w:rsid w:val="216E1392"/>
    <w:rsid w:val="2182ED7F"/>
    <w:rsid w:val="218634D5"/>
    <w:rsid w:val="21964594"/>
    <w:rsid w:val="219DC499"/>
    <w:rsid w:val="21D08167"/>
    <w:rsid w:val="21D21404"/>
    <w:rsid w:val="21E13C39"/>
    <w:rsid w:val="21F33F35"/>
    <w:rsid w:val="21FF355E"/>
    <w:rsid w:val="2217E1AF"/>
    <w:rsid w:val="222CF912"/>
    <w:rsid w:val="2235186E"/>
    <w:rsid w:val="22690DA1"/>
    <w:rsid w:val="22811AFC"/>
    <w:rsid w:val="228A0734"/>
    <w:rsid w:val="22902D4D"/>
    <w:rsid w:val="22C70306"/>
    <w:rsid w:val="22D211E5"/>
    <w:rsid w:val="22DD42CF"/>
    <w:rsid w:val="22E5BDD4"/>
    <w:rsid w:val="23125461"/>
    <w:rsid w:val="23139228"/>
    <w:rsid w:val="232C29A9"/>
    <w:rsid w:val="233EEB6D"/>
    <w:rsid w:val="2357DEDB"/>
    <w:rsid w:val="2363A6AB"/>
    <w:rsid w:val="2369BFB3"/>
    <w:rsid w:val="23933C62"/>
    <w:rsid w:val="23A86210"/>
    <w:rsid w:val="23B63224"/>
    <w:rsid w:val="23B635F6"/>
    <w:rsid w:val="23BC0BD0"/>
    <w:rsid w:val="23F643F1"/>
    <w:rsid w:val="2423AD1F"/>
    <w:rsid w:val="2444CB12"/>
    <w:rsid w:val="244C0D3B"/>
    <w:rsid w:val="244EF1A5"/>
    <w:rsid w:val="248DA9D4"/>
    <w:rsid w:val="2491D76C"/>
    <w:rsid w:val="2493387F"/>
    <w:rsid w:val="24A45A1D"/>
    <w:rsid w:val="24BD804B"/>
    <w:rsid w:val="24C090E7"/>
    <w:rsid w:val="24E3EEEA"/>
    <w:rsid w:val="24F6A964"/>
    <w:rsid w:val="250E5A79"/>
    <w:rsid w:val="251C100A"/>
    <w:rsid w:val="253B5B35"/>
    <w:rsid w:val="25496BA4"/>
    <w:rsid w:val="2556F3DE"/>
    <w:rsid w:val="2575BA1E"/>
    <w:rsid w:val="257D53B2"/>
    <w:rsid w:val="25A4011D"/>
    <w:rsid w:val="25CCF096"/>
    <w:rsid w:val="25D6C228"/>
    <w:rsid w:val="25D7F66C"/>
    <w:rsid w:val="261F67FB"/>
    <w:rsid w:val="26412B1F"/>
    <w:rsid w:val="2652CE45"/>
    <w:rsid w:val="2657BB28"/>
    <w:rsid w:val="2689654E"/>
    <w:rsid w:val="268CEA1F"/>
    <w:rsid w:val="26B3A624"/>
    <w:rsid w:val="270144AD"/>
    <w:rsid w:val="27088619"/>
    <w:rsid w:val="27220148"/>
    <w:rsid w:val="2729B825"/>
    <w:rsid w:val="272B776B"/>
    <w:rsid w:val="273E759B"/>
    <w:rsid w:val="274D35CC"/>
    <w:rsid w:val="274D4532"/>
    <w:rsid w:val="275E14DE"/>
    <w:rsid w:val="2785FEF8"/>
    <w:rsid w:val="279E2E63"/>
    <w:rsid w:val="27A1E0B6"/>
    <w:rsid w:val="27BF5A72"/>
    <w:rsid w:val="27C78EDA"/>
    <w:rsid w:val="27CC1E7F"/>
    <w:rsid w:val="27E95A9F"/>
    <w:rsid w:val="27F0509C"/>
    <w:rsid w:val="27F7D7BE"/>
    <w:rsid w:val="27FAF656"/>
    <w:rsid w:val="27FCDBF8"/>
    <w:rsid w:val="28240AF7"/>
    <w:rsid w:val="282949F7"/>
    <w:rsid w:val="282D68FC"/>
    <w:rsid w:val="2831816D"/>
    <w:rsid w:val="283753F5"/>
    <w:rsid w:val="2840621B"/>
    <w:rsid w:val="28428406"/>
    <w:rsid w:val="2848299F"/>
    <w:rsid w:val="28B4AC61"/>
    <w:rsid w:val="28B72068"/>
    <w:rsid w:val="28D3F0D0"/>
    <w:rsid w:val="28E717F2"/>
    <w:rsid w:val="28EB350F"/>
    <w:rsid w:val="2957E433"/>
    <w:rsid w:val="29719B08"/>
    <w:rsid w:val="2971A5AB"/>
    <w:rsid w:val="29A2D2C1"/>
    <w:rsid w:val="29A76515"/>
    <w:rsid w:val="29D2C570"/>
    <w:rsid w:val="29E09D2A"/>
    <w:rsid w:val="29EF0CC9"/>
    <w:rsid w:val="29F4DD4D"/>
    <w:rsid w:val="2A1AD3AE"/>
    <w:rsid w:val="2A1DA9CB"/>
    <w:rsid w:val="2A211863"/>
    <w:rsid w:val="2A6531C8"/>
    <w:rsid w:val="2A82272B"/>
    <w:rsid w:val="2A825A13"/>
    <w:rsid w:val="2A8A7B0A"/>
    <w:rsid w:val="2A913DE3"/>
    <w:rsid w:val="2AA5A4BC"/>
    <w:rsid w:val="2ADAEE20"/>
    <w:rsid w:val="2AE420E6"/>
    <w:rsid w:val="2AE80E6F"/>
    <w:rsid w:val="2B063B22"/>
    <w:rsid w:val="2B0C8455"/>
    <w:rsid w:val="2B17B5DA"/>
    <w:rsid w:val="2B3239C6"/>
    <w:rsid w:val="2B3D2981"/>
    <w:rsid w:val="2B44AE9B"/>
    <w:rsid w:val="2B4C83A4"/>
    <w:rsid w:val="2B74FAB0"/>
    <w:rsid w:val="2B88F0D9"/>
    <w:rsid w:val="2BB1701A"/>
    <w:rsid w:val="2BD49096"/>
    <w:rsid w:val="2BD524A4"/>
    <w:rsid w:val="2BE6D4F6"/>
    <w:rsid w:val="2BE9604C"/>
    <w:rsid w:val="2C044470"/>
    <w:rsid w:val="2C08B1B4"/>
    <w:rsid w:val="2C166E5C"/>
    <w:rsid w:val="2C1AB6EB"/>
    <w:rsid w:val="2C2EC66D"/>
    <w:rsid w:val="2C30BB1A"/>
    <w:rsid w:val="2C33BD14"/>
    <w:rsid w:val="2C3AA3F7"/>
    <w:rsid w:val="2C3F1320"/>
    <w:rsid w:val="2C5C2CF7"/>
    <w:rsid w:val="2C61A042"/>
    <w:rsid w:val="2C8E81E6"/>
    <w:rsid w:val="2C918236"/>
    <w:rsid w:val="2C97CA5C"/>
    <w:rsid w:val="2C9D2D82"/>
    <w:rsid w:val="2D728BF9"/>
    <w:rsid w:val="2D7768C3"/>
    <w:rsid w:val="2DB7C56C"/>
    <w:rsid w:val="2DD18E21"/>
    <w:rsid w:val="2DE6DC4B"/>
    <w:rsid w:val="2DFE011B"/>
    <w:rsid w:val="2E0DA828"/>
    <w:rsid w:val="2E15A8E1"/>
    <w:rsid w:val="2E3D0787"/>
    <w:rsid w:val="2E54A7CD"/>
    <w:rsid w:val="2E5F9220"/>
    <w:rsid w:val="2E6C80AF"/>
    <w:rsid w:val="2E73910C"/>
    <w:rsid w:val="2E7B9C6B"/>
    <w:rsid w:val="2E84634D"/>
    <w:rsid w:val="2EDB3A88"/>
    <w:rsid w:val="2F120BD2"/>
    <w:rsid w:val="2F4A6134"/>
    <w:rsid w:val="2F51ABAF"/>
    <w:rsid w:val="2F848369"/>
    <w:rsid w:val="2F99AE28"/>
    <w:rsid w:val="2FCB3DB7"/>
    <w:rsid w:val="2FE497E8"/>
    <w:rsid w:val="300802F4"/>
    <w:rsid w:val="304F66D4"/>
    <w:rsid w:val="305FBFA0"/>
    <w:rsid w:val="30865F3A"/>
    <w:rsid w:val="30CA8975"/>
    <w:rsid w:val="30E07896"/>
    <w:rsid w:val="3105FD0D"/>
    <w:rsid w:val="313333E9"/>
    <w:rsid w:val="31582F47"/>
    <w:rsid w:val="3174A849"/>
    <w:rsid w:val="317C220C"/>
    <w:rsid w:val="3195A253"/>
    <w:rsid w:val="31C659B6"/>
    <w:rsid w:val="31CE5FB3"/>
    <w:rsid w:val="31DC5013"/>
    <w:rsid w:val="3203F2DF"/>
    <w:rsid w:val="322A8849"/>
    <w:rsid w:val="323A4DBF"/>
    <w:rsid w:val="323CFA99"/>
    <w:rsid w:val="323EF109"/>
    <w:rsid w:val="324B1799"/>
    <w:rsid w:val="32983C0B"/>
    <w:rsid w:val="32C895F4"/>
    <w:rsid w:val="32CA7603"/>
    <w:rsid w:val="32DAA8BD"/>
    <w:rsid w:val="33385F56"/>
    <w:rsid w:val="333AF0C9"/>
    <w:rsid w:val="33444628"/>
    <w:rsid w:val="336206FD"/>
    <w:rsid w:val="336E7D37"/>
    <w:rsid w:val="3389ADB4"/>
    <w:rsid w:val="33B1C28F"/>
    <w:rsid w:val="33B26ED6"/>
    <w:rsid w:val="33D516FA"/>
    <w:rsid w:val="3415A53B"/>
    <w:rsid w:val="34197DED"/>
    <w:rsid w:val="342D87BF"/>
    <w:rsid w:val="34480C32"/>
    <w:rsid w:val="344DE67B"/>
    <w:rsid w:val="346A8C78"/>
    <w:rsid w:val="34AF46C5"/>
    <w:rsid w:val="34B63341"/>
    <w:rsid w:val="34B727CB"/>
    <w:rsid w:val="34C50BC6"/>
    <w:rsid w:val="34D808C0"/>
    <w:rsid w:val="34E49F95"/>
    <w:rsid w:val="352CF133"/>
    <w:rsid w:val="35518D7B"/>
    <w:rsid w:val="3555F91F"/>
    <w:rsid w:val="356AA026"/>
    <w:rsid w:val="357C3906"/>
    <w:rsid w:val="35833924"/>
    <w:rsid w:val="35909AB3"/>
    <w:rsid w:val="35E577C8"/>
    <w:rsid w:val="35EC205D"/>
    <w:rsid w:val="360C6FF1"/>
    <w:rsid w:val="3631FBDD"/>
    <w:rsid w:val="364CF631"/>
    <w:rsid w:val="3652C7F9"/>
    <w:rsid w:val="3655DEAD"/>
    <w:rsid w:val="367645DE"/>
    <w:rsid w:val="36BFB00D"/>
    <w:rsid w:val="36E8027D"/>
    <w:rsid w:val="37097378"/>
    <w:rsid w:val="37274F7F"/>
    <w:rsid w:val="3729CC64"/>
    <w:rsid w:val="373FA9E1"/>
    <w:rsid w:val="375FB2D3"/>
    <w:rsid w:val="3790F72F"/>
    <w:rsid w:val="37B566A5"/>
    <w:rsid w:val="37DD63E5"/>
    <w:rsid w:val="37DFA4C5"/>
    <w:rsid w:val="37E360C6"/>
    <w:rsid w:val="381A01B9"/>
    <w:rsid w:val="381EF975"/>
    <w:rsid w:val="38237811"/>
    <w:rsid w:val="3832ACA3"/>
    <w:rsid w:val="3852F17C"/>
    <w:rsid w:val="38858566"/>
    <w:rsid w:val="38C79ADD"/>
    <w:rsid w:val="38DBB607"/>
    <w:rsid w:val="39172737"/>
    <w:rsid w:val="39248D3D"/>
    <w:rsid w:val="397115E7"/>
    <w:rsid w:val="39BE9FC0"/>
    <w:rsid w:val="39CCE96A"/>
    <w:rsid w:val="39D12BD2"/>
    <w:rsid w:val="39FC54A5"/>
    <w:rsid w:val="39FF039F"/>
    <w:rsid w:val="3A0BE059"/>
    <w:rsid w:val="3A17EAD6"/>
    <w:rsid w:val="3A18915A"/>
    <w:rsid w:val="3A2775AD"/>
    <w:rsid w:val="3A6CCE2D"/>
    <w:rsid w:val="3A76F2FC"/>
    <w:rsid w:val="3A80F952"/>
    <w:rsid w:val="3AB72F08"/>
    <w:rsid w:val="3ABF25EC"/>
    <w:rsid w:val="3AE86348"/>
    <w:rsid w:val="3AF7CD83"/>
    <w:rsid w:val="3B20ACF1"/>
    <w:rsid w:val="3B6EF648"/>
    <w:rsid w:val="3B818787"/>
    <w:rsid w:val="3BA2891F"/>
    <w:rsid w:val="3BC5E85D"/>
    <w:rsid w:val="3BC6E168"/>
    <w:rsid w:val="3BD97D95"/>
    <w:rsid w:val="3BDCD388"/>
    <w:rsid w:val="3BE96F1B"/>
    <w:rsid w:val="3C27BF06"/>
    <w:rsid w:val="3C31E1F1"/>
    <w:rsid w:val="3C7EE16D"/>
    <w:rsid w:val="3C9CF662"/>
    <w:rsid w:val="3CA38CE1"/>
    <w:rsid w:val="3CBF565B"/>
    <w:rsid w:val="3CC03902"/>
    <w:rsid w:val="3CC26D61"/>
    <w:rsid w:val="3CCCB914"/>
    <w:rsid w:val="3CCCBAD8"/>
    <w:rsid w:val="3CDFAE09"/>
    <w:rsid w:val="3CFD8660"/>
    <w:rsid w:val="3D137649"/>
    <w:rsid w:val="3D185D9A"/>
    <w:rsid w:val="3D201D2A"/>
    <w:rsid w:val="3D331582"/>
    <w:rsid w:val="3D33B934"/>
    <w:rsid w:val="3D352474"/>
    <w:rsid w:val="3D6CD07F"/>
    <w:rsid w:val="3D88C6FD"/>
    <w:rsid w:val="3DB89A14"/>
    <w:rsid w:val="3DB8ACE8"/>
    <w:rsid w:val="3DEFDF9A"/>
    <w:rsid w:val="3DF119A5"/>
    <w:rsid w:val="3E075CB3"/>
    <w:rsid w:val="3E0E66CD"/>
    <w:rsid w:val="3E2A98D8"/>
    <w:rsid w:val="3E3663E0"/>
    <w:rsid w:val="3E443FA7"/>
    <w:rsid w:val="3E602AAE"/>
    <w:rsid w:val="3E7EEC00"/>
    <w:rsid w:val="3E882841"/>
    <w:rsid w:val="3E959B20"/>
    <w:rsid w:val="3EACFC1A"/>
    <w:rsid w:val="3EDA273E"/>
    <w:rsid w:val="3F00C663"/>
    <w:rsid w:val="3F052C9F"/>
    <w:rsid w:val="3F0BA74B"/>
    <w:rsid w:val="3F15C0E6"/>
    <w:rsid w:val="3F5AF63A"/>
    <w:rsid w:val="3F6EC563"/>
    <w:rsid w:val="3F7C57A5"/>
    <w:rsid w:val="3FAD40DC"/>
    <w:rsid w:val="3FD49724"/>
    <w:rsid w:val="3FDFC2CB"/>
    <w:rsid w:val="400A9F22"/>
    <w:rsid w:val="400B81CD"/>
    <w:rsid w:val="401C3507"/>
    <w:rsid w:val="402A2B9E"/>
    <w:rsid w:val="402BDB37"/>
    <w:rsid w:val="40783A5F"/>
    <w:rsid w:val="408F9C68"/>
    <w:rsid w:val="40B44B52"/>
    <w:rsid w:val="40D2BC0A"/>
    <w:rsid w:val="40D5B86D"/>
    <w:rsid w:val="40D7E558"/>
    <w:rsid w:val="40D9AFC2"/>
    <w:rsid w:val="40E1A34C"/>
    <w:rsid w:val="40EF04F3"/>
    <w:rsid w:val="40F14B68"/>
    <w:rsid w:val="4116F90D"/>
    <w:rsid w:val="4156B713"/>
    <w:rsid w:val="419B7CB3"/>
    <w:rsid w:val="41ADBAC1"/>
    <w:rsid w:val="41EBCEBD"/>
    <w:rsid w:val="4201B035"/>
    <w:rsid w:val="4261F47D"/>
    <w:rsid w:val="4272E2DA"/>
    <w:rsid w:val="4284909C"/>
    <w:rsid w:val="42866E11"/>
    <w:rsid w:val="42869622"/>
    <w:rsid w:val="42AD007C"/>
    <w:rsid w:val="42D5AB4D"/>
    <w:rsid w:val="43105455"/>
    <w:rsid w:val="432C4880"/>
    <w:rsid w:val="43350519"/>
    <w:rsid w:val="433BA089"/>
    <w:rsid w:val="436B220C"/>
    <w:rsid w:val="437BB221"/>
    <w:rsid w:val="43870B10"/>
    <w:rsid w:val="43A5DC67"/>
    <w:rsid w:val="43A93B1E"/>
    <w:rsid w:val="43AD5D28"/>
    <w:rsid w:val="43C6BA5A"/>
    <w:rsid w:val="43D2BF9A"/>
    <w:rsid w:val="43FA4F34"/>
    <w:rsid w:val="44096DDB"/>
    <w:rsid w:val="44097B39"/>
    <w:rsid w:val="444160E1"/>
    <w:rsid w:val="447DE024"/>
    <w:rsid w:val="449CEAA2"/>
    <w:rsid w:val="44A22907"/>
    <w:rsid w:val="44ADE2ED"/>
    <w:rsid w:val="44C8D818"/>
    <w:rsid w:val="44E3B191"/>
    <w:rsid w:val="44F8CF37"/>
    <w:rsid w:val="45034D5F"/>
    <w:rsid w:val="4532B582"/>
    <w:rsid w:val="453FFA1C"/>
    <w:rsid w:val="45539F62"/>
    <w:rsid w:val="45576766"/>
    <w:rsid w:val="455C1C08"/>
    <w:rsid w:val="45689B7A"/>
    <w:rsid w:val="459D076B"/>
    <w:rsid w:val="45BBEE8E"/>
    <w:rsid w:val="45BF6CE0"/>
    <w:rsid w:val="45D91DA2"/>
    <w:rsid w:val="4614D03E"/>
    <w:rsid w:val="46323EC8"/>
    <w:rsid w:val="46330429"/>
    <w:rsid w:val="463A19E8"/>
    <w:rsid w:val="4649311D"/>
    <w:rsid w:val="465C7811"/>
    <w:rsid w:val="46681F56"/>
    <w:rsid w:val="466A9311"/>
    <w:rsid w:val="468D1D2F"/>
    <w:rsid w:val="46960F06"/>
    <w:rsid w:val="46A916D5"/>
    <w:rsid w:val="46B6127B"/>
    <w:rsid w:val="46C82126"/>
    <w:rsid w:val="46CD4640"/>
    <w:rsid w:val="46DDC15D"/>
    <w:rsid w:val="46ED9A73"/>
    <w:rsid w:val="475176C5"/>
    <w:rsid w:val="47542D17"/>
    <w:rsid w:val="4774EE03"/>
    <w:rsid w:val="47B982FC"/>
    <w:rsid w:val="47E1B819"/>
    <w:rsid w:val="48165C27"/>
    <w:rsid w:val="484460F2"/>
    <w:rsid w:val="484A5866"/>
    <w:rsid w:val="486FAC11"/>
    <w:rsid w:val="4876E0EE"/>
    <w:rsid w:val="48C5DCD7"/>
    <w:rsid w:val="48C8DE54"/>
    <w:rsid w:val="48D4A82D"/>
    <w:rsid w:val="48DE8CB7"/>
    <w:rsid w:val="48E25489"/>
    <w:rsid w:val="48F33889"/>
    <w:rsid w:val="48F93891"/>
    <w:rsid w:val="48F95EAA"/>
    <w:rsid w:val="49337BAD"/>
    <w:rsid w:val="493918BA"/>
    <w:rsid w:val="49589EDB"/>
    <w:rsid w:val="4965672B"/>
    <w:rsid w:val="4A01BED0"/>
    <w:rsid w:val="4A126158"/>
    <w:rsid w:val="4A15621F"/>
    <w:rsid w:val="4A15E6AC"/>
    <w:rsid w:val="4A45711E"/>
    <w:rsid w:val="4A57F6AE"/>
    <w:rsid w:val="4A7BC7B9"/>
    <w:rsid w:val="4A8D6528"/>
    <w:rsid w:val="4AD40634"/>
    <w:rsid w:val="4AD6001B"/>
    <w:rsid w:val="4B124D03"/>
    <w:rsid w:val="4B220013"/>
    <w:rsid w:val="4B3CB8C2"/>
    <w:rsid w:val="4B40B052"/>
    <w:rsid w:val="4B43A7F1"/>
    <w:rsid w:val="4B506FB4"/>
    <w:rsid w:val="4B51B89D"/>
    <w:rsid w:val="4B578577"/>
    <w:rsid w:val="4B91A4DC"/>
    <w:rsid w:val="4B91B8C7"/>
    <w:rsid w:val="4BB38086"/>
    <w:rsid w:val="4BBCF542"/>
    <w:rsid w:val="4BC3F20A"/>
    <w:rsid w:val="4BDACC0F"/>
    <w:rsid w:val="4BECF7C9"/>
    <w:rsid w:val="4C082E61"/>
    <w:rsid w:val="4C39D20B"/>
    <w:rsid w:val="4C43E14E"/>
    <w:rsid w:val="4C4452A0"/>
    <w:rsid w:val="4C491481"/>
    <w:rsid w:val="4C6E0D3F"/>
    <w:rsid w:val="4CA2019D"/>
    <w:rsid w:val="4CC9A16C"/>
    <w:rsid w:val="4D2C4EBD"/>
    <w:rsid w:val="4D2D9E0A"/>
    <w:rsid w:val="4D4D02E1"/>
    <w:rsid w:val="4D642FAA"/>
    <w:rsid w:val="4D692C38"/>
    <w:rsid w:val="4D727309"/>
    <w:rsid w:val="4D8BEAF8"/>
    <w:rsid w:val="4D8D020A"/>
    <w:rsid w:val="4DA77F88"/>
    <w:rsid w:val="4DCA0902"/>
    <w:rsid w:val="4DD4F91C"/>
    <w:rsid w:val="4DD76727"/>
    <w:rsid w:val="4DE00117"/>
    <w:rsid w:val="4DEE0687"/>
    <w:rsid w:val="4E302338"/>
    <w:rsid w:val="4E61F70B"/>
    <w:rsid w:val="4E88D59A"/>
    <w:rsid w:val="4E8BDB11"/>
    <w:rsid w:val="4EAE688F"/>
    <w:rsid w:val="4EBD2C4A"/>
    <w:rsid w:val="4ED14FAC"/>
    <w:rsid w:val="4EFCD356"/>
    <w:rsid w:val="4F1AAE1E"/>
    <w:rsid w:val="4F26A69D"/>
    <w:rsid w:val="4F3EADC8"/>
    <w:rsid w:val="4F519356"/>
    <w:rsid w:val="4F77987D"/>
    <w:rsid w:val="4F943A58"/>
    <w:rsid w:val="4F959C19"/>
    <w:rsid w:val="4FA6DCF4"/>
    <w:rsid w:val="4FB86BD6"/>
    <w:rsid w:val="4FC80FE5"/>
    <w:rsid w:val="4FFAC222"/>
    <w:rsid w:val="4FFB5A34"/>
    <w:rsid w:val="5012C62A"/>
    <w:rsid w:val="502612DF"/>
    <w:rsid w:val="5032E08A"/>
    <w:rsid w:val="503344E8"/>
    <w:rsid w:val="5070A6E9"/>
    <w:rsid w:val="507AAAD0"/>
    <w:rsid w:val="507FE887"/>
    <w:rsid w:val="5080B9A8"/>
    <w:rsid w:val="509D3368"/>
    <w:rsid w:val="50B0D0F7"/>
    <w:rsid w:val="50D21FA8"/>
    <w:rsid w:val="50FFC8AA"/>
    <w:rsid w:val="51118EC6"/>
    <w:rsid w:val="5120ED27"/>
    <w:rsid w:val="51302557"/>
    <w:rsid w:val="51410174"/>
    <w:rsid w:val="51A2E81B"/>
    <w:rsid w:val="51DB1B97"/>
    <w:rsid w:val="51FEEF86"/>
    <w:rsid w:val="521AD8CB"/>
    <w:rsid w:val="5258733E"/>
    <w:rsid w:val="52B6E262"/>
    <w:rsid w:val="5301DBB9"/>
    <w:rsid w:val="531B3DEB"/>
    <w:rsid w:val="531B7384"/>
    <w:rsid w:val="531D1CFA"/>
    <w:rsid w:val="5326C409"/>
    <w:rsid w:val="532C6D76"/>
    <w:rsid w:val="533EB0C4"/>
    <w:rsid w:val="536E507E"/>
    <w:rsid w:val="53BCD9AC"/>
    <w:rsid w:val="53E71E74"/>
    <w:rsid w:val="53EFA044"/>
    <w:rsid w:val="53F61D6E"/>
    <w:rsid w:val="53FED732"/>
    <w:rsid w:val="5406022F"/>
    <w:rsid w:val="54155F8B"/>
    <w:rsid w:val="541BC420"/>
    <w:rsid w:val="5459A044"/>
    <w:rsid w:val="547C99C3"/>
    <w:rsid w:val="548F7DBB"/>
    <w:rsid w:val="54DA5A96"/>
    <w:rsid w:val="54E8D84A"/>
    <w:rsid w:val="550E5236"/>
    <w:rsid w:val="5532F0EA"/>
    <w:rsid w:val="553C312A"/>
    <w:rsid w:val="554CB6EB"/>
    <w:rsid w:val="554E7DD4"/>
    <w:rsid w:val="554FF7E5"/>
    <w:rsid w:val="556704E8"/>
    <w:rsid w:val="5576713D"/>
    <w:rsid w:val="55CF4E46"/>
    <w:rsid w:val="564673B6"/>
    <w:rsid w:val="565BB0CF"/>
    <w:rsid w:val="566DFC76"/>
    <w:rsid w:val="56998396"/>
    <w:rsid w:val="56A0F66D"/>
    <w:rsid w:val="56D91DC2"/>
    <w:rsid w:val="56E2158C"/>
    <w:rsid w:val="56EE238E"/>
    <w:rsid w:val="56F5C7DE"/>
    <w:rsid w:val="5726DAAB"/>
    <w:rsid w:val="572971E8"/>
    <w:rsid w:val="576D8D14"/>
    <w:rsid w:val="5777A3D7"/>
    <w:rsid w:val="579E1099"/>
    <w:rsid w:val="57AB9E68"/>
    <w:rsid w:val="57C3E28B"/>
    <w:rsid w:val="57EA664A"/>
    <w:rsid w:val="57F652A0"/>
    <w:rsid w:val="5810464C"/>
    <w:rsid w:val="5820E1DB"/>
    <w:rsid w:val="587C7098"/>
    <w:rsid w:val="58881EB9"/>
    <w:rsid w:val="58A96A0F"/>
    <w:rsid w:val="58B25274"/>
    <w:rsid w:val="59105CC5"/>
    <w:rsid w:val="593160BB"/>
    <w:rsid w:val="59324AE1"/>
    <w:rsid w:val="59593D29"/>
    <w:rsid w:val="596AAA95"/>
    <w:rsid w:val="596B1EE6"/>
    <w:rsid w:val="59868712"/>
    <w:rsid w:val="59BAAD76"/>
    <w:rsid w:val="59E3C1DB"/>
    <w:rsid w:val="59EA050B"/>
    <w:rsid w:val="59EEECF1"/>
    <w:rsid w:val="59EFA2D8"/>
    <w:rsid w:val="59F842AF"/>
    <w:rsid w:val="59F9D3C6"/>
    <w:rsid w:val="5A0F0431"/>
    <w:rsid w:val="5A2C65A2"/>
    <w:rsid w:val="5A2CE9FB"/>
    <w:rsid w:val="5A401A68"/>
    <w:rsid w:val="5A60FA7B"/>
    <w:rsid w:val="5AC1E38C"/>
    <w:rsid w:val="5AD24BBC"/>
    <w:rsid w:val="5AD3E014"/>
    <w:rsid w:val="5AD5E5A4"/>
    <w:rsid w:val="5AF4DCB3"/>
    <w:rsid w:val="5B019B7F"/>
    <w:rsid w:val="5B1BC8A2"/>
    <w:rsid w:val="5B25761E"/>
    <w:rsid w:val="5B2A0670"/>
    <w:rsid w:val="5B625678"/>
    <w:rsid w:val="5B632045"/>
    <w:rsid w:val="5B6908FC"/>
    <w:rsid w:val="5BA277CD"/>
    <w:rsid w:val="5BBA8922"/>
    <w:rsid w:val="5BC702BD"/>
    <w:rsid w:val="5BD1648D"/>
    <w:rsid w:val="5BF58265"/>
    <w:rsid w:val="5C08082B"/>
    <w:rsid w:val="5C0E88A8"/>
    <w:rsid w:val="5C44161C"/>
    <w:rsid w:val="5C4FFAAD"/>
    <w:rsid w:val="5C6A8F57"/>
    <w:rsid w:val="5C7490D5"/>
    <w:rsid w:val="5C82B78E"/>
    <w:rsid w:val="5C967BD1"/>
    <w:rsid w:val="5CC1E6B7"/>
    <w:rsid w:val="5CD6352C"/>
    <w:rsid w:val="5CF6635D"/>
    <w:rsid w:val="5CFEAC28"/>
    <w:rsid w:val="5D35DA46"/>
    <w:rsid w:val="5D3FADB4"/>
    <w:rsid w:val="5D3FDB8D"/>
    <w:rsid w:val="5D57B46F"/>
    <w:rsid w:val="5D746226"/>
    <w:rsid w:val="5DC96FFE"/>
    <w:rsid w:val="5DDE157D"/>
    <w:rsid w:val="5DE263BD"/>
    <w:rsid w:val="5DE5FC88"/>
    <w:rsid w:val="5E2AB898"/>
    <w:rsid w:val="5E36F8B7"/>
    <w:rsid w:val="5EAC7C50"/>
    <w:rsid w:val="5EB1272C"/>
    <w:rsid w:val="5EE02982"/>
    <w:rsid w:val="5F10DBE3"/>
    <w:rsid w:val="5F1D0734"/>
    <w:rsid w:val="5F27DD5E"/>
    <w:rsid w:val="5F2C45B0"/>
    <w:rsid w:val="5F53E6DC"/>
    <w:rsid w:val="5F6047E2"/>
    <w:rsid w:val="5F77C7E1"/>
    <w:rsid w:val="5F81D04A"/>
    <w:rsid w:val="5F9EB613"/>
    <w:rsid w:val="5FA71ECC"/>
    <w:rsid w:val="5FB3743C"/>
    <w:rsid w:val="5FDFEB99"/>
    <w:rsid w:val="5FE0BBFE"/>
    <w:rsid w:val="5FFD5AD9"/>
    <w:rsid w:val="6035F291"/>
    <w:rsid w:val="603A2B32"/>
    <w:rsid w:val="60691717"/>
    <w:rsid w:val="60C99693"/>
    <w:rsid w:val="60DC0900"/>
    <w:rsid w:val="6105DE57"/>
    <w:rsid w:val="610F1B24"/>
    <w:rsid w:val="611DF759"/>
    <w:rsid w:val="614ECD74"/>
    <w:rsid w:val="6157CA97"/>
    <w:rsid w:val="61743A32"/>
    <w:rsid w:val="61767FA3"/>
    <w:rsid w:val="61A1A22D"/>
    <w:rsid w:val="61B5735E"/>
    <w:rsid w:val="61B72892"/>
    <w:rsid w:val="61C45140"/>
    <w:rsid w:val="61E02460"/>
    <w:rsid w:val="61E78B94"/>
    <w:rsid w:val="61EB0354"/>
    <w:rsid w:val="61F7EFDF"/>
    <w:rsid w:val="62082C2A"/>
    <w:rsid w:val="62131044"/>
    <w:rsid w:val="62434841"/>
    <w:rsid w:val="6249A25C"/>
    <w:rsid w:val="626D0849"/>
    <w:rsid w:val="62AA00DF"/>
    <w:rsid w:val="62AA2648"/>
    <w:rsid w:val="62B1C973"/>
    <w:rsid w:val="62B44208"/>
    <w:rsid w:val="62B8C121"/>
    <w:rsid w:val="62C89250"/>
    <w:rsid w:val="62E0F396"/>
    <w:rsid w:val="62E8B505"/>
    <w:rsid w:val="62F6B680"/>
    <w:rsid w:val="62F75245"/>
    <w:rsid w:val="62FBD38F"/>
    <w:rsid w:val="6312CF87"/>
    <w:rsid w:val="633D1D19"/>
    <w:rsid w:val="636D20C9"/>
    <w:rsid w:val="6380A8AC"/>
    <w:rsid w:val="6399EB61"/>
    <w:rsid w:val="63AA2552"/>
    <w:rsid w:val="63ABA58D"/>
    <w:rsid w:val="63B2EACF"/>
    <w:rsid w:val="63B82611"/>
    <w:rsid w:val="63B9199C"/>
    <w:rsid w:val="63C0DD86"/>
    <w:rsid w:val="63DC27F5"/>
    <w:rsid w:val="63E1DBD9"/>
    <w:rsid w:val="63FC90AE"/>
    <w:rsid w:val="642B8AEA"/>
    <w:rsid w:val="642D2C81"/>
    <w:rsid w:val="64652930"/>
    <w:rsid w:val="64659056"/>
    <w:rsid w:val="64B0B37D"/>
    <w:rsid w:val="64B4C499"/>
    <w:rsid w:val="64F88C98"/>
    <w:rsid w:val="64FF7D04"/>
    <w:rsid w:val="651AC8FA"/>
    <w:rsid w:val="65513F11"/>
    <w:rsid w:val="6557A37F"/>
    <w:rsid w:val="655BAC20"/>
    <w:rsid w:val="655CDBAF"/>
    <w:rsid w:val="655E6E12"/>
    <w:rsid w:val="65615380"/>
    <w:rsid w:val="65A80245"/>
    <w:rsid w:val="65A8BBE4"/>
    <w:rsid w:val="65AD122B"/>
    <w:rsid w:val="65CE19BF"/>
    <w:rsid w:val="65CE2C3B"/>
    <w:rsid w:val="65EF261D"/>
    <w:rsid w:val="66044E8C"/>
    <w:rsid w:val="6609E8EC"/>
    <w:rsid w:val="6610F5CF"/>
    <w:rsid w:val="66352FD7"/>
    <w:rsid w:val="664E0E46"/>
    <w:rsid w:val="665C836E"/>
    <w:rsid w:val="667757EA"/>
    <w:rsid w:val="667E3DEC"/>
    <w:rsid w:val="668A1D26"/>
    <w:rsid w:val="66B48918"/>
    <w:rsid w:val="66C2B32D"/>
    <w:rsid w:val="66E97FA6"/>
    <w:rsid w:val="66F3CE4E"/>
    <w:rsid w:val="6707D91A"/>
    <w:rsid w:val="6723648A"/>
    <w:rsid w:val="67265526"/>
    <w:rsid w:val="674BACC9"/>
    <w:rsid w:val="674FE552"/>
    <w:rsid w:val="675D3179"/>
    <w:rsid w:val="6775EAF8"/>
    <w:rsid w:val="678F9578"/>
    <w:rsid w:val="67A37CDE"/>
    <w:rsid w:val="67B38194"/>
    <w:rsid w:val="67E318BF"/>
    <w:rsid w:val="681EFC74"/>
    <w:rsid w:val="6835C798"/>
    <w:rsid w:val="686D0A63"/>
    <w:rsid w:val="68962C47"/>
    <w:rsid w:val="689F5A44"/>
    <w:rsid w:val="68AA1D7C"/>
    <w:rsid w:val="68D67854"/>
    <w:rsid w:val="68DDE1B9"/>
    <w:rsid w:val="690DE370"/>
    <w:rsid w:val="691C34C6"/>
    <w:rsid w:val="693F499F"/>
    <w:rsid w:val="69457B03"/>
    <w:rsid w:val="69465338"/>
    <w:rsid w:val="697FFD3D"/>
    <w:rsid w:val="69B1B341"/>
    <w:rsid w:val="69D398CB"/>
    <w:rsid w:val="69D82F1D"/>
    <w:rsid w:val="69DEDD50"/>
    <w:rsid w:val="69FCC632"/>
    <w:rsid w:val="6A248547"/>
    <w:rsid w:val="6A63DA06"/>
    <w:rsid w:val="6A880168"/>
    <w:rsid w:val="6A9A7AEA"/>
    <w:rsid w:val="6AAE0FE4"/>
    <w:rsid w:val="6ACA2B72"/>
    <w:rsid w:val="6B1C4449"/>
    <w:rsid w:val="6B24BFFC"/>
    <w:rsid w:val="6B3260A9"/>
    <w:rsid w:val="6B4D9BA8"/>
    <w:rsid w:val="6B871352"/>
    <w:rsid w:val="6B99AF70"/>
    <w:rsid w:val="6B9ADB8E"/>
    <w:rsid w:val="6BD624AA"/>
    <w:rsid w:val="6BE17D80"/>
    <w:rsid w:val="6BE21298"/>
    <w:rsid w:val="6C092D00"/>
    <w:rsid w:val="6C09A63E"/>
    <w:rsid w:val="6C26197B"/>
    <w:rsid w:val="6C4ACF9E"/>
    <w:rsid w:val="6C6308A2"/>
    <w:rsid w:val="6C87424F"/>
    <w:rsid w:val="6C9EEC4D"/>
    <w:rsid w:val="6CB187DB"/>
    <w:rsid w:val="6CB814AA"/>
    <w:rsid w:val="6CB9A24F"/>
    <w:rsid w:val="6CE004FB"/>
    <w:rsid w:val="6D02B91E"/>
    <w:rsid w:val="6D20C1EE"/>
    <w:rsid w:val="6D24311D"/>
    <w:rsid w:val="6D359163"/>
    <w:rsid w:val="6D3FABC7"/>
    <w:rsid w:val="6D5F432D"/>
    <w:rsid w:val="6DC966D4"/>
    <w:rsid w:val="6DE52C7C"/>
    <w:rsid w:val="6DF481C0"/>
    <w:rsid w:val="6E13FE9B"/>
    <w:rsid w:val="6E1C9397"/>
    <w:rsid w:val="6E2CCDCC"/>
    <w:rsid w:val="6E452C3D"/>
    <w:rsid w:val="6E4A768E"/>
    <w:rsid w:val="6E53E50B"/>
    <w:rsid w:val="6E7ABFFA"/>
    <w:rsid w:val="6EC03651"/>
    <w:rsid w:val="6EC46531"/>
    <w:rsid w:val="6EC5AC68"/>
    <w:rsid w:val="6ECCE9BC"/>
    <w:rsid w:val="6EE06343"/>
    <w:rsid w:val="6F28A89E"/>
    <w:rsid w:val="6F7C149D"/>
    <w:rsid w:val="6F80FCDD"/>
    <w:rsid w:val="6FBF6ADD"/>
    <w:rsid w:val="6FC7C9C6"/>
    <w:rsid w:val="6FD14614"/>
    <w:rsid w:val="6FD290FE"/>
    <w:rsid w:val="6FD9FD80"/>
    <w:rsid w:val="70442C06"/>
    <w:rsid w:val="7053A9ED"/>
    <w:rsid w:val="70606037"/>
    <w:rsid w:val="70647854"/>
    <w:rsid w:val="706B5D1E"/>
    <w:rsid w:val="70ABCE85"/>
    <w:rsid w:val="70C1DF38"/>
    <w:rsid w:val="710232CB"/>
    <w:rsid w:val="711D4A77"/>
    <w:rsid w:val="716825B7"/>
    <w:rsid w:val="7169ADBB"/>
    <w:rsid w:val="7174F1D6"/>
    <w:rsid w:val="71817585"/>
    <w:rsid w:val="718256CD"/>
    <w:rsid w:val="718B85CD"/>
    <w:rsid w:val="71905A7D"/>
    <w:rsid w:val="71920B2B"/>
    <w:rsid w:val="71F706BF"/>
    <w:rsid w:val="71FE7A37"/>
    <w:rsid w:val="72179BB5"/>
    <w:rsid w:val="72231444"/>
    <w:rsid w:val="7243E835"/>
    <w:rsid w:val="7275D551"/>
    <w:rsid w:val="727B6D67"/>
    <w:rsid w:val="727BE976"/>
    <w:rsid w:val="729C3FDD"/>
    <w:rsid w:val="729DA273"/>
    <w:rsid w:val="72C4C3A2"/>
    <w:rsid w:val="72CC0A40"/>
    <w:rsid w:val="72CD8D00"/>
    <w:rsid w:val="72DC7D41"/>
    <w:rsid w:val="72E36BE3"/>
    <w:rsid w:val="72EF957B"/>
    <w:rsid w:val="730E2DD1"/>
    <w:rsid w:val="732C4E6E"/>
    <w:rsid w:val="732CE926"/>
    <w:rsid w:val="733F1CCA"/>
    <w:rsid w:val="735CA28D"/>
    <w:rsid w:val="7365E906"/>
    <w:rsid w:val="73811429"/>
    <w:rsid w:val="73907B08"/>
    <w:rsid w:val="73B760AF"/>
    <w:rsid w:val="73D38D3E"/>
    <w:rsid w:val="73D93E13"/>
    <w:rsid w:val="73EDC1F5"/>
    <w:rsid w:val="74609403"/>
    <w:rsid w:val="747848C5"/>
    <w:rsid w:val="7482A032"/>
    <w:rsid w:val="74BEB7EB"/>
    <w:rsid w:val="74C07613"/>
    <w:rsid w:val="74E0113D"/>
    <w:rsid w:val="74E44AF0"/>
    <w:rsid w:val="74FEF468"/>
    <w:rsid w:val="75085531"/>
    <w:rsid w:val="7533A6B5"/>
    <w:rsid w:val="7542E976"/>
    <w:rsid w:val="755C40DB"/>
    <w:rsid w:val="755E66D5"/>
    <w:rsid w:val="7568CCB9"/>
    <w:rsid w:val="756DEB28"/>
    <w:rsid w:val="756DF10A"/>
    <w:rsid w:val="75AEE972"/>
    <w:rsid w:val="75B34864"/>
    <w:rsid w:val="75B5AFA3"/>
    <w:rsid w:val="75C1251C"/>
    <w:rsid w:val="75D9CD04"/>
    <w:rsid w:val="75E0A1B9"/>
    <w:rsid w:val="75F9DC6A"/>
    <w:rsid w:val="75FECC44"/>
    <w:rsid w:val="7627FD48"/>
    <w:rsid w:val="762FFF81"/>
    <w:rsid w:val="7646CA97"/>
    <w:rsid w:val="76903045"/>
    <w:rsid w:val="769949B7"/>
    <w:rsid w:val="76C67A39"/>
    <w:rsid w:val="76CEB88E"/>
    <w:rsid w:val="76CFB730"/>
    <w:rsid w:val="76D157F7"/>
    <w:rsid w:val="76F2E07C"/>
    <w:rsid w:val="76FCBE7C"/>
    <w:rsid w:val="774B6F11"/>
    <w:rsid w:val="775D50A7"/>
    <w:rsid w:val="77636420"/>
    <w:rsid w:val="777621C6"/>
    <w:rsid w:val="777F6677"/>
    <w:rsid w:val="7784A8A6"/>
    <w:rsid w:val="778B7E48"/>
    <w:rsid w:val="779763D6"/>
    <w:rsid w:val="779B8EE2"/>
    <w:rsid w:val="77A49B93"/>
    <w:rsid w:val="77A6E7D8"/>
    <w:rsid w:val="77AC4953"/>
    <w:rsid w:val="77BCB871"/>
    <w:rsid w:val="77D5CC61"/>
    <w:rsid w:val="77D6057A"/>
    <w:rsid w:val="77DCF14D"/>
    <w:rsid w:val="77FF46AB"/>
    <w:rsid w:val="7804FE24"/>
    <w:rsid w:val="781828B6"/>
    <w:rsid w:val="783E47A4"/>
    <w:rsid w:val="785BC001"/>
    <w:rsid w:val="785FE5EC"/>
    <w:rsid w:val="7865FF88"/>
    <w:rsid w:val="78D69FFE"/>
    <w:rsid w:val="78E7D6EA"/>
    <w:rsid w:val="78F08611"/>
    <w:rsid w:val="7923BF85"/>
    <w:rsid w:val="7938EFBC"/>
    <w:rsid w:val="795BCD1C"/>
    <w:rsid w:val="7974A61C"/>
    <w:rsid w:val="799F1C59"/>
    <w:rsid w:val="79BC4DCF"/>
    <w:rsid w:val="79F381D1"/>
    <w:rsid w:val="7A00C802"/>
    <w:rsid w:val="7A00D4F8"/>
    <w:rsid w:val="7A2FAF86"/>
    <w:rsid w:val="7A385504"/>
    <w:rsid w:val="7A50EE4D"/>
    <w:rsid w:val="7A5DA8AF"/>
    <w:rsid w:val="7A692E00"/>
    <w:rsid w:val="7AA57E85"/>
    <w:rsid w:val="7AB0D072"/>
    <w:rsid w:val="7B0D2879"/>
    <w:rsid w:val="7B25B90A"/>
    <w:rsid w:val="7B4834EC"/>
    <w:rsid w:val="7B4B2B72"/>
    <w:rsid w:val="7B50C7AC"/>
    <w:rsid w:val="7B5B96B4"/>
    <w:rsid w:val="7B751B11"/>
    <w:rsid w:val="7B80BB51"/>
    <w:rsid w:val="7B8A1557"/>
    <w:rsid w:val="7BA3B183"/>
    <w:rsid w:val="7BB7DFB4"/>
    <w:rsid w:val="7BBF2B81"/>
    <w:rsid w:val="7BECBF29"/>
    <w:rsid w:val="7C4B4F30"/>
    <w:rsid w:val="7C5F66A7"/>
    <w:rsid w:val="7C653CAE"/>
    <w:rsid w:val="7CA85955"/>
    <w:rsid w:val="7CBFC9C3"/>
    <w:rsid w:val="7CDDEBF7"/>
    <w:rsid w:val="7CDEDC55"/>
    <w:rsid w:val="7D1F1BAA"/>
    <w:rsid w:val="7D23959D"/>
    <w:rsid w:val="7D258A17"/>
    <w:rsid w:val="7D38D4B5"/>
    <w:rsid w:val="7D40A641"/>
    <w:rsid w:val="7D6F37B2"/>
    <w:rsid w:val="7D92274A"/>
    <w:rsid w:val="7DB7B81B"/>
    <w:rsid w:val="7DB982A0"/>
    <w:rsid w:val="7DC3FD44"/>
    <w:rsid w:val="7DE80161"/>
    <w:rsid w:val="7E01F9D1"/>
    <w:rsid w:val="7E25AA4B"/>
    <w:rsid w:val="7E2A0D56"/>
    <w:rsid w:val="7E2B0EE0"/>
    <w:rsid w:val="7E3CF58A"/>
    <w:rsid w:val="7E676E30"/>
    <w:rsid w:val="7E71D905"/>
    <w:rsid w:val="7E7F5DD2"/>
    <w:rsid w:val="7E99E824"/>
    <w:rsid w:val="7EA384FE"/>
    <w:rsid w:val="7EA86575"/>
    <w:rsid w:val="7EC1DFE9"/>
    <w:rsid w:val="7ECBB2B3"/>
    <w:rsid w:val="7EE31841"/>
    <w:rsid w:val="7F0065A7"/>
    <w:rsid w:val="7F2ECD46"/>
    <w:rsid w:val="7F46B05D"/>
    <w:rsid w:val="7F726BDA"/>
    <w:rsid w:val="7F804FE3"/>
    <w:rsid w:val="7F84B98D"/>
    <w:rsid w:val="7F86CD6A"/>
    <w:rsid w:val="7F89DB00"/>
    <w:rsid w:val="7FB47F7F"/>
    <w:rsid w:val="7FBC2AED"/>
    <w:rsid w:val="7FC06CBC"/>
    <w:rsid w:val="7FDAE17D"/>
    <w:rsid w:val="7FE7E3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56178D7C-9516-434D-8608-10B4B73E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5C4580"/>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1"/>
      </w:numPr>
      <w:spacing w:after="120"/>
    </w:pPr>
    <w:rPr>
      <w:rFonts w:eastAsia="Calibri"/>
      <w:szCs w:val="20"/>
    </w:rPr>
  </w:style>
  <w:style w:type="paragraph" w:customStyle="1" w:styleId="RB3Bullets">
    <w:name w:val="RB3 Bullets"/>
    <w:basedOn w:val="Normal"/>
    <w:rsid w:val="00B13F08"/>
    <w:pPr>
      <w:numPr>
        <w:ilvl w:val="2"/>
        <w:numId w:val="1"/>
      </w:numPr>
      <w:spacing w:after="120"/>
    </w:pPr>
    <w:rPr>
      <w:rFonts w:eastAsia="Calibri"/>
      <w:szCs w:val="20"/>
    </w:rPr>
  </w:style>
  <w:style w:type="paragraph" w:customStyle="1" w:styleId="RB4Bullets">
    <w:name w:val="RB4 Bullets"/>
    <w:basedOn w:val="Normal"/>
    <w:rsid w:val="00B13F08"/>
    <w:pPr>
      <w:numPr>
        <w:ilvl w:val="3"/>
        <w:numId w:val="1"/>
      </w:numPr>
      <w:spacing w:after="120"/>
    </w:pPr>
    <w:rPr>
      <w:rFonts w:eastAsia="Calibri"/>
      <w:szCs w:val="20"/>
    </w:rPr>
  </w:style>
  <w:style w:type="paragraph" w:customStyle="1" w:styleId="RB5Bullets">
    <w:name w:val="RB5 Bullets"/>
    <w:basedOn w:val="Normal"/>
    <w:rsid w:val="00B13F08"/>
    <w:pPr>
      <w:numPr>
        <w:ilvl w:val="4"/>
        <w:numId w:val="1"/>
      </w:numPr>
      <w:spacing w:after="120"/>
    </w:pPr>
    <w:rPr>
      <w:rFonts w:eastAsia="Calibri"/>
      <w:szCs w:val="20"/>
    </w:rPr>
  </w:style>
  <w:style w:type="paragraph" w:customStyle="1" w:styleId="RB6Bullets">
    <w:name w:val="RB6 Bullets"/>
    <w:basedOn w:val="Normal"/>
    <w:rsid w:val="00B13F08"/>
    <w:pPr>
      <w:numPr>
        <w:ilvl w:val="5"/>
        <w:numId w:val="1"/>
      </w:numPr>
      <w:spacing w:after="120"/>
    </w:pPr>
    <w:rPr>
      <w:rFonts w:eastAsia="Calibri"/>
      <w:szCs w:val="20"/>
    </w:rPr>
  </w:style>
  <w:style w:type="paragraph" w:customStyle="1" w:styleId="RB7Bullets">
    <w:name w:val="RB7 Bullets"/>
    <w:basedOn w:val="Normal"/>
    <w:rsid w:val="00B13F08"/>
    <w:pPr>
      <w:numPr>
        <w:ilvl w:val="6"/>
        <w:numId w:val="1"/>
      </w:numPr>
      <w:spacing w:after="120"/>
    </w:pPr>
    <w:rPr>
      <w:rFonts w:eastAsia="Calibri"/>
      <w:szCs w:val="20"/>
    </w:rPr>
  </w:style>
  <w:style w:type="paragraph" w:customStyle="1" w:styleId="RB8Bullets">
    <w:name w:val="RB8 Bullets"/>
    <w:basedOn w:val="Normal"/>
    <w:rsid w:val="00B13F08"/>
    <w:pPr>
      <w:numPr>
        <w:ilvl w:val="7"/>
        <w:numId w:val="1"/>
      </w:numPr>
      <w:spacing w:after="120"/>
    </w:pPr>
    <w:rPr>
      <w:rFonts w:eastAsia="Calibri"/>
      <w:szCs w:val="20"/>
    </w:rPr>
  </w:style>
  <w:style w:type="paragraph" w:customStyle="1" w:styleId="RB9Bullets">
    <w:name w:val="RB9 Bullets"/>
    <w:basedOn w:val="Normal"/>
    <w:rsid w:val="00B13F08"/>
    <w:pPr>
      <w:numPr>
        <w:ilvl w:val="8"/>
        <w:numId w:val="1"/>
      </w:numPr>
      <w:spacing w:after="120"/>
    </w:pPr>
    <w:rPr>
      <w:rFonts w:eastAsia="Calibri"/>
      <w:szCs w:val="20"/>
    </w:rPr>
  </w:style>
  <w:style w:type="paragraph" w:customStyle="1" w:styleId="RBUBullets">
    <w:name w:val="RBU Bullets"/>
    <w:basedOn w:val="Normal"/>
    <w:link w:val="RBUBulletsChar"/>
    <w:rsid w:val="00B13F08"/>
    <w:pPr>
      <w:numPr>
        <w:numId w:val="1"/>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2"/>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2"/>
      </w:numPr>
      <w:spacing w:after="240"/>
    </w:pPr>
    <w:rPr>
      <w:rFonts w:eastAsia="Calibri"/>
      <w:szCs w:val="20"/>
    </w:rPr>
  </w:style>
  <w:style w:type="paragraph" w:customStyle="1" w:styleId="RN3Num">
    <w:name w:val="RN3 Num"/>
    <w:basedOn w:val="Normal"/>
    <w:rsid w:val="007B1DAB"/>
    <w:pPr>
      <w:numPr>
        <w:ilvl w:val="2"/>
        <w:numId w:val="2"/>
      </w:numPr>
      <w:spacing w:after="240"/>
    </w:pPr>
    <w:rPr>
      <w:rFonts w:eastAsia="Calibri"/>
      <w:szCs w:val="20"/>
    </w:rPr>
  </w:style>
  <w:style w:type="paragraph" w:customStyle="1" w:styleId="RN4Num">
    <w:name w:val="RN4 Num"/>
    <w:basedOn w:val="Normal"/>
    <w:rsid w:val="007B1DAB"/>
    <w:pPr>
      <w:numPr>
        <w:ilvl w:val="3"/>
        <w:numId w:val="2"/>
      </w:numPr>
    </w:pPr>
    <w:rPr>
      <w:rFonts w:eastAsia="Calibri"/>
      <w:szCs w:val="20"/>
    </w:rPr>
  </w:style>
  <w:style w:type="paragraph" w:customStyle="1" w:styleId="RN5Num">
    <w:name w:val="RN5 Num"/>
    <w:basedOn w:val="Normal"/>
    <w:rsid w:val="007B1DAB"/>
    <w:pPr>
      <w:numPr>
        <w:ilvl w:val="4"/>
        <w:numId w:val="2"/>
      </w:numPr>
      <w:spacing w:after="240"/>
    </w:pPr>
    <w:rPr>
      <w:rFonts w:eastAsia="Calibri"/>
      <w:szCs w:val="20"/>
    </w:rPr>
  </w:style>
  <w:style w:type="paragraph" w:customStyle="1" w:styleId="RN6Num">
    <w:name w:val="RN6 Num"/>
    <w:basedOn w:val="Normal"/>
    <w:rsid w:val="007B1DAB"/>
    <w:pPr>
      <w:numPr>
        <w:ilvl w:val="5"/>
        <w:numId w:val="2"/>
      </w:numPr>
      <w:spacing w:after="240"/>
    </w:pPr>
    <w:rPr>
      <w:rFonts w:eastAsia="Calibri"/>
      <w:szCs w:val="20"/>
    </w:rPr>
  </w:style>
  <w:style w:type="paragraph" w:customStyle="1" w:styleId="RN7Num">
    <w:name w:val="RN7 Num"/>
    <w:basedOn w:val="Normal"/>
    <w:rsid w:val="007B1DAB"/>
    <w:pPr>
      <w:numPr>
        <w:ilvl w:val="6"/>
        <w:numId w:val="2"/>
      </w:numPr>
      <w:spacing w:after="240"/>
    </w:pPr>
    <w:rPr>
      <w:rFonts w:eastAsia="Calibri"/>
      <w:szCs w:val="20"/>
    </w:rPr>
  </w:style>
  <w:style w:type="paragraph" w:customStyle="1" w:styleId="RN8Num">
    <w:name w:val="RN8 Num"/>
    <w:basedOn w:val="Normal"/>
    <w:rsid w:val="007B1DAB"/>
    <w:pPr>
      <w:numPr>
        <w:ilvl w:val="7"/>
        <w:numId w:val="2"/>
      </w:numPr>
      <w:spacing w:after="240"/>
    </w:pPr>
    <w:rPr>
      <w:rFonts w:eastAsia="Calibri"/>
      <w:szCs w:val="20"/>
    </w:rPr>
  </w:style>
  <w:style w:type="paragraph" w:customStyle="1" w:styleId="RN9Num">
    <w:name w:val="RN9 Num"/>
    <w:basedOn w:val="Normal"/>
    <w:rsid w:val="007B1DAB"/>
    <w:pPr>
      <w:numPr>
        <w:ilvl w:val="8"/>
        <w:numId w:val="2"/>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3501731">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94376002">
      <w:bodyDiv w:val="1"/>
      <w:marLeft w:val="0"/>
      <w:marRight w:val="0"/>
      <w:marTop w:val="0"/>
      <w:marBottom w:val="0"/>
      <w:divBdr>
        <w:top w:val="none" w:sz="0" w:space="0" w:color="auto"/>
        <w:left w:val="none" w:sz="0" w:space="0" w:color="auto"/>
        <w:bottom w:val="none" w:sz="0" w:space="0" w:color="auto"/>
        <w:right w:val="none" w:sz="0" w:space="0" w:color="auto"/>
      </w:divBdr>
      <w:divsChild>
        <w:div w:id="1383138460">
          <w:marLeft w:val="0"/>
          <w:marRight w:val="0"/>
          <w:marTop w:val="0"/>
          <w:marBottom w:val="0"/>
          <w:divBdr>
            <w:top w:val="none" w:sz="0" w:space="0" w:color="auto"/>
            <w:left w:val="none" w:sz="0" w:space="0" w:color="auto"/>
            <w:bottom w:val="none" w:sz="0" w:space="0" w:color="auto"/>
            <w:right w:val="none" w:sz="0" w:space="0" w:color="auto"/>
          </w:divBdr>
          <w:divsChild>
            <w:div w:id="1783763801">
              <w:marLeft w:val="0"/>
              <w:marRight w:val="0"/>
              <w:marTop w:val="0"/>
              <w:marBottom w:val="0"/>
              <w:divBdr>
                <w:top w:val="none" w:sz="0" w:space="0" w:color="auto"/>
                <w:left w:val="none" w:sz="0" w:space="0" w:color="auto"/>
                <w:bottom w:val="none" w:sz="0" w:space="0" w:color="auto"/>
                <w:right w:val="none" w:sz="0" w:space="0" w:color="auto"/>
              </w:divBdr>
            </w:div>
          </w:divsChild>
        </w:div>
        <w:div w:id="805508836">
          <w:marLeft w:val="0"/>
          <w:marRight w:val="0"/>
          <w:marTop w:val="0"/>
          <w:marBottom w:val="0"/>
          <w:divBdr>
            <w:top w:val="none" w:sz="0" w:space="0" w:color="auto"/>
            <w:left w:val="none" w:sz="0" w:space="0" w:color="auto"/>
            <w:bottom w:val="none" w:sz="0" w:space="0" w:color="auto"/>
            <w:right w:val="none" w:sz="0" w:space="0" w:color="auto"/>
          </w:divBdr>
          <w:divsChild>
            <w:div w:id="1339843375">
              <w:marLeft w:val="0"/>
              <w:marRight w:val="0"/>
              <w:marTop w:val="0"/>
              <w:marBottom w:val="0"/>
              <w:divBdr>
                <w:top w:val="none" w:sz="0" w:space="0" w:color="auto"/>
                <w:left w:val="none" w:sz="0" w:space="0" w:color="auto"/>
                <w:bottom w:val="none" w:sz="0" w:space="0" w:color="auto"/>
                <w:right w:val="none" w:sz="0" w:space="0" w:color="auto"/>
              </w:divBdr>
            </w:div>
          </w:divsChild>
        </w:div>
        <w:div w:id="1225146685">
          <w:marLeft w:val="0"/>
          <w:marRight w:val="0"/>
          <w:marTop w:val="0"/>
          <w:marBottom w:val="0"/>
          <w:divBdr>
            <w:top w:val="none" w:sz="0" w:space="0" w:color="auto"/>
            <w:left w:val="none" w:sz="0" w:space="0" w:color="auto"/>
            <w:bottom w:val="none" w:sz="0" w:space="0" w:color="auto"/>
            <w:right w:val="none" w:sz="0" w:space="0" w:color="auto"/>
          </w:divBdr>
          <w:divsChild>
            <w:div w:id="696078173">
              <w:marLeft w:val="0"/>
              <w:marRight w:val="0"/>
              <w:marTop w:val="0"/>
              <w:marBottom w:val="0"/>
              <w:divBdr>
                <w:top w:val="none" w:sz="0" w:space="0" w:color="auto"/>
                <w:left w:val="none" w:sz="0" w:space="0" w:color="auto"/>
                <w:bottom w:val="none" w:sz="0" w:space="0" w:color="auto"/>
                <w:right w:val="none" w:sz="0" w:space="0" w:color="auto"/>
              </w:divBdr>
            </w:div>
          </w:divsChild>
        </w:div>
        <w:div w:id="570508288">
          <w:marLeft w:val="0"/>
          <w:marRight w:val="0"/>
          <w:marTop w:val="0"/>
          <w:marBottom w:val="0"/>
          <w:divBdr>
            <w:top w:val="none" w:sz="0" w:space="0" w:color="auto"/>
            <w:left w:val="none" w:sz="0" w:space="0" w:color="auto"/>
            <w:bottom w:val="none" w:sz="0" w:space="0" w:color="auto"/>
            <w:right w:val="none" w:sz="0" w:space="0" w:color="auto"/>
          </w:divBdr>
          <w:divsChild>
            <w:div w:id="1680503717">
              <w:marLeft w:val="0"/>
              <w:marRight w:val="0"/>
              <w:marTop w:val="0"/>
              <w:marBottom w:val="0"/>
              <w:divBdr>
                <w:top w:val="none" w:sz="0" w:space="0" w:color="auto"/>
                <w:left w:val="none" w:sz="0" w:space="0" w:color="auto"/>
                <w:bottom w:val="none" w:sz="0" w:space="0" w:color="auto"/>
                <w:right w:val="none" w:sz="0" w:space="0" w:color="auto"/>
              </w:divBdr>
            </w:div>
          </w:divsChild>
        </w:div>
        <w:div w:id="1411582956">
          <w:marLeft w:val="0"/>
          <w:marRight w:val="0"/>
          <w:marTop w:val="0"/>
          <w:marBottom w:val="0"/>
          <w:divBdr>
            <w:top w:val="none" w:sz="0" w:space="0" w:color="auto"/>
            <w:left w:val="none" w:sz="0" w:space="0" w:color="auto"/>
            <w:bottom w:val="none" w:sz="0" w:space="0" w:color="auto"/>
            <w:right w:val="none" w:sz="0" w:space="0" w:color="auto"/>
          </w:divBdr>
          <w:divsChild>
            <w:div w:id="1635329986">
              <w:marLeft w:val="0"/>
              <w:marRight w:val="0"/>
              <w:marTop w:val="0"/>
              <w:marBottom w:val="0"/>
              <w:divBdr>
                <w:top w:val="none" w:sz="0" w:space="0" w:color="auto"/>
                <w:left w:val="none" w:sz="0" w:space="0" w:color="auto"/>
                <w:bottom w:val="none" w:sz="0" w:space="0" w:color="auto"/>
                <w:right w:val="none" w:sz="0" w:space="0" w:color="auto"/>
              </w:divBdr>
            </w:div>
          </w:divsChild>
        </w:div>
        <w:div w:id="354383628">
          <w:marLeft w:val="0"/>
          <w:marRight w:val="0"/>
          <w:marTop w:val="0"/>
          <w:marBottom w:val="0"/>
          <w:divBdr>
            <w:top w:val="none" w:sz="0" w:space="0" w:color="auto"/>
            <w:left w:val="none" w:sz="0" w:space="0" w:color="auto"/>
            <w:bottom w:val="none" w:sz="0" w:space="0" w:color="auto"/>
            <w:right w:val="none" w:sz="0" w:space="0" w:color="auto"/>
          </w:divBdr>
          <w:divsChild>
            <w:div w:id="1642806997">
              <w:marLeft w:val="0"/>
              <w:marRight w:val="0"/>
              <w:marTop w:val="0"/>
              <w:marBottom w:val="0"/>
              <w:divBdr>
                <w:top w:val="none" w:sz="0" w:space="0" w:color="auto"/>
                <w:left w:val="none" w:sz="0" w:space="0" w:color="auto"/>
                <w:bottom w:val="none" w:sz="0" w:space="0" w:color="auto"/>
                <w:right w:val="none" w:sz="0" w:space="0" w:color="auto"/>
              </w:divBdr>
            </w:div>
          </w:divsChild>
        </w:div>
        <w:div w:id="1966766251">
          <w:marLeft w:val="0"/>
          <w:marRight w:val="0"/>
          <w:marTop w:val="0"/>
          <w:marBottom w:val="0"/>
          <w:divBdr>
            <w:top w:val="none" w:sz="0" w:space="0" w:color="auto"/>
            <w:left w:val="none" w:sz="0" w:space="0" w:color="auto"/>
            <w:bottom w:val="none" w:sz="0" w:space="0" w:color="auto"/>
            <w:right w:val="none" w:sz="0" w:space="0" w:color="auto"/>
          </w:divBdr>
          <w:divsChild>
            <w:div w:id="1008748172">
              <w:marLeft w:val="0"/>
              <w:marRight w:val="0"/>
              <w:marTop w:val="0"/>
              <w:marBottom w:val="0"/>
              <w:divBdr>
                <w:top w:val="none" w:sz="0" w:space="0" w:color="auto"/>
                <w:left w:val="none" w:sz="0" w:space="0" w:color="auto"/>
                <w:bottom w:val="none" w:sz="0" w:space="0" w:color="auto"/>
                <w:right w:val="none" w:sz="0" w:space="0" w:color="auto"/>
              </w:divBdr>
            </w:div>
          </w:divsChild>
        </w:div>
        <w:div w:id="729153705">
          <w:marLeft w:val="0"/>
          <w:marRight w:val="0"/>
          <w:marTop w:val="0"/>
          <w:marBottom w:val="0"/>
          <w:divBdr>
            <w:top w:val="none" w:sz="0" w:space="0" w:color="auto"/>
            <w:left w:val="none" w:sz="0" w:space="0" w:color="auto"/>
            <w:bottom w:val="none" w:sz="0" w:space="0" w:color="auto"/>
            <w:right w:val="none" w:sz="0" w:space="0" w:color="auto"/>
          </w:divBdr>
          <w:divsChild>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
          </w:divsChild>
        </w:div>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
          </w:divsChild>
        </w:div>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
          </w:divsChild>
        </w:div>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
          </w:divsChild>
        </w:div>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0"/>
              <w:divBdr>
                <w:top w:val="none" w:sz="0" w:space="0" w:color="auto"/>
                <w:left w:val="none" w:sz="0" w:space="0" w:color="auto"/>
                <w:bottom w:val="none" w:sz="0" w:space="0" w:color="auto"/>
                <w:right w:val="none" w:sz="0" w:space="0" w:color="auto"/>
              </w:divBdr>
            </w:div>
          </w:divsChild>
        </w:div>
        <w:div w:id="1369377226">
          <w:marLeft w:val="0"/>
          <w:marRight w:val="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
          </w:divsChild>
        </w:div>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
          </w:divsChild>
        </w:div>
        <w:div w:id="1575310932">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
          </w:divsChild>
        </w:div>
        <w:div w:id="812019839">
          <w:marLeft w:val="0"/>
          <w:marRight w:val="0"/>
          <w:marTop w:val="0"/>
          <w:marBottom w:val="0"/>
          <w:divBdr>
            <w:top w:val="none" w:sz="0" w:space="0" w:color="auto"/>
            <w:left w:val="none" w:sz="0" w:space="0" w:color="auto"/>
            <w:bottom w:val="none" w:sz="0" w:space="0" w:color="auto"/>
            <w:right w:val="none" w:sz="0" w:space="0" w:color="auto"/>
          </w:divBdr>
          <w:divsChild>
            <w:div w:id="1886523674">
              <w:marLeft w:val="0"/>
              <w:marRight w:val="0"/>
              <w:marTop w:val="0"/>
              <w:marBottom w:val="0"/>
              <w:divBdr>
                <w:top w:val="none" w:sz="0" w:space="0" w:color="auto"/>
                <w:left w:val="none" w:sz="0" w:space="0" w:color="auto"/>
                <w:bottom w:val="none" w:sz="0" w:space="0" w:color="auto"/>
                <w:right w:val="none" w:sz="0" w:space="0" w:color="auto"/>
              </w:divBdr>
            </w:div>
          </w:divsChild>
        </w:div>
        <w:div w:id="1471556990">
          <w:marLeft w:val="0"/>
          <w:marRight w:val="0"/>
          <w:marTop w:val="0"/>
          <w:marBottom w:val="0"/>
          <w:divBdr>
            <w:top w:val="none" w:sz="0" w:space="0" w:color="auto"/>
            <w:left w:val="none" w:sz="0" w:space="0" w:color="auto"/>
            <w:bottom w:val="none" w:sz="0" w:space="0" w:color="auto"/>
            <w:right w:val="none" w:sz="0" w:space="0" w:color="auto"/>
          </w:divBdr>
          <w:divsChild>
            <w:div w:id="1666516891">
              <w:marLeft w:val="0"/>
              <w:marRight w:val="0"/>
              <w:marTop w:val="0"/>
              <w:marBottom w:val="0"/>
              <w:divBdr>
                <w:top w:val="none" w:sz="0" w:space="0" w:color="auto"/>
                <w:left w:val="none" w:sz="0" w:space="0" w:color="auto"/>
                <w:bottom w:val="none" w:sz="0" w:space="0" w:color="auto"/>
                <w:right w:val="none" w:sz="0" w:space="0" w:color="auto"/>
              </w:divBdr>
            </w:div>
          </w:divsChild>
        </w:div>
        <w:div w:id="823160631">
          <w:marLeft w:val="0"/>
          <w:marRight w:val="0"/>
          <w:marTop w:val="0"/>
          <w:marBottom w:val="0"/>
          <w:divBdr>
            <w:top w:val="none" w:sz="0" w:space="0" w:color="auto"/>
            <w:left w:val="none" w:sz="0" w:space="0" w:color="auto"/>
            <w:bottom w:val="none" w:sz="0" w:space="0" w:color="auto"/>
            <w:right w:val="none" w:sz="0" w:space="0" w:color="auto"/>
          </w:divBdr>
          <w:divsChild>
            <w:div w:id="1518613022">
              <w:marLeft w:val="0"/>
              <w:marRight w:val="0"/>
              <w:marTop w:val="0"/>
              <w:marBottom w:val="0"/>
              <w:divBdr>
                <w:top w:val="none" w:sz="0" w:space="0" w:color="auto"/>
                <w:left w:val="none" w:sz="0" w:space="0" w:color="auto"/>
                <w:bottom w:val="none" w:sz="0" w:space="0" w:color="auto"/>
                <w:right w:val="none" w:sz="0" w:space="0" w:color="auto"/>
              </w:divBdr>
            </w:div>
          </w:divsChild>
        </w:div>
        <w:div w:id="871379048">
          <w:marLeft w:val="0"/>
          <w:marRight w:val="0"/>
          <w:marTop w:val="0"/>
          <w:marBottom w:val="0"/>
          <w:divBdr>
            <w:top w:val="none" w:sz="0" w:space="0" w:color="auto"/>
            <w:left w:val="none" w:sz="0" w:space="0" w:color="auto"/>
            <w:bottom w:val="none" w:sz="0" w:space="0" w:color="auto"/>
            <w:right w:val="none" w:sz="0" w:space="0" w:color="auto"/>
          </w:divBdr>
          <w:divsChild>
            <w:div w:id="851142725">
              <w:marLeft w:val="0"/>
              <w:marRight w:val="0"/>
              <w:marTop w:val="0"/>
              <w:marBottom w:val="0"/>
              <w:divBdr>
                <w:top w:val="none" w:sz="0" w:space="0" w:color="auto"/>
                <w:left w:val="none" w:sz="0" w:space="0" w:color="auto"/>
                <w:bottom w:val="none" w:sz="0" w:space="0" w:color="auto"/>
                <w:right w:val="none" w:sz="0" w:space="0" w:color="auto"/>
              </w:divBdr>
            </w:div>
          </w:divsChild>
        </w:div>
        <w:div w:id="135151726">
          <w:marLeft w:val="0"/>
          <w:marRight w:val="0"/>
          <w:marTop w:val="0"/>
          <w:marBottom w:val="0"/>
          <w:divBdr>
            <w:top w:val="none" w:sz="0" w:space="0" w:color="auto"/>
            <w:left w:val="none" w:sz="0" w:space="0" w:color="auto"/>
            <w:bottom w:val="none" w:sz="0" w:space="0" w:color="auto"/>
            <w:right w:val="none" w:sz="0" w:space="0" w:color="auto"/>
          </w:divBdr>
          <w:divsChild>
            <w:div w:id="692458671">
              <w:marLeft w:val="0"/>
              <w:marRight w:val="0"/>
              <w:marTop w:val="0"/>
              <w:marBottom w:val="0"/>
              <w:divBdr>
                <w:top w:val="none" w:sz="0" w:space="0" w:color="auto"/>
                <w:left w:val="none" w:sz="0" w:space="0" w:color="auto"/>
                <w:bottom w:val="none" w:sz="0" w:space="0" w:color="auto"/>
                <w:right w:val="none" w:sz="0" w:space="0" w:color="auto"/>
              </w:divBdr>
            </w:div>
          </w:divsChild>
        </w:div>
        <w:div w:id="140780798">
          <w:marLeft w:val="0"/>
          <w:marRight w:val="0"/>
          <w:marTop w:val="0"/>
          <w:marBottom w:val="0"/>
          <w:divBdr>
            <w:top w:val="none" w:sz="0" w:space="0" w:color="auto"/>
            <w:left w:val="none" w:sz="0" w:space="0" w:color="auto"/>
            <w:bottom w:val="none" w:sz="0" w:space="0" w:color="auto"/>
            <w:right w:val="none" w:sz="0" w:space="0" w:color="auto"/>
          </w:divBdr>
          <w:divsChild>
            <w:div w:id="1638073608">
              <w:marLeft w:val="0"/>
              <w:marRight w:val="0"/>
              <w:marTop w:val="0"/>
              <w:marBottom w:val="0"/>
              <w:divBdr>
                <w:top w:val="none" w:sz="0" w:space="0" w:color="auto"/>
                <w:left w:val="none" w:sz="0" w:space="0" w:color="auto"/>
                <w:bottom w:val="none" w:sz="0" w:space="0" w:color="auto"/>
                <w:right w:val="none" w:sz="0" w:space="0" w:color="auto"/>
              </w:divBdr>
            </w:div>
          </w:divsChild>
        </w:div>
        <w:div w:id="753161311">
          <w:marLeft w:val="0"/>
          <w:marRight w:val="0"/>
          <w:marTop w:val="0"/>
          <w:marBottom w:val="0"/>
          <w:divBdr>
            <w:top w:val="none" w:sz="0" w:space="0" w:color="auto"/>
            <w:left w:val="none" w:sz="0" w:space="0" w:color="auto"/>
            <w:bottom w:val="none" w:sz="0" w:space="0" w:color="auto"/>
            <w:right w:val="none" w:sz="0" w:space="0" w:color="auto"/>
          </w:divBdr>
          <w:divsChild>
            <w:div w:id="1139957271">
              <w:marLeft w:val="0"/>
              <w:marRight w:val="0"/>
              <w:marTop w:val="0"/>
              <w:marBottom w:val="0"/>
              <w:divBdr>
                <w:top w:val="none" w:sz="0" w:space="0" w:color="auto"/>
                <w:left w:val="none" w:sz="0" w:space="0" w:color="auto"/>
                <w:bottom w:val="none" w:sz="0" w:space="0" w:color="auto"/>
                <w:right w:val="none" w:sz="0" w:space="0" w:color="auto"/>
              </w:divBdr>
            </w:div>
          </w:divsChild>
        </w:div>
        <w:div w:id="1442914227">
          <w:marLeft w:val="0"/>
          <w:marRight w:val="0"/>
          <w:marTop w:val="0"/>
          <w:marBottom w:val="0"/>
          <w:divBdr>
            <w:top w:val="none" w:sz="0" w:space="0" w:color="auto"/>
            <w:left w:val="none" w:sz="0" w:space="0" w:color="auto"/>
            <w:bottom w:val="none" w:sz="0" w:space="0" w:color="auto"/>
            <w:right w:val="none" w:sz="0" w:space="0" w:color="auto"/>
          </w:divBdr>
          <w:divsChild>
            <w:div w:id="1771730264">
              <w:marLeft w:val="0"/>
              <w:marRight w:val="0"/>
              <w:marTop w:val="0"/>
              <w:marBottom w:val="0"/>
              <w:divBdr>
                <w:top w:val="none" w:sz="0" w:space="0" w:color="auto"/>
                <w:left w:val="none" w:sz="0" w:space="0" w:color="auto"/>
                <w:bottom w:val="none" w:sz="0" w:space="0" w:color="auto"/>
                <w:right w:val="none" w:sz="0" w:space="0" w:color="auto"/>
              </w:divBdr>
            </w:div>
          </w:divsChild>
        </w:div>
        <w:div w:id="1322734792">
          <w:marLeft w:val="0"/>
          <w:marRight w:val="0"/>
          <w:marTop w:val="0"/>
          <w:marBottom w:val="0"/>
          <w:divBdr>
            <w:top w:val="none" w:sz="0" w:space="0" w:color="auto"/>
            <w:left w:val="none" w:sz="0" w:space="0" w:color="auto"/>
            <w:bottom w:val="none" w:sz="0" w:space="0" w:color="auto"/>
            <w:right w:val="none" w:sz="0" w:space="0" w:color="auto"/>
          </w:divBdr>
          <w:divsChild>
            <w:div w:id="592936294">
              <w:marLeft w:val="0"/>
              <w:marRight w:val="0"/>
              <w:marTop w:val="0"/>
              <w:marBottom w:val="0"/>
              <w:divBdr>
                <w:top w:val="none" w:sz="0" w:space="0" w:color="auto"/>
                <w:left w:val="none" w:sz="0" w:space="0" w:color="auto"/>
                <w:bottom w:val="none" w:sz="0" w:space="0" w:color="auto"/>
                <w:right w:val="none" w:sz="0" w:space="0" w:color="auto"/>
              </w:divBdr>
            </w:div>
          </w:divsChild>
        </w:div>
        <w:div w:id="2046980191">
          <w:marLeft w:val="0"/>
          <w:marRight w:val="0"/>
          <w:marTop w:val="0"/>
          <w:marBottom w:val="0"/>
          <w:divBdr>
            <w:top w:val="none" w:sz="0" w:space="0" w:color="auto"/>
            <w:left w:val="none" w:sz="0" w:space="0" w:color="auto"/>
            <w:bottom w:val="none" w:sz="0" w:space="0" w:color="auto"/>
            <w:right w:val="none" w:sz="0" w:space="0" w:color="auto"/>
          </w:divBdr>
          <w:divsChild>
            <w:div w:id="193887788">
              <w:marLeft w:val="0"/>
              <w:marRight w:val="0"/>
              <w:marTop w:val="0"/>
              <w:marBottom w:val="0"/>
              <w:divBdr>
                <w:top w:val="none" w:sz="0" w:space="0" w:color="auto"/>
                <w:left w:val="none" w:sz="0" w:space="0" w:color="auto"/>
                <w:bottom w:val="none" w:sz="0" w:space="0" w:color="auto"/>
                <w:right w:val="none" w:sz="0" w:space="0" w:color="auto"/>
              </w:divBdr>
            </w:div>
          </w:divsChild>
        </w:div>
        <w:div w:id="1239442836">
          <w:marLeft w:val="0"/>
          <w:marRight w:val="0"/>
          <w:marTop w:val="0"/>
          <w:marBottom w:val="0"/>
          <w:divBdr>
            <w:top w:val="none" w:sz="0" w:space="0" w:color="auto"/>
            <w:left w:val="none" w:sz="0" w:space="0" w:color="auto"/>
            <w:bottom w:val="none" w:sz="0" w:space="0" w:color="auto"/>
            <w:right w:val="none" w:sz="0" w:space="0" w:color="auto"/>
          </w:divBdr>
          <w:divsChild>
            <w:div w:id="293412001">
              <w:marLeft w:val="0"/>
              <w:marRight w:val="0"/>
              <w:marTop w:val="0"/>
              <w:marBottom w:val="0"/>
              <w:divBdr>
                <w:top w:val="none" w:sz="0" w:space="0" w:color="auto"/>
                <w:left w:val="none" w:sz="0" w:space="0" w:color="auto"/>
                <w:bottom w:val="none" w:sz="0" w:space="0" w:color="auto"/>
                <w:right w:val="none" w:sz="0" w:space="0" w:color="auto"/>
              </w:divBdr>
            </w:div>
          </w:divsChild>
        </w:div>
        <w:div w:id="1832863894">
          <w:marLeft w:val="0"/>
          <w:marRight w:val="0"/>
          <w:marTop w:val="0"/>
          <w:marBottom w:val="0"/>
          <w:divBdr>
            <w:top w:val="none" w:sz="0" w:space="0" w:color="auto"/>
            <w:left w:val="none" w:sz="0" w:space="0" w:color="auto"/>
            <w:bottom w:val="none" w:sz="0" w:space="0" w:color="auto"/>
            <w:right w:val="none" w:sz="0" w:space="0" w:color="auto"/>
          </w:divBdr>
          <w:divsChild>
            <w:div w:id="2107995324">
              <w:marLeft w:val="0"/>
              <w:marRight w:val="0"/>
              <w:marTop w:val="0"/>
              <w:marBottom w:val="0"/>
              <w:divBdr>
                <w:top w:val="none" w:sz="0" w:space="0" w:color="auto"/>
                <w:left w:val="none" w:sz="0" w:space="0" w:color="auto"/>
                <w:bottom w:val="none" w:sz="0" w:space="0" w:color="auto"/>
                <w:right w:val="none" w:sz="0" w:space="0" w:color="auto"/>
              </w:divBdr>
            </w:div>
          </w:divsChild>
        </w:div>
        <w:div w:id="256911146">
          <w:marLeft w:val="0"/>
          <w:marRight w:val="0"/>
          <w:marTop w:val="0"/>
          <w:marBottom w:val="0"/>
          <w:divBdr>
            <w:top w:val="none" w:sz="0" w:space="0" w:color="auto"/>
            <w:left w:val="none" w:sz="0" w:space="0" w:color="auto"/>
            <w:bottom w:val="none" w:sz="0" w:space="0" w:color="auto"/>
            <w:right w:val="none" w:sz="0" w:space="0" w:color="auto"/>
          </w:divBdr>
          <w:divsChild>
            <w:div w:id="1145438542">
              <w:marLeft w:val="0"/>
              <w:marRight w:val="0"/>
              <w:marTop w:val="0"/>
              <w:marBottom w:val="0"/>
              <w:divBdr>
                <w:top w:val="none" w:sz="0" w:space="0" w:color="auto"/>
                <w:left w:val="none" w:sz="0" w:space="0" w:color="auto"/>
                <w:bottom w:val="none" w:sz="0" w:space="0" w:color="auto"/>
                <w:right w:val="none" w:sz="0" w:space="0" w:color="auto"/>
              </w:divBdr>
            </w:div>
          </w:divsChild>
        </w:div>
        <w:div w:id="1152528968">
          <w:marLeft w:val="0"/>
          <w:marRight w:val="0"/>
          <w:marTop w:val="0"/>
          <w:marBottom w:val="0"/>
          <w:divBdr>
            <w:top w:val="none" w:sz="0" w:space="0" w:color="auto"/>
            <w:left w:val="none" w:sz="0" w:space="0" w:color="auto"/>
            <w:bottom w:val="none" w:sz="0" w:space="0" w:color="auto"/>
            <w:right w:val="none" w:sz="0" w:space="0" w:color="auto"/>
          </w:divBdr>
          <w:divsChild>
            <w:div w:id="460736278">
              <w:marLeft w:val="0"/>
              <w:marRight w:val="0"/>
              <w:marTop w:val="0"/>
              <w:marBottom w:val="0"/>
              <w:divBdr>
                <w:top w:val="none" w:sz="0" w:space="0" w:color="auto"/>
                <w:left w:val="none" w:sz="0" w:space="0" w:color="auto"/>
                <w:bottom w:val="none" w:sz="0" w:space="0" w:color="auto"/>
                <w:right w:val="none" w:sz="0" w:space="0" w:color="auto"/>
              </w:divBdr>
            </w:div>
          </w:divsChild>
        </w:div>
        <w:div w:id="952514437">
          <w:marLeft w:val="0"/>
          <w:marRight w:val="0"/>
          <w:marTop w:val="0"/>
          <w:marBottom w:val="0"/>
          <w:divBdr>
            <w:top w:val="none" w:sz="0" w:space="0" w:color="auto"/>
            <w:left w:val="none" w:sz="0" w:space="0" w:color="auto"/>
            <w:bottom w:val="none" w:sz="0" w:space="0" w:color="auto"/>
            <w:right w:val="none" w:sz="0" w:space="0" w:color="auto"/>
          </w:divBdr>
          <w:divsChild>
            <w:div w:id="2140568609">
              <w:marLeft w:val="0"/>
              <w:marRight w:val="0"/>
              <w:marTop w:val="0"/>
              <w:marBottom w:val="0"/>
              <w:divBdr>
                <w:top w:val="none" w:sz="0" w:space="0" w:color="auto"/>
                <w:left w:val="none" w:sz="0" w:space="0" w:color="auto"/>
                <w:bottom w:val="none" w:sz="0" w:space="0" w:color="auto"/>
                <w:right w:val="none" w:sz="0" w:space="0" w:color="auto"/>
              </w:divBdr>
            </w:div>
          </w:divsChild>
        </w:div>
        <w:div w:id="1246038418">
          <w:marLeft w:val="0"/>
          <w:marRight w:val="0"/>
          <w:marTop w:val="0"/>
          <w:marBottom w:val="0"/>
          <w:divBdr>
            <w:top w:val="none" w:sz="0" w:space="0" w:color="auto"/>
            <w:left w:val="none" w:sz="0" w:space="0" w:color="auto"/>
            <w:bottom w:val="none" w:sz="0" w:space="0" w:color="auto"/>
            <w:right w:val="none" w:sz="0" w:space="0" w:color="auto"/>
          </w:divBdr>
          <w:divsChild>
            <w:div w:id="88165133">
              <w:marLeft w:val="0"/>
              <w:marRight w:val="0"/>
              <w:marTop w:val="0"/>
              <w:marBottom w:val="0"/>
              <w:divBdr>
                <w:top w:val="none" w:sz="0" w:space="0" w:color="auto"/>
                <w:left w:val="none" w:sz="0" w:space="0" w:color="auto"/>
                <w:bottom w:val="none" w:sz="0" w:space="0" w:color="auto"/>
                <w:right w:val="none" w:sz="0" w:space="0" w:color="auto"/>
              </w:divBdr>
            </w:div>
          </w:divsChild>
        </w:div>
        <w:div w:id="792753787">
          <w:marLeft w:val="0"/>
          <w:marRight w:val="0"/>
          <w:marTop w:val="0"/>
          <w:marBottom w:val="0"/>
          <w:divBdr>
            <w:top w:val="none" w:sz="0" w:space="0" w:color="auto"/>
            <w:left w:val="none" w:sz="0" w:space="0" w:color="auto"/>
            <w:bottom w:val="none" w:sz="0" w:space="0" w:color="auto"/>
            <w:right w:val="none" w:sz="0" w:space="0" w:color="auto"/>
          </w:divBdr>
          <w:divsChild>
            <w:div w:id="1057239508">
              <w:marLeft w:val="0"/>
              <w:marRight w:val="0"/>
              <w:marTop w:val="0"/>
              <w:marBottom w:val="0"/>
              <w:divBdr>
                <w:top w:val="none" w:sz="0" w:space="0" w:color="auto"/>
                <w:left w:val="none" w:sz="0" w:space="0" w:color="auto"/>
                <w:bottom w:val="none" w:sz="0" w:space="0" w:color="auto"/>
                <w:right w:val="none" w:sz="0" w:space="0" w:color="auto"/>
              </w:divBdr>
            </w:div>
          </w:divsChild>
        </w:div>
        <w:div w:id="909314103">
          <w:marLeft w:val="0"/>
          <w:marRight w:val="0"/>
          <w:marTop w:val="0"/>
          <w:marBottom w:val="0"/>
          <w:divBdr>
            <w:top w:val="none" w:sz="0" w:space="0" w:color="auto"/>
            <w:left w:val="none" w:sz="0" w:space="0" w:color="auto"/>
            <w:bottom w:val="none" w:sz="0" w:space="0" w:color="auto"/>
            <w:right w:val="none" w:sz="0" w:space="0" w:color="auto"/>
          </w:divBdr>
          <w:divsChild>
            <w:div w:id="2025937724">
              <w:marLeft w:val="0"/>
              <w:marRight w:val="0"/>
              <w:marTop w:val="0"/>
              <w:marBottom w:val="0"/>
              <w:divBdr>
                <w:top w:val="none" w:sz="0" w:space="0" w:color="auto"/>
                <w:left w:val="none" w:sz="0" w:space="0" w:color="auto"/>
                <w:bottom w:val="none" w:sz="0" w:space="0" w:color="auto"/>
                <w:right w:val="none" w:sz="0" w:space="0" w:color="auto"/>
              </w:divBdr>
            </w:div>
          </w:divsChild>
        </w:div>
        <w:div w:id="599604724">
          <w:marLeft w:val="0"/>
          <w:marRight w:val="0"/>
          <w:marTop w:val="0"/>
          <w:marBottom w:val="0"/>
          <w:divBdr>
            <w:top w:val="none" w:sz="0" w:space="0" w:color="auto"/>
            <w:left w:val="none" w:sz="0" w:space="0" w:color="auto"/>
            <w:bottom w:val="none" w:sz="0" w:space="0" w:color="auto"/>
            <w:right w:val="none" w:sz="0" w:space="0" w:color="auto"/>
          </w:divBdr>
          <w:divsChild>
            <w:div w:id="697049958">
              <w:marLeft w:val="0"/>
              <w:marRight w:val="0"/>
              <w:marTop w:val="0"/>
              <w:marBottom w:val="0"/>
              <w:divBdr>
                <w:top w:val="none" w:sz="0" w:space="0" w:color="auto"/>
                <w:left w:val="none" w:sz="0" w:space="0" w:color="auto"/>
                <w:bottom w:val="none" w:sz="0" w:space="0" w:color="auto"/>
                <w:right w:val="none" w:sz="0" w:space="0" w:color="auto"/>
              </w:divBdr>
            </w:div>
          </w:divsChild>
        </w:div>
        <w:div w:id="846019345">
          <w:marLeft w:val="0"/>
          <w:marRight w:val="0"/>
          <w:marTop w:val="0"/>
          <w:marBottom w:val="0"/>
          <w:divBdr>
            <w:top w:val="none" w:sz="0" w:space="0" w:color="auto"/>
            <w:left w:val="none" w:sz="0" w:space="0" w:color="auto"/>
            <w:bottom w:val="none" w:sz="0" w:space="0" w:color="auto"/>
            <w:right w:val="none" w:sz="0" w:space="0" w:color="auto"/>
          </w:divBdr>
          <w:divsChild>
            <w:div w:id="1116830890">
              <w:marLeft w:val="0"/>
              <w:marRight w:val="0"/>
              <w:marTop w:val="0"/>
              <w:marBottom w:val="0"/>
              <w:divBdr>
                <w:top w:val="none" w:sz="0" w:space="0" w:color="auto"/>
                <w:left w:val="none" w:sz="0" w:space="0" w:color="auto"/>
                <w:bottom w:val="none" w:sz="0" w:space="0" w:color="auto"/>
                <w:right w:val="none" w:sz="0" w:space="0" w:color="auto"/>
              </w:divBdr>
            </w:div>
          </w:divsChild>
        </w:div>
        <w:div w:id="1449206038">
          <w:marLeft w:val="0"/>
          <w:marRight w:val="0"/>
          <w:marTop w:val="0"/>
          <w:marBottom w:val="0"/>
          <w:divBdr>
            <w:top w:val="none" w:sz="0" w:space="0" w:color="auto"/>
            <w:left w:val="none" w:sz="0" w:space="0" w:color="auto"/>
            <w:bottom w:val="none" w:sz="0" w:space="0" w:color="auto"/>
            <w:right w:val="none" w:sz="0" w:space="0" w:color="auto"/>
          </w:divBdr>
          <w:divsChild>
            <w:div w:id="318727230">
              <w:marLeft w:val="0"/>
              <w:marRight w:val="0"/>
              <w:marTop w:val="0"/>
              <w:marBottom w:val="0"/>
              <w:divBdr>
                <w:top w:val="none" w:sz="0" w:space="0" w:color="auto"/>
                <w:left w:val="none" w:sz="0" w:space="0" w:color="auto"/>
                <w:bottom w:val="none" w:sz="0" w:space="0" w:color="auto"/>
                <w:right w:val="none" w:sz="0" w:space="0" w:color="auto"/>
              </w:divBdr>
            </w:div>
          </w:divsChild>
        </w:div>
        <w:div w:id="1614630534">
          <w:marLeft w:val="0"/>
          <w:marRight w:val="0"/>
          <w:marTop w:val="0"/>
          <w:marBottom w:val="0"/>
          <w:divBdr>
            <w:top w:val="none" w:sz="0" w:space="0" w:color="auto"/>
            <w:left w:val="none" w:sz="0" w:space="0" w:color="auto"/>
            <w:bottom w:val="none" w:sz="0" w:space="0" w:color="auto"/>
            <w:right w:val="none" w:sz="0" w:space="0" w:color="auto"/>
          </w:divBdr>
          <w:divsChild>
            <w:div w:id="1789812431">
              <w:marLeft w:val="0"/>
              <w:marRight w:val="0"/>
              <w:marTop w:val="0"/>
              <w:marBottom w:val="0"/>
              <w:divBdr>
                <w:top w:val="none" w:sz="0" w:space="0" w:color="auto"/>
                <w:left w:val="none" w:sz="0" w:space="0" w:color="auto"/>
                <w:bottom w:val="none" w:sz="0" w:space="0" w:color="auto"/>
                <w:right w:val="none" w:sz="0" w:space="0" w:color="auto"/>
              </w:divBdr>
            </w:div>
          </w:divsChild>
        </w:div>
        <w:div w:id="891699808">
          <w:marLeft w:val="0"/>
          <w:marRight w:val="0"/>
          <w:marTop w:val="0"/>
          <w:marBottom w:val="0"/>
          <w:divBdr>
            <w:top w:val="none" w:sz="0" w:space="0" w:color="auto"/>
            <w:left w:val="none" w:sz="0" w:space="0" w:color="auto"/>
            <w:bottom w:val="none" w:sz="0" w:space="0" w:color="auto"/>
            <w:right w:val="none" w:sz="0" w:space="0" w:color="auto"/>
          </w:divBdr>
          <w:divsChild>
            <w:div w:id="2122870726">
              <w:marLeft w:val="0"/>
              <w:marRight w:val="0"/>
              <w:marTop w:val="0"/>
              <w:marBottom w:val="0"/>
              <w:divBdr>
                <w:top w:val="none" w:sz="0" w:space="0" w:color="auto"/>
                <w:left w:val="none" w:sz="0" w:space="0" w:color="auto"/>
                <w:bottom w:val="none" w:sz="0" w:space="0" w:color="auto"/>
                <w:right w:val="none" w:sz="0" w:space="0" w:color="auto"/>
              </w:divBdr>
            </w:div>
          </w:divsChild>
        </w:div>
        <w:div w:id="1150634202">
          <w:marLeft w:val="0"/>
          <w:marRight w:val="0"/>
          <w:marTop w:val="0"/>
          <w:marBottom w:val="0"/>
          <w:divBdr>
            <w:top w:val="none" w:sz="0" w:space="0" w:color="auto"/>
            <w:left w:val="none" w:sz="0" w:space="0" w:color="auto"/>
            <w:bottom w:val="none" w:sz="0" w:space="0" w:color="auto"/>
            <w:right w:val="none" w:sz="0" w:space="0" w:color="auto"/>
          </w:divBdr>
          <w:divsChild>
            <w:div w:id="1820729405">
              <w:marLeft w:val="0"/>
              <w:marRight w:val="0"/>
              <w:marTop w:val="0"/>
              <w:marBottom w:val="0"/>
              <w:divBdr>
                <w:top w:val="none" w:sz="0" w:space="0" w:color="auto"/>
                <w:left w:val="none" w:sz="0" w:space="0" w:color="auto"/>
                <w:bottom w:val="none" w:sz="0" w:space="0" w:color="auto"/>
                <w:right w:val="none" w:sz="0" w:space="0" w:color="auto"/>
              </w:divBdr>
            </w:div>
          </w:divsChild>
        </w:div>
        <w:div w:id="924647771">
          <w:marLeft w:val="0"/>
          <w:marRight w:val="0"/>
          <w:marTop w:val="0"/>
          <w:marBottom w:val="0"/>
          <w:divBdr>
            <w:top w:val="none" w:sz="0" w:space="0" w:color="auto"/>
            <w:left w:val="none" w:sz="0" w:space="0" w:color="auto"/>
            <w:bottom w:val="none" w:sz="0" w:space="0" w:color="auto"/>
            <w:right w:val="none" w:sz="0" w:space="0" w:color="auto"/>
          </w:divBdr>
          <w:divsChild>
            <w:div w:id="41947168">
              <w:marLeft w:val="0"/>
              <w:marRight w:val="0"/>
              <w:marTop w:val="0"/>
              <w:marBottom w:val="0"/>
              <w:divBdr>
                <w:top w:val="none" w:sz="0" w:space="0" w:color="auto"/>
                <w:left w:val="none" w:sz="0" w:space="0" w:color="auto"/>
                <w:bottom w:val="none" w:sz="0" w:space="0" w:color="auto"/>
                <w:right w:val="none" w:sz="0" w:space="0" w:color="auto"/>
              </w:divBdr>
            </w:div>
          </w:divsChild>
        </w:div>
        <w:div w:id="1068189356">
          <w:marLeft w:val="0"/>
          <w:marRight w:val="0"/>
          <w:marTop w:val="0"/>
          <w:marBottom w:val="0"/>
          <w:divBdr>
            <w:top w:val="none" w:sz="0" w:space="0" w:color="auto"/>
            <w:left w:val="none" w:sz="0" w:space="0" w:color="auto"/>
            <w:bottom w:val="none" w:sz="0" w:space="0" w:color="auto"/>
            <w:right w:val="none" w:sz="0" w:space="0" w:color="auto"/>
          </w:divBdr>
          <w:divsChild>
            <w:div w:id="163203259">
              <w:marLeft w:val="0"/>
              <w:marRight w:val="0"/>
              <w:marTop w:val="0"/>
              <w:marBottom w:val="0"/>
              <w:divBdr>
                <w:top w:val="none" w:sz="0" w:space="0" w:color="auto"/>
                <w:left w:val="none" w:sz="0" w:space="0" w:color="auto"/>
                <w:bottom w:val="none" w:sz="0" w:space="0" w:color="auto"/>
                <w:right w:val="none" w:sz="0" w:space="0" w:color="auto"/>
              </w:divBdr>
            </w:div>
          </w:divsChild>
        </w:div>
        <w:div w:id="1814906642">
          <w:marLeft w:val="0"/>
          <w:marRight w:val="0"/>
          <w:marTop w:val="0"/>
          <w:marBottom w:val="0"/>
          <w:divBdr>
            <w:top w:val="none" w:sz="0" w:space="0" w:color="auto"/>
            <w:left w:val="none" w:sz="0" w:space="0" w:color="auto"/>
            <w:bottom w:val="none" w:sz="0" w:space="0" w:color="auto"/>
            <w:right w:val="none" w:sz="0" w:space="0" w:color="auto"/>
          </w:divBdr>
          <w:divsChild>
            <w:div w:id="1480345985">
              <w:marLeft w:val="0"/>
              <w:marRight w:val="0"/>
              <w:marTop w:val="0"/>
              <w:marBottom w:val="0"/>
              <w:divBdr>
                <w:top w:val="none" w:sz="0" w:space="0" w:color="auto"/>
                <w:left w:val="none" w:sz="0" w:space="0" w:color="auto"/>
                <w:bottom w:val="none" w:sz="0" w:space="0" w:color="auto"/>
                <w:right w:val="none" w:sz="0" w:space="0" w:color="auto"/>
              </w:divBdr>
            </w:div>
          </w:divsChild>
        </w:div>
        <w:div w:id="1215968466">
          <w:marLeft w:val="0"/>
          <w:marRight w:val="0"/>
          <w:marTop w:val="0"/>
          <w:marBottom w:val="0"/>
          <w:divBdr>
            <w:top w:val="none" w:sz="0" w:space="0" w:color="auto"/>
            <w:left w:val="none" w:sz="0" w:space="0" w:color="auto"/>
            <w:bottom w:val="none" w:sz="0" w:space="0" w:color="auto"/>
            <w:right w:val="none" w:sz="0" w:space="0" w:color="auto"/>
          </w:divBdr>
          <w:divsChild>
            <w:div w:id="206375919">
              <w:marLeft w:val="0"/>
              <w:marRight w:val="0"/>
              <w:marTop w:val="0"/>
              <w:marBottom w:val="0"/>
              <w:divBdr>
                <w:top w:val="none" w:sz="0" w:space="0" w:color="auto"/>
                <w:left w:val="none" w:sz="0" w:space="0" w:color="auto"/>
                <w:bottom w:val="none" w:sz="0" w:space="0" w:color="auto"/>
                <w:right w:val="none" w:sz="0" w:space="0" w:color="auto"/>
              </w:divBdr>
            </w:div>
          </w:divsChild>
        </w:div>
        <w:div w:id="1887720751">
          <w:marLeft w:val="0"/>
          <w:marRight w:val="0"/>
          <w:marTop w:val="0"/>
          <w:marBottom w:val="0"/>
          <w:divBdr>
            <w:top w:val="none" w:sz="0" w:space="0" w:color="auto"/>
            <w:left w:val="none" w:sz="0" w:space="0" w:color="auto"/>
            <w:bottom w:val="none" w:sz="0" w:space="0" w:color="auto"/>
            <w:right w:val="none" w:sz="0" w:space="0" w:color="auto"/>
          </w:divBdr>
          <w:divsChild>
            <w:div w:id="1752965902">
              <w:marLeft w:val="0"/>
              <w:marRight w:val="0"/>
              <w:marTop w:val="0"/>
              <w:marBottom w:val="0"/>
              <w:divBdr>
                <w:top w:val="none" w:sz="0" w:space="0" w:color="auto"/>
                <w:left w:val="none" w:sz="0" w:space="0" w:color="auto"/>
                <w:bottom w:val="none" w:sz="0" w:space="0" w:color="auto"/>
                <w:right w:val="none" w:sz="0" w:space="0" w:color="auto"/>
              </w:divBdr>
            </w:div>
          </w:divsChild>
        </w:div>
        <w:div w:id="123735315">
          <w:marLeft w:val="0"/>
          <w:marRight w:val="0"/>
          <w:marTop w:val="0"/>
          <w:marBottom w:val="0"/>
          <w:divBdr>
            <w:top w:val="none" w:sz="0" w:space="0" w:color="auto"/>
            <w:left w:val="none" w:sz="0" w:space="0" w:color="auto"/>
            <w:bottom w:val="none" w:sz="0" w:space="0" w:color="auto"/>
            <w:right w:val="none" w:sz="0" w:space="0" w:color="auto"/>
          </w:divBdr>
          <w:divsChild>
            <w:div w:id="241718315">
              <w:marLeft w:val="0"/>
              <w:marRight w:val="0"/>
              <w:marTop w:val="0"/>
              <w:marBottom w:val="0"/>
              <w:divBdr>
                <w:top w:val="none" w:sz="0" w:space="0" w:color="auto"/>
                <w:left w:val="none" w:sz="0" w:space="0" w:color="auto"/>
                <w:bottom w:val="none" w:sz="0" w:space="0" w:color="auto"/>
                <w:right w:val="none" w:sz="0" w:space="0" w:color="auto"/>
              </w:divBdr>
            </w:div>
          </w:divsChild>
        </w:div>
        <w:div w:id="7606022">
          <w:marLeft w:val="0"/>
          <w:marRight w:val="0"/>
          <w:marTop w:val="0"/>
          <w:marBottom w:val="0"/>
          <w:divBdr>
            <w:top w:val="none" w:sz="0" w:space="0" w:color="auto"/>
            <w:left w:val="none" w:sz="0" w:space="0" w:color="auto"/>
            <w:bottom w:val="none" w:sz="0" w:space="0" w:color="auto"/>
            <w:right w:val="none" w:sz="0" w:space="0" w:color="auto"/>
          </w:divBdr>
          <w:divsChild>
            <w:div w:id="783156968">
              <w:marLeft w:val="0"/>
              <w:marRight w:val="0"/>
              <w:marTop w:val="0"/>
              <w:marBottom w:val="0"/>
              <w:divBdr>
                <w:top w:val="none" w:sz="0" w:space="0" w:color="auto"/>
                <w:left w:val="none" w:sz="0" w:space="0" w:color="auto"/>
                <w:bottom w:val="none" w:sz="0" w:space="0" w:color="auto"/>
                <w:right w:val="none" w:sz="0" w:space="0" w:color="auto"/>
              </w:divBdr>
            </w:div>
          </w:divsChild>
        </w:div>
        <w:div w:id="1773207871">
          <w:marLeft w:val="0"/>
          <w:marRight w:val="0"/>
          <w:marTop w:val="0"/>
          <w:marBottom w:val="0"/>
          <w:divBdr>
            <w:top w:val="none" w:sz="0" w:space="0" w:color="auto"/>
            <w:left w:val="none" w:sz="0" w:space="0" w:color="auto"/>
            <w:bottom w:val="none" w:sz="0" w:space="0" w:color="auto"/>
            <w:right w:val="none" w:sz="0" w:space="0" w:color="auto"/>
          </w:divBdr>
          <w:divsChild>
            <w:div w:id="17358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5645469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04864623">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7089333">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863468128">
      <w:bodyDiv w:val="1"/>
      <w:marLeft w:val="0"/>
      <w:marRight w:val="0"/>
      <w:marTop w:val="0"/>
      <w:marBottom w:val="0"/>
      <w:divBdr>
        <w:top w:val="none" w:sz="0" w:space="0" w:color="auto"/>
        <w:left w:val="none" w:sz="0" w:space="0" w:color="auto"/>
        <w:bottom w:val="none" w:sz="0" w:space="0" w:color="auto"/>
        <w:right w:val="none" w:sz="0" w:space="0" w:color="auto"/>
      </w:divBdr>
      <w:divsChild>
        <w:div w:id="1055615884">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sChild>
        </w:div>
        <w:div w:id="1638489131">
          <w:marLeft w:val="0"/>
          <w:marRight w:val="0"/>
          <w:marTop w:val="0"/>
          <w:marBottom w:val="0"/>
          <w:divBdr>
            <w:top w:val="none" w:sz="0" w:space="0" w:color="auto"/>
            <w:left w:val="none" w:sz="0" w:space="0" w:color="auto"/>
            <w:bottom w:val="none" w:sz="0" w:space="0" w:color="auto"/>
            <w:right w:val="none" w:sz="0" w:space="0" w:color="auto"/>
          </w:divBdr>
          <w:divsChild>
            <w:div w:id="265893497">
              <w:marLeft w:val="0"/>
              <w:marRight w:val="0"/>
              <w:marTop w:val="0"/>
              <w:marBottom w:val="0"/>
              <w:divBdr>
                <w:top w:val="none" w:sz="0" w:space="0" w:color="auto"/>
                <w:left w:val="none" w:sz="0" w:space="0" w:color="auto"/>
                <w:bottom w:val="none" w:sz="0" w:space="0" w:color="auto"/>
                <w:right w:val="none" w:sz="0" w:space="0" w:color="auto"/>
              </w:divBdr>
            </w:div>
          </w:divsChild>
        </w:div>
        <w:div w:id="1530607347">
          <w:marLeft w:val="0"/>
          <w:marRight w:val="0"/>
          <w:marTop w:val="0"/>
          <w:marBottom w:val="0"/>
          <w:divBdr>
            <w:top w:val="none" w:sz="0" w:space="0" w:color="auto"/>
            <w:left w:val="none" w:sz="0" w:space="0" w:color="auto"/>
            <w:bottom w:val="none" w:sz="0" w:space="0" w:color="auto"/>
            <w:right w:val="none" w:sz="0" w:space="0" w:color="auto"/>
          </w:divBdr>
          <w:divsChild>
            <w:div w:id="2137598207">
              <w:marLeft w:val="0"/>
              <w:marRight w:val="0"/>
              <w:marTop w:val="0"/>
              <w:marBottom w:val="0"/>
              <w:divBdr>
                <w:top w:val="none" w:sz="0" w:space="0" w:color="auto"/>
                <w:left w:val="none" w:sz="0" w:space="0" w:color="auto"/>
                <w:bottom w:val="none" w:sz="0" w:space="0" w:color="auto"/>
                <w:right w:val="none" w:sz="0" w:space="0" w:color="auto"/>
              </w:divBdr>
            </w:div>
          </w:divsChild>
        </w:div>
        <w:div w:id="1136532918">
          <w:marLeft w:val="0"/>
          <w:marRight w:val="0"/>
          <w:marTop w:val="0"/>
          <w:marBottom w:val="0"/>
          <w:divBdr>
            <w:top w:val="none" w:sz="0" w:space="0" w:color="auto"/>
            <w:left w:val="none" w:sz="0" w:space="0" w:color="auto"/>
            <w:bottom w:val="none" w:sz="0" w:space="0" w:color="auto"/>
            <w:right w:val="none" w:sz="0" w:space="0" w:color="auto"/>
          </w:divBdr>
          <w:divsChild>
            <w:div w:id="553590171">
              <w:marLeft w:val="0"/>
              <w:marRight w:val="0"/>
              <w:marTop w:val="0"/>
              <w:marBottom w:val="0"/>
              <w:divBdr>
                <w:top w:val="none" w:sz="0" w:space="0" w:color="auto"/>
                <w:left w:val="none" w:sz="0" w:space="0" w:color="auto"/>
                <w:bottom w:val="none" w:sz="0" w:space="0" w:color="auto"/>
                <w:right w:val="none" w:sz="0" w:space="0" w:color="auto"/>
              </w:divBdr>
            </w:div>
          </w:divsChild>
        </w:div>
        <w:div w:id="337464053">
          <w:marLeft w:val="0"/>
          <w:marRight w:val="0"/>
          <w:marTop w:val="0"/>
          <w:marBottom w:val="0"/>
          <w:divBdr>
            <w:top w:val="none" w:sz="0" w:space="0" w:color="auto"/>
            <w:left w:val="none" w:sz="0" w:space="0" w:color="auto"/>
            <w:bottom w:val="none" w:sz="0" w:space="0" w:color="auto"/>
            <w:right w:val="none" w:sz="0" w:space="0" w:color="auto"/>
          </w:divBdr>
          <w:divsChild>
            <w:div w:id="1309288291">
              <w:marLeft w:val="0"/>
              <w:marRight w:val="0"/>
              <w:marTop w:val="0"/>
              <w:marBottom w:val="0"/>
              <w:divBdr>
                <w:top w:val="none" w:sz="0" w:space="0" w:color="auto"/>
                <w:left w:val="none" w:sz="0" w:space="0" w:color="auto"/>
                <w:bottom w:val="none" w:sz="0" w:space="0" w:color="auto"/>
                <w:right w:val="none" w:sz="0" w:space="0" w:color="auto"/>
              </w:divBdr>
            </w:div>
          </w:divsChild>
        </w:div>
        <w:div w:id="475683575">
          <w:marLeft w:val="0"/>
          <w:marRight w:val="0"/>
          <w:marTop w:val="0"/>
          <w:marBottom w:val="0"/>
          <w:divBdr>
            <w:top w:val="none" w:sz="0" w:space="0" w:color="auto"/>
            <w:left w:val="none" w:sz="0" w:space="0" w:color="auto"/>
            <w:bottom w:val="none" w:sz="0" w:space="0" w:color="auto"/>
            <w:right w:val="none" w:sz="0" w:space="0" w:color="auto"/>
          </w:divBdr>
          <w:divsChild>
            <w:div w:id="828207283">
              <w:marLeft w:val="0"/>
              <w:marRight w:val="0"/>
              <w:marTop w:val="0"/>
              <w:marBottom w:val="0"/>
              <w:divBdr>
                <w:top w:val="none" w:sz="0" w:space="0" w:color="auto"/>
                <w:left w:val="none" w:sz="0" w:space="0" w:color="auto"/>
                <w:bottom w:val="none" w:sz="0" w:space="0" w:color="auto"/>
                <w:right w:val="none" w:sz="0" w:space="0" w:color="auto"/>
              </w:divBdr>
            </w:div>
          </w:divsChild>
        </w:div>
        <w:div w:id="563763187">
          <w:marLeft w:val="0"/>
          <w:marRight w:val="0"/>
          <w:marTop w:val="0"/>
          <w:marBottom w:val="0"/>
          <w:divBdr>
            <w:top w:val="none" w:sz="0" w:space="0" w:color="auto"/>
            <w:left w:val="none" w:sz="0" w:space="0" w:color="auto"/>
            <w:bottom w:val="none" w:sz="0" w:space="0" w:color="auto"/>
            <w:right w:val="none" w:sz="0" w:space="0" w:color="auto"/>
          </w:divBdr>
          <w:divsChild>
            <w:div w:id="1650281321">
              <w:marLeft w:val="0"/>
              <w:marRight w:val="0"/>
              <w:marTop w:val="0"/>
              <w:marBottom w:val="0"/>
              <w:divBdr>
                <w:top w:val="none" w:sz="0" w:space="0" w:color="auto"/>
                <w:left w:val="none" w:sz="0" w:space="0" w:color="auto"/>
                <w:bottom w:val="none" w:sz="0" w:space="0" w:color="auto"/>
                <w:right w:val="none" w:sz="0" w:space="0" w:color="auto"/>
              </w:divBdr>
            </w:div>
          </w:divsChild>
        </w:div>
        <w:div w:id="1855487456">
          <w:marLeft w:val="0"/>
          <w:marRight w:val="0"/>
          <w:marTop w:val="0"/>
          <w:marBottom w:val="0"/>
          <w:divBdr>
            <w:top w:val="none" w:sz="0" w:space="0" w:color="auto"/>
            <w:left w:val="none" w:sz="0" w:space="0" w:color="auto"/>
            <w:bottom w:val="none" w:sz="0" w:space="0" w:color="auto"/>
            <w:right w:val="none" w:sz="0" w:space="0" w:color="auto"/>
          </w:divBdr>
          <w:divsChild>
            <w:div w:id="931084271">
              <w:marLeft w:val="0"/>
              <w:marRight w:val="0"/>
              <w:marTop w:val="0"/>
              <w:marBottom w:val="0"/>
              <w:divBdr>
                <w:top w:val="none" w:sz="0" w:space="0" w:color="auto"/>
                <w:left w:val="none" w:sz="0" w:space="0" w:color="auto"/>
                <w:bottom w:val="none" w:sz="0" w:space="0" w:color="auto"/>
                <w:right w:val="none" w:sz="0" w:space="0" w:color="auto"/>
              </w:divBdr>
            </w:div>
          </w:divsChild>
        </w:div>
        <w:div w:id="947354934">
          <w:marLeft w:val="0"/>
          <w:marRight w:val="0"/>
          <w:marTop w:val="0"/>
          <w:marBottom w:val="0"/>
          <w:divBdr>
            <w:top w:val="none" w:sz="0" w:space="0" w:color="auto"/>
            <w:left w:val="none" w:sz="0" w:space="0" w:color="auto"/>
            <w:bottom w:val="none" w:sz="0" w:space="0" w:color="auto"/>
            <w:right w:val="none" w:sz="0" w:space="0" w:color="auto"/>
          </w:divBdr>
          <w:divsChild>
            <w:div w:id="828712323">
              <w:marLeft w:val="0"/>
              <w:marRight w:val="0"/>
              <w:marTop w:val="0"/>
              <w:marBottom w:val="0"/>
              <w:divBdr>
                <w:top w:val="none" w:sz="0" w:space="0" w:color="auto"/>
                <w:left w:val="none" w:sz="0" w:space="0" w:color="auto"/>
                <w:bottom w:val="none" w:sz="0" w:space="0" w:color="auto"/>
                <w:right w:val="none" w:sz="0" w:space="0" w:color="auto"/>
              </w:divBdr>
            </w:div>
          </w:divsChild>
        </w:div>
        <w:div w:id="1461075992">
          <w:marLeft w:val="0"/>
          <w:marRight w:val="0"/>
          <w:marTop w:val="0"/>
          <w:marBottom w:val="0"/>
          <w:divBdr>
            <w:top w:val="none" w:sz="0" w:space="0" w:color="auto"/>
            <w:left w:val="none" w:sz="0" w:space="0" w:color="auto"/>
            <w:bottom w:val="none" w:sz="0" w:space="0" w:color="auto"/>
            <w:right w:val="none" w:sz="0" w:space="0" w:color="auto"/>
          </w:divBdr>
          <w:divsChild>
            <w:div w:id="865405771">
              <w:marLeft w:val="0"/>
              <w:marRight w:val="0"/>
              <w:marTop w:val="0"/>
              <w:marBottom w:val="0"/>
              <w:divBdr>
                <w:top w:val="none" w:sz="0" w:space="0" w:color="auto"/>
                <w:left w:val="none" w:sz="0" w:space="0" w:color="auto"/>
                <w:bottom w:val="none" w:sz="0" w:space="0" w:color="auto"/>
                <w:right w:val="none" w:sz="0" w:space="0" w:color="auto"/>
              </w:divBdr>
            </w:div>
          </w:divsChild>
        </w:div>
        <w:div w:id="229468657">
          <w:marLeft w:val="0"/>
          <w:marRight w:val="0"/>
          <w:marTop w:val="0"/>
          <w:marBottom w:val="0"/>
          <w:divBdr>
            <w:top w:val="none" w:sz="0" w:space="0" w:color="auto"/>
            <w:left w:val="none" w:sz="0" w:space="0" w:color="auto"/>
            <w:bottom w:val="none" w:sz="0" w:space="0" w:color="auto"/>
            <w:right w:val="none" w:sz="0" w:space="0" w:color="auto"/>
          </w:divBdr>
          <w:divsChild>
            <w:div w:id="1716930315">
              <w:marLeft w:val="0"/>
              <w:marRight w:val="0"/>
              <w:marTop w:val="0"/>
              <w:marBottom w:val="0"/>
              <w:divBdr>
                <w:top w:val="none" w:sz="0" w:space="0" w:color="auto"/>
                <w:left w:val="none" w:sz="0" w:space="0" w:color="auto"/>
                <w:bottom w:val="none" w:sz="0" w:space="0" w:color="auto"/>
                <w:right w:val="none" w:sz="0" w:space="0" w:color="auto"/>
              </w:divBdr>
            </w:div>
          </w:divsChild>
        </w:div>
        <w:div w:id="1763406942">
          <w:marLeft w:val="0"/>
          <w:marRight w:val="0"/>
          <w:marTop w:val="0"/>
          <w:marBottom w:val="0"/>
          <w:divBdr>
            <w:top w:val="none" w:sz="0" w:space="0" w:color="auto"/>
            <w:left w:val="none" w:sz="0" w:space="0" w:color="auto"/>
            <w:bottom w:val="none" w:sz="0" w:space="0" w:color="auto"/>
            <w:right w:val="none" w:sz="0" w:space="0" w:color="auto"/>
          </w:divBdr>
          <w:divsChild>
            <w:div w:id="1667635021">
              <w:marLeft w:val="0"/>
              <w:marRight w:val="0"/>
              <w:marTop w:val="0"/>
              <w:marBottom w:val="0"/>
              <w:divBdr>
                <w:top w:val="none" w:sz="0" w:space="0" w:color="auto"/>
                <w:left w:val="none" w:sz="0" w:space="0" w:color="auto"/>
                <w:bottom w:val="none" w:sz="0" w:space="0" w:color="auto"/>
                <w:right w:val="none" w:sz="0" w:space="0" w:color="auto"/>
              </w:divBdr>
            </w:div>
          </w:divsChild>
        </w:div>
        <w:div w:id="1654334750">
          <w:marLeft w:val="0"/>
          <w:marRight w:val="0"/>
          <w:marTop w:val="0"/>
          <w:marBottom w:val="0"/>
          <w:divBdr>
            <w:top w:val="none" w:sz="0" w:space="0" w:color="auto"/>
            <w:left w:val="none" w:sz="0" w:space="0" w:color="auto"/>
            <w:bottom w:val="none" w:sz="0" w:space="0" w:color="auto"/>
            <w:right w:val="none" w:sz="0" w:space="0" w:color="auto"/>
          </w:divBdr>
          <w:divsChild>
            <w:div w:id="1963416765">
              <w:marLeft w:val="0"/>
              <w:marRight w:val="0"/>
              <w:marTop w:val="0"/>
              <w:marBottom w:val="0"/>
              <w:divBdr>
                <w:top w:val="none" w:sz="0" w:space="0" w:color="auto"/>
                <w:left w:val="none" w:sz="0" w:space="0" w:color="auto"/>
                <w:bottom w:val="none" w:sz="0" w:space="0" w:color="auto"/>
                <w:right w:val="none" w:sz="0" w:space="0" w:color="auto"/>
              </w:divBdr>
            </w:div>
          </w:divsChild>
        </w:div>
        <w:div w:id="1578437635">
          <w:marLeft w:val="0"/>
          <w:marRight w:val="0"/>
          <w:marTop w:val="0"/>
          <w:marBottom w:val="0"/>
          <w:divBdr>
            <w:top w:val="none" w:sz="0" w:space="0" w:color="auto"/>
            <w:left w:val="none" w:sz="0" w:space="0" w:color="auto"/>
            <w:bottom w:val="none" w:sz="0" w:space="0" w:color="auto"/>
            <w:right w:val="none" w:sz="0" w:space="0" w:color="auto"/>
          </w:divBdr>
          <w:divsChild>
            <w:div w:id="249898306">
              <w:marLeft w:val="0"/>
              <w:marRight w:val="0"/>
              <w:marTop w:val="0"/>
              <w:marBottom w:val="0"/>
              <w:divBdr>
                <w:top w:val="none" w:sz="0" w:space="0" w:color="auto"/>
                <w:left w:val="none" w:sz="0" w:space="0" w:color="auto"/>
                <w:bottom w:val="none" w:sz="0" w:space="0" w:color="auto"/>
                <w:right w:val="none" w:sz="0" w:space="0" w:color="auto"/>
              </w:divBdr>
            </w:div>
          </w:divsChild>
        </w:div>
        <w:div w:id="808667708">
          <w:marLeft w:val="0"/>
          <w:marRight w:val="0"/>
          <w:marTop w:val="0"/>
          <w:marBottom w:val="0"/>
          <w:divBdr>
            <w:top w:val="none" w:sz="0" w:space="0" w:color="auto"/>
            <w:left w:val="none" w:sz="0" w:space="0" w:color="auto"/>
            <w:bottom w:val="none" w:sz="0" w:space="0" w:color="auto"/>
            <w:right w:val="none" w:sz="0" w:space="0" w:color="auto"/>
          </w:divBdr>
          <w:divsChild>
            <w:div w:id="1559199240">
              <w:marLeft w:val="0"/>
              <w:marRight w:val="0"/>
              <w:marTop w:val="0"/>
              <w:marBottom w:val="0"/>
              <w:divBdr>
                <w:top w:val="none" w:sz="0" w:space="0" w:color="auto"/>
                <w:left w:val="none" w:sz="0" w:space="0" w:color="auto"/>
                <w:bottom w:val="none" w:sz="0" w:space="0" w:color="auto"/>
                <w:right w:val="none" w:sz="0" w:space="0" w:color="auto"/>
              </w:divBdr>
            </w:div>
          </w:divsChild>
        </w:div>
        <w:div w:id="1216887418">
          <w:marLeft w:val="0"/>
          <w:marRight w:val="0"/>
          <w:marTop w:val="0"/>
          <w:marBottom w:val="0"/>
          <w:divBdr>
            <w:top w:val="none" w:sz="0" w:space="0" w:color="auto"/>
            <w:left w:val="none" w:sz="0" w:space="0" w:color="auto"/>
            <w:bottom w:val="none" w:sz="0" w:space="0" w:color="auto"/>
            <w:right w:val="none" w:sz="0" w:space="0" w:color="auto"/>
          </w:divBdr>
          <w:divsChild>
            <w:div w:id="214581451">
              <w:marLeft w:val="0"/>
              <w:marRight w:val="0"/>
              <w:marTop w:val="0"/>
              <w:marBottom w:val="0"/>
              <w:divBdr>
                <w:top w:val="none" w:sz="0" w:space="0" w:color="auto"/>
                <w:left w:val="none" w:sz="0" w:space="0" w:color="auto"/>
                <w:bottom w:val="none" w:sz="0" w:space="0" w:color="auto"/>
                <w:right w:val="none" w:sz="0" w:space="0" w:color="auto"/>
              </w:divBdr>
            </w:div>
          </w:divsChild>
        </w:div>
        <w:div w:id="967931056">
          <w:marLeft w:val="0"/>
          <w:marRight w:val="0"/>
          <w:marTop w:val="0"/>
          <w:marBottom w:val="0"/>
          <w:divBdr>
            <w:top w:val="none" w:sz="0" w:space="0" w:color="auto"/>
            <w:left w:val="none" w:sz="0" w:space="0" w:color="auto"/>
            <w:bottom w:val="none" w:sz="0" w:space="0" w:color="auto"/>
            <w:right w:val="none" w:sz="0" w:space="0" w:color="auto"/>
          </w:divBdr>
          <w:divsChild>
            <w:div w:id="2068995350">
              <w:marLeft w:val="0"/>
              <w:marRight w:val="0"/>
              <w:marTop w:val="0"/>
              <w:marBottom w:val="0"/>
              <w:divBdr>
                <w:top w:val="none" w:sz="0" w:space="0" w:color="auto"/>
                <w:left w:val="none" w:sz="0" w:space="0" w:color="auto"/>
                <w:bottom w:val="none" w:sz="0" w:space="0" w:color="auto"/>
                <w:right w:val="none" w:sz="0" w:space="0" w:color="auto"/>
              </w:divBdr>
            </w:div>
          </w:divsChild>
        </w:div>
        <w:div w:id="677195310">
          <w:marLeft w:val="0"/>
          <w:marRight w:val="0"/>
          <w:marTop w:val="0"/>
          <w:marBottom w:val="0"/>
          <w:divBdr>
            <w:top w:val="none" w:sz="0" w:space="0" w:color="auto"/>
            <w:left w:val="none" w:sz="0" w:space="0" w:color="auto"/>
            <w:bottom w:val="none" w:sz="0" w:space="0" w:color="auto"/>
            <w:right w:val="none" w:sz="0" w:space="0" w:color="auto"/>
          </w:divBdr>
          <w:divsChild>
            <w:div w:id="706222239">
              <w:marLeft w:val="0"/>
              <w:marRight w:val="0"/>
              <w:marTop w:val="0"/>
              <w:marBottom w:val="0"/>
              <w:divBdr>
                <w:top w:val="none" w:sz="0" w:space="0" w:color="auto"/>
                <w:left w:val="none" w:sz="0" w:space="0" w:color="auto"/>
                <w:bottom w:val="none" w:sz="0" w:space="0" w:color="auto"/>
                <w:right w:val="none" w:sz="0" w:space="0" w:color="auto"/>
              </w:divBdr>
            </w:div>
          </w:divsChild>
        </w:div>
        <w:div w:id="1284383921">
          <w:marLeft w:val="0"/>
          <w:marRight w:val="0"/>
          <w:marTop w:val="0"/>
          <w:marBottom w:val="0"/>
          <w:divBdr>
            <w:top w:val="none" w:sz="0" w:space="0" w:color="auto"/>
            <w:left w:val="none" w:sz="0" w:space="0" w:color="auto"/>
            <w:bottom w:val="none" w:sz="0" w:space="0" w:color="auto"/>
            <w:right w:val="none" w:sz="0" w:space="0" w:color="auto"/>
          </w:divBdr>
          <w:divsChild>
            <w:div w:id="1086926786">
              <w:marLeft w:val="0"/>
              <w:marRight w:val="0"/>
              <w:marTop w:val="0"/>
              <w:marBottom w:val="0"/>
              <w:divBdr>
                <w:top w:val="none" w:sz="0" w:space="0" w:color="auto"/>
                <w:left w:val="none" w:sz="0" w:space="0" w:color="auto"/>
                <w:bottom w:val="none" w:sz="0" w:space="0" w:color="auto"/>
                <w:right w:val="none" w:sz="0" w:space="0" w:color="auto"/>
              </w:divBdr>
            </w:div>
          </w:divsChild>
        </w:div>
        <w:div w:id="12534334">
          <w:marLeft w:val="0"/>
          <w:marRight w:val="0"/>
          <w:marTop w:val="0"/>
          <w:marBottom w:val="0"/>
          <w:divBdr>
            <w:top w:val="none" w:sz="0" w:space="0" w:color="auto"/>
            <w:left w:val="none" w:sz="0" w:space="0" w:color="auto"/>
            <w:bottom w:val="none" w:sz="0" w:space="0" w:color="auto"/>
            <w:right w:val="none" w:sz="0" w:space="0" w:color="auto"/>
          </w:divBdr>
          <w:divsChild>
            <w:div w:id="1014847484">
              <w:marLeft w:val="0"/>
              <w:marRight w:val="0"/>
              <w:marTop w:val="0"/>
              <w:marBottom w:val="0"/>
              <w:divBdr>
                <w:top w:val="none" w:sz="0" w:space="0" w:color="auto"/>
                <w:left w:val="none" w:sz="0" w:space="0" w:color="auto"/>
                <w:bottom w:val="none" w:sz="0" w:space="0" w:color="auto"/>
                <w:right w:val="none" w:sz="0" w:space="0" w:color="auto"/>
              </w:divBdr>
            </w:div>
          </w:divsChild>
        </w:div>
        <w:div w:id="1613854051">
          <w:marLeft w:val="0"/>
          <w:marRight w:val="0"/>
          <w:marTop w:val="0"/>
          <w:marBottom w:val="0"/>
          <w:divBdr>
            <w:top w:val="none" w:sz="0" w:space="0" w:color="auto"/>
            <w:left w:val="none" w:sz="0" w:space="0" w:color="auto"/>
            <w:bottom w:val="none" w:sz="0" w:space="0" w:color="auto"/>
            <w:right w:val="none" w:sz="0" w:space="0" w:color="auto"/>
          </w:divBdr>
          <w:divsChild>
            <w:div w:id="1484547872">
              <w:marLeft w:val="0"/>
              <w:marRight w:val="0"/>
              <w:marTop w:val="0"/>
              <w:marBottom w:val="0"/>
              <w:divBdr>
                <w:top w:val="none" w:sz="0" w:space="0" w:color="auto"/>
                <w:left w:val="none" w:sz="0" w:space="0" w:color="auto"/>
                <w:bottom w:val="none" w:sz="0" w:space="0" w:color="auto"/>
                <w:right w:val="none" w:sz="0" w:space="0" w:color="auto"/>
              </w:divBdr>
            </w:div>
          </w:divsChild>
        </w:div>
        <w:div w:id="1309089428">
          <w:marLeft w:val="0"/>
          <w:marRight w:val="0"/>
          <w:marTop w:val="0"/>
          <w:marBottom w:val="0"/>
          <w:divBdr>
            <w:top w:val="none" w:sz="0" w:space="0" w:color="auto"/>
            <w:left w:val="none" w:sz="0" w:space="0" w:color="auto"/>
            <w:bottom w:val="none" w:sz="0" w:space="0" w:color="auto"/>
            <w:right w:val="none" w:sz="0" w:space="0" w:color="auto"/>
          </w:divBdr>
          <w:divsChild>
            <w:div w:id="2080472548">
              <w:marLeft w:val="0"/>
              <w:marRight w:val="0"/>
              <w:marTop w:val="0"/>
              <w:marBottom w:val="0"/>
              <w:divBdr>
                <w:top w:val="none" w:sz="0" w:space="0" w:color="auto"/>
                <w:left w:val="none" w:sz="0" w:space="0" w:color="auto"/>
                <w:bottom w:val="none" w:sz="0" w:space="0" w:color="auto"/>
                <w:right w:val="none" w:sz="0" w:space="0" w:color="auto"/>
              </w:divBdr>
            </w:div>
          </w:divsChild>
        </w:div>
        <w:div w:id="1440174992">
          <w:marLeft w:val="0"/>
          <w:marRight w:val="0"/>
          <w:marTop w:val="0"/>
          <w:marBottom w:val="0"/>
          <w:divBdr>
            <w:top w:val="none" w:sz="0" w:space="0" w:color="auto"/>
            <w:left w:val="none" w:sz="0" w:space="0" w:color="auto"/>
            <w:bottom w:val="none" w:sz="0" w:space="0" w:color="auto"/>
            <w:right w:val="none" w:sz="0" w:space="0" w:color="auto"/>
          </w:divBdr>
          <w:divsChild>
            <w:div w:id="651910596">
              <w:marLeft w:val="0"/>
              <w:marRight w:val="0"/>
              <w:marTop w:val="0"/>
              <w:marBottom w:val="0"/>
              <w:divBdr>
                <w:top w:val="none" w:sz="0" w:space="0" w:color="auto"/>
                <w:left w:val="none" w:sz="0" w:space="0" w:color="auto"/>
                <w:bottom w:val="none" w:sz="0" w:space="0" w:color="auto"/>
                <w:right w:val="none" w:sz="0" w:space="0" w:color="auto"/>
              </w:divBdr>
            </w:div>
          </w:divsChild>
        </w:div>
        <w:div w:id="2134789622">
          <w:marLeft w:val="0"/>
          <w:marRight w:val="0"/>
          <w:marTop w:val="0"/>
          <w:marBottom w:val="0"/>
          <w:divBdr>
            <w:top w:val="none" w:sz="0" w:space="0" w:color="auto"/>
            <w:left w:val="none" w:sz="0" w:space="0" w:color="auto"/>
            <w:bottom w:val="none" w:sz="0" w:space="0" w:color="auto"/>
            <w:right w:val="none" w:sz="0" w:space="0" w:color="auto"/>
          </w:divBdr>
          <w:divsChild>
            <w:div w:id="1795829900">
              <w:marLeft w:val="0"/>
              <w:marRight w:val="0"/>
              <w:marTop w:val="0"/>
              <w:marBottom w:val="0"/>
              <w:divBdr>
                <w:top w:val="none" w:sz="0" w:space="0" w:color="auto"/>
                <w:left w:val="none" w:sz="0" w:space="0" w:color="auto"/>
                <w:bottom w:val="none" w:sz="0" w:space="0" w:color="auto"/>
                <w:right w:val="none" w:sz="0" w:space="0" w:color="auto"/>
              </w:divBdr>
            </w:div>
          </w:divsChild>
        </w:div>
        <w:div w:id="1291932526">
          <w:marLeft w:val="0"/>
          <w:marRight w:val="0"/>
          <w:marTop w:val="0"/>
          <w:marBottom w:val="0"/>
          <w:divBdr>
            <w:top w:val="none" w:sz="0" w:space="0" w:color="auto"/>
            <w:left w:val="none" w:sz="0" w:space="0" w:color="auto"/>
            <w:bottom w:val="none" w:sz="0" w:space="0" w:color="auto"/>
            <w:right w:val="none" w:sz="0" w:space="0" w:color="auto"/>
          </w:divBdr>
          <w:divsChild>
            <w:div w:id="1751586586">
              <w:marLeft w:val="0"/>
              <w:marRight w:val="0"/>
              <w:marTop w:val="0"/>
              <w:marBottom w:val="0"/>
              <w:divBdr>
                <w:top w:val="none" w:sz="0" w:space="0" w:color="auto"/>
                <w:left w:val="none" w:sz="0" w:space="0" w:color="auto"/>
                <w:bottom w:val="none" w:sz="0" w:space="0" w:color="auto"/>
                <w:right w:val="none" w:sz="0" w:space="0" w:color="auto"/>
              </w:divBdr>
            </w:div>
          </w:divsChild>
        </w:div>
        <w:div w:id="2101365856">
          <w:marLeft w:val="0"/>
          <w:marRight w:val="0"/>
          <w:marTop w:val="0"/>
          <w:marBottom w:val="0"/>
          <w:divBdr>
            <w:top w:val="none" w:sz="0" w:space="0" w:color="auto"/>
            <w:left w:val="none" w:sz="0" w:space="0" w:color="auto"/>
            <w:bottom w:val="none" w:sz="0" w:space="0" w:color="auto"/>
            <w:right w:val="none" w:sz="0" w:space="0" w:color="auto"/>
          </w:divBdr>
          <w:divsChild>
            <w:div w:id="1156186806">
              <w:marLeft w:val="0"/>
              <w:marRight w:val="0"/>
              <w:marTop w:val="0"/>
              <w:marBottom w:val="0"/>
              <w:divBdr>
                <w:top w:val="none" w:sz="0" w:space="0" w:color="auto"/>
                <w:left w:val="none" w:sz="0" w:space="0" w:color="auto"/>
                <w:bottom w:val="none" w:sz="0" w:space="0" w:color="auto"/>
                <w:right w:val="none" w:sz="0" w:space="0" w:color="auto"/>
              </w:divBdr>
            </w:div>
          </w:divsChild>
        </w:div>
        <w:div w:id="1813056427">
          <w:marLeft w:val="0"/>
          <w:marRight w:val="0"/>
          <w:marTop w:val="0"/>
          <w:marBottom w:val="0"/>
          <w:divBdr>
            <w:top w:val="none" w:sz="0" w:space="0" w:color="auto"/>
            <w:left w:val="none" w:sz="0" w:space="0" w:color="auto"/>
            <w:bottom w:val="none" w:sz="0" w:space="0" w:color="auto"/>
            <w:right w:val="none" w:sz="0" w:space="0" w:color="auto"/>
          </w:divBdr>
          <w:divsChild>
            <w:div w:id="790897709">
              <w:marLeft w:val="0"/>
              <w:marRight w:val="0"/>
              <w:marTop w:val="0"/>
              <w:marBottom w:val="0"/>
              <w:divBdr>
                <w:top w:val="none" w:sz="0" w:space="0" w:color="auto"/>
                <w:left w:val="none" w:sz="0" w:space="0" w:color="auto"/>
                <w:bottom w:val="none" w:sz="0" w:space="0" w:color="auto"/>
                <w:right w:val="none" w:sz="0" w:space="0" w:color="auto"/>
              </w:divBdr>
            </w:div>
          </w:divsChild>
        </w:div>
        <w:div w:id="881746052">
          <w:marLeft w:val="0"/>
          <w:marRight w:val="0"/>
          <w:marTop w:val="0"/>
          <w:marBottom w:val="0"/>
          <w:divBdr>
            <w:top w:val="none" w:sz="0" w:space="0" w:color="auto"/>
            <w:left w:val="none" w:sz="0" w:space="0" w:color="auto"/>
            <w:bottom w:val="none" w:sz="0" w:space="0" w:color="auto"/>
            <w:right w:val="none" w:sz="0" w:space="0" w:color="auto"/>
          </w:divBdr>
          <w:divsChild>
            <w:div w:id="401828803">
              <w:marLeft w:val="0"/>
              <w:marRight w:val="0"/>
              <w:marTop w:val="0"/>
              <w:marBottom w:val="0"/>
              <w:divBdr>
                <w:top w:val="none" w:sz="0" w:space="0" w:color="auto"/>
                <w:left w:val="none" w:sz="0" w:space="0" w:color="auto"/>
                <w:bottom w:val="none" w:sz="0" w:space="0" w:color="auto"/>
                <w:right w:val="none" w:sz="0" w:space="0" w:color="auto"/>
              </w:divBdr>
            </w:div>
          </w:divsChild>
        </w:div>
        <w:div w:id="1002203301">
          <w:marLeft w:val="0"/>
          <w:marRight w:val="0"/>
          <w:marTop w:val="0"/>
          <w:marBottom w:val="0"/>
          <w:divBdr>
            <w:top w:val="none" w:sz="0" w:space="0" w:color="auto"/>
            <w:left w:val="none" w:sz="0" w:space="0" w:color="auto"/>
            <w:bottom w:val="none" w:sz="0" w:space="0" w:color="auto"/>
            <w:right w:val="none" w:sz="0" w:space="0" w:color="auto"/>
          </w:divBdr>
          <w:divsChild>
            <w:div w:id="1397508249">
              <w:marLeft w:val="0"/>
              <w:marRight w:val="0"/>
              <w:marTop w:val="0"/>
              <w:marBottom w:val="0"/>
              <w:divBdr>
                <w:top w:val="none" w:sz="0" w:space="0" w:color="auto"/>
                <w:left w:val="none" w:sz="0" w:space="0" w:color="auto"/>
                <w:bottom w:val="none" w:sz="0" w:space="0" w:color="auto"/>
                <w:right w:val="none" w:sz="0" w:space="0" w:color="auto"/>
              </w:divBdr>
            </w:div>
          </w:divsChild>
        </w:div>
        <w:div w:id="803042199">
          <w:marLeft w:val="0"/>
          <w:marRight w:val="0"/>
          <w:marTop w:val="0"/>
          <w:marBottom w:val="0"/>
          <w:divBdr>
            <w:top w:val="none" w:sz="0" w:space="0" w:color="auto"/>
            <w:left w:val="none" w:sz="0" w:space="0" w:color="auto"/>
            <w:bottom w:val="none" w:sz="0" w:space="0" w:color="auto"/>
            <w:right w:val="none" w:sz="0" w:space="0" w:color="auto"/>
          </w:divBdr>
          <w:divsChild>
            <w:div w:id="612709558">
              <w:marLeft w:val="0"/>
              <w:marRight w:val="0"/>
              <w:marTop w:val="0"/>
              <w:marBottom w:val="0"/>
              <w:divBdr>
                <w:top w:val="none" w:sz="0" w:space="0" w:color="auto"/>
                <w:left w:val="none" w:sz="0" w:space="0" w:color="auto"/>
                <w:bottom w:val="none" w:sz="0" w:space="0" w:color="auto"/>
                <w:right w:val="none" w:sz="0" w:space="0" w:color="auto"/>
              </w:divBdr>
            </w:div>
          </w:divsChild>
        </w:div>
        <w:div w:id="93286863">
          <w:marLeft w:val="0"/>
          <w:marRight w:val="0"/>
          <w:marTop w:val="0"/>
          <w:marBottom w:val="0"/>
          <w:divBdr>
            <w:top w:val="none" w:sz="0" w:space="0" w:color="auto"/>
            <w:left w:val="none" w:sz="0" w:space="0" w:color="auto"/>
            <w:bottom w:val="none" w:sz="0" w:space="0" w:color="auto"/>
            <w:right w:val="none" w:sz="0" w:space="0" w:color="auto"/>
          </w:divBdr>
          <w:divsChild>
            <w:div w:id="81073964">
              <w:marLeft w:val="0"/>
              <w:marRight w:val="0"/>
              <w:marTop w:val="0"/>
              <w:marBottom w:val="0"/>
              <w:divBdr>
                <w:top w:val="none" w:sz="0" w:space="0" w:color="auto"/>
                <w:left w:val="none" w:sz="0" w:space="0" w:color="auto"/>
                <w:bottom w:val="none" w:sz="0" w:space="0" w:color="auto"/>
                <w:right w:val="none" w:sz="0" w:space="0" w:color="auto"/>
              </w:divBdr>
            </w:div>
          </w:divsChild>
        </w:div>
        <w:div w:id="287054692">
          <w:marLeft w:val="0"/>
          <w:marRight w:val="0"/>
          <w:marTop w:val="0"/>
          <w:marBottom w:val="0"/>
          <w:divBdr>
            <w:top w:val="none" w:sz="0" w:space="0" w:color="auto"/>
            <w:left w:val="none" w:sz="0" w:space="0" w:color="auto"/>
            <w:bottom w:val="none" w:sz="0" w:space="0" w:color="auto"/>
            <w:right w:val="none" w:sz="0" w:space="0" w:color="auto"/>
          </w:divBdr>
          <w:divsChild>
            <w:div w:id="808399976">
              <w:marLeft w:val="0"/>
              <w:marRight w:val="0"/>
              <w:marTop w:val="0"/>
              <w:marBottom w:val="0"/>
              <w:divBdr>
                <w:top w:val="none" w:sz="0" w:space="0" w:color="auto"/>
                <w:left w:val="none" w:sz="0" w:space="0" w:color="auto"/>
                <w:bottom w:val="none" w:sz="0" w:space="0" w:color="auto"/>
                <w:right w:val="none" w:sz="0" w:space="0" w:color="auto"/>
              </w:divBdr>
            </w:div>
          </w:divsChild>
        </w:div>
        <w:div w:id="892811333">
          <w:marLeft w:val="0"/>
          <w:marRight w:val="0"/>
          <w:marTop w:val="0"/>
          <w:marBottom w:val="0"/>
          <w:divBdr>
            <w:top w:val="none" w:sz="0" w:space="0" w:color="auto"/>
            <w:left w:val="none" w:sz="0" w:space="0" w:color="auto"/>
            <w:bottom w:val="none" w:sz="0" w:space="0" w:color="auto"/>
            <w:right w:val="none" w:sz="0" w:space="0" w:color="auto"/>
          </w:divBdr>
          <w:divsChild>
            <w:div w:id="1472483942">
              <w:marLeft w:val="0"/>
              <w:marRight w:val="0"/>
              <w:marTop w:val="0"/>
              <w:marBottom w:val="0"/>
              <w:divBdr>
                <w:top w:val="none" w:sz="0" w:space="0" w:color="auto"/>
                <w:left w:val="none" w:sz="0" w:space="0" w:color="auto"/>
                <w:bottom w:val="none" w:sz="0" w:space="0" w:color="auto"/>
                <w:right w:val="none" w:sz="0" w:space="0" w:color="auto"/>
              </w:divBdr>
            </w:div>
          </w:divsChild>
        </w:div>
        <w:div w:id="669331425">
          <w:marLeft w:val="0"/>
          <w:marRight w:val="0"/>
          <w:marTop w:val="0"/>
          <w:marBottom w:val="0"/>
          <w:divBdr>
            <w:top w:val="none" w:sz="0" w:space="0" w:color="auto"/>
            <w:left w:val="none" w:sz="0" w:space="0" w:color="auto"/>
            <w:bottom w:val="none" w:sz="0" w:space="0" w:color="auto"/>
            <w:right w:val="none" w:sz="0" w:space="0" w:color="auto"/>
          </w:divBdr>
          <w:divsChild>
            <w:div w:id="1285886061">
              <w:marLeft w:val="0"/>
              <w:marRight w:val="0"/>
              <w:marTop w:val="0"/>
              <w:marBottom w:val="0"/>
              <w:divBdr>
                <w:top w:val="none" w:sz="0" w:space="0" w:color="auto"/>
                <w:left w:val="none" w:sz="0" w:space="0" w:color="auto"/>
                <w:bottom w:val="none" w:sz="0" w:space="0" w:color="auto"/>
                <w:right w:val="none" w:sz="0" w:space="0" w:color="auto"/>
              </w:divBdr>
            </w:div>
          </w:divsChild>
        </w:div>
        <w:div w:id="1702631752">
          <w:marLeft w:val="0"/>
          <w:marRight w:val="0"/>
          <w:marTop w:val="0"/>
          <w:marBottom w:val="0"/>
          <w:divBdr>
            <w:top w:val="none" w:sz="0" w:space="0" w:color="auto"/>
            <w:left w:val="none" w:sz="0" w:space="0" w:color="auto"/>
            <w:bottom w:val="none" w:sz="0" w:space="0" w:color="auto"/>
            <w:right w:val="none" w:sz="0" w:space="0" w:color="auto"/>
          </w:divBdr>
          <w:divsChild>
            <w:div w:id="1554385590">
              <w:marLeft w:val="0"/>
              <w:marRight w:val="0"/>
              <w:marTop w:val="0"/>
              <w:marBottom w:val="0"/>
              <w:divBdr>
                <w:top w:val="none" w:sz="0" w:space="0" w:color="auto"/>
                <w:left w:val="none" w:sz="0" w:space="0" w:color="auto"/>
                <w:bottom w:val="none" w:sz="0" w:space="0" w:color="auto"/>
                <w:right w:val="none" w:sz="0" w:space="0" w:color="auto"/>
              </w:divBdr>
            </w:div>
          </w:divsChild>
        </w:div>
        <w:div w:id="1060790296">
          <w:marLeft w:val="0"/>
          <w:marRight w:val="0"/>
          <w:marTop w:val="0"/>
          <w:marBottom w:val="0"/>
          <w:divBdr>
            <w:top w:val="none" w:sz="0" w:space="0" w:color="auto"/>
            <w:left w:val="none" w:sz="0" w:space="0" w:color="auto"/>
            <w:bottom w:val="none" w:sz="0" w:space="0" w:color="auto"/>
            <w:right w:val="none" w:sz="0" w:space="0" w:color="auto"/>
          </w:divBdr>
          <w:divsChild>
            <w:div w:id="2081444217">
              <w:marLeft w:val="0"/>
              <w:marRight w:val="0"/>
              <w:marTop w:val="0"/>
              <w:marBottom w:val="0"/>
              <w:divBdr>
                <w:top w:val="none" w:sz="0" w:space="0" w:color="auto"/>
                <w:left w:val="none" w:sz="0" w:space="0" w:color="auto"/>
                <w:bottom w:val="none" w:sz="0" w:space="0" w:color="auto"/>
                <w:right w:val="none" w:sz="0" w:space="0" w:color="auto"/>
              </w:divBdr>
            </w:div>
          </w:divsChild>
        </w:div>
        <w:div w:id="1093279696">
          <w:marLeft w:val="0"/>
          <w:marRight w:val="0"/>
          <w:marTop w:val="0"/>
          <w:marBottom w:val="0"/>
          <w:divBdr>
            <w:top w:val="none" w:sz="0" w:space="0" w:color="auto"/>
            <w:left w:val="none" w:sz="0" w:space="0" w:color="auto"/>
            <w:bottom w:val="none" w:sz="0" w:space="0" w:color="auto"/>
            <w:right w:val="none" w:sz="0" w:space="0" w:color="auto"/>
          </w:divBdr>
          <w:divsChild>
            <w:div w:id="526674476">
              <w:marLeft w:val="0"/>
              <w:marRight w:val="0"/>
              <w:marTop w:val="0"/>
              <w:marBottom w:val="0"/>
              <w:divBdr>
                <w:top w:val="none" w:sz="0" w:space="0" w:color="auto"/>
                <w:left w:val="none" w:sz="0" w:space="0" w:color="auto"/>
                <w:bottom w:val="none" w:sz="0" w:space="0" w:color="auto"/>
                <w:right w:val="none" w:sz="0" w:space="0" w:color="auto"/>
              </w:divBdr>
            </w:div>
          </w:divsChild>
        </w:div>
        <w:div w:id="1746995032">
          <w:marLeft w:val="0"/>
          <w:marRight w:val="0"/>
          <w:marTop w:val="0"/>
          <w:marBottom w:val="0"/>
          <w:divBdr>
            <w:top w:val="none" w:sz="0" w:space="0" w:color="auto"/>
            <w:left w:val="none" w:sz="0" w:space="0" w:color="auto"/>
            <w:bottom w:val="none" w:sz="0" w:space="0" w:color="auto"/>
            <w:right w:val="none" w:sz="0" w:space="0" w:color="auto"/>
          </w:divBdr>
          <w:divsChild>
            <w:div w:id="235284622">
              <w:marLeft w:val="0"/>
              <w:marRight w:val="0"/>
              <w:marTop w:val="0"/>
              <w:marBottom w:val="0"/>
              <w:divBdr>
                <w:top w:val="none" w:sz="0" w:space="0" w:color="auto"/>
                <w:left w:val="none" w:sz="0" w:space="0" w:color="auto"/>
                <w:bottom w:val="none" w:sz="0" w:space="0" w:color="auto"/>
                <w:right w:val="none" w:sz="0" w:space="0" w:color="auto"/>
              </w:divBdr>
            </w:div>
          </w:divsChild>
        </w:div>
        <w:div w:id="1122458440">
          <w:marLeft w:val="0"/>
          <w:marRight w:val="0"/>
          <w:marTop w:val="0"/>
          <w:marBottom w:val="0"/>
          <w:divBdr>
            <w:top w:val="none" w:sz="0" w:space="0" w:color="auto"/>
            <w:left w:val="none" w:sz="0" w:space="0" w:color="auto"/>
            <w:bottom w:val="none" w:sz="0" w:space="0" w:color="auto"/>
            <w:right w:val="none" w:sz="0" w:space="0" w:color="auto"/>
          </w:divBdr>
          <w:divsChild>
            <w:div w:id="1403604499">
              <w:marLeft w:val="0"/>
              <w:marRight w:val="0"/>
              <w:marTop w:val="0"/>
              <w:marBottom w:val="0"/>
              <w:divBdr>
                <w:top w:val="none" w:sz="0" w:space="0" w:color="auto"/>
                <w:left w:val="none" w:sz="0" w:space="0" w:color="auto"/>
                <w:bottom w:val="none" w:sz="0" w:space="0" w:color="auto"/>
                <w:right w:val="none" w:sz="0" w:space="0" w:color="auto"/>
              </w:divBdr>
            </w:div>
          </w:divsChild>
        </w:div>
        <w:div w:id="546840412">
          <w:marLeft w:val="0"/>
          <w:marRight w:val="0"/>
          <w:marTop w:val="0"/>
          <w:marBottom w:val="0"/>
          <w:divBdr>
            <w:top w:val="none" w:sz="0" w:space="0" w:color="auto"/>
            <w:left w:val="none" w:sz="0" w:space="0" w:color="auto"/>
            <w:bottom w:val="none" w:sz="0" w:space="0" w:color="auto"/>
            <w:right w:val="none" w:sz="0" w:space="0" w:color="auto"/>
          </w:divBdr>
          <w:divsChild>
            <w:div w:id="2091582462">
              <w:marLeft w:val="0"/>
              <w:marRight w:val="0"/>
              <w:marTop w:val="0"/>
              <w:marBottom w:val="0"/>
              <w:divBdr>
                <w:top w:val="none" w:sz="0" w:space="0" w:color="auto"/>
                <w:left w:val="none" w:sz="0" w:space="0" w:color="auto"/>
                <w:bottom w:val="none" w:sz="0" w:space="0" w:color="auto"/>
                <w:right w:val="none" w:sz="0" w:space="0" w:color="auto"/>
              </w:divBdr>
            </w:div>
          </w:divsChild>
        </w:div>
        <w:div w:id="268515847">
          <w:marLeft w:val="0"/>
          <w:marRight w:val="0"/>
          <w:marTop w:val="0"/>
          <w:marBottom w:val="0"/>
          <w:divBdr>
            <w:top w:val="none" w:sz="0" w:space="0" w:color="auto"/>
            <w:left w:val="none" w:sz="0" w:space="0" w:color="auto"/>
            <w:bottom w:val="none" w:sz="0" w:space="0" w:color="auto"/>
            <w:right w:val="none" w:sz="0" w:space="0" w:color="auto"/>
          </w:divBdr>
          <w:divsChild>
            <w:div w:id="516579081">
              <w:marLeft w:val="0"/>
              <w:marRight w:val="0"/>
              <w:marTop w:val="0"/>
              <w:marBottom w:val="0"/>
              <w:divBdr>
                <w:top w:val="none" w:sz="0" w:space="0" w:color="auto"/>
                <w:left w:val="none" w:sz="0" w:space="0" w:color="auto"/>
                <w:bottom w:val="none" w:sz="0" w:space="0" w:color="auto"/>
                <w:right w:val="none" w:sz="0" w:space="0" w:color="auto"/>
              </w:divBdr>
            </w:div>
          </w:divsChild>
        </w:div>
        <w:div w:id="1487286779">
          <w:marLeft w:val="0"/>
          <w:marRight w:val="0"/>
          <w:marTop w:val="0"/>
          <w:marBottom w:val="0"/>
          <w:divBdr>
            <w:top w:val="none" w:sz="0" w:space="0" w:color="auto"/>
            <w:left w:val="none" w:sz="0" w:space="0" w:color="auto"/>
            <w:bottom w:val="none" w:sz="0" w:space="0" w:color="auto"/>
            <w:right w:val="none" w:sz="0" w:space="0" w:color="auto"/>
          </w:divBdr>
          <w:divsChild>
            <w:div w:id="1108618882">
              <w:marLeft w:val="0"/>
              <w:marRight w:val="0"/>
              <w:marTop w:val="0"/>
              <w:marBottom w:val="0"/>
              <w:divBdr>
                <w:top w:val="none" w:sz="0" w:space="0" w:color="auto"/>
                <w:left w:val="none" w:sz="0" w:space="0" w:color="auto"/>
                <w:bottom w:val="none" w:sz="0" w:space="0" w:color="auto"/>
                <w:right w:val="none" w:sz="0" w:space="0" w:color="auto"/>
              </w:divBdr>
            </w:div>
          </w:divsChild>
        </w:div>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
          </w:divsChild>
        </w:div>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
          </w:divsChild>
        </w:div>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
          </w:divsChild>
        </w:div>
        <w:div w:id="2052923745">
          <w:marLeft w:val="0"/>
          <w:marRight w:val="0"/>
          <w:marTop w:val="0"/>
          <w:marBottom w:val="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
          </w:divsChild>
        </w:div>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38056662">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amass.gov/assets/docs/r/hospital-profiles/2022/umm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s://www.ncbi.nlm.nih.gov/pmc/articles/PMC6652173/" TargetMode="External"/><Relationship Id="rId18" Type="http://schemas.openxmlformats.org/officeDocument/2006/relationships/hyperlink" Target="https://www.ummhealth.org/anchor-mission;" TargetMode="External"/><Relationship Id="rId26" Type="http://schemas.openxmlformats.org/officeDocument/2006/relationships/hyperlink" Target="https://www.chna6.org/" TargetMode="External"/><Relationship Id="rId3" Type="http://schemas.openxmlformats.org/officeDocument/2006/relationships/hyperlink" Target="https://www.ncbi.nlm.nih.gov/pmc/articles/PMC1955366/" TargetMode="External"/><Relationship Id="rId21" Type="http://schemas.openxmlformats.org/officeDocument/2006/relationships/hyperlink" Target="https://alumni.sph.harvard.edu/s/1319/images/gid2/editor_documents/mhcm_alumni/ummhc_case_study.final_formatted.pdf?gid=2&amp;pgid=61&amp;sessionid=6ab760ce-c187-4c0a-9199-35743be650cc&amp;cc=1" TargetMode="External"/><Relationship Id="rId7" Type="http://schemas.openxmlformats.org/officeDocument/2006/relationships/hyperlink" Target="https://wayback.archive-it.org/5774/20220413202227/https://www.healthypeople.gov/2020/topics-objectives/topic/Access-to-Health-Services" TargetMode="External"/><Relationship Id="rId12" Type="http://schemas.openxmlformats.org/officeDocument/2006/relationships/hyperlink" Target="https://www.ncbi.nlm.nih.gov/pmc/articles/PMC6652173/" TargetMode="External"/><Relationship Id="rId17" Type="http://schemas.openxmlformats.org/officeDocument/2006/relationships/hyperlink" Target="https://www.mass.gov/doc/health-equity-incentives-rfi-appendix-a-0/download" TargetMode="External"/><Relationship Id="rId25" Type="http://schemas.openxmlformats.org/officeDocument/2006/relationships/hyperlink" Target="https://drive.google.com/file/d/1MuaqAZT3cuWi6ZYzhBPFc-c1r1-xpi5X/view?pli=1" TargetMode="External"/><Relationship Id="rId33" Type="http://schemas.openxmlformats.org/officeDocument/2006/relationships/hyperlink" Target="https://health.gov/healthypeople/objectives-and-data/browse-objectives/health-it/increase-proportion-hospitals-exchange-and-use-outside-electronic-health-information-hchit-d05" TargetMode="External"/><Relationship Id="rId2" Type="http://schemas.openxmlformats.org/officeDocument/2006/relationships/hyperlink" Target="https://www.ncbi.nlm.nih.gov/pmc/articles/PMC1955366/" TargetMode="External"/><Relationship Id="rId16" Type="http://schemas.openxmlformats.org/officeDocument/2006/relationships/hyperlink" Target="https://www.mass.gov/doc/health-equity-incentives-rfi-appendix-a-0/download." TargetMode="External"/><Relationship Id="rId20" Type="http://schemas.openxmlformats.org/officeDocument/2006/relationships/hyperlink" Target="https://alumni.sph.harvard.edu/s/1319/images/gid2/editor_documents/mhcm_alumni/ummhc_case_study.final_formatted.pdf?gid=2&amp;pgid=61&amp;sessionid=6ab760ce-c187-4c0a-9199-35743be650cc&amp;cc=1;%20see%20generally,%20Healthcare%20Anchor%20Network,%20Resources%20for%20the%20Anchor%20Mission,%20https://healthcareanchor.network/anchor-mission-resources/." TargetMode="External"/><Relationship Id="rId29" Type="http://schemas.openxmlformats.org/officeDocument/2006/relationships/hyperlink" Target="https://www.mass.gov/files/documents/2018/12/31/jud-lib-105cmr100.pdf" TargetMode="External"/><Relationship Id="rId1" Type="http://schemas.openxmlformats.org/officeDocument/2006/relationships/hyperlink" Target="https://www.mass.gov/lists/don-umass-memorial-health-care-inc-20121712-to" TargetMode="External"/><Relationship Id="rId6" Type="http://schemas.openxmlformats.org/officeDocument/2006/relationships/hyperlink" Target="https://wayback.archive-it.org/5774/20220413202227/https:/www.healthypeople.gov/2020/topics-objectives/topic/Access-to-Health-Services." TargetMode="External"/><Relationship Id="rId11" Type="http://schemas.openxmlformats.org/officeDocument/2006/relationships/hyperlink" Target="https://www.mass.gov/doc/community-hospitals-at-a-crossroads-findings-from-an-examination-of-the-massachusetts-health/download" TargetMode="External"/><Relationship Id="rId24" Type="http://schemas.openxmlformats.org/officeDocument/2006/relationships/hyperlink" Target="https://drive.google.com/file/d/1MuaqAZT3cuWi6ZYzhBPFc-c1r1-xpi5X/view?pli=1" TargetMode="External"/><Relationship Id="rId32" Type="http://schemas.openxmlformats.org/officeDocument/2006/relationships/hyperlink" Target="https://health.gov/healthypeople/objectives-and-data/browse-objectives/health-it/increase-proportion-hospitals-exchange-and-use-outside-electronic-health-information-hchit-d05" TargetMode="External"/><Relationship Id="rId5" Type="http://schemas.openxmlformats.org/officeDocument/2006/relationships/hyperlink" Target="https://health.gov/healthypeople/objectives-and-data/browse-objectives/health-care-access-and-quality/reduce-proportion-people-who-cant-get-medical-care-when-they-need-it-ahs-04" TargetMode="External"/><Relationship Id="rId15" Type="http://schemas.openxmlformats.org/officeDocument/2006/relationships/hyperlink" Target="https://www.milfordregional.org/app/files/public/f71683c8-c7a4-455b-98ba-8a91bcef4416/Milford%20Regional%20Medical%20Center%20-%202021%20CHNA.final.pdf" TargetMode="External"/><Relationship Id="rId23" Type="http://schemas.openxmlformats.org/officeDocument/2006/relationships/hyperlink" Target="https://www.ummhealth.org/umass-memorial-medical-center/about-us/diversity-and-cultural-awareness/programming-and-education" TargetMode="External"/><Relationship Id="rId28" Type="http://schemas.openxmlformats.org/officeDocument/2006/relationships/hyperlink" Target="https://www.mass.gov/files/documents/2018/12/31/jud-lib-105cmr100.pdf." TargetMode="External"/><Relationship Id="rId10" Type="http://schemas.openxmlformats.org/officeDocument/2006/relationships/hyperlink" Target="https://www.mass.gov/doc/community-hospitals-at-a-crossroads-findings-from-an-examination-of-the-massachusetts-health/download." TargetMode="External"/><Relationship Id="rId19" Type="http://schemas.openxmlformats.org/officeDocument/2006/relationships/hyperlink" Target="https://www.ummhealth.org/anchor-mission" TargetMode="External"/><Relationship Id="rId31" Type="http://schemas.openxmlformats.org/officeDocument/2006/relationships/hyperlink" Target="https://health.gov/healthypeople/objectives-and-data/browse-objectives/health-it/increase-proportion-hospitals-access-necessary-electronic-information-hchit-d06" TargetMode="External"/><Relationship Id="rId4" Type="http://schemas.openxmlformats.org/officeDocument/2006/relationships/hyperlink" Target="https://health.gov/healthypeople/objectives-and-data/browse-objectives/health-care-access-and-quality/reduce-proportion-people-who-cant-get-medical-care-when-they-need-it-ahs-04." TargetMode="External"/><Relationship Id="rId9" Type="http://schemas.openxmlformats.org/officeDocument/2006/relationships/hyperlink" Target="https://jamanetwork.com/journals/jamanetworkopen/fullarticle/2784342" TargetMode="External"/><Relationship Id="rId14" Type="http://schemas.openxmlformats.org/officeDocument/2006/relationships/hyperlink" Target="https://www.milfordregional.org/app/files/public/f71683c8-c7a4-455b-98ba-8a91bcef4416/Milford%20Regional%20Medical%20Center%20-%202021%20CHNA.final.pdf" TargetMode="External"/><Relationship Id="rId22" Type="http://schemas.openxmlformats.org/officeDocument/2006/relationships/hyperlink" Target="https://www.ummhealth.org/umass-memorial-medical-center/about-us/diversity-and-cultural-awareness/programming-and-education." TargetMode="External"/><Relationship Id="rId27" Type="http://schemas.openxmlformats.org/officeDocument/2006/relationships/hyperlink" Target="https://www.chna6.org/" TargetMode="External"/><Relationship Id="rId30" Type="http://schemas.openxmlformats.org/officeDocument/2006/relationships/hyperlink" Target="https://health.gov/healthypeople/objectives-and-data/browse-objectives/health-it/increase-proportion-hospitals-access-necessary-electronic-information-hchit-d06" TargetMode="External"/><Relationship Id="rId8" Type="http://schemas.openxmlformats.org/officeDocument/2006/relationships/hyperlink" Target="https://jamanetwork.com/journals/jamanetworkopen/fullarticle/278434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Bond_(finance)" TargetMode="External"/><Relationship Id="rId13" Type="http://schemas.openxmlformats.org/officeDocument/2006/relationships/hyperlink" Target="https://www.fsg.org/wp-content/uploads/2021/08/Equity-in-Specialty-Series-Brief-2_FSG-Increasing-Specialty-Care-Availability.pdf" TargetMode="External"/><Relationship Id="rId18" Type="http://schemas.openxmlformats.org/officeDocument/2006/relationships/hyperlink" Target="https://www.chiamass.gov/assets/docs/r/hospital-profiles/2015/FY15-Profiles-Tech-Appendix.pdf" TargetMode="External"/><Relationship Id="rId26" Type="http://schemas.openxmlformats.org/officeDocument/2006/relationships/hyperlink" Target="https://www.healthit.gov/topic/health-it-and-health-information-exchange-basics/improved-diagnostics-patient-outcomes" TargetMode="External"/><Relationship Id="rId3" Type="http://schemas.openxmlformats.org/officeDocument/2006/relationships/hyperlink" Target="https://www.umassmemorialhealthcare.org/marlborough-hospital" TargetMode="External"/><Relationship Id="rId21" Type="http://schemas.openxmlformats.org/officeDocument/2006/relationships/hyperlink" Target="https://www.chiamass.gov/assets/docs/r/pubs/2020/S-RP-Final-Results-CY-2018.pdf" TargetMode="External"/><Relationship Id="rId7" Type="http://schemas.openxmlformats.org/officeDocument/2006/relationships/hyperlink" Target="https://en.wikipedia.org/wiki/Capital_stock" TargetMode="External"/><Relationship Id="rId12" Type="http://schemas.openxmlformats.org/officeDocument/2006/relationships/hyperlink" Target="https://www.chiamass.gov/assets/docs/r/hospital-profiles/2017/FY17-Massachusetts-Hospital-Profiles-Compendium.pdf" TargetMode="External"/><Relationship Id="rId17" Type="http://schemas.openxmlformats.org/officeDocument/2006/relationships/hyperlink" Target="https://www.chiamass.gov/assets/docs/r/pubs/2023/Relative-Price-Databook-2021.xlsx" TargetMode="External"/><Relationship Id="rId25" Type="http://schemas.openxmlformats.org/officeDocument/2006/relationships/hyperlink" Target="https://www.healthit.gov/topic/health-it-and-health-information-exchange-basics/improved-diagnostics-patient-outcomes" TargetMode="External"/><Relationship Id="rId2" Type="http://schemas.openxmlformats.org/officeDocument/2006/relationships/hyperlink" Target="https://www.umassmemorialhealthcare.org/healthalliance-hospital" TargetMode="External"/><Relationship Id="rId16" Type="http://schemas.openxmlformats.org/officeDocument/2006/relationships/hyperlink" Target="https://www.ncbi.nlm.nih.gov/pmc/articles/PMC7671639/" TargetMode="External"/><Relationship Id="rId20" Type="http://schemas.openxmlformats.org/officeDocument/2006/relationships/hyperlink" Target="https://www.chiamass.gov/assets/docs/r/pubs/2023/Relative-Price-Databook-2021.xlsx" TargetMode="External"/><Relationship Id="rId29" Type="http://schemas.openxmlformats.org/officeDocument/2006/relationships/hyperlink" Target="https://www.mass.gov/doc/cpa-report-pdf-umass-memorial-health-care-inc-transfer/download" TargetMode="External"/><Relationship Id="rId1" Type="http://schemas.openxmlformats.org/officeDocument/2006/relationships/hyperlink" Target="https://www.umassmemorialhealthcare.org/umass-memorial-medical-center" TargetMode="External"/><Relationship Id="rId6" Type="http://schemas.openxmlformats.org/officeDocument/2006/relationships/hyperlink" Target="https://en.wikipedia.org/wiki/S%26P_Global" TargetMode="External"/><Relationship Id="rId11" Type="http://schemas.openxmlformats.org/officeDocument/2006/relationships/hyperlink" Target="https://health.gov/healthypeople/objectives-and-data/browse-objectives/health-care-access-and-quality/reduce-proportion-people-who-cant-get-medical-care-when-they-need-it-ahs-04" TargetMode="External"/><Relationship Id="rId24" Type="http://schemas.openxmlformats.org/officeDocument/2006/relationships/hyperlink" Target="https://www.healthit.gov/topic/health-it-and-health-information-exchange-basics/improve-care-coordination" TargetMode="External"/><Relationship Id="rId5" Type="http://schemas.openxmlformats.org/officeDocument/2006/relationships/hyperlink" Target="https://en.wikipedia.org/wiki/Credit_rating_agency" TargetMode="External"/><Relationship Id="rId15" Type="http://schemas.openxmlformats.org/officeDocument/2006/relationships/hyperlink" Target="https://www.aha.org/ahahret-guides/2017-11-15-social-determinants-health-series-transportation-and-role-hospitals" TargetMode="External"/><Relationship Id="rId23" Type="http://schemas.openxmlformats.org/officeDocument/2006/relationships/hyperlink" Target="https://www.healthit.gov/topic/health-it-and-health-information-exchange-basics/improve-care-coordination%20(" TargetMode="External"/><Relationship Id="rId28" Type="http://schemas.openxmlformats.org/officeDocument/2006/relationships/hyperlink" Target="https://health.gov/healthypeople/objectives-and-data/browse-objectives/health-it" TargetMode="External"/><Relationship Id="rId10" Type="http://schemas.openxmlformats.org/officeDocument/2006/relationships/hyperlink" Target="https://health.gov/healthypeople/objectives-and-data/browse-objectives/health-care-access-and-quality/reduce-proportion-people-who-cant-get-medical-care-when-they-need-it-ahs-04." TargetMode="External"/><Relationship Id="rId19" Type="http://schemas.openxmlformats.org/officeDocument/2006/relationships/hyperlink" Target="https://www.chiamass.gov/assets/docs/r/pubs/2023/Relative-Price-Databook-2021.xlsx." TargetMode="External"/><Relationship Id="rId4" Type="http://schemas.openxmlformats.org/officeDocument/2006/relationships/hyperlink" Target="https://www.harringtonhospital.org/" TargetMode="External"/><Relationship Id="rId9" Type="http://schemas.openxmlformats.org/officeDocument/2006/relationships/hyperlink" Target="https://en.wikipedia.org/wiki/Commodity" TargetMode="External"/><Relationship Id="rId14" Type="http://schemas.openxmlformats.org/officeDocument/2006/relationships/hyperlink" Target="https://www.fsg.org/wp-content/uploads/2021/08/Equity-in-Specialty-Series-Brief-2_FSG-Increasing-Specialty-Care-Availability.pdf" TargetMode="External"/><Relationship Id="rId22" Type="http://schemas.openxmlformats.org/officeDocument/2006/relationships/hyperlink" Target="https://www.chiamass.gov/relative-price-and-provider-price-variation/?viewfullsize=1" TargetMode="External"/><Relationship Id="rId27" Type="http://schemas.openxmlformats.org/officeDocument/2006/relationships/hyperlink" Target="https://health.gov/healthypeople/objectives-and-data/browse-objectives/health-it/increase-proportion-hospitals-exchange-and-use-outside-electronic-health-information-hchit-d05" TargetMode="External"/></Relationships>
</file>

<file path=word/documenttasks/documenttasks1.xml><?xml version="1.0" encoding="utf-8"?>
<t:Tasks xmlns:t="http://schemas.microsoft.com/office/tasks/2019/documenttasks" xmlns:oel="http://schemas.microsoft.com/office/2019/extlst">
  <t:Task id="{5B745DBC-5D18-4AB8-8FD4-F115CC3D4181}">
    <t:Anchor>
      <t:Comment id="426642592"/>
    </t:Anchor>
    <t:History>
      <t:Event id="{B3F31F99-6BB6-4E18-AF72-01E4D12556A5}" time="2024-06-05T20:10:58.776Z">
        <t:Attribution userId="S::lynn.conover@mass.gov::80fca536-9167-4724-8ea0-25041d209e9d" userProvider="AD" userName="Conover, Lynn (DPH)"/>
        <t:Anchor>
          <t:Comment id="426642592"/>
        </t:Anchor>
        <t:Create/>
      </t:Event>
      <t:Event id="{6CEFA28B-B604-4DC2-A632-EDEED57681E8}" time="2024-06-05T20:10:58.776Z">
        <t:Attribution userId="S::lynn.conover@mass.gov::80fca536-9167-4724-8ea0-25041d209e9d" userProvider="AD" userName="Conover, Lynn (DPH)"/>
        <t:Anchor>
          <t:Comment id="426642592"/>
        </t:Anchor>
        <t:Assign userId="S::Dennis.Renaud@mass.gov::a3f7f6f0-463f-4db4-9c04-1cd39c79368f" userProvider="AD" userName="Renaud, Dennis (DPH)"/>
      </t:Event>
      <t:Event id="{69D31BB4-CAC6-4D69-A206-08EAB04B1D21}" time="2024-06-05T20:10:58.776Z">
        <t:Attribution userId="S::lynn.conover@mass.gov::80fca536-9167-4724-8ea0-25041d209e9d" userProvider="AD" userName="Conover, Lynn (DPH)"/>
        <t:Anchor>
          <t:Comment id="426642592"/>
        </t:Anchor>
        <t:SetTitle title="@Renaud, Dennis (DPH) I think I'm done until we get the condition."/>
      </t:Event>
    </t:History>
  </t:Task>
</t:Task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customXml/itemProps2.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3.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11197</Words>
  <Characters>63828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Tejada, Adriana (DPH)</cp:lastModifiedBy>
  <cp:revision>3</cp:revision>
  <cp:lastPrinted>2024-05-02T23:46:00Z</cp:lastPrinted>
  <dcterms:created xsi:type="dcterms:W3CDTF">2024-07-09T13:34:00Z</dcterms:created>
  <dcterms:modified xsi:type="dcterms:W3CDTF">2024-07-15T18:46:00Z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