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41B0" w14:textId="08FB7C5F" w:rsidR="5FF5147E" w:rsidRDefault="5FF5147E" w:rsidP="10C26CA7">
      <w:pPr>
        <w:jc w:val="center"/>
        <w:rPr>
          <w:rFonts w:ascii="Aptos" w:eastAsia="Aptos" w:hAnsi="Aptos" w:cs="Aptos"/>
          <w:b/>
          <w:bCs/>
        </w:rPr>
      </w:pPr>
      <w:r w:rsidRPr="10C26CA7">
        <w:rPr>
          <w:rFonts w:ascii="Aptos" w:eastAsia="Aptos" w:hAnsi="Aptos" w:cs="Aptos"/>
          <w:b/>
          <w:bCs/>
        </w:rPr>
        <w:t>Massachusetts Department of Public Health (DPH)</w:t>
      </w:r>
    </w:p>
    <w:p w14:paraId="3E06E898" w14:textId="0D1DA39B" w:rsidR="00B079F3" w:rsidRDefault="00B079F3" w:rsidP="00B079F3">
      <w:pPr>
        <w:jc w:val="center"/>
        <w:rPr>
          <w:b/>
          <w:bCs/>
        </w:rPr>
      </w:pPr>
      <w:r w:rsidRPr="00B079F3">
        <w:rPr>
          <w:b/>
          <w:bCs/>
        </w:rPr>
        <w:t>American Academy of Pediatric Issues Recommended Childhood and Adolescent Immunization Schedule for 2026</w:t>
      </w:r>
    </w:p>
    <w:p w14:paraId="189FF212" w14:textId="6914D4D0" w:rsidR="00B079F3" w:rsidRPr="00B079F3" w:rsidRDefault="00B079F3" w:rsidP="10C26CA7">
      <w:pPr>
        <w:jc w:val="center"/>
        <w:rPr>
          <w:i/>
          <w:iCs/>
          <w:sz w:val="20"/>
          <w:szCs w:val="20"/>
        </w:rPr>
      </w:pPr>
      <w:r w:rsidRPr="10C26CA7">
        <w:rPr>
          <w:i/>
          <w:iCs/>
          <w:sz w:val="20"/>
          <w:szCs w:val="20"/>
        </w:rPr>
        <w:t>AAP schedule is endorsed by 12 medical and health organizations representing more than 1 million clinicians, physicians, pharmacists</w:t>
      </w:r>
      <w:r w:rsidR="580CF490" w:rsidRPr="10C26CA7">
        <w:rPr>
          <w:i/>
          <w:iCs/>
          <w:sz w:val="20"/>
          <w:szCs w:val="20"/>
        </w:rPr>
        <w:t>,</w:t>
      </w:r>
      <w:r w:rsidRPr="10C26CA7">
        <w:rPr>
          <w:i/>
          <w:iCs/>
          <w:sz w:val="20"/>
          <w:szCs w:val="20"/>
        </w:rPr>
        <w:t xml:space="preserve"> and other pediatric healthcare professionals.</w:t>
      </w:r>
    </w:p>
    <w:p w14:paraId="6BFEAA31" w14:textId="5DC19E28" w:rsidR="00B079F3" w:rsidRDefault="50318AB2" w:rsidP="00B079F3">
      <w:r>
        <w:t>On January 5, 2026, in response to</w:t>
      </w:r>
      <w:r w:rsidR="639A12AA" w:rsidDel="50318AB2">
        <w:t xml:space="preserve"> </w:t>
      </w:r>
      <w:r>
        <w:t xml:space="preserve">changes </w:t>
      </w:r>
      <w:r w:rsidR="4ABFD3C1">
        <w:t>made to</w:t>
      </w:r>
      <w:r>
        <w:t xml:space="preserve"> </w:t>
      </w:r>
      <w:r w:rsidR="1BD1EB52">
        <w:t>the CDC</w:t>
      </w:r>
      <w:r w:rsidR="1915DCB9">
        <w:t xml:space="preserve"> </w:t>
      </w:r>
      <w:r>
        <w:t>pediatric immunization schedule, the Massac</w:t>
      </w:r>
      <w:r w:rsidR="30131C51">
        <w:t>h</w:t>
      </w:r>
      <w:r>
        <w:t xml:space="preserve">usetts Department of Public Health </w:t>
      </w:r>
      <w:r w:rsidR="0CAC2F95">
        <w:t xml:space="preserve">recommended that </w:t>
      </w:r>
      <w:r w:rsidR="7023D9A4">
        <w:t>providers in the state instead follow the immunization schedule of the American Academy of Pediatrics</w:t>
      </w:r>
      <w:r w:rsidR="58BA8EEB">
        <w:t xml:space="preserve"> (AAP)</w:t>
      </w:r>
      <w:r w:rsidR="7023D9A4">
        <w:t>.</w:t>
      </w:r>
    </w:p>
    <w:p w14:paraId="3F3BC128" w14:textId="21588263" w:rsidR="00B079F3" w:rsidRDefault="00B079F3" w:rsidP="00B079F3">
      <w:r>
        <w:t xml:space="preserve">On January 26, 2026, </w:t>
      </w:r>
      <w:proofErr w:type="gramStart"/>
      <w:r>
        <w:t xml:space="preserve">the </w:t>
      </w:r>
      <w:r w:rsidR="70194564">
        <w:t>AAP</w:t>
      </w:r>
      <w:proofErr w:type="gramEnd"/>
      <w:r>
        <w:t xml:space="preserve"> released its </w:t>
      </w:r>
      <w:r w:rsidR="38950EB7">
        <w:t xml:space="preserve">updated </w:t>
      </w:r>
      <w:r>
        <w:t>2026 immunization schedule.  The “Recommended Childhood and Adolescent Immunization Schedule: United States, 2026,” continues to recommend routine immunization for protection against 18 diseases, including RSV, hepatitis A, hepatitis B, rotavirus, influenza, and meningococcal disease.</w:t>
      </w:r>
      <w:r w:rsidR="203DE22D">
        <w:t xml:space="preserve"> This updated schedule was released after </w:t>
      </w:r>
      <w:r w:rsidR="1901B389">
        <w:t xml:space="preserve">AAP’s </w:t>
      </w:r>
      <w:r w:rsidR="203DE22D">
        <w:t xml:space="preserve">review of </w:t>
      </w:r>
      <w:r w:rsidR="0AD5B97F">
        <w:t xml:space="preserve">the latest evidence and </w:t>
      </w:r>
      <w:r w:rsidR="203DE22D">
        <w:t xml:space="preserve">data. </w:t>
      </w:r>
    </w:p>
    <w:p w14:paraId="4FE0B51A" w14:textId="693DDD55" w:rsidR="00AA409B" w:rsidRPr="00AA409B" w:rsidRDefault="7430023C" w:rsidP="00AA409B">
      <w:r>
        <w:t xml:space="preserve">The 2026 AAP schedule does not endorse the recent changes made to the CDC schedule. </w:t>
      </w:r>
      <w:r w:rsidR="00AA409B">
        <w:t xml:space="preserve">There are no major changes to the </w:t>
      </w:r>
      <w:r w:rsidR="005C6D9F">
        <w:t xml:space="preserve">2026 AAP </w:t>
      </w:r>
      <w:r w:rsidR="00AA409B">
        <w:t>schedule. AAP continues to recommend routine immunization against respiratory syncytial virus (RSV), hepatitis A, hepatitis B, rotavirus, COVID, flu, and meningococcal disease</w:t>
      </w:r>
      <w:r w:rsidR="7E0AD7CE">
        <w:t>.</w:t>
      </w:r>
      <w:r w:rsidR="00AA409B">
        <w:t xml:space="preserve"> AAP also continues to recommend routine immunization against diphtheria, tetanus, pertussis (whooping cough), </w:t>
      </w:r>
      <w:proofErr w:type="spellStart"/>
      <w:r w:rsidR="09011C28">
        <w:t>H</w:t>
      </w:r>
      <w:r w:rsidR="00AA409B">
        <w:t>aemophilus</w:t>
      </w:r>
      <w:proofErr w:type="spellEnd"/>
      <w:r w:rsidR="00AA409B">
        <w:t xml:space="preserve"> influenzae type b (Hib), pneumococc</w:t>
      </w:r>
      <w:r w:rsidR="00BB1BFB">
        <w:t>us</w:t>
      </w:r>
      <w:r w:rsidR="00AA409B">
        <w:t xml:space="preserve">, polio, measles, mumps, rubella, varicella (chicken pox), and HPV. </w:t>
      </w:r>
    </w:p>
    <w:p w14:paraId="0DD5797E" w14:textId="4C8AA2CE" w:rsidR="00B079F3" w:rsidRPr="00B079F3" w:rsidRDefault="00B079F3" w:rsidP="00B079F3">
      <w:r>
        <w:t xml:space="preserve">The 2026 AAP immunization schedule </w:t>
      </w:r>
      <w:r w:rsidR="00AA409B">
        <w:t xml:space="preserve">is endorsed by </w:t>
      </w:r>
      <w:r w:rsidR="00F96477">
        <w:t xml:space="preserve">Massachusetts Department of </w:t>
      </w:r>
      <w:r w:rsidR="1DFDA879">
        <w:t>Public</w:t>
      </w:r>
      <w:r>
        <w:t xml:space="preserve"> </w:t>
      </w:r>
      <w:r w:rsidR="00F96477">
        <w:t>Health (</w:t>
      </w:r>
      <w:r w:rsidR="00AA409B">
        <w:t>DPH</w:t>
      </w:r>
      <w:r w:rsidR="00F96477">
        <w:t>)</w:t>
      </w:r>
      <w:r w:rsidR="00AA409B">
        <w:t xml:space="preserve">, and </w:t>
      </w:r>
      <w:r>
        <w:t xml:space="preserve">has been formally endorsed by </w:t>
      </w:r>
      <w:r w:rsidR="00C52875">
        <w:t>sever</w:t>
      </w:r>
      <w:r w:rsidR="005B432C">
        <w:t xml:space="preserve">al </w:t>
      </w:r>
      <w:r>
        <w:t>medical and health</w:t>
      </w:r>
      <w:r w:rsidR="27AA141B">
        <w:t xml:space="preserve"> </w:t>
      </w:r>
      <w:r>
        <w:t xml:space="preserve">care organizations, including: </w:t>
      </w:r>
    </w:p>
    <w:p w14:paraId="51A2847B" w14:textId="77777777" w:rsidR="00B079F3" w:rsidRPr="00B079F3" w:rsidRDefault="00B079F3" w:rsidP="00B079F3">
      <w:pPr>
        <w:pStyle w:val="ListParagraph"/>
        <w:numPr>
          <w:ilvl w:val="0"/>
          <w:numId w:val="4"/>
        </w:numPr>
      </w:pPr>
      <w:r w:rsidRPr="00B079F3">
        <w:t xml:space="preserve">American Academy of Family Physicians (AAFP) </w:t>
      </w:r>
    </w:p>
    <w:p w14:paraId="62C134E1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t xml:space="preserve">American College of Nurse Midwives (ACNM) </w:t>
      </w:r>
    </w:p>
    <w:p w14:paraId="29167F8B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t xml:space="preserve">American College of Obstetrics and Gynecology (ACOG) </w:t>
      </w:r>
    </w:p>
    <w:p w14:paraId="5F27CF3C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t xml:space="preserve">American Medical Association (AMA) </w:t>
      </w:r>
    </w:p>
    <w:p w14:paraId="1546258A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t>American Pharmacists Association (</w:t>
      </w:r>
      <w:proofErr w:type="spellStart"/>
      <w:r w:rsidRPr="00B079F3">
        <w:t>APhA</w:t>
      </w:r>
      <w:proofErr w:type="spellEnd"/>
      <w:r w:rsidRPr="00B079F3">
        <w:t xml:space="preserve">) </w:t>
      </w:r>
    </w:p>
    <w:p w14:paraId="3F1AD276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t xml:space="preserve">Council of Medical Specialty Societies (CMSS) </w:t>
      </w:r>
    </w:p>
    <w:p w14:paraId="0308BC9B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t xml:space="preserve">Infectious Diseases Society of America (IDSA) </w:t>
      </w:r>
    </w:p>
    <w:p w14:paraId="01384195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lastRenderedPageBreak/>
        <w:t xml:space="preserve">National Association of Pediatric Nurse Practitioners (NAPNAP) </w:t>
      </w:r>
    </w:p>
    <w:p w14:paraId="6638983E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t xml:space="preserve">National Medical Association (NMA) </w:t>
      </w:r>
    </w:p>
    <w:p w14:paraId="24356C51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t xml:space="preserve">Pediatric Infectious Diseases Society (PIDS) </w:t>
      </w:r>
    </w:p>
    <w:p w14:paraId="30893871" w14:textId="77777777" w:rsidR="00B079F3" w:rsidRPr="00B079F3" w:rsidRDefault="00B079F3" w:rsidP="00B079F3">
      <w:pPr>
        <w:numPr>
          <w:ilvl w:val="0"/>
          <w:numId w:val="4"/>
        </w:numPr>
      </w:pPr>
      <w:r w:rsidRPr="00B079F3">
        <w:t xml:space="preserve">Pediatric Pharmacy Association (PPA) </w:t>
      </w:r>
    </w:p>
    <w:p w14:paraId="6FC273ED" w14:textId="32521D39" w:rsidR="00B079F3" w:rsidRDefault="00B079F3" w:rsidP="113F624F">
      <w:pPr>
        <w:numPr>
          <w:ilvl w:val="0"/>
          <w:numId w:val="4"/>
        </w:numPr>
      </w:pPr>
      <w:r>
        <w:t xml:space="preserve">Society for Adolescent Health and Medicine (SAHM) </w:t>
      </w:r>
    </w:p>
    <w:p w14:paraId="25B79D07" w14:textId="5FBEAEBC" w:rsidR="798CBFED" w:rsidRDefault="798CBFED">
      <w:r>
        <w:t>Note that there are no changes to school vaccination requirements in Massachusetts.</w:t>
      </w:r>
    </w:p>
    <w:p w14:paraId="458CFD3A" w14:textId="7FAF7AA5" w:rsidR="00FE071B" w:rsidRPr="007523B3" w:rsidRDefault="00FE071B" w:rsidP="007523B3">
      <w:pPr>
        <w:rPr>
          <w:b/>
          <w:bCs/>
        </w:rPr>
      </w:pPr>
      <w:r w:rsidRPr="007523B3">
        <w:rPr>
          <w:b/>
          <w:bCs/>
        </w:rPr>
        <w:t>Resources</w:t>
      </w:r>
    </w:p>
    <w:p w14:paraId="46D4B1FD" w14:textId="7B4A5FB5" w:rsidR="00BD13FB" w:rsidRDefault="00BD13FB" w:rsidP="00B079F3">
      <w:hyperlink r:id="rId5" w:history="1">
        <w:r w:rsidRPr="00BD13FB">
          <w:rPr>
            <w:rStyle w:val="Hyperlink"/>
          </w:rPr>
          <w:t>DPH recommended guidance for vaccines</w:t>
        </w:r>
      </w:hyperlink>
    </w:p>
    <w:p w14:paraId="60F8CF6F" w14:textId="7D7D312E" w:rsidR="00FE071B" w:rsidRDefault="00FE071B" w:rsidP="00B079F3">
      <w:hyperlink r:id="rId6" w:history="1">
        <w:r w:rsidRPr="00FE071B">
          <w:rPr>
            <w:rStyle w:val="Hyperlink"/>
          </w:rPr>
          <w:t>AAP 2026 Immunization Schedule</w:t>
        </w:r>
      </w:hyperlink>
    </w:p>
    <w:p w14:paraId="21524FE7" w14:textId="73C268C4" w:rsidR="00FE071B" w:rsidRDefault="00FE071B" w:rsidP="00BD13FB">
      <w:hyperlink r:id="rId7" w:history="1">
        <w:r w:rsidRPr="00FE071B">
          <w:rPr>
            <w:rStyle w:val="Hyperlink"/>
          </w:rPr>
          <w:t>AAP Policy Statement</w:t>
        </w:r>
      </w:hyperlink>
      <w:r>
        <w:t xml:space="preserve"> </w:t>
      </w:r>
      <w:r w:rsidR="00BD13FB" w:rsidRPr="00BD13FB">
        <w:t xml:space="preserve">in </w:t>
      </w:r>
      <w:r w:rsidR="00BD13FB" w:rsidRPr="00BD13FB">
        <w:rPr>
          <w:i/>
          <w:iCs/>
        </w:rPr>
        <w:t>Pediatrics</w:t>
      </w:r>
    </w:p>
    <w:p w14:paraId="2E7DD529" w14:textId="3056A04B" w:rsidR="001F49A9" w:rsidRPr="001F49A9" w:rsidRDefault="0E67189A" w:rsidP="001F49A9">
      <w:hyperlink r:id="rId8">
        <w:r w:rsidRPr="40424F8F">
          <w:rPr>
            <w:rStyle w:val="Hyperlink"/>
          </w:rPr>
          <w:t>Clinician-Family Immunization Communications FAQs</w:t>
        </w:r>
      </w:hyperlink>
      <w:r w:rsidR="001F49A9">
        <w:t xml:space="preserve"> </w:t>
      </w:r>
      <w:r w:rsidR="001F49A9" w:rsidRPr="001F49A9">
        <w:t>to provide clinicians with ways to frame conversations in response to questions families may have regarding the recent news about the CDC changes to the childhood immunization schedule.</w:t>
      </w:r>
    </w:p>
    <w:p w14:paraId="7128B9B4" w14:textId="6F8AC49B" w:rsidR="00BD13FB" w:rsidRDefault="00BD13FB" w:rsidP="00FE071B">
      <w:hyperlink r:id="rId9" w:history="1">
        <w:r w:rsidRPr="00BD13FB">
          <w:rPr>
            <w:rStyle w:val="Hyperlink"/>
          </w:rPr>
          <w:t>Fact Checked: U.S. Vaccine Recommendations are Appropriate for Children in the United States</w:t>
        </w:r>
      </w:hyperlink>
    </w:p>
    <w:p w14:paraId="195F96FE" w14:textId="7BC200F5" w:rsidR="00BD13FB" w:rsidRDefault="00BD13FB" w:rsidP="00FE071B">
      <w:hyperlink r:id="rId10" w:history="1">
        <w:r w:rsidRPr="00BD13FB">
          <w:rPr>
            <w:rStyle w:val="Hyperlink"/>
          </w:rPr>
          <w:t>How Vaccine Schedules Changed Over Time &amp; Why</w:t>
        </w:r>
      </w:hyperlink>
    </w:p>
    <w:p w14:paraId="4C7B7811" w14:textId="2EFA5569" w:rsidR="00FE071B" w:rsidRDefault="00FE071B" w:rsidP="00B079F3">
      <w:hyperlink r:id="rId11" w:history="1">
        <w:r w:rsidRPr="00BD13FB">
          <w:rPr>
            <w:rStyle w:val="Hyperlink"/>
          </w:rPr>
          <w:t>Parent friendly immunization schedule</w:t>
        </w:r>
        <w:r w:rsidR="00BD13FB" w:rsidRPr="00BD13FB">
          <w:rPr>
            <w:rStyle w:val="Hyperlink"/>
          </w:rPr>
          <w:t>s</w:t>
        </w:r>
      </w:hyperlink>
    </w:p>
    <w:p w14:paraId="1EA468E0" w14:textId="7E324267" w:rsidR="00BD13FB" w:rsidRDefault="00BD13FB" w:rsidP="007523B3">
      <w:pPr>
        <w:pStyle w:val="ListParagraph"/>
        <w:numPr>
          <w:ilvl w:val="0"/>
          <w:numId w:val="8"/>
        </w:numPr>
      </w:pPr>
      <w:hyperlink r:id="rId12" w:history="1">
        <w:r w:rsidRPr="00BD13FB">
          <w:rPr>
            <w:rStyle w:val="Hyperlink"/>
          </w:rPr>
          <w:t>Birth through 6 years old</w:t>
        </w:r>
      </w:hyperlink>
    </w:p>
    <w:p w14:paraId="196DDE2B" w14:textId="194815E8" w:rsidR="00BD13FB" w:rsidRDefault="00BD13FB" w:rsidP="007523B3">
      <w:pPr>
        <w:pStyle w:val="ListParagraph"/>
        <w:numPr>
          <w:ilvl w:val="0"/>
          <w:numId w:val="8"/>
        </w:numPr>
      </w:pPr>
      <w:hyperlink r:id="rId13" w:history="1">
        <w:r w:rsidRPr="00BD13FB">
          <w:rPr>
            <w:rStyle w:val="Hyperlink"/>
          </w:rPr>
          <w:t>7 through 18 years old</w:t>
        </w:r>
      </w:hyperlink>
    </w:p>
    <w:p w14:paraId="4082BE8C" w14:textId="77777777" w:rsidR="00BD13FB" w:rsidRPr="00BD13FB" w:rsidRDefault="00BD13FB" w:rsidP="00BD13FB">
      <w:pPr>
        <w:spacing w:line="279" w:lineRule="auto"/>
        <w:ind w:left="50"/>
        <w:rPr>
          <w:rFonts w:ascii="Calibri" w:eastAsia="Calibri" w:hAnsi="Calibri" w:cs="Calibri"/>
        </w:rPr>
      </w:pPr>
      <w:r w:rsidRPr="00BD13FB">
        <w:rPr>
          <w:rFonts w:ascii="Calibri" w:eastAsia="Calibri" w:hAnsi="Calibri" w:cs="Calibri"/>
        </w:rPr>
        <w:t>Immunization discussion guides to use in your practice:</w:t>
      </w:r>
    </w:p>
    <w:p w14:paraId="72D4CFD5" w14:textId="77777777" w:rsidR="00BD13FB" w:rsidRDefault="00BD13FB" w:rsidP="00BD13FB">
      <w:pPr>
        <w:pStyle w:val="ListParagraph"/>
        <w:numPr>
          <w:ilvl w:val="1"/>
          <w:numId w:val="5"/>
        </w:numPr>
        <w:spacing w:line="279" w:lineRule="auto"/>
        <w:rPr>
          <w:rFonts w:ascii="Calibri" w:eastAsia="Calibri" w:hAnsi="Calibri" w:cs="Calibri"/>
        </w:rPr>
      </w:pPr>
      <w:hyperlink r:id="rId14">
        <w:r w:rsidRPr="2D797006">
          <w:rPr>
            <w:rStyle w:val="Hyperlink"/>
            <w:rFonts w:ascii="Calibri" w:eastAsia="Calibri" w:hAnsi="Calibri" w:cs="Calibri"/>
          </w:rPr>
          <w:t>Maternal &amp; Infant</w:t>
        </w:r>
      </w:hyperlink>
    </w:p>
    <w:p w14:paraId="69360973" w14:textId="77777777" w:rsidR="00BD13FB" w:rsidRDefault="00BD13FB" w:rsidP="00BD13FB">
      <w:pPr>
        <w:pStyle w:val="ListParagraph"/>
        <w:numPr>
          <w:ilvl w:val="1"/>
          <w:numId w:val="5"/>
        </w:numPr>
        <w:spacing w:line="279" w:lineRule="auto"/>
        <w:rPr>
          <w:rFonts w:ascii="Calibri" w:eastAsia="Calibri" w:hAnsi="Calibri" w:cs="Calibri"/>
        </w:rPr>
      </w:pPr>
      <w:hyperlink r:id="rId15">
        <w:r w:rsidRPr="2D797006">
          <w:rPr>
            <w:rStyle w:val="Hyperlink"/>
            <w:rFonts w:ascii="Calibri" w:eastAsia="Calibri" w:hAnsi="Calibri" w:cs="Calibri"/>
          </w:rPr>
          <w:t>Childhood</w:t>
        </w:r>
      </w:hyperlink>
      <w:r w:rsidRPr="2D797006">
        <w:rPr>
          <w:rFonts w:ascii="Calibri" w:eastAsia="Calibri" w:hAnsi="Calibri" w:cs="Calibri"/>
        </w:rPr>
        <w:t xml:space="preserve"> </w:t>
      </w:r>
    </w:p>
    <w:p w14:paraId="59157058" w14:textId="77777777" w:rsidR="00BD13FB" w:rsidRDefault="00BD13FB" w:rsidP="00BD13FB">
      <w:pPr>
        <w:pStyle w:val="ListParagraph"/>
        <w:numPr>
          <w:ilvl w:val="1"/>
          <w:numId w:val="5"/>
        </w:numPr>
        <w:spacing w:line="279" w:lineRule="auto"/>
        <w:rPr>
          <w:rFonts w:ascii="Calibri" w:eastAsia="Calibri" w:hAnsi="Calibri" w:cs="Calibri"/>
        </w:rPr>
      </w:pPr>
      <w:hyperlink r:id="rId16">
        <w:r w:rsidRPr="2D797006">
          <w:rPr>
            <w:rStyle w:val="Hyperlink"/>
            <w:rFonts w:ascii="Calibri" w:eastAsia="Calibri" w:hAnsi="Calibri" w:cs="Calibri"/>
          </w:rPr>
          <w:t>Adolescent</w:t>
        </w:r>
      </w:hyperlink>
      <w:r w:rsidRPr="2D797006">
        <w:rPr>
          <w:rFonts w:ascii="Calibri" w:eastAsia="Calibri" w:hAnsi="Calibri" w:cs="Calibri"/>
        </w:rPr>
        <w:t xml:space="preserve"> </w:t>
      </w:r>
    </w:p>
    <w:p w14:paraId="0A3AEE74" w14:textId="77777777" w:rsidR="00B079F3" w:rsidRPr="00B079F3" w:rsidRDefault="00B079F3" w:rsidP="00B079F3"/>
    <w:p w14:paraId="0923C544" w14:textId="619CD5A2" w:rsidR="00B079F3" w:rsidRDefault="00B079F3" w:rsidP="00152B3C">
      <w:r w:rsidRPr="00B079F3">
        <w:t xml:space="preserve"> </w:t>
      </w:r>
    </w:p>
    <w:sectPr w:rsidR="00B07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87BE2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687E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60328F"/>
    <w:multiLevelType w:val="hybridMultilevel"/>
    <w:tmpl w:val="C2443FE0"/>
    <w:lvl w:ilvl="0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C480F66"/>
    <w:multiLevelType w:val="hybridMultilevel"/>
    <w:tmpl w:val="FFFFFFFF"/>
    <w:lvl w:ilvl="0" w:tplc="AFE8E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C3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4F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44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2E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29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28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E6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05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26062"/>
    <w:multiLevelType w:val="hybridMultilevel"/>
    <w:tmpl w:val="35185C6C"/>
    <w:lvl w:ilvl="0" w:tplc="E5C201F4">
      <w:start w:val="7"/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488D6F"/>
    <w:multiLevelType w:val="hybridMultilevel"/>
    <w:tmpl w:val="FFFFFFFF"/>
    <w:lvl w:ilvl="0" w:tplc="A5BA7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66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67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AB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8B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A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E2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A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5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21935"/>
    <w:multiLevelType w:val="hybridMultilevel"/>
    <w:tmpl w:val="5DE2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2F08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9742392">
    <w:abstractNumId w:val="1"/>
  </w:num>
  <w:num w:numId="2" w16cid:durableId="675114699">
    <w:abstractNumId w:val="0"/>
  </w:num>
  <w:num w:numId="3" w16cid:durableId="809443056">
    <w:abstractNumId w:val="7"/>
  </w:num>
  <w:num w:numId="4" w16cid:durableId="1747608100">
    <w:abstractNumId w:val="6"/>
  </w:num>
  <w:num w:numId="5" w16cid:durableId="853960246">
    <w:abstractNumId w:val="4"/>
  </w:num>
  <w:num w:numId="6" w16cid:durableId="21783979">
    <w:abstractNumId w:val="3"/>
  </w:num>
  <w:num w:numId="7" w16cid:durableId="2129661828">
    <w:abstractNumId w:val="5"/>
  </w:num>
  <w:num w:numId="8" w16cid:durableId="1175805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F3"/>
    <w:rsid w:val="0013179E"/>
    <w:rsid w:val="00152B3C"/>
    <w:rsid w:val="00186F43"/>
    <w:rsid w:val="001D5460"/>
    <w:rsid w:val="001F49A9"/>
    <w:rsid w:val="002A3C51"/>
    <w:rsid w:val="00316052"/>
    <w:rsid w:val="00322E23"/>
    <w:rsid w:val="00351E5B"/>
    <w:rsid w:val="003C5E64"/>
    <w:rsid w:val="003E0787"/>
    <w:rsid w:val="003F0662"/>
    <w:rsid w:val="00421F78"/>
    <w:rsid w:val="00450F7B"/>
    <w:rsid w:val="004843FB"/>
    <w:rsid w:val="004C58FD"/>
    <w:rsid w:val="004E61B7"/>
    <w:rsid w:val="004F7690"/>
    <w:rsid w:val="00504118"/>
    <w:rsid w:val="005B432C"/>
    <w:rsid w:val="005C6D9F"/>
    <w:rsid w:val="005F568B"/>
    <w:rsid w:val="005F78AB"/>
    <w:rsid w:val="00605C41"/>
    <w:rsid w:val="006F0510"/>
    <w:rsid w:val="007523B3"/>
    <w:rsid w:val="00793FD0"/>
    <w:rsid w:val="00795EE6"/>
    <w:rsid w:val="007C5621"/>
    <w:rsid w:val="008470D8"/>
    <w:rsid w:val="008A16F9"/>
    <w:rsid w:val="00953468"/>
    <w:rsid w:val="00980E3F"/>
    <w:rsid w:val="009A4A95"/>
    <w:rsid w:val="009C2916"/>
    <w:rsid w:val="00A44933"/>
    <w:rsid w:val="00A94C7A"/>
    <w:rsid w:val="00AA409B"/>
    <w:rsid w:val="00AE7212"/>
    <w:rsid w:val="00AF5BFA"/>
    <w:rsid w:val="00B079F3"/>
    <w:rsid w:val="00B15F7B"/>
    <w:rsid w:val="00BA052C"/>
    <w:rsid w:val="00BB1BFB"/>
    <w:rsid w:val="00BC3B73"/>
    <w:rsid w:val="00BD13FB"/>
    <w:rsid w:val="00C52875"/>
    <w:rsid w:val="00C66B7F"/>
    <w:rsid w:val="00C801E4"/>
    <w:rsid w:val="00CB1579"/>
    <w:rsid w:val="00CC3FC2"/>
    <w:rsid w:val="00D26251"/>
    <w:rsid w:val="00D265F6"/>
    <w:rsid w:val="00D424C7"/>
    <w:rsid w:val="00D810FC"/>
    <w:rsid w:val="00E2437E"/>
    <w:rsid w:val="00E5288C"/>
    <w:rsid w:val="00EE4217"/>
    <w:rsid w:val="00F8123E"/>
    <w:rsid w:val="00F96477"/>
    <w:rsid w:val="00FE071B"/>
    <w:rsid w:val="052D01FF"/>
    <w:rsid w:val="09011C28"/>
    <w:rsid w:val="0AD5B97F"/>
    <w:rsid w:val="0BB38E32"/>
    <w:rsid w:val="0CAC2F95"/>
    <w:rsid w:val="0E67189A"/>
    <w:rsid w:val="10C26CA7"/>
    <w:rsid w:val="113F624F"/>
    <w:rsid w:val="1901B389"/>
    <w:rsid w:val="1915DCB9"/>
    <w:rsid w:val="1BD1EB52"/>
    <w:rsid w:val="1D865345"/>
    <w:rsid w:val="1DFDA879"/>
    <w:rsid w:val="203DE22D"/>
    <w:rsid w:val="211032A4"/>
    <w:rsid w:val="243F157B"/>
    <w:rsid w:val="272EAE29"/>
    <w:rsid w:val="274D3841"/>
    <w:rsid w:val="27AA141B"/>
    <w:rsid w:val="2E058C90"/>
    <w:rsid w:val="30131C51"/>
    <w:rsid w:val="34CC48EC"/>
    <w:rsid w:val="38950EB7"/>
    <w:rsid w:val="3B22CFB0"/>
    <w:rsid w:val="3C7DB48D"/>
    <w:rsid w:val="40424F8F"/>
    <w:rsid w:val="40D6EF0C"/>
    <w:rsid w:val="43E30E98"/>
    <w:rsid w:val="45727CFC"/>
    <w:rsid w:val="471BE8E0"/>
    <w:rsid w:val="47F8ABF6"/>
    <w:rsid w:val="4ABFD3C1"/>
    <w:rsid w:val="4D039F01"/>
    <w:rsid w:val="50318AB2"/>
    <w:rsid w:val="52257309"/>
    <w:rsid w:val="580CF490"/>
    <w:rsid w:val="58BA8EEB"/>
    <w:rsid w:val="5FF5147E"/>
    <w:rsid w:val="639A12AA"/>
    <w:rsid w:val="66ABB1E4"/>
    <w:rsid w:val="6AA20CE2"/>
    <w:rsid w:val="70194564"/>
    <w:rsid w:val="7023D9A4"/>
    <w:rsid w:val="70DF32BB"/>
    <w:rsid w:val="7234213F"/>
    <w:rsid w:val="7430023C"/>
    <w:rsid w:val="798CBFED"/>
    <w:rsid w:val="7E0AD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04AA"/>
  <w15:chartTrackingRefBased/>
  <w15:docId w15:val="{800807E0-CD5A-45E4-80ED-E86A06DC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9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0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7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71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13FB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4493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C3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p.org/en/patient-care/immunizations/clinician-family-immunization-communications-faqs/" TargetMode="External"/><Relationship Id="rId13" Type="http://schemas.openxmlformats.org/officeDocument/2006/relationships/hyperlink" Target="https://downloads.aap.org/HC/EN/adolescentvaccineschedul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ations.aap.org/pediatrics/article/doi/10.1542/peds.2025-075754/206175/Recommended-Childhood-and-Adolescent-Immunization" TargetMode="External"/><Relationship Id="rId12" Type="http://schemas.openxmlformats.org/officeDocument/2006/relationships/hyperlink" Target="https://downloads.aap.org/HC/EN/childvaccineschedul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ap.org/en/patient-care/immunizations/adolescent-immunization-discussion-guid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wnloads.aap.org/AAP/PDF/AAP-Immunization-Schedule.pdf" TargetMode="External"/><Relationship Id="rId11" Type="http://schemas.openxmlformats.org/officeDocument/2006/relationships/hyperlink" Target="https://www.healthychildren.org/English/safety-prevention/immunizations/Pages/Recommended-Immunization-Schedules.aspx" TargetMode="External"/><Relationship Id="rId5" Type="http://schemas.openxmlformats.org/officeDocument/2006/relationships/hyperlink" Target="https://www.mass.gov/info-details/dph-recommended-guidance-for-vaccines" TargetMode="External"/><Relationship Id="rId15" Type="http://schemas.openxmlformats.org/officeDocument/2006/relationships/hyperlink" Target="https://www.aap.org/en/patient-care/immunizations/childhood-immunization-discussion-guides/" TargetMode="External"/><Relationship Id="rId10" Type="http://schemas.openxmlformats.org/officeDocument/2006/relationships/hyperlink" Target="https://www.healthychildren.org/English/safety-prevention/immunizations/Pages/History-of-Immunization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p.org/en/news-room/fact-checked/fact-checked-u.s.-vaccine-recommendations-are-appropriate-for-children-in-the-united-states" TargetMode="External"/><Relationship Id="rId14" Type="http://schemas.openxmlformats.org/officeDocument/2006/relationships/hyperlink" Target="https://www.aap.org/en/patient-care/immunizations/maternal-and-infant-immunization-discussion-guid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3734</Characters>
  <Application>Microsoft Office Word</Application>
  <DocSecurity>0</DocSecurity>
  <Lines>31</Lines>
  <Paragraphs>8</Paragraphs>
  <ScaleCrop>false</ScaleCrop>
  <Company>Commonwealth of Massachusetts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Courtney, Laurie A. (DPH)</dc:creator>
  <cp:keywords/>
  <dc:description/>
  <cp:lastModifiedBy>Harrison, Deborah (EHS)</cp:lastModifiedBy>
  <cp:revision>2</cp:revision>
  <dcterms:created xsi:type="dcterms:W3CDTF">2026-01-28T12:54:00Z</dcterms:created>
  <dcterms:modified xsi:type="dcterms:W3CDTF">2026-01-28T12:54:00Z</dcterms:modified>
</cp:coreProperties>
</file>